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311"/>
      </w:tblGrid>
      <w:tr w:rsidR="00B447F3" w:rsidRPr="003436F0" w14:paraId="43C8E3CE" w14:textId="77777777" w:rsidTr="4CE42C0A">
        <w:trPr>
          <w:trHeight w:val="539"/>
        </w:trPr>
        <w:tc>
          <w:tcPr>
            <w:tcW w:w="9739" w:type="dxa"/>
            <w:gridSpan w:val="2"/>
            <w:shd w:val="clear" w:color="auto" w:fill="DFE3F0"/>
          </w:tcPr>
          <w:p w14:paraId="2CBE788C" w14:textId="6AAFD8BA" w:rsidR="00B447F3" w:rsidRPr="003436F0" w:rsidRDefault="00A4110F">
            <w:pPr>
              <w:pStyle w:val="TableParagraph"/>
              <w:spacing w:line="269" w:lineRule="exact"/>
              <w:ind w:left="1522" w:right="2051"/>
              <w:jc w:val="center"/>
              <w:rPr>
                <w:rFonts w:asciiTheme="minorHAnsi" w:hAnsiTheme="minorHAnsi"/>
                <w:b/>
              </w:rPr>
            </w:pPr>
            <w:r w:rsidRPr="003436F0">
              <w:rPr>
                <w:rFonts w:asciiTheme="minorHAnsi" w:hAnsiTheme="minorHAnsi"/>
                <w:b/>
              </w:rPr>
              <w:t>STAFF REPORT TO THE PUBLIC HEALTH COUNCIL</w:t>
            </w:r>
          </w:p>
          <w:p w14:paraId="22236AE7" w14:textId="77777777" w:rsidR="00B447F3" w:rsidRPr="003436F0" w:rsidRDefault="00A4110F">
            <w:pPr>
              <w:pStyle w:val="TableParagraph"/>
              <w:spacing w:before="1" w:line="249" w:lineRule="exact"/>
              <w:ind w:left="1521" w:right="2051"/>
              <w:jc w:val="center"/>
              <w:rPr>
                <w:rFonts w:asciiTheme="minorHAnsi" w:hAnsiTheme="minorHAnsi"/>
                <w:b/>
              </w:rPr>
            </w:pPr>
            <w:r w:rsidRPr="003436F0">
              <w:rPr>
                <w:rFonts w:asciiTheme="minorHAnsi" w:hAnsiTheme="minorHAnsi"/>
                <w:b/>
              </w:rPr>
              <w:t>FOR A DETERMINATION OF NEED</w:t>
            </w:r>
          </w:p>
        </w:tc>
      </w:tr>
      <w:tr w:rsidR="00B447F3" w:rsidRPr="003436F0" w14:paraId="070EC4F8" w14:textId="77777777" w:rsidTr="4CE42C0A">
        <w:trPr>
          <w:trHeight w:val="161"/>
        </w:trPr>
        <w:tc>
          <w:tcPr>
            <w:tcW w:w="4428" w:type="dxa"/>
          </w:tcPr>
          <w:p w14:paraId="0CD81F0B" w14:textId="77777777" w:rsidR="00B447F3" w:rsidRPr="003436F0" w:rsidRDefault="00A4110F">
            <w:pPr>
              <w:pStyle w:val="TableParagraph"/>
              <w:spacing w:before="136"/>
              <w:rPr>
                <w:rFonts w:asciiTheme="minorHAnsi" w:hAnsiTheme="minorHAnsi"/>
              </w:rPr>
            </w:pPr>
            <w:r w:rsidRPr="003436F0">
              <w:rPr>
                <w:rFonts w:asciiTheme="minorHAnsi" w:hAnsiTheme="minorHAnsi"/>
              </w:rPr>
              <w:t>Applicant Name</w:t>
            </w:r>
          </w:p>
        </w:tc>
        <w:tc>
          <w:tcPr>
            <w:tcW w:w="5311" w:type="dxa"/>
          </w:tcPr>
          <w:p w14:paraId="5BCF85B2" w14:textId="77777777" w:rsidR="00555A20" w:rsidRDefault="00555A20" w:rsidP="005D580E">
            <w:pPr>
              <w:pStyle w:val="TableParagraph"/>
              <w:spacing w:before="1" w:line="249" w:lineRule="exact"/>
              <w:ind w:left="0"/>
              <w:rPr>
                <w:rFonts w:asciiTheme="minorHAnsi" w:hAnsiTheme="minorHAnsi"/>
              </w:rPr>
            </w:pPr>
          </w:p>
          <w:p w14:paraId="58C7E0FA" w14:textId="3D95E6F9" w:rsidR="003436F0" w:rsidRPr="003436F0" w:rsidRDefault="00555A20" w:rsidP="005D580E">
            <w:pPr>
              <w:pStyle w:val="TableParagraph"/>
              <w:spacing w:before="1" w:line="249" w:lineRule="exact"/>
              <w:ind w:left="0"/>
              <w:rPr>
                <w:rFonts w:asciiTheme="minorHAnsi" w:hAnsiTheme="minorHAnsi"/>
              </w:rPr>
            </w:pPr>
            <w:r>
              <w:rPr>
                <w:rFonts w:asciiTheme="minorHAnsi" w:hAnsiTheme="minorHAnsi"/>
              </w:rPr>
              <w:t xml:space="preserve">  Dana</w:t>
            </w:r>
            <w:r w:rsidR="00814396">
              <w:rPr>
                <w:rFonts w:asciiTheme="minorHAnsi" w:hAnsiTheme="minorHAnsi"/>
              </w:rPr>
              <w:t>-</w:t>
            </w:r>
            <w:r>
              <w:rPr>
                <w:rFonts w:asciiTheme="minorHAnsi" w:hAnsiTheme="minorHAnsi"/>
              </w:rPr>
              <w:t xml:space="preserve">Farber Cancer Institute, Inc. </w:t>
            </w:r>
          </w:p>
        </w:tc>
      </w:tr>
      <w:tr w:rsidR="00B447F3" w:rsidRPr="003436F0" w14:paraId="124A84AC" w14:textId="77777777" w:rsidTr="4CE42C0A">
        <w:trPr>
          <w:trHeight w:val="541"/>
        </w:trPr>
        <w:tc>
          <w:tcPr>
            <w:tcW w:w="4428" w:type="dxa"/>
          </w:tcPr>
          <w:p w14:paraId="5CA71205" w14:textId="77777777" w:rsidR="00B447F3" w:rsidRPr="003436F0" w:rsidRDefault="00A4110F">
            <w:pPr>
              <w:pStyle w:val="TableParagraph"/>
              <w:spacing w:before="136"/>
              <w:rPr>
                <w:rFonts w:asciiTheme="minorHAnsi" w:hAnsiTheme="minorHAnsi"/>
              </w:rPr>
            </w:pPr>
            <w:r w:rsidRPr="003436F0">
              <w:rPr>
                <w:rFonts w:asciiTheme="minorHAnsi" w:hAnsiTheme="minorHAnsi"/>
              </w:rPr>
              <w:t>Applicant Address</w:t>
            </w:r>
          </w:p>
        </w:tc>
        <w:tc>
          <w:tcPr>
            <w:tcW w:w="5311" w:type="dxa"/>
          </w:tcPr>
          <w:p w14:paraId="631D6B5E" w14:textId="77777777" w:rsidR="003436F0" w:rsidRDefault="003436F0">
            <w:pPr>
              <w:pStyle w:val="TableParagraph"/>
              <w:spacing w:line="251" w:lineRule="exact"/>
              <w:rPr>
                <w:rFonts w:asciiTheme="minorHAnsi" w:hAnsiTheme="minorHAnsi"/>
              </w:rPr>
            </w:pPr>
          </w:p>
          <w:p w14:paraId="788E9DD9" w14:textId="7ACE8282" w:rsidR="00555A20" w:rsidRPr="003436F0" w:rsidRDefault="00E8045D">
            <w:pPr>
              <w:pStyle w:val="TableParagraph"/>
              <w:spacing w:line="251" w:lineRule="exact"/>
              <w:rPr>
                <w:rFonts w:asciiTheme="minorHAnsi" w:hAnsiTheme="minorHAnsi"/>
              </w:rPr>
            </w:pPr>
            <w:r>
              <w:rPr>
                <w:rFonts w:asciiTheme="minorHAnsi" w:hAnsiTheme="minorHAnsi"/>
              </w:rPr>
              <w:t>450 Brookline Avenue, Boston, MA 02215</w:t>
            </w:r>
          </w:p>
        </w:tc>
      </w:tr>
      <w:tr w:rsidR="00B447F3" w:rsidRPr="003436F0" w14:paraId="2E4DB436" w14:textId="77777777" w:rsidTr="4CE42C0A">
        <w:trPr>
          <w:trHeight w:val="376"/>
        </w:trPr>
        <w:tc>
          <w:tcPr>
            <w:tcW w:w="4428" w:type="dxa"/>
          </w:tcPr>
          <w:p w14:paraId="4FD07142" w14:textId="77777777" w:rsidR="00B447F3" w:rsidRPr="003436F0" w:rsidRDefault="00A4110F">
            <w:pPr>
              <w:pStyle w:val="TableParagraph"/>
              <w:spacing w:before="52"/>
              <w:rPr>
                <w:rFonts w:asciiTheme="minorHAnsi" w:hAnsiTheme="minorHAnsi"/>
              </w:rPr>
            </w:pPr>
            <w:r w:rsidRPr="003436F0">
              <w:rPr>
                <w:rFonts w:asciiTheme="minorHAnsi" w:hAnsiTheme="minorHAnsi"/>
              </w:rPr>
              <w:t>Filing Date</w:t>
            </w:r>
          </w:p>
        </w:tc>
        <w:tc>
          <w:tcPr>
            <w:tcW w:w="5311" w:type="dxa"/>
          </w:tcPr>
          <w:p w14:paraId="0A95C25A" w14:textId="3C21ACB8" w:rsidR="003436F0" w:rsidRPr="003436F0" w:rsidRDefault="000A3F7D" w:rsidP="003436F0">
            <w:pPr>
              <w:pStyle w:val="TableParagraph"/>
              <w:spacing w:before="52"/>
              <w:rPr>
                <w:rFonts w:asciiTheme="minorHAnsi" w:hAnsiTheme="minorHAnsi"/>
              </w:rPr>
            </w:pPr>
            <w:r>
              <w:rPr>
                <w:rFonts w:asciiTheme="minorHAnsi" w:hAnsiTheme="minorHAnsi"/>
              </w:rPr>
              <w:t>January 8, 2024</w:t>
            </w:r>
          </w:p>
        </w:tc>
      </w:tr>
      <w:tr w:rsidR="00B447F3" w:rsidRPr="003436F0" w14:paraId="76D9E9B4" w14:textId="77777777" w:rsidTr="4CE42C0A">
        <w:trPr>
          <w:trHeight w:val="350"/>
        </w:trPr>
        <w:tc>
          <w:tcPr>
            <w:tcW w:w="4428" w:type="dxa"/>
          </w:tcPr>
          <w:p w14:paraId="76075A53" w14:textId="77777777" w:rsidR="00B447F3" w:rsidRPr="003436F0" w:rsidRDefault="00A4110F">
            <w:pPr>
              <w:pStyle w:val="TableParagraph"/>
              <w:spacing w:before="40"/>
              <w:rPr>
                <w:rFonts w:asciiTheme="minorHAnsi" w:hAnsiTheme="minorHAnsi"/>
              </w:rPr>
            </w:pPr>
            <w:r w:rsidRPr="003436F0">
              <w:rPr>
                <w:rFonts w:asciiTheme="minorHAnsi" w:hAnsiTheme="minorHAnsi"/>
              </w:rPr>
              <w:t>Type of DoN Application</w:t>
            </w:r>
          </w:p>
        </w:tc>
        <w:tc>
          <w:tcPr>
            <w:tcW w:w="5311" w:type="dxa"/>
          </w:tcPr>
          <w:p w14:paraId="33E5CFA9" w14:textId="77777777" w:rsidR="00CB1B74" w:rsidRDefault="000A3F7D">
            <w:pPr>
              <w:pStyle w:val="TableParagraph"/>
              <w:spacing w:before="40"/>
              <w:rPr>
                <w:rFonts w:asciiTheme="minorHAnsi" w:hAnsiTheme="minorHAnsi"/>
              </w:rPr>
            </w:pPr>
            <w:r>
              <w:rPr>
                <w:rFonts w:asciiTheme="minorHAnsi" w:hAnsiTheme="minorHAnsi"/>
              </w:rPr>
              <w:t xml:space="preserve">Substantial Capital Expenditure, </w:t>
            </w:r>
          </w:p>
          <w:p w14:paraId="132112C6" w14:textId="065632C1" w:rsidR="00B447F3" w:rsidRPr="003436F0" w:rsidRDefault="000A3F7D">
            <w:pPr>
              <w:pStyle w:val="TableParagraph"/>
              <w:spacing w:before="40"/>
              <w:rPr>
                <w:rFonts w:asciiTheme="minorHAnsi" w:hAnsiTheme="minorHAnsi"/>
              </w:rPr>
            </w:pPr>
            <w:r>
              <w:rPr>
                <w:rFonts w:asciiTheme="minorHAnsi" w:hAnsiTheme="minorHAnsi"/>
              </w:rPr>
              <w:t xml:space="preserve">Substantial Change in Service </w:t>
            </w:r>
          </w:p>
        </w:tc>
      </w:tr>
      <w:tr w:rsidR="00B447F3" w:rsidRPr="003436F0" w14:paraId="34B70B2F" w14:textId="77777777" w:rsidTr="4CE42C0A">
        <w:trPr>
          <w:trHeight w:val="350"/>
        </w:trPr>
        <w:tc>
          <w:tcPr>
            <w:tcW w:w="4428" w:type="dxa"/>
          </w:tcPr>
          <w:p w14:paraId="20E78BF0" w14:textId="77777777" w:rsidR="00B447F3" w:rsidRPr="003436F0" w:rsidRDefault="00A4110F">
            <w:pPr>
              <w:pStyle w:val="TableParagraph"/>
              <w:spacing w:before="40"/>
              <w:rPr>
                <w:rFonts w:asciiTheme="minorHAnsi" w:hAnsiTheme="minorHAnsi"/>
              </w:rPr>
            </w:pPr>
            <w:r w:rsidRPr="003436F0">
              <w:rPr>
                <w:rFonts w:asciiTheme="minorHAnsi" w:hAnsiTheme="minorHAnsi"/>
              </w:rPr>
              <w:t>Total Value</w:t>
            </w:r>
          </w:p>
        </w:tc>
        <w:tc>
          <w:tcPr>
            <w:tcW w:w="5311" w:type="dxa"/>
          </w:tcPr>
          <w:p w14:paraId="6DF03F3D" w14:textId="67F981B0" w:rsidR="00B447F3" w:rsidRPr="003436F0" w:rsidRDefault="003E3CB6">
            <w:pPr>
              <w:pStyle w:val="TableParagraph"/>
              <w:spacing w:before="40"/>
              <w:rPr>
                <w:rFonts w:asciiTheme="minorHAnsi" w:hAnsiTheme="minorHAnsi"/>
              </w:rPr>
            </w:pPr>
            <w:r>
              <w:rPr>
                <w:rFonts w:asciiTheme="minorHAnsi" w:hAnsiTheme="minorHAnsi"/>
              </w:rPr>
              <w:t>$1,675,700</w:t>
            </w:r>
            <w:r w:rsidR="00011437">
              <w:rPr>
                <w:rFonts w:asciiTheme="minorHAnsi" w:hAnsiTheme="minorHAnsi"/>
              </w:rPr>
              <w:t>,000</w:t>
            </w:r>
          </w:p>
        </w:tc>
      </w:tr>
      <w:tr w:rsidR="00B447F3" w:rsidRPr="003436F0" w14:paraId="4DE8D6B0" w14:textId="77777777" w:rsidTr="4CE42C0A">
        <w:trPr>
          <w:trHeight w:val="350"/>
        </w:trPr>
        <w:tc>
          <w:tcPr>
            <w:tcW w:w="4428" w:type="dxa"/>
          </w:tcPr>
          <w:p w14:paraId="6D34E602" w14:textId="77777777" w:rsidR="00B447F3" w:rsidRPr="003436F0" w:rsidRDefault="00A4110F">
            <w:pPr>
              <w:pStyle w:val="TableParagraph"/>
              <w:spacing w:before="40"/>
              <w:rPr>
                <w:rFonts w:asciiTheme="minorHAnsi" w:hAnsiTheme="minorHAnsi"/>
              </w:rPr>
            </w:pPr>
            <w:r w:rsidRPr="003436F0">
              <w:rPr>
                <w:rFonts w:asciiTheme="minorHAnsi" w:hAnsiTheme="minorHAnsi"/>
              </w:rPr>
              <w:t>Project Number</w:t>
            </w:r>
          </w:p>
        </w:tc>
        <w:tc>
          <w:tcPr>
            <w:tcW w:w="5311" w:type="dxa"/>
          </w:tcPr>
          <w:p w14:paraId="2168D610" w14:textId="687586E9" w:rsidR="00B447F3" w:rsidRPr="003436F0" w:rsidRDefault="00555A20">
            <w:pPr>
              <w:pStyle w:val="TableParagraph"/>
              <w:spacing w:before="40"/>
              <w:rPr>
                <w:rFonts w:asciiTheme="minorHAnsi" w:hAnsiTheme="minorHAnsi"/>
              </w:rPr>
            </w:pPr>
            <w:r>
              <w:rPr>
                <w:rFonts w:asciiTheme="minorHAnsi" w:hAnsiTheme="minorHAnsi"/>
              </w:rPr>
              <w:t>DFCI-23040915-HE</w:t>
            </w:r>
          </w:p>
        </w:tc>
      </w:tr>
      <w:tr w:rsidR="00B447F3" w:rsidRPr="003436F0" w14:paraId="1386BE80" w14:textId="77777777" w:rsidTr="4CE42C0A">
        <w:trPr>
          <w:trHeight w:val="350"/>
        </w:trPr>
        <w:tc>
          <w:tcPr>
            <w:tcW w:w="4428" w:type="dxa"/>
          </w:tcPr>
          <w:p w14:paraId="78810496" w14:textId="77777777" w:rsidR="00B447F3" w:rsidRPr="003436F0" w:rsidRDefault="00A4110F">
            <w:pPr>
              <w:pStyle w:val="TableParagraph"/>
              <w:spacing w:before="40"/>
              <w:rPr>
                <w:rFonts w:asciiTheme="minorHAnsi" w:hAnsiTheme="minorHAnsi"/>
              </w:rPr>
            </w:pPr>
            <w:r w:rsidRPr="003436F0">
              <w:rPr>
                <w:rFonts w:asciiTheme="minorHAnsi" w:hAnsiTheme="minorHAnsi"/>
              </w:rPr>
              <w:t>Ten Taxpayer Group (TTG)</w:t>
            </w:r>
          </w:p>
        </w:tc>
        <w:tc>
          <w:tcPr>
            <w:tcW w:w="5311" w:type="dxa"/>
          </w:tcPr>
          <w:p w14:paraId="0899E8DB" w14:textId="40CD52C1" w:rsidR="00B447F3" w:rsidRPr="003436F0" w:rsidRDefault="00512659">
            <w:pPr>
              <w:pStyle w:val="TableParagraph"/>
              <w:spacing w:before="40"/>
              <w:rPr>
                <w:rFonts w:asciiTheme="minorHAnsi" w:hAnsiTheme="minorHAnsi"/>
              </w:rPr>
            </w:pPr>
            <w:r>
              <w:rPr>
                <w:rFonts w:asciiTheme="minorHAnsi" w:hAnsiTheme="minorHAnsi"/>
              </w:rPr>
              <w:t xml:space="preserve">Six Formed </w:t>
            </w:r>
          </w:p>
        </w:tc>
      </w:tr>
      <w:tr w:rsidR="00B447F3" w:rsidRPr="003436F0" w14:paraId="72947D70" w14:textId="77777777" w:rsidTr="4CE42C0A">
        <w:trPr>
          <w:trHeight w:val="350"/>
        </w:trPr>
        <w:tc>
          <w:tcPr>
            <w:tcW w:w="4428" w:type="dxa"/>
          </w:tcPr>
          <w:p w14:paraId="3346FD08" w14:textId="77777777" w:rsidR="00B447F3" w:rsidRPr="003436F0" w:rsidRDefault="00A4110F">
            <w:pPr>
              <w:pStyle w:val="TableParagraph"/>
              <w:spacing w:before="40"/>
              <w:rPr>
                <w:rFonts w:asciiTheme="minorHAnsi" w:hAnsiTheme="minorHAnsi"/>
              </w:rPr>
            </w:pPr>
            <w:r w:rsidRPr="003436F0">
              <w:rPr>
                <w:rFonts w:asciiTheme="minorHAnsi" w:hAnsiTheme="minorHAnsi"/>
              </w:rPr>
              <w:t>Community Health Initiative (CHI)</w:t>
            </w:r>
          </w:p>
        </w:tc>
        <w:tc>
          <w:tcPr>
            <w:tcW w:w="5311" w:type="dxa"/>
          </w:tcPr>
          <w:p w14:paraId="4565EF27" w14:textId="491B4AE6" w:rsidR="00B447F3" w:rsidRPr="003436F0" w:rsidRDefault="007B0C1F">
            <w:pPr>
              <w:pStyle w:val="TableParagraph"/>
              <w:spacing w:before="40"/>
              <w:rPr>
                <w:rFonts w:asciiTheme="minorHAnsi" w:hAnsiTheme="minorHAnsi"/>
              </w:rPr>
            </w:pPr>
            <w:r w:rsidRPr="007B0C1F">
              <w:rPr>
                <w:rFonts w:asciiTheme="minorHAnsi" w:hAnsiTheme="minorHAnsi"/>
              </w:rPr>
              <w:t>$83,785,000</w:t>
            </w:r>
          </w:p>
        </w:tc>
      </w:tr>
      <w:tr w:rsidR="00B447F3" w:rsidRPr="003436F0" w14:paraId="068AA009" w14:textId="77777777" w:rsidTr="4CE42C0A">
        <w:trPr>
          <w:trHeight w:val="350"/>
        </w:trPr>
        <w:tc>
          <w:tcPr>
            <w:tcW w:w="4428" w:type="dxa"/>
          </w:tcPr>
          <w:p w14:paraId="459D1C76" w14:textId="77777777" w:rsidR="00B447F3" w:rsidRPr="003436F0" w:rsidRDefault="00A4110F">
            <w:pPr>
              <w:pStyle w:val="TableParagraph"/>
              <w:spacing w:before="40"/>
              <w:rPr>
                <w:rFonts w:asciiTheme="minorHAnsi" w:hAnsiTheme="minorHAnsi"/>
              </w:rPr>
            </w:pPr>
            <w:r w:rsidRPr="003436F0">
              <w:rPr>
                <w:rFonts w:asciiTheme="minorHAnsi" w:hAnsiTheme="minorHAnsi"/>
              </w:rPr>
              <w:t>Staff Recommendation</w:t>
            </w:r>
          </w:p>
        </w:tc>
        <w:tc>
          <w:tcPr>
            <w:tcW w:w="5311" w:type="dxa"/>
          </w:tcPr>
          <w:p w14:paraId="3759AE90" w14:textId="50FC3AD4" w:rsidR="00B447F3" w:rsidRPr="003436F0" w:rsidRDefault="007B0C1F">
            <w:pPr>
              <w:pStyle w:val="TableParagraph"/>
              <w:spacing w:before="40"/>
              <w:rPr>
                <w:rFonts w:asciiTheme="minorHAnsi" w:hAnsiTheme="minorHAnsi"/>
              </w:rPr>
            </w:pPr>
            <w:r>
              <w:rPr>
                <w:rFonts w:asciiTheme="minorHAnsi" w:hAnsiTheme="minorHAnsi"/>
              </w:rPr>
              <w:t xml:space="preserve">Approval with Conditions </w:t>
            </w:r>
          </w:p>
        </w:tc>
      </w:tr>
      <w:tr w:rsidR="00B447F3" w:rsidRPr="003436F0" w14:paraId="31E0AD36" w14:textId="77777777" w:rsidTr="001668BA">
        <w:trPr>
          <w:trHeight w:val="350"/>
        </w:trPr>
        <w:tc>
          <w:tcPr>
            <w:tcW w:w="4428" w:type="dxa"/>
          </w:tcPr>
          <w:p w14:paraId="0F2A24F5" w14:textId="77777777" w:rsidR="00B447F3" w:rsidRPr="003436F0" w:rsidRDefault="00A4110F">
            <w:pPr>
              <w:pStyle w:val="TableParagraph"/>
              <w:spacing w:before="40"/>
              <w:rPr>
                <w:rFonts w:asciiTheme="minorHAnsi" w:hAnsiTheme="minorHAnsi"/>
              </w:rPr>
            </w:pPr>
            <w:r w:rsidRPr="003436F0">
              <w:rPr>
                <w:rFonts w:asciiTheme="minorHAnsi" w:hAnsiTheme="minorHAnsi"/>
              </w:rPr>
              <w:t>Public Health Council</w:t>
            </w:r>
          </w:p>
        </w:tc>
        <w:tc>
          <w:tcPr>
            <w:tcW w:w="5311" w:type="dxa"/>
            <w:shd w:val="clear" w:color="auto" w:fill="auto"/>
          </w:tcPr>
          <w:p w14:paraId="5ED87A82" w14:textId="0ABA2FA6" w:rsidR="00B447F3" w:rsidRPr="003436F0" w:rsidRDefault="0355D586">
            <w:pPr>
              <w:pStyle w:val="TableParagraph"/>
              <w:spacing w:before="40"/>
              <w:rPr>
                <w:rFonts w:asciiTheme="minorHAnsi" w:hAnsiTheme="minorHAnsi"/>
              </w:rPr>
            </w:pPr>
            <w:r w:rsidRPr="1F39589E">
              <w:rPr>
                <w:rFonts w:asciiTheme="minorHAnsi" w:hAnsiTheme="minorHAnsi"/>
              </w:rPr>
              <w:t xml:space="preserve">Thursday, </w:t>
            </w:r>
            <w:r w:rsidR="00EF058B" w:rsidRPr="1F39589E">
              <w:rPr>
                <w:rFonts w:asciiTheme="minorHAnsi" w:hAnsiTheme="minorHAnsi"/>
              </w:rPr>
              <w:t xml:space="preserve">March </w:t>
            </w:r>
            <w:r w:rsidR="784321E8" w:rsidRPr="35B9E7F3">
              <w:rPr>
                <w:rFonts w:asciiTheme="minorHAnsi" w:hAnsiTheme="minorHAnsi"/>
              </w:rPr>
              <w:t>20</w:t>
            </w:r>
            <w:r w:rsidR="00FD296D" w:rsidRPr="1F39589E">
              <w:rPr>
                <w:rFonts w:asciiTheme="minorHAnsi" w:hAnsiTheme="minorHAnsi"/>
              </w:rPr>
              <w:t>, 2025</w:t>
            </w:r>
          </w:p>
        </w:tc>
      </w:tr>
      <w:tr w:rsidR="00B447F3" w:rsidRPr="003436F0" w14:paraId="1171847F" w14:textId="77777777" w:rsidTr="4CE42C0A">
        <w:trPr>
          <w:trHeight w:val="260"/>
        </w:trPr>
        <w:tc>
          <w:tcPr>
            <w:tcW w:w="9739" w:type="dxa"/>
            <w:gridSpan w:val="2"/>
          </w:tcPr>
          <w:p w14:paraId="27CC3142" w14:textId="77777777" w:rsidR="00B447F3" w:rsidRPr="003436F0" w:rsidRDefault="00A4110F" w:rsidP="00BA2054">
            <w:pPr>
              <w:pStyle w:val="TableParagraph"/>
              <w:ind w:left="2699"/>
              <w:rPr>
                <w:rFonts w:asciiTheme="minorHAnsi" w:hAnsiTheme="minorHAnsi"/>
              </w:rPr>
            </w:pPr>
            <w:r w:rsidRPr="003436F0">
              <w:rPr>
                <w:rFonts w:asciiTheme="minorHAnsi" w:hAnsiTheme="minorHAnsi"/>
                <w:u w:val="single"/>
              </w:rPr>
              <w:t>Project Summary and Regulatory Review</w:t>
            </w:r>
          </w:p>
          <w:p w14:paraId="29B51AF9" w14:textId="123E062E" w:rsidR="00452C0A" w:rsidRDefault="00452C0A" w:rsidP="00BA2054">
            <w:pPr>
              <w:pStyle w:val="TableParagraph"/>
              <w:rPr>
                <w:rFonts w:asciiTheme="minorHAnsi" w:hAnsiTheme="minorHAnsi"/>
                <w:sz w:val="23"/>
              </w:rPr>
            </w:pPr>
            <w:r>
              <w:rPr>
                <w:rFonts w:asciiTheme="minorHAnsi" w:hAnsiTheme="minorHAnsi"/>
                <w:sz w:val="23"/>
              </w:rPr>
              <w:t>Dana-Farber Cancer Institute</w:t>
            </w:r>
            <w:r w:rsidR="00694A20">
              <w:rPr>
                <w:rFonts w:asciiTheme="minorHAnsi" w:hAnsiTheme="minorHAnsi"/>
                <w:sz w:val="23"/>
              </w:rPr>
              <w:t>, Inc.</w:t>
            </w:r>
            <w:r w:rsidRPr="00452C0A">
              <w:rPr>
                <w:rFonts w:asciiTheme="minorHAnsi" w:hAnsiTheme="minorHAnsi"/>
                <w:sz w:val="23"/>
              </w:rPr>
              <w:t xml:space="preserve"> (</w:t>
            </w:r>
            <w:r w:rsidR="00205D4C">
              <w:rPr>
                <w:rFonts w:asciiTheme="minorHAnsi" w:hAnsiTheme="minorHAnsi"/>
                <w:sz w:val="23"/>
              </w:rPr>
              <w:t>D</w:t>
            </w:r>
            <w:r w:rsidR="00BF56F0">
              <w:rPr>
                <w:rFonts w:asciiTheme="minorHAnsi" w:hAnsiTheme="minorHAnsi"/>
                <w:sz w:val="23"/>
              </w:rPr>
              <w:t>ana-Farber</w:t>
            </w:r>
            <w:r w:rsidRPr="00452C0A">
              <w:rPr>
                <w:rFonts w:asciiTheme="minorHAnsi" w:hAnsiTheme="minorHAnsi"/>
                <w:sz w:val="23"/>
              </w:rPr>
              <w:t xml:space="preserve"> or Applicant) submitted an application for </w:t>
            </w:r>
            <w:r w:rsidR="00205D4C">
              <w:rPr>
                <w:rFonts w:asciiTheme="minorHAnsi" w:hAnsiTheme="minorHAnsi"/>
                <w:sz w:val="23"/>
              </w:rPr>
              <w:t>the construction of a</w:t>
            </w:r>
            <w:r w:rsidR="00C212A4">
              <w:rPr>
                <w:rFonts w:asciiTheme="minorHAnsi" w:hAnsiTheme="minorHAnsi"/>
                <w:sz w:val="23"/>
              </w:rPr>
              <w:t>n approximately</w:t>
            </w:r>
            <w:r w:rsidR="00205D4C">
              <w:rPr>
                <w:rFonts w:asciiTheme="minorHAnsi" w:hAnsiTheme="minorHAnsi"/>
                <w:sz w:val="23"/>
              </w:rPr>
              <w:t xml:space="preserve"> </w:t>
            </w:r>
            <w:r w:rsidR="008C0610" w:rsidRPr="008C0610">
              <w:rPr>
                <w:rFonts w:asciiTheme="minorHAnsi" w:hAnsiTheme="minorHAnsi"/>
                <w:sz w:val="23"/>
              </w:rPr>
              <w:t>688,100 square-foot</w:t>
            </w:r>
            <w:r w:rsidR="00B835D5" w:rsidRPr="00B835D5">
              <w:rPr>
                <w:rFonts w:asciiTheme="minorHAnsi" w:hAnsiTheme="minorHAnsi"/>
                <w:sz w:val="23"/>
              </w:rPr>
              <w:t xml:space="preserve"> free-standing, inpatient </w:t>
            </w:r>
            <w:r w:rsidR="00B56471">
              <w:rPr>
                <w:rFonts w:asciiTheme="minorHAnsi" w:hAnsiTheme="minorHAnsi"/>
                <w:sz w:val="23"/>
              </w:rPr>
              <w:t xml:space="preserve">cancer </w:t>
            </w:r>
            <w:r w:rsidR="00B835D5" w:rsidRPr="00B835D5">
              <w:rPr>
                <w:rFonts w:asciiTheme="minorHAnsi" w:hAnsiTheme="minorHAnsi"/>
                <w:sz w:val="23"/>
              </w:rPr>
              <w:t>hospital for adult</w:t>
            </w:r>
            <w:r w:rsidR="00C13F63">
              <w:rPr>
                <w:rFonts w:asciiTheme="minorHAnsi" w:hAnsiTheme="minorHAnsi"/>
                <w:sz w:val="23"/>
              </w:rPr>
              <w:t xml:space="preserve"> </w:t>
            </w:r>
            <w:r w:rsidR="00B835D5" w:rsidRPr="00B835D5">
              <w:rPr>
                <w:rFonts w:asciiTheme="minorHAnsi" w:hAnsiTheme="minorHAnsi"/>
                <w:sz w:val="23"/>
              </w:rPr>
              <w:t>care</w:t>
            </w:r>
            <w:r w:rsidR="00D37157">
              <w:rPr>
                <w:rFonts w:asciiTheme="minorHAnsi" w:hAnsiTheme="minorHAnsi"/>
                <w:sz w:val="23"/>
              </w:rPr>
              <w:t xml:space="preserve"> </w:t>
            </w:r>
            <w:r w:rsidRPr="00452C0A">
              <w:rPr>
                <w:rFonts w:asciiTheme="minorHAnsi" w:hAnsiTheme="minorHAnsi"/>
                <w:sz w:val="23"/>
              </w:rPr>
              <w:t xml:space="preserve">that will contain the following: </w:t>
            </w:r>
          </w:p>
          <w:p w14:paraId="6CF0EA05" w14:textId="3720521D" w:rsidR="00813DF9" w:rsidRPr="00813DF9" w:rsidRDefault="00813DF9" w:rsidP="4CE42C0A">
            <w:pPr>
              <w:pStyle w:val="TableParagraph"/>
              <w:numPr>
                <w:ilvl w:val="0"/>
                <w:numId w:val="1"/>
              </w:numPr>
              <w:rPr>
                <w:rFonts w:asciiTheme="minorHAnsi" w:hAnsiTheme="minorHAnsi"/>
                <w:sz w:val="23"/>
                <w:szCs w:val="23"/>
              </w:rPr>
            </w:pPr>
            <w:r w:rsidRPr="4CE42C0A">
              <w:rPr>
                <w:rFonts w:asciiTheme="minorHAnsi" w:hAnsiTheme="minorHAnsi"/>
                <w:b/>
                <w:bCs/>
                <w:sz w:val="23"/>
                <w:szCs w:val="23"/>
              </w:rPr>
              <w:t>300</w:t>
            </w:r>
            <w:r w:rsidRPr="4CE42C0A">
              <w:rPr>
                <w:rFonts w:asciiTheme="minorHAnsi" w:hAnsiTheme="minorHAnsi"/>
                <w:sz w:val="23"/>
                <w:szCs w:val="23"/>
              </w:rPr>
              <w:t xml:space="preserve"> adult inpatient beds (280 medical surgical (M/S) and 20 Intensive Care Unit (</w:t>
            </w:r>
            <w:r w:rsidR="00B17541" w:rsidRPr="4CE42C0A">
              <w:rPr>
                <w:rFonts w:asciiTheme="minorHAnsi" w:hAnsiTheme="minorHAnsi"/>
                <w:sz w:val="23"/>
                <w:szCs w:val="23"/>
              </w:rPr>
              <w:t>ICU)</w:t>
            </w:r>
            <w:r w:rsidRPr="4CE42C0A">
              <w:rPr>
                <w:rFonts w:asciiTheme="minorHAnsi" w:hAnsiTheme="minorHAnsi"/>
                <w:sz w:val="23"/>
                <w:szCs w:val="23"/>
              </w:rPr>
              <w:t>, 270 (250 M/S and 20 ICU) w</w:t>
            </w:r>
            <w:r w:rsidR="0097231A" w:rsidRPr="4CE42C0A">
              <w:rPr>
                <w:rFonts w:asciiTheme="minorHAnsi" w:hAnsiTheme="minorHAnsi"/>
                <w:sz w:val="23"/>
                <w:szCs w:val="23"/>
              </w:rPr>
              <w:t>ill</w:t>
            </w:r>
            <w:r w:rsidRPr="4CE42C0A">
              <w:rPr>
                <w:rFonts w:asciiTheme="minorHAnsi" w:hAnsiTheme="minorHAnsi"/>
                <w:sz w:val="23"/>
                <w:szCs w:val="23"/>
              </w:rPr>
              <w:t xml:space="preserve"> represent new beds, and 30 </w:t>
            </w:r>
            <w:r w:rsidR="0097231A" w:rsidRPr="4CE42C0A">
              <w:rPr>
                <w:rFonts w:asciiTheme="minorHAnsi" w:hAnsiTheme="minorHAnsi"/>
                <w:sz w:val="23"/>
                <w:szCs w:val="23"/>
              </w:rPr>
              <w:t xml:space="preserve">will </w:t>
            </w:r>
            <w:r w:rsidRPr="4CE42C0A">
              <w:rPr>
                <w:rFonts w:asciiTheme="minorHAnsi" w:hAnsiTheme="minorHAnsi"/>
                <w:sz w:val="23"/>
                <w:szCs w:val="23"/>
              </w:rPr>
              <w:t>be transferred from the Applicant’s current bed complement at</w:t>
            </w:r>
            <w:r w:rsidR="00F57A9D" w:rsidRPr="4CE42C0A">
              <w:rPr>
                <w:rFonts w:asciiTheme="minorHAnsi" w:hAnsiTheme="minorHAnsi"/>
                <w:sz w:val="23"/>
                <w:szCs w:val="23"/>
              </w:rPr>
              <w:t xml:space="preserve"> Brigham and Women’s Hospital</w:t>
            </w:r>
            <w:r w:rsidR="00CE5106" w:rsidRPr="4CE42C0A">
              <w:rPr>
                <w:rFonts w:asciiTheme="minorHAnsi" w:hAnsiTheme="minorHAnsi"/>
                <w:sz w:val="23"/>
                <w:szCs w:val="23"/>
              </w:rPr>
              <w:t xml:space="preserve">, </w:t>
            </w:r>
            <w:r w:rsidRPr="4CE42C0A">
              <w:rPr>
                <w:rFonts w:asciiTheme="minorHAnsi" w:hAnsiTheme="minorHAnsi"/>
                <w:sz w:val="23"/>
                <w:szCs w:val="23"/>
              </w:rPr>
              <w:t>75 Francis Street</w:t>
            </w:r>
            <w:r w:rsidR="00FC5574" w:rsidRPr="4CE42C0A">
              <w:rPr>
                <w:rFonts w:asciiTheme="minorHAnsi" w:hAnsiTheme="minorHAnsi"/>
                <w:sz w:val="23"/>
                <w:szCs w:val="23"/>
              </w:rPr>
              <w:t>;</w:t>
            </w:r>
            <w:r w:rsidRPr="4CE42C0A">
              <w:rPr>
                <w:rFonts w:asciiTheme="minorHAnsi" w:hAnsiTheme="minorHAnsi"/>
                <w:sz w:val="23"/>
                <w:szCs w:val="23"/>
              </w:rPr>
              <w:t xml:space="preserve"> </w:t>
            </w:r>
          </w:p>
          <w:p w14:paraId="714EA192" w14:textId="7D33BC08" w:rsidR="00813DF9" w:rsidRPr="00813DF9" w:rsidRDefault="00813DF9" w:rsidP="00BA2054">
            <w:pPr>
              <w:pStyle w:val="TableParagraph"/>
              <w:numPr>
                <w:ilvl w:val="0"/>
                <w:numId w:val="1"/>
              </w:numPr>
              <w:rPr>
                <w:rFonts w:asciiTheme="minorHAnsi" w:hAnsiTheme="minorHAnsi"/>
                <w:sz w:val="23"/>
              </w:rPr>
            </w:pPr>
            <w:r w:rsidRPr="00813DF9">
              <w:rPr>
                <w:rFonts w:asciiTheme="minorHAnsi" w:hAnsiTheme="minorHAnsi"/>
                <w:b/>
                <w:bCs/>
                <w:sz w:val="23"/>
              </w:rPr>
              <w:t xml:space="preserve">20 new </w:t>
            </w:r>
            <w:r w:rsidRPr="00813DF9">
              <w:rPr>
                <w:rFonts w:asciiTheme="minorHAnsi" w:hAnsiTheme="minorHAnsi"/>
                <w:sz w:val="23"/>
              </w:rPr>
              <w:t>Observation Beds</w:t>
            </w:r>
            <w:r w:rsidR="00FC5574">
              <w:rPr>
                <w:rFonts w:asciiTheme="minorHAnsi" w:hAnsiTheme="minorHAnsi"/>
                <w:sz w:val="23"/>
              </w:rPr>
              <w:t>;</w:t>
            </w:r>
            <w:r w:rsidRPr="00813DF9">
              <w:rPr>
                <w:rFonts w:asciiTheme="minorHAnsi" w:hAnsiTheme="minorHAnsi"/>
                <w:sz w:val="23"/>
              </w:rPr>
              <w:t xml:space="preserve"> </w:t>
            </w:r>
          </w:p>
          <w:p w14:paraId="709963A2" w14:textId="7BE08AC1" w:rsidR="00813DF9" w:rsidRPr="00813DF9" w:rsidRDefault="00813DF9" w:rsidP="00BA2054">
            <w:pPr>
              <w:pStyle w:val="TableParagraph"/>
              <w:numPr>
                <w:ilvl w:val="0"/>
                <w:numId w:val="1"/>
              </w:numPr>
              <w:rPr>
                <w:rFonts w:asciiTheme="minorHAnsi" w:hAnsiTheme="minorHAnsi"/>
                <w:sz w:val="23"/>
              </w:rPr>
            </w:pPr>
            <w:bookmarkStart w:id="0" w:name="_Hlk182997957"/>
            <w:r w:rsidRPr="008147E9">
              <w:rPr>
                <w:rFonts w:asciiTheme="minorHAnsi" w:hAnsiTheme="minorHAnsi"/>
                <w:b/>
                <w:bCs/>
                <w:sz w:val="23"/>
              </w:rPr>
              <w:t>Two</w:t>
            </w:r>
            <w:r>
              <w:rPr>
                <w:rFonts w:asciiTheme="minorHAnsi" w:hAnsiTheme="minorHAnsi"/>
                <w:b/>
                <w:sz w:val="23"/>
              </w:rPr>
              <w:t xml:space="preserve"> </w:t>
            </w:r>
            <w:r w:rsidRPr="00813DF9">
              <w:rPr>
                <w:rFonts w:asciiTheme="minorHAnsi" w:hAnsiTheme="minorHAnsi"/>
                <w:sz w:val="23"/>
              </w:rPr>
              <w:t xml:space="preserve">new magnetic resonance imaging (MRI) machines, </w:t>
            </w:r>
            <w:r w:rsidRPr="008147E9">
              <w:rPr>
                <w:rFonts w:asciiTheme="minorHAnsi" w:hAnsiTheme="minorHAnsi"/>
                <w:b/>
                <w:bCs/>
                <w:sz w:val="23"/>
              </w:rPr>
              <w:t>two</w:t>
            </w:r>
            <w:r w:rsidRPr="00813DF9">
              <w:rPr>
                <w:rFonts w:asciiTheme="minorHAnsi" w:hAnsiTheme="minorHAnsi"/>
                <w:sz w:val="23"/>
              </w:rPr>
              <w:t xml:space="preserve"> new compute</w:t>
            </w:r>
            <w:r w:rsidR="00C52D98">
              <w:rPr>
                <w:rFonts w:asciiTheme="minorHAnsi" w:hAnsiTheme="minorHAnsi"/>
                <w:sz w:val="23"/>
              </w:rPr>
              <w:t>d</w:t>
            </w:r>
            <w:r w:rsidRPr="00813DF9">
              <w:rPr>
                <w:rFonts w:asciiTheme="minorHAnsi" w:hAnsiTheme="minorHAnsi"/>
                <w:sz w:val="23"/>
              </w:rPr>
              <w:t xml:space="preserve"> tomography (CT) machines, and </w:t>
            </w:r>
            <w:r w:rsidRPr="008147E9">
              <w:rPr>
                <w:rFonts w:asciiTheme="minorHAnsi" w:hAnsiTheme="minorHAnsi"/>
                <w:b/>
                <w:bCs/>
                <w:sz w:val="23"/>
              </w:rPr>
              <w:t>one</w:t>
            </w:r>
            <w:r>
              <w:rPr>
                <w:rFonts w:asciiTheme="minorHAnsi" w:hAnsiTheme="minorHAnsi"/>
                <w:b/>
                <w:sz w:val="23"/>
              </w:rPr>
              <w:t xml:space="preserve"> </w:t>
            </w:r>
            <w:r w:rsidRPr="00813DF9">
              <w:rPr>
                <w:rFonts w:asciiTheme="minorHAnsi" w:hAnsiTheme="minorHAnsi"/>
                <w:sz w:val="23"/>
              </w:rPr>
              <w:t>new positron emission tomography</w:t>
            </w:r>
            <w:r w:rsidR="00A01D1B">
              <w:rPr>
                <w:rFonts w:asciiTheme="minorHAnsi" w:hAnsiTheme="minorHAnsi"/>
                <w:sz w:val="23"/>
              </w:rPr>
              <w:t>-computed tomography</w:t>
            </w:r>
            <w:r w:rsidRPr="00813DF9">
              <w:rPr>
                <w:rFonts w:asciiTheme="minorHAnsi" w:hAnsiTheme="minorHAnsi"/>
                <w:sz w:val="23"/>
              </w:rPr>
              <w:t xml:space="preserve"> (PET-CT) </w:t>
            </w:r>
            <w:r w:rsidR="00C07240">
              <w:rPr>
                <w:rFonts w:asciiTheme="minorHAnsi" w:hAnsiTheme="minorHAnsi"/>
                <w:sz w:val="23"/>
              </w:rPr>
              <w:t xml:space="preserve">machine </w:t>
            </w:r>
            <w:r w:rsidRPr="00813DF9">
              <w:rPr>
                <w:rFonts w:asciiTheme="minorHAnsi" w:hAnsiTheme="minorHAnsi"/>
                <w:sz w:val="23"/>
              </w:rPr>
              <w:t xml:space="preserve">(collectively, the </w:t>
            </w:r>
            <w:r w:rsidRPr="00813DF9">
              <w:rPr>
                <w:rFonts w:asciiTheme="minorHAnsi" w:hAnsiTheme="minorHAnsi"/>
                <w:b/>
                <w:bCs/>
                <w:sz w:val="23"/>
              </w:rPr>
              <w:t>Inpatient Imaging Equipment</w:t>
            </w:r>
            <w:r w:rsidRPr="00813DF9">
              <w:rPr>
                <w:rFonts w:asciiTheme="minorHAnsi" w:hAnsiTheme="minorHAnsi"/>
                <w:sz w:val="23"/>
              </w:rPr>
              <w:t>)</w:t>
            </w:r>
            <w:r w:rsidR="00FC5574">
              <w:rPr>
                <w:rFonts w:asciiTheme="minorHAnsi" w:hAnsiTheme="minorHAnsi"/>
                <w:sz w:val="23"/>
              </w:rPr>
              <w:t>;</w:t>
            </w:r>
            <w:r w:rsidRPr="00813DF9">
              <w:rPr>
                <w:rFonts w:asciiTheme="minorHAnsi" w:hAnsiTheme="minorHAnsi"/>
                <w:sz w:val="23"/>
              </w:rPr>
              <w:t xml:space="preserve"> and </w:t>
            </w:r>
          </w:p>
          <w:p w14:paraId="5A5186A8" w14:textId="71D6B469" w:rsidR="00205D4C" w:rsidRPr="00D37157" w:rsidRDefault="00813DF9" w:rsidP="00BA2054">
            <w:pPr>
              <w:pStyle w:val="TableParagraph"/>
              <w:numPr>
                <w:ilvl w:val="0"/>
                <w:numId w:val="1"/>
              </w:numPr>
              <w:rPr>
                <w:rFonts w:asciiTheme="minorHAnsi" w:hAnsiTheme="minorHAnsi"/>
                <w:sz w:val="23"/>
              </w:rPr>
            </w:pPr>
            <w:r w:rsidRPr="008147E9">
              <w:rPr>
                <w:rFonts w:asciiTheme="minorHAnsi" w:hAnsiTheme="minorHAnsi"/>
                <w:b/>
                <w:bCs/>
                <w:sz w:val="23"/>
              </w:rPr>
              <w:t>Two</w:t>
            </w:r>
            <w:r>
              <w:rPr>
                <w:rFonts w:asciiTheme="minorHAnsi" w:hAnsiTheme="minorHAnsi"/>
                <w:b/>
                <w:sz w:val="23"/>
              </w:rPr>
              <w:t xml:space="preserve"> </w:t>
            </w:r>
            <w:r w:rsidRPr="00813DF9">
              <w:rPr>
                <w:rFonts w:asciiTheme="minorHAnsi" w:hAnsiTheme="minorHAnsi"/>
                <w:sz w:val="23"/>
              </w:rPr>
              <w:t xml:space="preserve">new CT simulator machines, and </w:t>
            </w:r>
            <w:r w:rsidRPr="008147E9">
              <w:rPr>
                <w:rFonts w:asciiTheme="minorHAnsi" w:hAnsiTheme="minorHAnsi"/>
                <w:b/>
                <w:bCs/>
                <w:sz w:val="23"/>
              </w:rPr>
              <w:t>three</w:t>
            </w:r>
            <w:r w:rsidRPr="00813DF9">
              <w:rPr>
                <w:rFonts w:asciiTheme="minorHAnsi" w:hAnsiTheme="minorHAnsi"/>
                <w:sz w:val="23"/>
              </w:rPr>
              <w:t xml:space="preserve"> new linear accelerators (LINACs) (the </w:t>
            </w:r>
            <w:r w:rsidRPr="00813DF9">
              <w:rPr>
                <w:rFonts w:asciiTheme="minorHAnsi" w:hAnsiTheme="minorHAnsi"/>
                <w:b/>
                <w:bCs/>
                <w:sz w:val="23"/>
              </w:rPr>
              <w:t>New Radiation Oncology Equipment</w:t>
            </w:r>
            <w:r w:rsidRPr="00813DF9">
              <w:rPr>
                <w:rFonts w:asciiTheme="minorHAnsi" w:hAnsiTheme="minorHAnsi"/>
                <w:sz w:val="23"/>
              </w:rPr>
              <w:t>)</w:t>
            </w:r>
            <w:r w:rsidRPr="00813DF9">
              <w:rPr>
                <w:rFonts w:asciiTheme="minorHAnsi" w:hAnsiTheme="minorHAnsi"/>
                <w:bCs/>
                <w:sz w:val="23"/>
              </w:rPr>
              <w:t>.</w:t>
            </w:r>
          </w:p>
          <w:bookmarkEnd w:id="0"/>
          <w:p w14:paraId="34AA1B86" w14:textId="77777777" w:rsidR="00D37157" w:rsidRDefault="00D37157" w:rsidP="00BA2054">
            <w:pPr>
              <w:pStyle w:val="TableParagraph"/>
              <w:ind w:left="0"/>
              <w:rPr>
                <w:rFonts w:asciiTheme="minorHAnsi" w:hAnsiTheme="minorHAnsi"/>
                <w:bCs/>
                <w:sz w:val="23"/>
              </w:rPr>
            </w:pPr>
          </w:p>
          <w:p w14:paraId="4500D246" w14:textId="5F9D1CF5" w:rsidR="00A01D1B" w:rsidRDefault="00D37157" w:rsidP="00BA2054">
            <w:pPr>
              <w:pStyle w:val="TableParagraph"/>
              <w:ind w:left="0"/>
              <w:rPr>
                <w:rFonts w:asciiTheme="minorHAnsi" w:hAnsiTheme="minorHAnsi"/>
                <w:sz w:val="23"/>
              </w:rPr>
            </w:pPr>
            <w:r>
              <w:rPr>
                <w:rFonts w:asciiTheme="minorHAnsi" w:hAnsiTheme="minorHAnsi"/>
                <w:bCs/>
                <w:sz w:val="23"/>
              </w:rPr>
              <w:t xml:space="preserve"> </w:t>
            </w:r>
            <w:r w:rsidR="00A01D1B">
              <w:rPr>
                <w:rFonts w:asciiTheme="minorHAnsi" w:hAnsiTheme="minorHAnsi"/>
                <w:bCs/>
                <w:sz w:val="23"/>
              </w:rPr>
              <w:t xml:space="preserve"> </w:t>
            </w:r>
            <w:r w:rsidR="00395FF5" w:rsidRPr="00395FF5">
              <w:rPr>
                <w:rFonts w:asciiTheme="minorHAnsi" w:hAnsiTheme="minorHAnsi"/>
                <w:sz w:val="23"/>
              </w:rPr>
              <w:t>The capital expenditure for the Proposed Project is $1,</w:t>
            </w:r>
            <w:r w:rsidR="00395FF5">
              <w:rPr>
                <w:rFonts w:asciiTheme="minorHAnsi" w:hAnsiTheme="minorHAnsi"/>
                <w:sz w:val="23"/>
              </w:rPr>
              <w:t>6</w:t>
            </w:r>
            <w:r w:rsidR="00395FF5" w:rsidRPr="00395FF5">
              <w:rPr>
                <w:rFonts w:asciiTheme="minorHAnsi" w:hAnsiTheme="minorHAnsi"/>
                <w:sz w:val="23"/>
              </w:rPr>
              <w:t>75,</w:t>
            </w:r>
            <w:r w:rsidR="00395FF5">
              <w:rPr>
                <w:rFonts w:asciiTheme="minorHAnsi" w:hAnsiTheme="minorHAnsi"/>
                <w:sz w:val="23"/>
              </w:rPr>
              <w:t>700</w:t>
            </w:r>
            <w:r w:rsidR="00011437">
              <w:rPr>
                <w:rFonts w:asciiTheme="minorHAnsi" w:hAnsiTheme="minorHAnsi"/>
                <w:sz w:val="23"/>
              </w:rPr>
              <w:t>,000</w:t>
            </w:r>
            <w:r w:rsidR="00395FF5" w:rsidRPr="00395FF5">
              <w:rPr>
                <w:rFonts w:asciiTheme="minorHAnsi" w:hAnsiTheme="minorHAnsi"/>
                <w:sz w:val="23"/>
              </w:rPr>
              <w:t xml:space="preserve">. The CHI contribution is </w:t>
            </w:r>
            <w:r w:rsidR="00A01D1B">
              <w:rPr>
                <w:rFonts w:asciiTheme="minorHAnsi" w:hAnsiTheme="minorHAnsi"/>
                <w:sz w:val="23"/>
              </w:rPr>
              <w:t xml:space="preserve"> </w:t>
            </w:r>
          </w:p>
          <w:p w14:paraId="7FD0BDBC" w14:textId="230DC42C" w:rsidR="00395FF5" w:rsidRDefault="00A01D1B" w:rsidP="00BA2054">
            <w:pPr>
              <w:pStyle w:val="TableParagraph"/>
              <w:ind w:left="0"/>
              <w:rPr>
                <w:rFonts w:asciiTheme="minorHAnsi" w:hAnsiTheme="minorHAnsi"/>
                <w:sz w:val="23"/>
              </w:rPr>
            </w:pPr>
            <w:r>
              <w:rPr>
                <w:rFonts w:asciiTheme="minorHAnsi" w:hAnsiTheme="minorHAnsi"/>
                <w:sz w:val="23"/>
              </w:rPr>
              <w:t xml:space="preserve">  </w:t>
            </w:r>
            <w:r w:rsidR="00395FF5" w:rsidRPr="00395FF5">
              <w:rPr>
                <w:rFonts w:asciiTheme="minorHAnsi" w:hAnsiTheme="minorHAnsi"/>
                <w:sz w:val="23"/>
              </w:rPr>
              <w:t>$</w:t>
            </w:r>
            <w:r w:rsidR="00395FF5">
              <w:rPr>
                <w:rFonts w:asciiTheme="minorHAnsi" w:hAnsiTheme="minorHAnsi"/>
                <w:sz w:val="23"/>
              </w:rPr>
              <w:t>8</w:t>
            </w:r>
            <w:r w:rsidR="00395FF5" w:rsidRPr="00395FF5">
              <w:rPr>
                <w:rFonts w:asciiTheme="minorHAnsi" w:hAnsiTheme="minorHAnsi"/>
                <w:sz w:val="23"/>
              </w:rPr>
              <w:t>3,7</w:t>
            </w:r>
            <w:r w:rsidR="00395FF5">
              <w:rPr>
                <w:rFonts w:asciiTheme="minorHAnsi" w:hAnsiTheme="minorHAnsi"/>
                <w:sz w:val="23"/>
              </w:rPr>
              <w:t>85</w:t>
            </w:r>
            <w:r w:rsidR="00A61B93">
              <w:rPr>
                <w:rFonts w:asciiTheme="minorHAnsi" w:hAnsiTheme="minorHAnsi"/>
                <w:sz w:val="23"/>
              </w:rPr>
              <w:t>,000</w:t>
            </w:r>
            <w:r w:rsidR="00395FF5" w:rsidRPr="00395FF5">
              <w:rPr>
                <w:rFonts w:asciiTheme="minorHAnsi" w:hAnsiTheme="minorHAnsi"/>
                <w:sz w:val="23"/>
              </w:rPr>
              <w:t>.</w:t>
            </w:r>
          </w:p>
          <w:p w14:paraId="44C3E5A7" w14:textId="77777777" w:rsidR="00A61B93" w:rsidRPr="00395FF5" w:rsidRDefault="00A61B93" w:rsidP="00BA2054">
            <w:pPr>
              <w:pStyle w:val="TableParagraph"/>
              <w:rPr>
                <w:rFonts w:asciiTheme="minorHAnsi" w:hAnsiTheme="minorHAnsi"/>
                <w:sz w:val="23"/>
              </w:rPr>
            </w:pPr>
          </w:p>
          <w:p w14:paraId="060BC1B9" w14:textId="240BC293" w:rsidR="00395FF5" w:rsidRDefault="000250B7" w:rsidP="00BA2054">
            <w:pPr>
              <w:pStyle w:val="TableParagraph"/>
              <w:rPr>
                <w:rFonts w:asciiTheme="minorHAnsi" w:hAnsiTheme="minorHAnsi"/>
                <w:sz w:val="23"/>
              </w:rPr>
            </w:pPr>
            <w:r>
              <w:rPr>
                <w:rFonts w:asciiTheme="minorHAnsi" w:hAnsiTheme="minorHAnsi"/>
                <w:sz w:val="23"/>
              </w:rPr>
              <w:t>This DoN falls within the definition of</w:t>
            </w:r>
            <w:r w:rsidR="00395FF5" w:rsidRPr="00395FF5">
              <w:rPr>
                <w:rFonts w:asciiTheme="minorHAnsi" w:hAnsiTheme="minorHAnsi"/>
                <w:sz w:val="23"/>
              </w:rPr>
              <w:t xml:space="preserve"> </w:t>
            </w:r>
            <w:r w:rsidR="008C6EBB">
              <w:rPr>
                <w:rFonts w:asciiTheme="minorHAnsi" w:hAnsiTheme="minorHAnsi"/>
                <w:sz w:val="23"/>
              </w:rPr>
              <w:t xml:space="preserve">Substantial </w:t>
            </w:r>
            <w:r w:rsidR="00395FF5" w:rsidRPr="00395FF5">
              <w:rPr>
                <w:rFonts w:asciiTheme="minorHAnsi" w:hAnsiTheme="minorHAnsi"/>
                <w:sz w:val="23"/>
              </w:rPr>
              <w:t>Capital Expenditures and Substantial Changes in Service</w:t>
            </w:r>
            <w:r>
              <w:rPr>
                <w:rFonts w:asciiTheme="minorHAnsi" w:hAnsiTheme="minorHAnsi"/>
                <w:sz w:val="23"/>
              </w:rPr>
              <w:t>, which</w:t>
            </w:r>
            <w:r w:rsidR="00395FF5" w:rsidRPr="00395FF5">
              <w:rPr>
                <w:rFonts w:asciiTheme="minorHAnsi" w:hAnsiTheme="minorHAnsi"/>
                <w:sz w:val="23"/>
              </w:rPr>
              <w:t xml:space="preserve"> </w:t>
            </w:r>
            <w:r>
              <w:rPr>
                <w:rFonts w:asciiTheme="minorHAnsi" w:hAnsiTheme="minorHAnsi"/>
                <w:sz w:val="23"/>
              </w:rPr>
              <w:t>are reviewed</w:t>
            </w:r>
            <w:r w:rsidR="00395FF5" w:rsidRPr="00395FF5">
              <w:rPr>
                <w:rFonts w:asciiTheme="minorHAnsi" w:hAnsiTheme="minorHAnsi"/>
                <w:sz w:val="23"/>
              </w:rPr>
              <w:t xml:space="preserve">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11BD25FC" w14:textId="77777777" w:rsidR="00A61B93" w:rsidRPr="00395FF5" w:rsidRDefault="00A61B93" w:rsidP="00BA2054">
            <w:pPr>
              <w:pStyle w:val="TableParagraph"/>
              <w:rPr>
                <w:rFonts w:asciiTheme="minorHAnsi" w:hAnsiTheme="minorHAnsi"/>
                <w:sz w:val="23"/>
              </w:rPr>
            </w:pPr>
          </w:p>
          <w:p w14:paraId="63A45B1C" w14:textId="71056F8E" w:rsidR="00395FF5" w:rsidRPr="00395FF5" w:rsidRDefault="009E5859" w:rsidP="246FCD7D">
            <w:pPr>
              <w:pStyle w:val="TableParagraph"/>
              <w:rPr>
                <w:rFonts w:asciiTheme="minorHAnsi" w:hAnsiTheme="minorHAnsi"/>
                <w:sz w:val="23"/>
                <w:szCs w:val="23"/>
              </w:rPr>
            </w:pPr>
            <w:r w:rsidRPr="246FCD7D">
              <w:rPr>
                <w:rFonts w:asciiTheme="minorHAnsi" w:hAnsiTheme="minorHAnsi"/>
                <w:sz w:val="23"/>
                <w:szCs w:val="23"/>
              </w:rPr>
              <w:t xml:space="preserve">Six groups registered as Ten Taxpayer Groups (TTGs). </w:t>
            </w:r>
            <w:r w:rsidR="00395FF5" w:rsidRPr="246FCD7D">
              <w:rPr>
                <w:rFonts w:asciiTheme="minorHAnsi" w:hAnsiTheme="minorHAnsi"/>
                <w:sz w:val="23"/>
                <w:szCs w:val="23"/>
              </w:rPr>
              <w:t xml:space="preserve">The Department received written comments and held a virtual public hearing on </w:t>
            </w:r>
            <w:r w:rsidR="008A7A7F" w:rsidRPr="246FCD7D">
              <w:rPr>
                <w:rFonts w:asciiTheme="minorHAnsi" w:hAnsiTheme="minorHAnsi"/>
                <w:sz w:val="23"/>
                <w:szCs w:val="23"/>
              </w:rPr>
              <w:t>April 17</w:t>
            </w:r>
            <w:r w:rsidR="00395FF5" w:rsidRPr="246FCD7D">
              <w:rPr>
                <w:rFonts w:asciiTheme="minorHAnsi" w:hAnsiTheme="minorHAnsi"/>
                <w:sz w:val="23"/>
                <w:szCs w:val="23"/>
              </w:rPr>
              <w:t>, 202</w:t>
            </w:r>
            <w:r w:rsidR="00A61B93" w:rsidRPr="246FCD7D">
              <w:rPr>
                <w:rFonts w:asciiTheme="minorHAnsi" w:hAnsiTheme="minorHAnsi"/>
                <w:sz w:val="23"/>
                <w:szCs w:val="23"/>
              </w:rPr>
              <w:t>4</w:t>
            </w:r>
            <w:r w:rsidR="00395FF5" w:rsidRPr="246FCD7D">
              <w:rPr>
                <w:rFonts w:asciiTheme="minorHAnsi" w:hAnsiTheme="minorHAnsi"/>
                <w:sz w:val="23"/>
                <w:szCs w:val="23"/>
              </w:rPr>
              <w:t xml:space="preserve">. A list of commenters and </w:t>
            </w:r>
            <w:r w:rsidR="009A6A57" w:rsidRPr="246FCD7D">
              <w:rPr>
                <w:rFonts w:asciiTheme="minorHAnsi" w:hAnsiTheme="minorHAnsi"/>
                <w:sz w:val="23"/>
                <w:szCs w:val="23"/>
              </w:rPr>
              <w:t xml:space="preserve">a </w:t>
            </w:r>
            <w:r w:rsidR="00395FF5" w:rsidRPr="246FCD7D">
              <w:rPr>
                <w:rFonts w:asciiTheme="minorHAnsi" w:hAnsiTheme="minorHAnsi"/>
                <w:sz w:val="23"/>
                <w:szCs w:val="23"/>
              </w:rPr>
              <w:t>summar</w:t>
            </w:r>
            <w:r w:rsidR="009A6A57" w:rsidRPr="246FCD7D">
              <w:rPr>
                <w:rFonts w:asciiTheme="minorHAnsi" w:hAnsiTheme="minorHAnsi"/>
                <w:sz w:val="23"/>
                <w:szCs w:val="23"/>
              </w:rPr>
              <w:t>y</w:t>
            </w:r>
            <w:r w:rsidR="00395FF5" w:rsidRPr="246FCD7D">
              <w:rPr>
                <w:rFonts w:asciiTheme="minorHAnsi" w:hAnsiTheme="minorHAnsi"/>
                <w:sz w:val="23"/>
                <w:szCs w:val="23"/>
              </w:rPr>
              <w:t xml:space="preserve"> of the comments received can be found in Appendices </w:t>
            </w:r>
            <w:r w:rsidR="00085D8D">
              <w:rPr>
                <w:rFonts w:asciiTheme="minorHAnsi" w:hAnsiTheme="minorHAnsi"/>
                <w:sz w:val="23"/>
                <w:szCs w:val="23"/>
              </w:rPr>
              <w:t>IV</w:t>
            </w:r>
            <w:r w:rsidR="00395FF5" w:rsidRPr="246FCD7D">
              <w:rPr>
                <w:rFonts w:asciiTheme="minorHAnsi" w:hAnsiTheme="minorHAnsi"/>
                <w:sz w:val="23"/>
                <w:szCs w:val="23"/>
              </w:rPr>
              <w:t xml:space="preserve"> through </w:t>
            </w:r>
            <w:r w:rsidR="00085D8D">
              <w:rPr>
                <w:rFonts w:asciiTheme="minorHAnsi" w:hAnsiTheme="minorHAnsi"/>
                <w:sz w:val="23"/>
                <w:szCs w:val="23"/>
              </w:rPr>
              <w:t>VI</w:t>
            </w:r>
            <w:r w:rsidR="00395FF5" w:rsidRPr="246FCD7D">
              <w:rPr>
                <w:rFonts w:asciiTheme="minorHAnsi" w:hAnsiTheme="minorHAnsi"/>
                <w:sz w:val="23"/>
                <w:szCs w:val="23"/>
              </w:rPr>
              <w:t>.</w:t>
            </w:r>
            <w:r w:rsidR="004A7D44" w:rsidRPr="246FCD7D">
              <w:rPr>
                <w:rFonts w:asciiTheme="minorHAnsi" w:hAnsiTheme="minorHAnsi"/>
                <w:sz w:val="23"/>
                <w:szCs w:val="23"/>
              </w:rPr>
              <w:t xml:space="preserve"> </w:t>
            </w:r>
          </w:p>
          <w:p w14:paraId="1C3DA76A" w14:textId="77777777" w:rsidR="00A61B93" w:rsidRDefault="00A61B93" w:rsidP="00BA2054">
            <w:pPr>
              <w:pStyle w:val="TableParagraph"/>
              <w:rPr>
                <w:rFonts w:asciiTheme="minorHAnsi" w:hAnsiTheme="minorHAnsi"/>
                <w:sz w:val="23"/>
              </w:rPr>
            </w:pPr>
          </w:p>
          <w:p w14:paraId="74F21793" w14:textId="0183B0CB" w:rsidR="00F30621" w:rsidRDefault="00395FF5" w:rsidP="00BA2054">
            <w:pPr>
              <w:pStyle w:val="TableParagraph"/>
              <w:rPr>
                <w:rFonts w:asciiTheme="minorHAnsi" w:hAnsiTheme="minorHAnsi"/>
                <w:sz w:val="23"/>
              </w:rPr>
            </w:pPr>
            <w:r w:rsidRPr="00395FF5">
              <w:rPr>
                <w:rFonts w:asciiTheme="minorHAnsi" w:hAnsiTheme="minorHAnsi"/>
                <w:sz w:val="23"/>
              </w:rPr>
              <w:t xml:space="preserve">The Department required an independent cost-analysis (ICA) for the Proposed Project. A summary of </w:t>
            </w:r>
            <w:r w:rsidRPr="00395FF5">
              <w:rPr>
                <w:rFonts w:asciiTheme="minorHAnsi" w:hAnsiTheme="minorHAnsi"/>
                <w:sz w:val="23"/>
              </w:rPr>
              <w:lastRenderedPageBreak/>
              <w:t>the ICA findings can be found in Factor 2</w:t>
            </w:r>
            <w:r w:rsidR="00F34F6B">
              <w:rPr>
                <w:rFonts w:asciiTheme="minorHAnsi" w:hAnsiTheme="minorHAnsi"/>
                <w:sz w:val="23"/>
              </w:rPr>
              <w:t xml:space="preserve"> and Factor 4</w:t>
            </w:r>
            <w:r w:rsidRPr="00395FF5">
              <w:rPr>
                <w:rFonts w:asciiTheme="minorHAnsi" w:hAnsiTheme="minorHAnsi"/>
                <w:sz w:val="23"/>
              </w:rPr>
              <w:t xml:space="preserve">. </w:t>
            </w:r>
            <w:r w:rsidRPr="00DD178B">
              <w:rPr>
                <w:rFonts w:asciiTheme="minorHAnsi" w:hAnsiTheme="minorHAnsi"/>
                <w:sz w:val="23"/>
              </w:rPr>
              <w:t>The Department received written comments on the ICA from Parties of Record, also discussed in Factor 2.</w:t>
            </w:r>
          </w:p>
          <w:p w14:paraId="614F9689" w14:textId="77777777" w:rsidR="00DE24D4" w:rsidRDefault="00DE24D4" w:rsidP="00BA2054">
            <w:pPr>
              <w:pStyle w:val="TableParagraph"/>
              <w:rPr>
                <w:rFonts w:asciiTheme="minorHAnsi" w:hAnsiTheme="minorHAnsi"/>
                <w:sz w:val="23"/>
              </w:rPr>
            </w:pPr>
          </w:p>
          <w:p w14:paraId="56FBB592" w14:textId="15A6BCC2" w:rsidR="00F30621" w:rsidRPr="00E534E9" w:rsidRDefault="00DE24D4" w:rsidP="00BA2054">
            <w:pPr>
              <w:pStyle w:val="TableParagraph"/>
              <w:rPr>
                <w:rFonts w:asciiTheme="minorHAnsi" w:hAnsiTheme="minorHAnsi"/>
                <w:sz w:val="23"/>
              </w:rPr>
            </w:pPr>
            <w:r w:rsidRPr="00DE24D4">
              <w:rPr>
                <w:rFonts w:asciiTheme="minorHAnsi" w:hAnsiTheme="minorHAnsi"/>
                <w:sz w:val="23"/>
              </w:rPr>
              <w:t xml:space="preserve">The transaction which is the subject of this DoN is also subject to review by the Health Policy Commission (HPC). On </w:t>
            </w:r>
            <w:r>
              <w:rPr>
                <w:rFonts w:asciiTheme="minorHAnsi" w:hAnsiTheme="minorHAnsi"/>
                <w:sz w:val="23"/>
              </w:rPr>
              <w:t>January 25</w:t>
            </w:r>
            <w:r w:rsidRPr="00DE24D4">
              <w:rPr>
                <w:rFonts w:asciiTheme="minorHAnsi" w:hAnsiTheme="minorHAnsi"/>
                <w:sz w:val="23"/>
              </w:rPr>
              <w:t xml:space="preserve">, </w:t>
            </w:r>
            <w:r>
              <w:rPr>
                <w:rFonts w:asciiTheme="minorHAnsi" w:hAnsiTheme="minorHAnsi"/>
                <w:sz w:val="23"/>
              </w:rPr>
              <w:t xml:space="preserve">2024, </w:t>
            </w:r>
            <w:r w:rsidRPr="00DE24D4">
              <w:rPr>
                <w:rFonts w:asciiTheme="minorHAnsi" w:hAnsiTheme="minorHAnsi"/>
                <w:sz w:val="23"/>
              </w:rPr>
              <w:t>the HPC voted to authorize a Cost and Market Impact Review (CMIR). The CMIR will not be completed until after the review of this DoN. Pursuant to 105 CMR 100.</w:t>
            </w:r>
            <w:r w:rsidR="00D30D34">
              <w:rPr>
                <w:rFonts w:asciiTheme="minorHAnsi" w:hAnsiTheme="minorHAnsi"/>
                <w:sz w:val="23"/>
              </w:rPr>
              <w:t>310</w:t>
            </w:r>
            <w:r w:rsidR="006125D1">
              <w:rPr>
                <w:rFonts w:asciiTheme="minorHAnsi" w:hAnsiTheme="minorHAnsi"/>
                <w:sz w:val="23"/>
              </w:rPr>
              <w:t>(A)(2</w:t>
            </w:r>
            <w:r w:rsidRPr="00DE24D4">
              <w:rPr>
                <w:rFonts w:asciiTheme="minorHAnsi" w:hAnsiTheme="minorHAnsi"/>
                <w:sz w:val="23"/>
              </w:rPr>
              <w:t>), any Notice of DoN issued shall not go into effect until 30 days after HPC completes the CMIR.</w:t>
            </w:r>
          </w:p>
        </w:tc>
      </w:tr>
    </w:tbl>
    <w:p w14:paraId="4AF4C98A" w14:textId="77777777" w:rsidR="00B447F3" w:rsidRPr="003436F0" w:rsidRDefault="00B447F3">
      <w:pPr>
        <w:spacing w:line="251" w:lineRule="exact"/>
        <w:rPr>
          <w:rFonts w:asciiTheme="minorHAnsi" w:hAnsiTheme="minorHAnsi"/>
        </w:rPr>
        <w:sectPr w:rsidR="00B447F3" w:rsidRPr="003436F0" w:rsidSect="001831DE">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noProof/>
          <w:sz w:val="24"/>
          <w:szCs w:val="24"/>
          <w:lang w:bidi="ar-SA"/>
        </w:rPr>
      </w:sdtEndPr>
      <w:sdtContent>
        <w:p w14:paraId="7AAE295D" w14:textId="53B6C1CD" w:rsidR="008650F2" w:rsidRDefault="008650F2">
          <w:pPr>
            <w:pStyle w:val="TOCHeading"/>
          </w:pPr>
          <w:r>
            <w:t>Contents</w:t>
          </w:r>
        </w:p>
        <w:p w14:paraId="3D8F7C98" w14:textId="1FB37760" w:rsidR="0048255D"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90780580" w:history="1">
            <w:r w:rsidR="0048255D" w:rsidRPr="00807C27">
              <w:rPr>
                <w:rStyle w:val="Hyperlink"/>
                <w:noProof/>
              </w:rPr>
              <w:t>Background and Application Overview</w:t>
            </w:r>
            <w:r w:rsidR="0048255D">
              <w:rPr>
                <w:noProof/>
                <w:webHidden/>
              </w:rPr>
              <w:tab/>
            </w:r>
            <w:r w:rsidR="0048255D">
              <w:rPr>
                <w:noProof/>
                <w:webHidden/>
              </w:rPr>
              <w:fldChar w:fldCharType="begin"/>
            </w:r>
            <w:r w:rsidR="0048255D">
              <w:rPr>
                <w:noProof/>
                <w:webHidden/>
              </w:rPr>
              <w:instrText xml:space="preserve"> PAGEREF _Toc190780580 \h </w:instrText>
            </w:r>
            <w:r w:rsidR="0048255D">
              <w:rPr>
                <w:noProof/>
                <w:webHidden/>
              </w:rPr>
            </w:r>
            <w:r w:rsidR="0048255D">
              <w:rPr>
                <w:noProof/>
                <w:webHidden/>
              </w:rPr>
              <w:fldChar w:fldCharType="separate"/>
            </w:r>
            <w:r w:rsidR="0048255D">
              <w:rPr>
                <w:noProof/>
                <w:webHidden/>
              </w:rPr>
              <w:t>4</w:t>
            </w:r>
            <w:r w:rsidR="0048255D">
              <w:rPr>
                <w:noProof/>
                <w:webHidden/>
              </w:rPr>
              <w:fldChar w:fldCharType="end"/>
            </w:r>
          </w:hyperlink>
        </w:p>
        <w:p w14:paraId="44ABB513" w14:textId="35EE165B"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1" w:history="1">
            <w:r w:rsidRPr="00807C27">
              <w:rPr>
                <w:rStyle w:val="Hyperlink"/>
                <w:noProof/>
              </w:rPr>
              <w:t>Patient Panel</w:t>
            </w:r>
            <w:r>
              <w:rPr>
                <w:noProof/>
                <w:webHidden/>
              </w:rPr>
              <w:tab/>
            </w:r>
            <w:r>
              <w:rPr>
                <w:noProof/>
                <w:webHidden/>
              </w:rPr>
              <w:fldChar w:fldCharType="begin"/>
            </w:r>
            <w:r>
              <w:rPr>
                <w:noProof/>
                <w:webHidden/>
              </w:rPr>
              <w:instrText xml:space="preserve"> PAGEREF _Toc190780581 \h </w:instrText>
            </w:r>
            <w:r>
              <w:rPr>
                <w:noProof/>
                <w:webHidden/>
              </w:rPr>
            </w:r>
            <w:r>
              <w:rPr>
                <w:noProof/>
                <w:webHidden/>
              </w:rPr>
              <w:fldChar w:fldCharType="separate"/>
            </w:r>
            <w:r>
              <w:rPr>
                <w:noProof/>
                <w:webHidden/>
              </w:rPr>
              <w:t>8</w:t>
            </w:r>
            <w:r>
              <w:rPr>
                <w:noProof/>
                <w:webHidden/>
              </w:rPr>
              <w:fldChar w:fldCharType="end"/>
            </w:r>
          </w:hyperlink>
        </w:p>
        <w:p w14:paraId="0A4E7C49" w14:textId="7C5B0B7A"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2" w:history="1">
            <w:r w:rsidRPr="00807C27">
              <w:rPr>
                <w:rStyle w:val="Hyperlink"/>
                <w:noProof/>
              </w:rPr>
              <w:t>Factor 1: a) Patient Panel Need</w:t>
            </w:r>
            <w:r>
              <w:rPr>
                <w:noProof/>
                <w:webHidden/>
              </w:rPr>
              <w:tab/>
            </w:r>
            <w:r>
              <w:rPr>
                <w:noProof/>
                <w:webHidden/>
              </w:rPr>
              <w:fldChar w:fldCharType="begin"/>
            </w:r>
            <w:r>
              <w:rPr>
                <w:noProof/>
                <w:webHidden/>
              </w:rPr>
              <w:instrText xml:space="preserve"> PAGEREF _Toc190780582 \h </w:instrText>
            </w:r>
            <w:r>
              <w:rPr>
                <w:noProof/>
                <w:webHidden/>
              </w:rPr>
            </w:r>
            <w:r>
              <w:rPr>
                <w:noProof/>
                <w:webHidden/>
              </w:rPr>
              <w:fldChar w:fldCharType="separate"/>
            </w:r>
            <w:r>
              <w:rPr>
                <w:noProof/>
                <w:webHidden/>
              </w:rPr>
              <w:t>12</w:t>
            </w:r>
            <w:r>
              <w:rPr>
                <w:noProof/>
                <w:webHidden/>
              </w:rPr>
              <w:fldChar w:fldCharType="end"/>
            </w:r>
          </w:hyperlink>
        </w:p>
        <w:p w14:paraId="0002C2F5" w14:textId="58C76BC1"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3" w:history="1">
            <w:r w:rsidRPr="00807C27">
              <w:rPr>
                <w:rStyle w:val="Hyperlink"/>
                <w:noProof/>
              </w:rPr>
              <w:t>Factor 1: b) Public health value, improved health outcomes and quality of life; assurances of health equity</w:t>
            </w:r>
            <w:r>
              <w:rPr>
                <w:noProof/>
                <w:webHidden/>
              </w:rPr>
              <w:tab/>
            </w:r>
            <w:r>
              <w:rPr>
                <w:noProof/>
                <w:webHidden/>
              </w:rPr>
              <w:fldChar w:fldCharType="begin"/>
            </w:r>
            <w:r>
              <w:rPr>
                <w:noProof/>
                <w:webHidden/>
              </w:rPr>
              <w:instrText xml:space="preserve"> PAGEREF _Toc190780583 \h </w:instrText>
            </w:r>
            <w:r>
              <w:rPr>
                <w:noProof/>
                <w:webHidden/>
              </w:rPr>
            </w:r>
            <w:r>
              <w:rPr>
                <w:noProof/>
                <w:webHidden/>
              </w:rPr>
              <w:fldChar w:fldCharType="separate"/>
            </w:r>
            <w:r>
              <w:rPr>
                <w:noProof/>
                <w:webHidden/>
              </w:rPr>
              <w:t>45</w:t>
            </w:r>
            <w:r>
              <w:rPr>
                <w:noProof/>
                <w:webHidden/>
              </w:rPr>
              <w:fldChar w:fldCharType="end"/>
            </w:r>
          </w:hyperlink>
        </w:p>
        <w:p w14:paraId="04FDDA98" w14:textId="4747037F"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4" w:history="1">
            <w:r w:rsidRPr="00807C27">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_Toc190780584 \h </w:instrText>
            </w:r>
            <w:r>
              <w:rPr>
                <w:noProof/>
                <w:webHidden/>
              </w:rPr>
            </w:r>
            <w:r>
              <w:rPr>
                <w:noProof/>
                <w:webHidden/>
              </w:rPr>
              <w:fldChar w:fldCharType="separate"/>
            </w:r>
            <w:r>
              <w:rPr>
                <w:noProof/>
                <w:webHidden/>
              </w:rPr>
              <w:t>55</w:t>
            </w:r>
            <w:r>
              <w:rPr>
                <w:noProof/>
                <w:webHidden/>
              </w:rPr>
              <w:fldChar w:fldCharType="end"/>
            </w:r>
          </w:hyperlink>
        </w:p>
        <w:p w14:paraId="19B7A56E" w14:textId="7EF39B29"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5" w:history="1">
            <w:r w:rsidRPr="00807C27">
              <w:rPr>
                <w:rStyle w:val="Hyperlink"/>
                <w:noProof/>
              </w:rPr>
              <w:t>Factor 1: d) Consultation</w:t>
            </w:r>
            <w:r>
              <w:rPr>
                <w:noProof/>
                <w:webHidden/>
              </w:rPr>
              <w:tab/>
            </w:r>
            <w:r>
              <w:rPr>
                <w:noProof/>
                <w:webHidden/>
              </w:rPr>
              <w:fldChar w:fldCharType="begin"/>
            </w:r>
            <w:r>
              <w:rPr>
                <w:noProof/>
                <w:webHidden/>
              </w:rPr>
              <w:instrText xml:space="preserve"> PAGEREF _Toc190780585 \h </w:instrText>
            </w:r>
            <w:r>
              <w:rPr>
                <w:noProof/>
                <w:webHidden/>
              </w:rPr>
            </w:r>
            <w:r>
              <w:rPr>
                <w:noProof/>
                <w:webHidden/>
              </w:rPr>
              <w:fldChar w:fldCharType="separate"/>
            </w:r>
            <w:r>
              <w:rPr>
                <w:noProof/>
                <w:webHidden/>
              </w:rPr>
              <w:t>56</w:t>
            </w:r>
            <w:r>
              <w:rPr>
                <w:noProof/>
                <w:webHidden/>
              </w:rPr>
              <w:fldChar w:fldCharType="end"/>
            </w:r>
          </w:hyperlink>
        </w:p>
        <w:p w14:paraId="355234B7" w14:textId="2D1F0C74"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6" w:history="1">
            <w:r w:rsidRPr="00807C27">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_Toc190780586 \h </w:instrText>
            </w:r>
            <w:r>
              <w:rPr>
                <w:noProof/>
                <w:webHidden/>
              </w:rPr>
            </w:r>
            <w:r>
              <w:rPr>
                <w:noProof/>
                <w:webHidden/>
              </w:rPr>
              <w:fldChar w:fldCharType="separate"/>
            </w:r>
            <w:r>
              <w:rPr>
                <w:noProof/>
                <w:webHidden/>
              </w:rPr>
              <w:t>56</w:t>
            </w:r>
            <w:r>
              <w:rPr>
                <w:noProof/>
                <w:webHidden/>
              </w:rPr>
              <w:fldChar w:fldCharType="end"/>
            </w:r>
          </w:hyperlink>
        </w:p>
        <w:p w14:paraId="2DBD235A" w14:textId="6EAE1D6E"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7" w:history="1">
            <w:r w:rsidRPr="00807C27">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_Toc190780587 \h </w:instrText>
            </w:r>
            <w:r>
              <w:rPr>
                <w:noProof/>
                <w:webHidden/>
              </w:rPr>
            </w:r>
            <w:r>
              <w:rPr>
                <w:noProof/>
                <w:webHidden/>
              </w:rPr>
              <w:fldChar w:fldCharType="separate"/>
            </w:r>
            <w:r>
              <w:rPr>
                <w:noProof/>
                <w:webHidden/>
              </w:rPr>
              <w:t>58</w:t>
            </w:r>
            <w:r>
              <w:rPr>
                <w:noProof/>
                <w:webHidden/>
              </w:rPr>
              <w:fldChar w:fldCharType="end"/>
            </w:r>
          </w:hyperlink>
        </w:p>
        <w:p w14:paraId="4C02097D" w14:textId="639B434B"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8" w:history="1">
            <w:r w:rsidRPr="00807C27">
              <w:rPr>
                <w:rStyle w:val="Hyperlink"/>
                <w:noProof/>
              </w:rPr>
              <w:t>Factor 1 Summary</w:t>
            </w:r>
            <w:r>
              <w:rPr>
                <w:noProof/>
                <w:webHidden/>
              </w:rPr>
              <w:tab/>
            </w:r>
            <w:r>
              <w:rPr>
                <w:noProof/>
                <w:webHidden/>
              </w:rPr>
              <w:fldChar w:fldCharType="begin"/>
            </w:r>
            <w:r>
              <w:rPr>
                <w:noProof/>
                <w:webHidden/>
              </w:rPr>
              <w:instrText xml:space="preserve"> PAGEREF _Toc190780588 \h </w:instrText>
            </w:r>
            <w:r>
              <w:rPr>
                <w:noProof/>
                <w:webHidden/>
              </w:rPr>
            </w:r>
            <w:r>
              <w:rPr>
                <w:noProof/>
                <w:webHidden/>
              </w:rPr>
              <w:fldChar w:fldCharType="separate"/>
            </w:r>
            <w:r>
              <w:rPr>
                <w:noProof/>
                <w:webHidden/>
              </w:rPr>
              <w:t>60</w:t>
            </w:r>
            <w:r>
              <w:rPr>
                <w:noProof/>
                <w:webHidden/>
              </w:rPr>
              <w:fldChar w:fldCharType="end"/>
            </w:r>
          </w:hyperlink>
        </w:p>
        <w:p w14:paraId="0532D96E" w14:textId="2240B563"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89" w:history="1">
            <w:r w:rsidRPr="00807C27">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_Toc190780589 \h </w:instrText>
            </w:r>
            <w:r>
              <w:rPr>
                <w:noProof/>
                <w:webHidden/>
              </w:rPr>
            </w:r>
            <w:r>
              <w:rPr>
                <w:noProof/>
                <w:webHidden/>
              </w:rPr>
              <w:fldChar w:fldCharType="separate"/>
            </w:r>
            <w:r>
              <w:rPr>
                <w:noProof/>
                <w:webHidden/>
              </w:rPr>
              <w:t>61</w:t>
            </w:r>
            <w:r>
              <w:rPr>
                <w:noProof/>
                <w:webHidden/>
              </w:rPr>
              <w:fldChar w:fldCharType="end"/>
            </w:r>
          </w:hyperlink>
        </w:p>
        <w:p w14:paraId="0ACBFC59" w14:textId="3C5397A5"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0" w:history="1">
            <w:r w:rsidRPr="00807C27">
              <w:rPr>
                <w:rStyle w:val="Hyperlink"/>
                <w:noProof/>
              </w:rPr>
              <w:t>Factor 2 Summary</w:t>
            </w:r>
            <w:r>
              <w:rPr>
                <w:noProof/>
                <w:webHidden/>
              </w:rPr>
              <w:tab/>
            </w:r>
            <w:r>
              <w:rPr>
                <w:noProof/>
                <w:webHidden/>
              </w:rPr>
              <w:fldChar w:fldCharType="begin"/>
            </w:r>
            <w:r>
              <w:rPr>
                <w:noProof/>
                <w:webHidden/>
              </w:rPr>
              <w:instrText xml:space="preserve"> PAGEREF _Toc190780590 \h </w:instrText>
            </w:r>
            <w:r>
              <w:rPr>
                <w:noProof/>
                <w:webHidden/>
              </w:rPr>
            </w:r>
            <w:r>
              <w:rPr>
                <w:noProof/>
                <w:webHidden/>
              </w:rPr>
              <w:fldChar w:fldCharType="separate"/>
            </w:r>
            <w:r>
              <w:rPr>
                <w:noProof/>
                <w:webHidden/>
              </w:rPr>
              <w:t>73</w:t>
            </w:r>
            <w:r>
              <w:rPr>
                <w:noProof/>
                <w:webHidden/>
              </w:rPr>
              <w:fldChar w:fldCharType="end"/>
            </w:r>
          </w:hyperlink>
        </w:p>
        <w:p w14:paraId="4E9C9C53" w14:textId="61C1EA3D"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1" w:history="1">
            <w:r w:rsidRPr="00807C27">
              <w:rPr>
                <w:rStyle w:val="Hyperlink"/>
                <w:noProof/>
              </w:rPr>
              <w:t>Factor 3: Relevant Licensure/Oversight Compliance</w:t>
            </w:r>
            <w:r>
              <w:rPr>
                <w:noProof/>
                <w:webHidden/>
              </w:rPr>
              <w:tab/>
            </w:r>
            <w:r>
              <w:rPr>
                <w:noProof/>
                <w:webHidden/>
              </w:rPr>
              <w:fldChar w:fldCharType="begin"/>
            </w:r>
            <w:r>
              <w:rPr>
                <w:noProof/>
                <w:webHidden/>
              </w:rPr>
              <w:instrText xml:space="preserve"> PAGEREF _Toc190780591 \h </w:instrText>
            </w:r>
            <w:r>
              <w:rPr>
                <w:noProof/>
                <w:webHidden/>
              </w:rPr>
            </w:r>
            <w:r>
              <w:rPr>
                <w:noProof/>
                <w:webHidden/>
              </w:rPr>
              <w:fldChar w:fldCharType="separate"/>
            </w:r>
            <w:r>
              <w:rPr>
                <w:noProof/>
                <w:webHidden/>
              </w:rPr>
              <w:t>73</w:t>
            </w:r>
            <w:r>
              <w:rPr>
                <w:noProof/>
                <w:webHidden/>
              </w:rPr>
              <w:fldChar w:fldCharType="end"/>
            </w:r>
          </w:hyperlink>
        </w:p>
        <w:p w14:paraId="69260C9E" w14:textId="7211CA6F"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2" w:history="1">
            <w:r w:rsidRPr="00807C27">
              <w:rPr>
                <w:rStyle w:val="Hyperlink"/>
                <w:noProof/>
              </w:rPr>
              <w:t>Factor 4: Demonstration of Sufficient Funds as Supported by an Independent CPA Analysis</w:t>
            </w:r>
            <w:r>
              <w:rPr>
                <w:noProof/>
                <w:webHidden/>
              </w:rPr>
              <w:tab/>
            </w:r>
            <w:r>
              <w:rPr>
                <w:noProof/>
                <w:webHidden/>
              </w:rPr>
              <w:fldChar w:fldCharType="begin"/>
            </w:r>
            <w:r>
              <w:rPr>
                <w:noProof/>
                <w:webHidden/>
              </w:rPr>
              <w:instrText xml:space="preserve"> PAGEREF _Toc190780592 \h </w:instrText>
            </w:r>
            <w:r>
              <w:rPr>
                <w:noProof/>
                <w:webHidden/>
              </w:rPr>
            </w:r>
            <w:r>
              <w:rPr>
                <w:noProof/>
                <w:webHidden/>
              </w:rPr>
              <w:fldChar w:fldCharType="separate"/>
            </w:r>
            <w:r>
              <w:rPr>
                <w:noProof/>
                <w:webHidden/>
              </w:rPr>
              <w:t>73</w:t>
            </w:r>
            <w:r>
              <w:rPr>
                <w:noProof/>
                <w:webHidden/>
              </w:rPr>
              <w:fldChar w:fldCharType="end"/>
            </w:r>
          </w:hyperlink>
        </w:p>
        <w:p w14:paraId="73BEFBE3" w14:textId="30489C6E"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3" w:history="1">
            <w:r w:rsidRPr="00807C27">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_Toc190780593 \h </w:instrText>
            </w:r>
            <w:r>
              <w:rPr>
                <w:noProof/>
                <w:webHidden/>
              </w:rPr>
            </w:r>
            <w:r>
              <w:rPr>
                <w:noProof/>
                <w:webHidden/>
              </w:rPr>
              <w:fldChar w:fldCharType="separate"/>
            </w:r>
            <w:r>
              <w:rPr>
                <w:noProof/>
                <w:webHidden/>
              </w:rPr>
              <w:t>78</w:t>
            </w:r>
            <w:r>
              <w:rPr>
                <w:noProof/>
                <w:webHidden/>
              </w:rPr>
              <w:fldChar w:fldCharType="end"/>
            </w:r>
          </w:hyperlink>
        </w:p>
        <w:p w14:paraId="00D2224A" w14:textId="6F31443B"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4" w:history="1">
            <w:r w:rsidRPr="00807C27">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_Toc190780594 \h </w:instrText>
            </w:r>
            <w:r>
              <w:rPr>
                <w:noProof/>
                <w:webHidden/>
              </w:rPr>
            </w:r>
            <w:r>
              <w:rPr>
                <w:noProof/>
                <w:webHidden/>
              </w:rPr>
              <w:fldChar w:fldCharType="separate"/>
            </w:r>
            <w:r>
              <w:rPr>
                <w:noProof/>
                <w:webHidden/>
              </w:rPr>
              <w:t>80</w:t>
            </w:r>
            <w:r>
              <w:rPr>
                <w:noProof/>
                <w:webHidden/>
              </w:rPr>
              <w:fldChar w:fldCharType="end"/>
            </w:r>
          </w:hyperlink>
        </w:p>
        <w:p w14:paraId="187A16E0" w14:textId="36CEB791"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5" w:history="1">
            <w:r w:rsidRPr="00807C27">
              <w:rPr>
                <w:rStyle w:val="Hyperlink"/>
                <w:noProof/>
              </w:rPr>
              <w:t>Public Comments on the Application</w:t>
            </w:r>
            <w:r>
              <w:rPr>
                <w:noProof/>
                <w:webHidden/>
              </w:rPr>
              <w:tab/>
            </w:r>
            <w:r>
              <w:rPr>
                <w:noProof/>
                <w:webHidden/>
              </w:rPr>
              <w:fldChar w:fldCharType="begin"/>
            </w:r>
            <w:r>
              <w:rPr>
                <w:noProof/>
                <w:webHidden/>
              </w:rPr>
              <w:instrText xml:space="preserve"> PAGEREF _Toc190780595 \h </w:instrText>
            </w:r>
            <w:r>
              <w:rPr>
                <w:noProof/>
                <w:webHidden/>
              </w:rPr>
            </w:r>
            <w:r>
              <w:rPr>
                <w:noProof/>
                <w:webHidden/>
              </w:rPr>
              <w:fldChar w:fldCharType="separate"/>
            </w:r>
            <w:r>
              <w:rPr>
                <w:noProof/>
                <w:webHidden/>
              </w:rPr>
              <w:t>82</w:t>
            </w:r>
            <w:r>
              <w:rPr>
                <w:noProof/>
                <w:webHidden/>
              </w:rPr>
              <w:fldChar w:fldCharType="end"/>
            </w:r>
          </w:hyperlink>
        </w:p>
        <w:p w14:paraId="1ECC4660" w14:textId="0E0EE76B"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6" w:history="1">
            <w:r w:rsidRPr="00807C27">
              <w:rPr>
                <w:rStyle w:val="Hyperlink"/>
                <w:noProof/>
              </w:rPr>
              <w:t>Findings and Recommendations</w:t>
            </w:r>
            <w:r>
              <w:rPr>
                <w:noProof/>
                <w:webHidden/>
              </w:rPr>
              <w:tab/>
            </w:r>
            <w:r>
              <w:rPr>
                <w:noProof/>
                <w:webHidden/>
              </w:rPr>
              <w:fldChar w:fldCharType="begin"/>
            </w:r>
            <w:r>
              <w:rPr>
                <w:noProof/>
                <w:webHidden/>
              </w:rPr>
              <w:instrText xml:space="preserve"> PAGEREF _Toc190780596 \h </w:instrText>
            </w:r>
            <w:r>
              <w:rPr>
                <w:noProof/>
                <w:webHidden/>
              </w:rPr>
            </w:r>
            <w:r>
              <w:rPr>
                <w:noProof/>
                <w:webHidden/>
              </w:rPr>
              <w:fldChar w:fldCharType="separate"/>
            </w:r>
            <w:r>
              <w:rPr>
                <w:noProof/>
                <w:webHidden/>
              </w:rPr>
              <w:t>83</w:t>
            </w:r>
            <w:r>
              <w:rPr>
                <w:noProof/>
                <w:webHidden/>
              </w:rPr>
              <w:fldChar w:fldCharType="end"/>
            </w:r>
          </w:hyperlink>
        </w:p>
        <w:p w14:paraId="1DB49C4B" w14:textId="4054B150"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7" w:history="1">
            <w:r w:rsidRPr="00807C27">
              <w:rPr>
                <w:rStyle w:val="Hyperlink"/>
                <w:noProof/>
              </w:rPr>
              <w:t>Other Conditions</w:t>
            </w:r>
            <w:r>
              <w:rPr>
                <w:noProof/>
                <w:webHidden/>
              </w:rPr>
              <w:tab/>
            </w:r>
            <w:r>
              <w:rPr>
                <w:noProof/>
                <w:webHidden/>
              </w:rPr>
              <w:fldChar w:fldCharType="begin"/>
            </w:r>
            <w:r>
              <w:rPr>
                <w:noProof/>
                <w:webHidden/>
              </w:rPr>
              <w:instrText xml:space="preserve"> PAGEREF _Toc190780597 \h </w:instrText>
            </w:r>
            <w:r>
              <w:rPr>
                <w:noProof/>
                <w:webHidden/>
              </w:rPr>
            </w:r>
            <w:r>
              <w:rPr>
                <w:noProof/>
                <w:webHidden/>
              </w:rPr>
              <w:fldChar w:fldCharType="separate"/>
            </w:r>
            <w:r>
              <w:rPr>
                <w:noProof/>
                <w:webHidden/>
              </w:rPr>
              <w:t>83</w:t>
            </w:r>
            <w:r>
              <w:rPr>
                <w:noProof/>
                <w:webHidden/>
              </w:rPr>
              <w:fldChar w:fldCharType="end"/>
            </w:r>
          </w:hyperlink>
        </w:p>
        <w:p w14:paraId="34DCA90C" w14:textId="17D5D771"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8" w:history="1">
            <w:r w:rsidRPr="00807C27">
              <w:rPr>
                <w:rStyle w:val="Hyperlink"/>
                <w:noProof/>
              </w:rPr>
              <w:t>APPENDIX I: Measures</w:t>
            </w:r>
            <w:r>
              <w:rPr>
                <w:noProof/>
                <w:webHidden/>
              </w:rPr>
              <w:tab/>
            </w:r>
            <w:r>
              <w:rPr>
                <w:noProof/>
                <w:webHidden/>
              </w:rPr>
              <w:fldChar w:fldCharType="begin"/>
            </w:r>
            <w:r>
              <w:rPr>
                <w:noProof/>
                <w:webHidden/>
              </w:rPr>
              <w:instrText xml:space="preserve"> PAGEREF _Toc190780598 \h </w:instrText>
            </w:r>
            <w:r>
              <w:rPr>
                <w:noProof/>
                <w:webHidden/>
              </w:rPr>
            </w:r>
            <w:r>
              <w:rPr>
                <w:noProof/>
                <w:webHidden/>
              </w:rPr>
              <w:fldChar w:fldCharType="separate"/>
            </w:r>
            <w:r>
              <w:rPr>
                <w:noProof/>
                <w:webHidden/>
              </w:rPr>
              <w:t>86</w:t>
            </w:r>
            <w:r>
              <w:rPr>
                <w:noProof/>
                <w:webHidden/>
              </w:rPr>
              <w:fldChar w:fldCharType="end"/>
            </w:r>
          </w:hyperlink>
        </w:p>
        <w:p w14:paraId="104E119C" w14:textId="739C0DD7"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599" w:history="1">
            <w:r w:rsidRPr="00807C27">
              <w:rPr>
                <w:rStyle w:val="Hyperlink"/>
                <w:noProof/>
              </w:rPr>
              <w:t>Appendix II: Occupancy rates for Massachusetts AMCs, Jan 2022 to August 2024</w:t>
            </w:r>
            <w:r>
              <w:rPr>
                <w:noProof/>
                <w:webHidden/>
              </w:rPr>
              <w:tab/>
            </w:r>
            <w:r>
              <w:rPr>
                <w:noProof/>
                <w:webHidden/>
              </w:rPr>
              <w:fldChar w:fldCharType="begin"/>
            </w:r>
            <w:r>
              <w:rPr>
                <w:noProof/>
                <w:webHidden/>
              </w:rPr>
              <w:instrText xml:space="preserve"> PAGEREF _Toc190780599 \h </w:instrText>
            </w:r>
            <w:r>
              <w:rPr>
                <w:noProof/>
                <w:webHidden/>
              </w:rPr>
            </w:r>
            <w:r>
              <w:rPr>
                <w:noProof/>
                <w:webHidden/>
              </w:rPr>
              <w:fldChar w:fldCharType="separate"/>
            </w:r>
            <w:r>
              <w:rPr>
                <w:noProof/>
                <w:webHidden/>
              </w:rPr>
              <w:t>89</w:t>
            </w:r>
            <w:r>
              <w:rPr>
                <w:noProof/>
                <w:webHidden/>
              </w:rPr>
              <w:fldChar w:fldCharType="end"/>
            </w:r>
          </w:hyperlink>
        </w:p>
        <w:p w14:paraId="1E063A25" w14:textId="004E70FD"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600" w:history="1">
            <w:r w:rsidRPr="00807C27">
              <w:rPr>
                <w:rStyle w:val="Hyperlink"/>
                <w:noProof/>
              </w:rPr>
              <w:t>APPENDIX III: Definitions</w:t>
            </w:r>
            <w:r>
              <w:rPr>
                <w:noProof/>
                <w:webHidden/>
              </w:rPr>
              <w:tab/>
            </w:r>
            <w:r>
              <w:rPr>
                <w:noProof/>
                <w:webHidden/>
              </w:rPr>
              <w:fldChar w:fldCharType="begin"/>
            </w:r>
            <w:r>
              <w:rPr>
                <w:noProof/>
                <w:webHidden/>
              </w:rPr>
              <w:instrText xml:space="preserve"> PAGEREF _Toc190780600 \h </w:instrText>
            </w:r>
            <w:r>
              <w:rPr>
                <w:noProof/>
                <w:webHidden/>
              </w:rPr>
            </w:r>
            <w:r>
              <w:rPr>
                <w:noProof/>
                <w:webHidden/>
              </w:rPr>
              <w:fldChar w:fldCharType="separate"/>
            </w:r>
            <w:r>
              <w:rPr>
                <w:noProof/>
                <w:webHidden/>
              </w:rPr>
              <w:t>92</w:t>
            </w:r>
            <w:r>
              <w:rPr>
                <w:noProof/>
                <w:webHidden/>
              </w:rPr>
              <w:fldChar w:fldCharType="end"/>
            </w:r>
          </w:hyperlink>
        </w:p>
        <w:p w14:paraId="6FF15C91" w14:textId="28C54B10"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601" w:history="1">
            <w:r w:rsidRPr="00807C27">
              <w:rPr>
                <w:rStyle w:val="Hyperlink"/>
                <w:noProof/>
              </w:rPr>
              <w:t>Appendix IV: Speakers at the Public Hearing</w:t>
            </w:r>
            <w:r>
              <w:rPr>
                <w:noProof/>
                <w:webHidden/>
              </w:rPr>
              <w:tab/>
            </w:r>
            <w:r>
              <w:rPr>
                <w:noProof/>
                <w:webHidden/>
              </w:rPr>
              <w:fldChar w:fldCharType="begin"/>
            </w:r>
            <w:r>
              <w:rPr>
                <w:noProof/>
                <w:webHidden/>
              </w:rPr>
              <w:instrText xml:space="preserve"> PAGEREF _Toc190780601 \h </w:instrText>
            </w:r>
            <w:r>
              <w:rPr>
                <w:noProof/>
                <w:webHidden/>
              </w:rPr>
            </w:r>
            <w:r>
              <w:rPr>
                <w:noProof/>
                <w:webHidden/>
              </w:rPr>
              <w:fldChar w:fldCharType="separate"/>
            </w:r>
            <w:r>
              <w:rPr>
                <w:noProof/>
                <w:webHidden/>
              </w:rPr>
              <w:t>93</w:t>
            </w:r>
            <w:r>
              <w:rPr>
                <w:noProof/>
                <w:webHidden/>
              </w:rPr>
              <w:fldChar w:fldCharType="end"/>
            </w:r>
          </w:hyperlink>
        </w:p>
        <w:p w14:paraId="197914EF" w14:textId="207E513F"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602" w:history="1">
            <w:r w:rsidRPr="00807C27">
              <w:rPr>
                <w:rStyle w:val="Hyperlink"/>
                <w:noProof/>
              </w:rPr>
              <w:t>Appendix V: Written Commenters</w:t>
            </w:r>
            <w:r>
              <w:rPr>
                <w:noProof/>
                <w:webHidden/>
              </w:rPr>
              <w:tab/>
            </w:r>
            <w:r>
              <w:rPr>
                <w:noProof/>
                <w:webHidden/>
              </w:rPr>
              <w:fldChar w:fldCharType="begin"/>
            </w:r>
            <w:r>
              <w:rPr>
                <w:noProof/>
                <w:webHidden/>
              </w:rPr>
              <w:instrText xml:space="preserve"> PAGEREF _Toc190780602 \h </w:instrText>
            </w:r>
            <w:r>
              <w:rPr>
                <w:noProof/>
                <w:webHidden/>
              </w:rPr>
            </w:r>
            <w:r>
              <w:rPr>
                <w:noProof/>
                <w:webHidden/>
              </w:rPr>
              <w:fldChar w:fldCharType="separate"/>
            </w:r>
            <w:r>
              <w:rPr>
                <w:noProof/>
                <w:webHidden/>
              </w:rPr>
              <w:t>95</w:t>
            </w:r>
            <w:r>
              <w:rPr>
                <w:noProof/>
                <w:webHidden/>
              </w:rPr>
              <w:fldChar w:fldCharType="end"/>
            </w:r>
          </w:hyperlink>
        </w:p>
        <w:p w14:paraId="5524E66C" w14:textId="65F64C2F"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603" w:history="1">
            <w:r w:rsidRPr="00807C27">
              <w:rPr>
                <w:rStyle w:val="Hyperlink"/>
                <w:noProof/>
              </w:rPr>
              <w:t>Appendix VI: Summary of Comments</w:t>
            </w:r>
            <w:r>
              <w:rPr>
                <w:noProof/>
                <w:webHidden/>
              </w:rPr>
              <w:tab/>
            </w:r>
            <w:r>
              <w:rPr>
                <w:noProof/>
                <w:webHidden/>
              </w:rPr>
              <w:fldChar w:fldCharType="begin"/>
            </w:r>
            <w:r>
              <w:rPr>
                <w:noProof/>
                <w:webHidden/>
              </w:rPr>
              <w:instrText xml:space="preserve"> PAGEREF _Toc190780603 \h </w:instrText>
            </w:r>
            <w:r>
              <w:rPr>
                <w:noProof/>
                <w:webHidden/>
              </w:rPr>
            </w:r>
            <w:r>
              <w:rPr>
                <w:noProof/>
                <w:webHidden/>
              </w:rPr>
              <w:fldChar w:fldCharType="separate"/>
            </w:r>
            <w:r>
              <w:rPr>
                <w:noProof/>
                <w:webHidden/>
              </w:rPr>
              <w:t>98</w:t>
            </w:r>
            <w:r>
              <w:rPr>
                <w:noProof/>
                <w:webHidden/>
              </w:rPr>
              <w:fldChar w:fldCharType="end"/>
            </w:r>
          </w:hyperlink>
        </w:p>
        <w:p w14:paraId="03A88FA9" w14:textId="5D0A08DC"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604" w:history="1">
            <w:r w:rsidRPr="00807C27">
              <w:rPr>
                <w:rStyle w:val="Hyperlink"/>
                <w:noProof/>
              </w:rPr>
              <w:t>Appendix VII: TTGs Overview</w:t>
            </w:r>
            <w:r>
              <w:rPr>
                <w:noProof/>
                <w:webHidden/>
              </w:rPr>
              <w:tab/>
            </w:r>
            <w:r>
              <w:rPr>
                <w:noProof/>
                <w:webHidden/>
              </w:rPr>
              <w:fldChar w:fldCharType="begin"/>
            </w:r>
            <w:r>
              <w:rPr>
                <w:noProof/>
                <w:webHidden/>
              </w:rPr>
              <w:instrText xml:space="preserve"> PAGEREF _Toc190780604 \h </w:instrText>
            </w:r>
            <w:r>
              <w:rPr>
                <w:noProof/>
                <w:webHidden/>
              </w:rPr>
            </w:r>
            <w:r>
              <w:rPr>
                <w:noProof/>
                <w:webHidden/>
              </w:rPr>
              <w:fldChar w:fldCharType="separate"/>
            </w:r>
            <w:r>
              <w:rPr>
                <w:noProof/>
                <w:webHidden/>
              </w:rPr>
              <w:t>103</w:t>
            </w:r>
            <w:r>
              <w:rPr>
                <w:noProof/>
                <w:webHidden/>
              </w:rPr>
              <w:fldChar w:fldCharType="end"/>
            </w:r>
          </w:hyperlink>
        </w:p>
        <w:p w14:paraId="749BF260" w14:textId="091B0868" w:rsidR="0048255D" w:rsidRDefault="0048255D">
          <w:pPr>
            <w:pStyle w:val="TOC1"/>
            <w:tabs>
              <w:tab w:val="right" w:leader="dot" w:pos="10390"/>
            </w:tabs>
            <w:rPr>
              <w:rFonts w:asciiTheme="minorHAnsi" w:eastAsiaTheme="minorEastAsia" w:hAnsiTheme="minorHAnsi" w:cstheme="minorBidi"/>
              <w:noProof/>
              <w:kern w:val="2"/>
              <w:szCs w:val="24"/>
              <w14:ligatures w14:val="standardContextual"/>
            </w:rPr>
          </w:pPr>
          <w:hyperlink w:anchor="_Toc190780605" w:history="1">
            <w:r w:rsidRPr="00807C27">
              <w:rPr>
                <w:rStyle w:val="Hyperlink"/>
                <w:noProof/>
              </w:rPr>
              <w:t>REFERENCES</w:t>
            </w:r>
            <w:r>
              <w:rPr>
                <w:noProof/>
                <w:webHidden/>
              </w:rPr>
              <w:tab/>
            </w:r>
            <w:r>
              <w:rPr>
                <w:noProof/>
                <w:webHidden/>
              </w:rPr>
              <w:fldChar w:fldCharType="begin"/>
            </w:r>
            <w:r>
              <w:rPr>
                <w:noProof/>
                <w:webHidden/>
              </w:rPr>
              <w:instrText xml:space="preserve"> PAGEREF _Toc190780605 \h </w:instrText>
            </w:r>
            <w:r>
              <w:rPr>
                <w:noProof/>
                <w:webHidden/>
              </w:rPr>
            </w:r>
            <w:r>
              <w:rPr>
                <w:noProof/>
                <w:webHidden/>
              </w:rPr>
              <w:fldChar w:fldCharType="separate"/>
            </w:r>
            <w:r>
              <w:rPr>
                <w:noProof/>
                <w:webHidden/>
              </w:rPr>
              <w:t>104</w:t>
            </w:r>
            <w:r>
              <w:rPr>
                <w:noProof/>
                <w:webHidden/>
              </w:rPr>
              <w:fldChar w:fldCharType="end"/>
            </w:r>
          </w:hyperlink>
        </w:p>
        <w:p w14:paraId="0675CDB9" w14:textId="1DAE3E9E"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1831DE">
          <w:pgSz w:w="12240" w:h="15840"/>
          <w:pgMar w:top="1360" w:right="980" w:bottom="1120" w:left="860" w:header="0" w:footer="937" w:gutter="0"/>
          <w:cols w:space="720"/>
        </w:sectPr>
      </w:pPr>
    </w:p>
    <w:p w14:paraId="1CB62EF1" w14:textId="6A589EC6" w:rsidR="004D6D60" w:rsidRDefault="00A4110F" w:rsidP="004D6D60">
      <w:pPr>
        <w:pStyle w:val="Heading1"/>
        <w:ind w:left="0"/>
        <w:rPr>
          <w:rFonts w:asciiTheme="minorHAnsi" w:hAnsiTheme="minorHAnsi"/>
          <w:color w:val="1F497D" w:themeColor="text2"/>
        </w:rPr>
      </w:pPr>
      <w:bookmarkStart w:id="1" w:name="Background:_Emerson_Endoscopy_and_Digest"/>
      <w:bookmarkStart w:id="2" w:name="_Toc190780580"/>
      <w:bookmarkEnd w:id="1"/>
      <w:r w:rsidRPr="00C515CE">
        <w:rPr>
          <w:rFonts w:asciiTheme="minorHAnsi" w:hAnsiTheme="minorHAnsi"/>
          <w:color w:val="1F497D" w:themeColor="text2"/>
        </w:rPr>
        <w:lastRenderedPageBreak/>
        <w:t>Background</w:t>
      </w:r>
      <w:r w:rsidR="00C44A75">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2"/>
    </w:p>
    <w:p w14:paraId="190C1AFE" w14:textId="77777777" w:rsidR="004D6D60" w:rsidRDefault="004D6D60" w:rsidP="007760D9"/>
    <w:p w14:paraId="0F1F1640" w14:textId="10B05FD2" w:rsidR="00784ED9" w:rsidRPr="00784ED9" w:rsidRDefault="00784ED9" w:rsidP="007760D9">
      <w:pPr>
        <w:rPr>
          <w:b/>
          <w:bCs/>
        </w:rPr>
      </w:pPr>
      <w:r w:rsidRPr="00784ED9">
        <w:rPr>
          <w:b/>
          <w:bCs/>
        </w:rPr>
        <w:t>Dana-Farber Cancer Institute, Inc. (Applicant)</w:t>
      </w:r>
    </w:p>
    <w:p w14:paraId="62A61F4E" w14:textId="657F8A15" w:rsidR="000057E6" w:rsidRPr="000057E6" w:rsidRDefault="00D55F06" w:rsidP="00BA2054">
      <w:pPr>
        <w:rPr>
          <w:b/>
          <w:bCs/>
        </w:rPr>
      </w:pPr>
      <w:r>
        <w:t>Dana-Farber Cancer Institute, Inc. (Dana-Farber or Applicant)</w:t>
      </w:r>
      <w:r w:rsidR="002531C4">
        <w:t xml:space="preserve"> </w:t>
      </w:r>
      <w:r w:rsidR="00D80C93">
        <w:t xml:space="preserve">is </w:t>
      </w:r>
      <w:r>
        <w:t>a</w:t>
      </w:r>
      <w:r w:rsidR="00E54F94">
        <w:t xml:space="preserve"> </w:t>
      </w:r>
      <w:r w:rsidR="00C642EF">
        <w:t xml:space="preserve">nonprofit, </w:t>
      </w:r>
      <w:r>
        <w:t xml:space="preserve">acute care </w:t>
      </w:r>
      <w:r w:rsidR="00C642EF">
        <w:t xml:space="preserve">cancer </w:t>
      </w:r>
      <w:r w:rsidR="007C5536">
        <w:t>hospital</w:t>
      </w:r>
      <w:r w:rsidR="004F7E95">
        <w:t xml:space="preserve"> and research institute</w:t>
      </w:r>
      <w:r w:rsidR="007C5536">
        <w:t xml:space="preserve"> dedicated to pediatric and adult cancer treatment and research</w:t>
      </w:r>
      <w:r w:rsidR="00D80C93">
        <w:t>.</w:t>
      </w:r>
      <w:r w:rsidR="00C642EF" w:rsidRPr="00C642EF">
        <w:rPr>
          <w:vertAlign w:val="superscript"/>
        </w:rPr>
        <w:endnoteReference w:id="2"/>
      </w:r>
      <w:r w:rsidR="00D80C93">
        <w:t xml:space="preserve"> </w:t>
      </w:r>
      <w:r w:rsidR="00A34E3B">
        <w:t xml:space="preserve">Dana-Farber is </w:t>
      </w:r>
      <w:r w:rsidR="00227402">
        <w:t>one of 5</w:t>
      </w:r>
      <w:r w:rsidR="00777AC5">
        <w:t>7</w:t>
      </w:r>
      <w:r w:rsidR="00A34E3B">
        <w:t xml:space="preserve"> National Cancer Institute (NCI)</w:t>
      </w:r>
      <w:r w:rsidR="001B3340">
        <w:t>-</w:t>
      </w:r>
      <w:r w:rsidR="004C76C8">
        <w:t xml:space="preserve">Designated </w:t>
      </w:r>
      <w:r w:rsidR="004E015A">
        <w:t>Comprehensive Cancer Center</w:t>
      </w:r>
      <w:r w:rsidR="004F7E95">
        <w:t>s</w:t>
      </w:r>
      <w:r w:rsidR="00911F97" w:rsidRPr="246FCD7D">
        <w:rPr>
          <w:rStyle w:val="FootnoteReference"/>
          <w:rFonts w:asciiTheme="minorHAnsi" w:hAnsiTheme="minorHAnsi"/>
          <w:color w:val="000000" w:themeColor="text1"/>
        </w:rPr>
        <w:footnoteReference w:id="2"/>
      </w:r>
      <w:r w:rsidR="004F7E95">
        <w:t>,</w:t>
      </w:r>
      <w:r w:rsidR="00AC74BC">
        <w:t xml:space="preserve"> a</w:t>
      </w:r>
      <w:r w:rsidR="00227402">
        <w:t>nd</w:t>
      </w:r>
      <w:r w:rsidR="00C642EF">
        <w:t xml:space="preserve"> is the only NCI Designated Comprehensive Cancer Center in Massachusetts</w:t>
      </w:r>
      <w:r w:rsidR="00C642EF" w:rsidRPr="000057E6">
        <w:t>.</w:t>
      </w:r>
      <w:r w:rsidR="00625A06" w:rsidRPr="246FCD7D">
        <w:rPr>
          <w:rStyle w:val="EndnoteReference"/>
          <w:rFonts w:asciiTheme="minorHAnsi" w:hAnsiTheme="minorHAnsi"/>
          <w:color w:val="000000" w:themeColor="text1"/>
        </w:rPr>
        <w:endnoteReference w:id="3"/>
      </w:r>
      <w:r w:rsidR="00E201B8" w:rsidRPr="0028255D" w:rsidDel="00E201B8">
        <w:rPr>
          <w:vertAlign w:val="superscript"/>
        </w:rPr>
        <w:t xml:space="preserve"> </w:t>
      </w:r>
    </w:p>
    <w:p w14:paraId="63784B3B" w14:textId="4FB21019" w:rsidR="00BA7775" w:rsidRPr="00C13A4A" w:rsidRDefault="008C3AA0" w:rsidP="00BA7775">
      <w:r w:rsidRPr="008B2F77">
        <w:t>Dana-Farber</w:t>
      </w:r>
      <w:r w:rsidR="00CF2E3E">
        <w:t>’s</w:t>
      </w:r>
      <w:r w:rsidRPr="008B2F77">
        <w:t xml:space="preserve"> main campus</w:t>
      </w:r>
      <w:r w:rsidR="0068258E">
        <w:t xml:space="preserve">, located </w:t>
      </w:r>
      <w:r w:rsidRPr="008B2F77">
        <w:t>in Boston's Longwood Medical Area</w:t>
      </w:r>
      <w:r w:rsidR="0068258E">
        <w:t>,</w:t>
      </w:r>
      <w:r w:rsidRPr="008B2F77">
        <w:t xml:space="preserve"> provides care for adult and pediatric </w:t>
      </w:r>
      <w:r w:rsidR="00B61444" w:rsidRPr="008B2F77">
        <w:t>patients with cancer</w:t>
      </w:r>
      <w:r w:rsidRPr="008B2F77">
        <w:t>.</w:t>
      </w:r>
      <w:r w:rsidR="00276459" w:rsidRPr="008B2F77">
        <w:t xml:space="preserve"> </w:t>
      </w:r>
      <w:r w:rsidR="003C3258" w:rsidRPr="003C3258">
        <w:t>For the purposes of this DoN application, Longwood is defined to include patients see in Boston and at the Applicant’s site in Chestnut Hill.</w:t>
      </w:r>
      <w:r w:rsidR="003C3258" w:rsidRPr="003C3258">
        <w:rPr>
          <w:vertAlign w:val="superscript"/>
        </w:rPr>
        <w:footnoteReference w:id="3"/>
      </w:r>
      <w:r w:rsidR="003C3258" w:rsidRPr="003C3258">
        <w:t xml:space="preserve"> </w:t>
      </w:r>
      <w:r w:rsidR="00BA7775">
        <w:t xml:space="preserve">The </w:t>
      </w:r>
      <w:r w:rsidR="00BA7775" w:rsidRPr="00214F1E">
        <w:t>Applicant provides outpatient care at its main campus as well as at numerous satellite locations</w:t>
      </w:r>
      <w:r w:rsidR="00206013">
        <w:t xml:space="preserve"> under its license</w:t>
      </w:r>
      <w:r w:rsidR="00BA7775" w:rsidRPr="00214F1E">
        <w:t>.</w:t>
      </w:r>
      <w:r w:rsidR="00BA7775" w:rsidRPr="00214F1E">
        <w:rPr>
          <w:rStyle w:val="FootnoteReference"/>
        </w:rPr>
        <w:footnoteReference w:id="4"/>
      </w:r>
      <w:r w:rsidR="00BA7775">
        <w:t xml:space="preserve"> </w:t>
      </w:r>
    </w:p>
    <w:p w14:paraId="1CCF7F64" w14:textId="77777777" w:rsidR="004D7B6F" w:rsidRDefault="004D7B6F" w:rsidP="00BA2054"/>
    <w:p w14:paraId="00B7A1E7" w14:textId="0BABD219" w:rsidR="000057E6" w:rsidRPr="00C13A4A" w:rsidRDefault="00B35739" w:rsidP="00BA2054">
      <w:r>
        <w:t xml:space="preserve">The Applicant has 30 licensed </w:t>
      </w:r>
      <w:r w:rsidR="009B758D">
        <w:t xml:space="preserve">medical/surgical (M/S) </w:t>
      </w:r>
      <w:r>
        <w:t>beds</w:t>
      </w:r>
      <w:r w:rsidR="005F29AC">
        <w:t xml:space="preserve"> and provides inpatient care through a clinical affiliation with Brigham and Women’s Hospital</w:t>
      </w:r>
      <w:r w:rsidR="000618F8">
        <w:t xml:space="preserve"> (BWH)</w:t>
      </w:r>
      <w:r w:rsidR="005F29AC">
        <w:t xml:space="preserve"> that started in 1997.</w:t>
      </w:r>
      <w:r w:rsidR="00BA49FB">
        <w:t xml:space="preserve"> The Applicant states that a</w:t>
      </w:r>
      <w:r w:rsidR="005F29AC" w:rsidRPr="005F29AC">
        <w:t xml:space="preserve">s part of </w:t>
      </w:r>
      <w:r w:rsidR="00BA49FB">
        <w:t xml:space="preserve">its </w:t>
      </w:r>
      <w:r w:rsidR="005F29AC" w:rsidRPr="005F29AC">
        <w:t>clinical affiliation</w:t>
      </w:r>
      <w:r w:rsidR="00BA49FB">
        <w:t xml:space="preserve"> with BWH,</w:t>
      </w:r>
      <w:r w:rsidR="005F29AC" w:rsidRPr="005F29AC">
        <w:t xml:space="preserve"> Dana-Farber provides </w:t>
      </w:r>
      <w:r w:rsidR="0056313B">
        <w:t xml:space="preserve">all </w:t>
      </w:r>
      <w:r w:rsidR="005F29AC" w:rsidRPr="005F29AC">
        <w:t xml:space="preserve">medical oncology services </w:t>
      </w:r>
      <w:r w:rsidR="00454029">
        <w:t>to BWH, including all inpatient and outpatient medical oncology and hematologic malignancy care</w:t>
      </w:r>
      <w:r w:rsidR="003578E2">
        <w:t>. Dana-Farber attendings staff all 15 inpatient teams, Dana-Farber employed inpatient physician assistants staff 12 teams,</w:t>
      </w:r>
      <w:r w:rsidR="00913190">
        <w:t xml:space="preserve"> and </w:t>
      </w:r>
      <w:r w:rsidR="003578E2">
        <w:t>Dana-Farber provides oversight of all house staff who are training on the inpatient service. The Applicant states further that Dana-Farber provides</w:t>
      </w:r>
      <w:r w:rsidR="00382D6C">
        <w:t xml:space="preserve"> </w:t>
      </w:r>
      <w:r w:rsidR="00AF5F8B">
        <w:t xml:space="preserve">all inpatient </w:t>
      </w:r>
      <w:r w:rsidR="00913190">
        <w:t xml:space="preserve">consultative </w:t>
      </w:r>
      <w:r w:rsidR="002917A8">
        <w:t xml:space="preserve">medical oncology and hematologic malignancy </w:t>
      </w:r>
      <w:r w:rsidR="00913190">
        <w:t>services</w:t>
      </w:r>
      <w:r w:rsidR="002917A8">
        <w:t xml:space="preserve"> throughout BWH</w:t>
      </w:r>
      <w:r w:rsidR="005034C1">
        <w:t>;</w:t>
      </w:r>
      <w:r w:rsidR="005655C7">
        <w:t xml:space="preserve"> Dana-Farber provides</w:t>
      </w:r>
      <w:r w:rsidR="00063D9B">
        <w:t xml:space="preserve"> </w:t>
      </w:r>
      <w:r w:rsidR="00572EA9">
        <w:t>oncology consultative services for the BWH pharmacy</w:t>
      </w:r>
      <w:r w:rsidR="00156825">
        <w:t>;</w:t>
      </w:r>
      <w:r w:rsidR="00572EA9">
        <w:t xml:space="preserve"> and </w:t>
      </w:r>
      <w:r w:rsidR="006127E1">
        <w:t xml:space="preserve">Dana-Farber provides </w:t>
      </w:r>
      <w:r w:rsidR="00572EA9">
        <w:t>research support for inpatient oncology clinical trials</w:t>
      </w:r>
      <w:r w:rsidR="00974043">
        <w:t>.</w:t>
      </w:r>
      <w:r w:rsidR="00D96683" w:rsidRPr="00D96683">
        <w:rPr>
          <w:vertAlign w:val="superscript"/>
        </w:rPr>
        <w:footnoteReference w:id="5"/>
      </w:r>
      <w:r w:rsidR="00D96683" w:rsidRPr="00D96683">
        <w:rPr>
          <w:vertAlign w:val="superscript"/>
        </w:rPr>
        <w:t xml:space="preserve"> </w:t>
      </w:r>
      <w:r w:rsidR="00C03974">
        <w:t xml:space="preserve">The Applicant states that </w:t>
      </w:r>
      <w:r w:rsidR="005F29AC" w:rsidRPr="005F29AC">
        <w:t>BWH provides</w:t>
      </w:r>
      <w:r w:rsidR="007C2990">
        <w:t xml:space="preserve"> surgical oncology </w:t>
      </w:r>
      <w:r w:rsidR="001A1902">
        <w:t>services, radiology services, pathology services,</w:t>
      </w:r>
      <w:r w:rsidR="00C640EE">
        <w:t xml:space="preserve"> </w:t>
      </w:r>
      <w:r w:rsidR="001A1902">
        <w:t>and radiation therapy services</w:t>
      </w:r>
      <w:r w:rsidR="005F29AC" w:rsidRPr="005F29AC">
        <w:t>.</w:t>
      </w:r>
      <w:r w:rsidR="000618F8">
        <w:rPr>
          <w:vertAlign w:val="superscript"/>
        </w:rPr>
        <w:t xml:space="preserve"> </w:t>
      </w:r>
      <w:r w:rsidR="00FA33E3" w:rsidRPr="00FA33E3">
        <w:t>The Applicant</w:t>
      </w:r>
      <w:r w:rsidR="006E3135">
        <w:t>’s</w:t>
      </w:r>
      <w:r w:rsidR="00500FDC">
        <w:t xml:space="preserve"> 30</w:t>
      </w:r>
      <w:r w:rsidR="00FA33E3" w:rsidRPr="00FA33E3">
        <w:t xml:space="preserve"> licensed beds</w:t>
      </w:r>
      <w:r w:rsidR="006E3135">
        <w:t xml:space="preserve"> are</w:t>
      </w:r>
      <w:r w:rsidR="00FA33E3" w:rsidRPr="00FA33E3">
        <w:t xml:space="preserve"> located in a space that is leased to the Applicant by BWH, </w:t>
      </w:r>
      <w:r w:rsidR="00500FDC">
        <w:t xml:space="preserve">and that are </w:t>
      </w:r>
      <w:r w:rsidR="00FA33E3" w:rsidRPr="00FA33E3">
        <w:t xml:space="preserve">situated among </w:t>
      </w:r>
      <w:r w:rsidR="00775B27">
        <w:t xml:space="preserve">BWH licensed </w:t>
      </w:r>
      <w:r w:rsidR="00FA33E3" w:rsidRPr="00FA33E3">
        <w:t>beds</w:t>
      </w:r>
      <w:r w:rsidR="00920C2E">
        <w:t xml:space="preserve">. </w:t>
      </w:r>
      <w:r w:rsidR="004D6231">
        <w:t xml:space="preserve">The Applicant </w:t>
      </w:r>
      <w:r w:rsidR="007C1991">
        <w:t xml:space="preserve">states that it </w:t>
      </w:r>
      <w:r w:rsidR="004D6231">
        <w:t xml:space="preserve">provides </w:t>
      </w:r>
      <w:r w:rsidR="001036A3">
        <w:t>medical oncology services to patients</w:t>
      </w:r>
      <w:r w:rsidR="004D6231">
        <w:t xml:space="preserve"> in its own licensed beds </w:t>
      </w:r>
      <w:r w:rsidR="00C640EE">
        <w:t>and</w:t>
      </w:r>
      <w:r w:rsidR="004D6231">
        <w:t xml:space="preserve"> </w:t>
      </w:r>
      <w:r w:rsidR="00A53E13">
        <w:t xml:space="preserve">to patients in certain BWH-licensed beds </w:t>
      </w:r>
      <w:r w:rsidR="008835BE">
        <w:t>which</w:t>
      </w:r>
      <w:r w:rsidR="00A53E13">
        <w:t xml:space="preserve"> are dispersed </w:t>
      </w:r>
      <w:r w:rsidR="006A33AC">
        <w:t xml:space="preserve">across multiple locations within BWH. </w:t>
      </w:r>
    </w:p>
    <w:p w14:paraId="70CD7AB9" w14:textId="77777777" w:rsidR="000057E6" w:rsidRDefault="000057E6" w:rsidP="00BA2054"/>
    <w:p w14:paraId="70F18E04" w14:textId="77777777" w:rsidR="003C51BD" w:rsidRDefault="4BCD408C" w:rsidP="00E46AE0">
      <w:r>
        <w:t xml:space="preserve">The Applicant </w:t>
      </w:r>
      <w:r w:rsidR="058590A1">
        <w:t>announ</w:t>
      </w:r>
      <w:r w:rsidR="4F878FC3">
        <w:t>c</w:t>
      </w:r>
      <w:r w:rsidR="058590A1">
        <w:t>ed that it will</w:t>
      </w:r>
      <w:r>
        <w:t xml:space="preserve"> end its clinical affiliation with BWH, stating </w:t>
      </w:r>
      <w:r w:rsidR="340254F4">
        <w:t xml:space="preserve">developments in </w:t>
      </w:r>
      <w:r w:rsidR="340254F4">
        <w:lastRenderedPageBreak/>
        <w:t>cancer care require that</w:t>
      </w:r>
      <w:r>
        <w:t xml:space="preserve"> operational and decision-making authority be vested in one entity for all medical oncology beds to best serve patients and </w:t>
      </w:r>
      <w:r w:rsidR="5A5BD7CF">
        <w:t xml:space="preserve">to </w:t>
      </w:r>
      <w:r>
        <w:t>ensure the best outcomes</w:t>
      </w:r>
      <w:r w:rsidR="00E1647D">
        <w:t xml:space="preserve"> for patients</w:t>
      </w:r>
      <w:r>
        <w:t>.</w:t>
      </w:r>
      <w:r w:rsidRPr="09B908E4">
        <w:rPr>
          <w:b/>
          <w:bCs/>
        </w:rPr>
        <w:t xml:space="preserve"> </w:t>
      </w:r>
      <w:r w:rsidR="7AB90006">
        <w:t>The Applicant maintains that vesting of operational and decision-making authority within a dedicated cancer center can improve quality of care and the patient experience while decreasing cost</w:t>
      </w:r>
      <w:r w:rsidR="00122566">
        <w:t>s</w:t>
      </w:r>
      <w:r w:rsidR="7AB90006">
        <w:t xml:space="preserve"> and unnecessary inpatient care</w:t>
      </w:r>
      <w:r w:rsidR="008F00A8">
        <w:t xml:space="preserve">, and that research supports improved outcomes for patients with cancer treated in dedicated cancer </w:t>
      </w:r>
      <w:r w:rsidR="003B5A2F">
        <w:t>hospitals</w:t>
      </w:r>
      <w:r w:rsidR="7AB90006">
        <w:t xml:space="preserve">. </w:t>
      </w:r>
    </w:p>
    <w:p w14:paraId="69F78A04" w14:textId="77777777" w:rsidR="003C51BD" w:rsidRDefault="003C51BD" w:rsidP="00E46AE0"/>
    <w:p w14:paraId="6394F108" w14:textId="3A49DD02" w:rsidR="00E46AE0" w:rsidRPr="00E46AE0" w:rsidRDefault="00533BA9" w:rsidP="00E46AE0">
      <w:r>
        <w:t>The</w:t>
      </w:r>
      <w:r w:rsidR="77CDC79B">
        <w:t xml:space="preserve"> Applicant explained </w:t>
      </w:r>
      <w:r w:rsidR="520F5019">
        <w:t>that the proposed, dedicated cancer hospital w</w:t>
      </w:r>
      <w:r>
        <w:t>ill have</w:t>
      </w:r>
      <w:r w:rsidR="520F5019">
        <w:t xml:space="preserve"> centralized operational and decision-making authority</w:t>
      </w:r>
      <w:r w:rsidR="002F3FD2">
        <w:t xml:space="preserve"> organized around the care of patients with cancer</w:t>
      </w:r>
      <w:r w:rsidR="520F5019">
        <w:t xml:space="preserve">. </w:t>
      </w:r>
      <w:r w:rsidR="009B594A">
        <w:t xml:space="preserve">The Applicant </w:t>
      </w:r>
      <w:r w:rsidR="008C1821">
        <w:t>states</w:t>
      </w:r>
      <w:r w:rsidR="009B594A">
        <w:t xml:space="preserve"> that </w:t>
      </w:r>
      <w:r w:rsidR="004377E8">
        <w:t>through the</w:t>
      </w:r>
      <w:r w:rsidR="0003194B">
        <w:t xml:space="preserve"> Proposed Project</w:t>
      </w:r>
      <w:r w:rsidR="008C1821">
        <w:t>,</w:t>
      </w:r>
      <w:r w:rsidR="0003194B">
        <w:t xml:space="preserve"> </w:t>
      </w:r>
      <w:r w:rsidR="79AD52FA">
        <w:t xml:space="preserve">Dana-Farber patients </w:t>
      </w:r>
      <w:r w:rsidR="004377E8">
        <w:t xml:space="preserve">will </w:t>
      </w:r>
      <w:r w:rsidR="5C5F608B">
        <w:t xml:space="preserve">have an oncology care team </w:t>
      </w:r>
      <w:r w:rsidR="49A45466">
        <w:t xml:space="preserve">that </w:t>
      </w:r>
      <w:r w:rsidR="6B0DB4E3">
        <w:t>is</w:t>
      </w:r>
      <w:r w:rsidR="49A45466">
        <w:t xml:space="preserve"> trained to understand the disease and symptoms of, and individual treatment regimens</w:t>
      </w:r>
      <w:r w:rsidR="00EA105D">
        <w:t xml:space="preserve">, </w:t>
      </w:r>
      <w:r w:rsidR="49A45466">
        <w:t>for cancer</w:t>
      </w:r>
      <w:r w:rsidR="00F2148B">
        <w:t xml:space="preserve">, and </w:t>
      </w:r>
      <w:r w:rsidR="00891E69">
        <w:t xml:space="preserve">that this model of care will be </w:t>
      </w:r>
      <w:r w:rsidR="00457011">
        <w:t xml:space="preserve">supported by </w:t>
      </w:r>
      <w:r w:rsidR="69DEB7C1">
        <w:t xml:space="preserve">Dana-Farber’s multidisciplinary care teams </w:t>
      </w:r>
      <w:r w:rsidR="007F4161">
        <w:t xml:space="preserve">all </w:t>
      </w:r>
      <w:r w:rsidR="69DEB7C1">
        <w:t>specializ</w:t>
      </w:r>
      <w:r w:rsidR="00BC3193">
        <w:t>ing</w:t>
      </w:r>
      <w:r w:rsidR="69DEB7C1">
        <w:t xml:space="preserve"> in the unique issues that arise </w:t>
      </w:r>
      <w:r w:rsidR="006621FC">
        <w:t xml:space="preserve">for patients with </w:t>
      </w:r>
      <w:r w:rsidR="00EB0C09">
        <w:t>cancer</w:t>
      </w:r>
      <w:r w:rsidR="69DEB7C1">
        <w:t xml:space="preserve">. </w:t>
      </w:r>
      <w:r w:rsidR="00E46AE0" w:rsidRPr="00E46AE0">
        <w:t xml:space="preserve">The Applicant notes that Dana-Farber already develops infrastructure dedicated to oncology care that improves the patient experience, </w:t>
      </w:r>
      <w:r w:rsidR="00767D22">
        <w:t>citing the example of</w:t>
      </w:r>
      <w:r w:rsidR="00E46AE0" w:rsidRPr="00E46AE0">
        <w:t xml:space="preserve"> its </w:t>
      </w:r>
      <w:r w:rsidR="003F338F">
        <w:t xml:space="preserve">oncology-specific </w:t>
      </w:r>
      <w:r w:rsidR="00E46AE0" w:rsidRPr="00E46AE0">
        <w:t xml:space="preserve">Acute Care Clinic, described in more detail below in Factor 1a. The Applicant states that another reason to vest operational and decision-making authority in one entity is because the policies of general hospitals don’t always serve the unique needs of the cancer population, citing conflicting recommendations regarding infection control policies and differences in benchmarking data, both of which are discussed in more detail in Factor 1b. </w:t>
      </w:r>
    </w:p>
    <w:p w14:paraId="45CF5999" w14:textId="77777777" w:rsidR="00E2061E" w:rsidRDefault="00E2061E" w:rsidP="00BA2054">
      <w:pPr>
        <w:rPr>
          <w:b/>
          <w:bCs/>
        </w:rPr>
      </w:pPr>
    </w:p>
    <w:p w14:paraId="43C6B10C" w14:textId="1DBFCBEA" w:rsidR="009C4026" w:rsidRDefault="00D5767F" w:rsidP="00BA2054">
      <w:pPr>
        <w:rPr>
          <w:b/>
          <w:bCs/>
        </w:rPr>
      </w:pPr>
      <w:r>
        <w:t>The</w:t>
      </w:r>
      <w:r w:rsidR="00D94720">
        <w:t xml:space="preserve"> Massachusetts Health Policy Commission (HPC) states that t</w:t>
      </w:r>
      <w:r w:rsidR="4C10E9C4" w:rsidRPr="004F7E95">
        <w:t xml:space="preserve">he current </w:t>
      </w:r>
      <w:r w:rsidR="00E46AE0">
        <w:t xml:space="preserve">clinical affiliation </w:t>
      </w:r>
      <w:r w:rsidR="4C10E9C4" w:rsidRPr="004F7E95">
        <w:t>between D</w:t>
      </w:r>
      <w:r w:rsidR="4C10E9C4">
        <w:t xml:space="preserve">ana-Farber </w:t>
      </w:r>
      <w:r w:rsidR="4C10E9C4" w:rsidRPr="004F7E95">
        <w:t>and BWH will run until at least 2028</w:t>
      </w:r>
      <w:r w:rsidR="00D94720">
        <w:t>, and at</w:t>
      </w:r>
      <w:r w:rsidR="4C10E9C4" w:rsidRPr="004F7E95">
        <w:t xml:space="preserve"> its conclusion, </w:t>
      </w:r>
      <w:r w:rsidR="78F79331">
        <w:t>Beth Israel</w:t>
      </w:r>
      <w:r w:rsidR="108FE448">
        <w:t xml:space="preserve"> Deaconess</w:t>
      </w:r>
      <w:r w:rsidR="78F79331">
        <w:t xml:space="preserve"> Medical Center (</w:t>
      </w:r>
      <w:r w:rsidR="78F79331" w:rsidRPr="00D80C93">
        <w:t>BIDMC</w:t>
      </w:r>
      <w:r w:rsidR="78F79331">
        <w:t>)</w:t>
      </w:r>
      <w:r w:rsidR="78F79331" w:rsidRPr="00D80C93">
        <w:t xml:space="preserve">, </w:t>
      </w:r>
      <w:r w:rsidR="62FDB857" w:rsidRPr="00E558F5">
        <w:t>a</w:t>
      </w:r>
      <w:r w:rsidR="005929E4">
        <w:t xml:space="preserve"> </w:t>
      </w:r>
      <w:r w:rsidR="62FDB857" w:rsidRPr="00E558F5">
        <w:t>nonprofit academic medical center (AMC)</w:t>
      </w:r>
      <w:r w:rsidR="62FDB857">
        <w:t xml:space="preserve">; </w:t>
      </w:r>
      <w:r w:rsidR="4B02DDC6">
        <w:t>Harvard Medical Faculty Physicians a</w:t>
      </w:r>
      <w:r w:rsidR="4C10E9C4">
        <w:t>t</w:t>
      </w:r>
      <w:r w:rsidR="4B02DDC6">
        <w:t xml:space="preserve"> BIDMC (</w:t>
      </w:r>
      <w:r w:rsidR="78F79331" w:rsidRPr="00D80C93">
        <w:t>HMFP</w:t>
      </w:r>
      <w:r w:rsidR="4B02DDC6">
        <w:t>), the employed physician group of BIDMC</w:t>
      </w:r>
      <w:r w:rsidR="62FDB857" w:rsidRPr="00E558F5">
        <w:t xml:space="preserve"> that staff BIDMC and other B</w:t>
      </w:r>
      <w:r w:rsidR="62FDB857">
        <w:t>eth Israel Lahey Health (BILH)</w:t>
      </w:r>
      <w:r w:rsidR="62FDB857" w:rsidRPr="00E558F5">
        <w:t xml:space="preserve"> facilities and community hospitals</w:t>
      </w:r>
      <w:r w:rsidR="62FDB857">
        <w:t>;</w:t>
      </w:r>
      <w:r w:rsidR="78F79331" w:rsidRPr="00D80C93">
        <w:t xml:space="preserve"> and Dana</w:t>
      </w:r>
      <w:r w:rsidR="4B02DDC6">
        <w:t>-</w:t>
      </w:r>
      <w:r w:rsidR="78F79331" w:rsidRPr="00D80C93">
        <w:t xml:space="preserve">Farber </w:t>
      </w:r>
      <w:r w:rsidR="4B02DDC6">
        <w:t>are proposing</w:t>
      </w:r>
      <w:r w:rsidR="78F79331" w:rsidRPr="00D80C93">
        <w:t xml:space="preserve"> to enter into a clinical collaboration to provide coordinated and integrated cancer care for adults</w:t>
      </w:r>
      <w:r w:rsidR="6CCAD256">
        <w:t xml:space="preserve"> in the Longwood Medical Area of Boston</w:t>
      </w:r>
      <w:r w:rsidR="78F79331" w:rsidRPr="00D80C93">
        <w:t>.</w:t>
      </w:r>
      <w:r w:rsidR="00A63764" w:rsidRPr="00A63764">
        <w:rPr>
          <w:vertAlign w:val="superscript"/>
        </w:rPr>
        <w:endnoteReference w:id="4"/>
      </w:r>
      <w:r w:rsidR="78F79331" w:rsidRPr="00A63764">
        <w:rPr>
          <w:b/>
        </w:rPr>
        <w:t xml:space="preserve"> </w:t>
      </w:r>
      <w:r w:rsidR="00D94720">
        <w:t xml:space="preserve">The HPC states that </w:t>
      </w:r>
      <w:r w:rsidR="009C4026">
        <w:t xml:space="preserve">DFCI and BIDMC </w:t>
      </w:r>
      <w:r w:rsidR="335753BE">
        <w:t xml:space="preserve">will remain </w:t>
      </w:r>
      <w:r w:rsidR="62FDB857">
        <w:t xml:space="preserve">corporately </w:t>
      </w:r>
      <w:r w:rsidR="335753BE">
        <w:t>independent</w:t>
      </w:r>
      <w:r w:rsidR="00767D22">
        <w:t xml:space="preserve">, </w:t>
      </w:r>
      <w:r w:rsidR="62FDB857" w:rsidRPr="00E558F5">
        <w:t xml:space="preserve">BIDMC and HMFP </w:t>
      </w:r>
      <w:r w:rsidR="31CD950E">
        <w:t>will</w:t>
      </w:r>
      <w:r w:rsidR="62FDB857" w:rsidRPr="00E558F5">
        <w:t xml:space="preserve"> continue to contract with payors independently from D</w:t>
      </w:r>
      <w:r w:rsidR="62FDB857">
        <w:t>ana-Farber</w:t>
      </w:r>
      <w:r w:rsidR="62FDB857" w:rsidRPr="00E558F5">
        <w:t>.</w:t>
      </w:r>
      <w:r w:rsidR="00E558F5" w:rsidRPr="00E558F5">
        <w:rPr>
          <w:vertAlign w:val="superscript"/>
        </w:rPr>
        <w:endnoteReference w:id="5"/>
      </w:r>
      <w:r w:rsidR="7261F707">
        <w:rPr>
          <w:b/>
          <w:bCs/>
        </w:rPr>
        <w:t xml:space="preserve"> </w:t>
      </w:r>
    </w:p>
    <w:p w14:paraId="1A9274F2" w14:textId="77777777" w:rsidR="009C4026" w:rsidRDefault="009C4026" w:rsidP="00BA2054">
      <w:pPr>
        <w:rPr>
          <w:b/>
          <w:bCs/>
        </w:rPr>
      </w:pPr>
    </w:p>
    <w:p w14:paraId="6234861D" w14:textId="547E09A8" w:rsidR="00625A06" w:rsidRDefault="3F6653A4" w:rsidP="00BA2054">
      <w:r>
        <w:t>The proposed collaboration</w:t>
      </w:r>
      <w:r w:rsidR="00F5177A">
        <w:t xml:space="preserve"> between Dana-Farber</w:t>
      </w:r>
      <w:r w:rsidR="009713AD">
        <w:t xml:space="preserve">, </w:t>
      </w:r>
      <w:r w:rsidR="00F5177A">
        <w:t>BIDMC</w:t>
      </w:r>
      <w:r w:rsidR="009713AD">
        <w:t xml:space="preserve">, and </w:t>
      </w:r>
      <w:r w:rsidR="009713AD" w:rsidRPr="009713AD">
        <w:t>HMFP</w:t>
      </w:r>
      <w:r w:rsidR="009713AD">
        <w:t xml:space="preserve"> </w:t>
      </w:r>
      <w:r>
        <w:t xml:space="preserve">includes a plan to </w:t>
      </w:r>
      <w:r w:rsidR="30E87536">
        <w:t>build</w:t>
      </w:r>
      <w:r>
        <w:t xml:space="preserve"> </w:t>
      </w:r>
      <w:r w:rsidRPr="00C642EF">
        <w:t xml:space="preserve">a new </w:t>
      </w:r>
      <w:r>
        <w:t xml:space="preserve">freestanding, </w:t>
      </w:r>
      <w:r w:rsidR="38D636D3">
        <w:t xml:space="preserve">inpatient hospital </w:t>
      </w:r>
      <w:r>
        <w:t xml:space="preserve">dedicated </w:t>
      </w:r>
      <w:r w:rsidR="38D636D3">
        <w:t xml:space="preserve">to </w:t>
      </w:r>
      <w:r>
        <w:t>adult</w:t>
      </w:r>
      <w:r w:rsidRPr="00C642EF">
        <w:t xml:space="preserve"> </w:t>
      </w:r>
      <w:r w:rsidR="23A1CABF">
        <w:t>patients with cancer</w:t>
      </w:r>
      <w:r>
        <w:t>.</w:t>
      </w:r>
      <w:r w:rsidR="30E87536">
        <w:t xml:space="preserve"> The proposed </w:t>
      </w:r>
      <w:r w:rsidR="6274484B">
        <w:t>hospital</w:t>
      </w:r>
      <w:r w:rsidR="30E87536">
        <w:t xml:space="preserve"> </w:t>
      </w:r>
      <w:r w:rsidR="30E87536" w:rsidRPr="00625A06">
        <w:t>will be located in the Longwood Medical Area</w:t>
      </w:r>
      <w:r w:rsidR="62FDB857">
        <w:t xml:space="preserve"> </w:t>
      </w:r>
      <w:r w:rsidR="62FDB857" w:rsidRPr="00E558F5">
        <w:t>at 1 Joslin Place, Boston</w:t>
      </w:r>
      <w:r w:rsidR="30E87536" w:rsidRPr="00625A06">
        <w:t>, adjacent to existing Dana-Farber and BIDMC facilities</w:t>
      </w:r>
      <w:r w:rsidR="30E87536">
        <w:t xml:space="preserve"> and will operate under the license of Dana-Farber.</w:t>
      </w:r>
      <w:r w:rsidRPr="00C642EF">
        <w:t xml:space="preserve"> </w:t>
      </w:r>
      <w:r w:rsidR="724FC7D0">
        <w:t>I</w:t>
      </w:r>
      <w:r w:rsidR="30E87536" w:rsidRPr="00625A06">
        <w:t xml:space="preserve">f approved, </w:t>
      </w:r>
      <w:r w:rsidR="724FC7D0">
        <w:t xml:space="preserve">it </w:t>
      </w:r>
      <w:r w:rsidR="30E87536" w:rsidRPr="00625A06">
        <w:t xml:space="preserve">will be the only freestanding inpatient hospital dedicated to adult </w:t>
      </w:r>
      <w:r w:rsidR="23A1CABF">
        <w:t xml:space="preserve">patients with </w:t>
      </w:r>
      <w:r w:rsidR="30E87536" w:rsidRPr="00625A06">
        <w:t xml:space="preserve">cancer in </w:t>
      </w:r>
      <w:r w:rsidR="0091328C">
        <w:t>the region</w:t>
      </w:r>
      <w:r w:rsidR="30E87536" w:rsidRPr="00625A06">
        <w:t>.</w:t>
      </w:r>
      <w:r w:rsidR="5DC2F1C2">
        <w:t xml:space="preserve"> Currently, the Applicant collaborates with</w:t>
      </w:r>
      <w:r w:rsidR="18A80608">
        <w:t xml:space="preserve"> The Children’s Hospital Corporation (Boston Children’s Hospital) for the provision of pediatric </w:t>
      </w:r>
      <w:r w:rsidR="007F5CB9">
        <w:t xml:space="preserve">oncology </w:t>
      </w:r>
      <w:r w:rsidR="18A80608">
        <w:t xml:space="preserve">services on the Longwood Medical Campus. The Applicant </w:t>
      </w:r>
      <w:r w:rsidR="00800FB4">
        <w:t>affirms</w:t>
      </w:r>
      <w:r w:rsidR="18A80608">
        <w:t xml:space="preserve"> that the</w:t>
      </w:r>
      <w:r w:rsidR="224A8B54">
        <w:t xml:space="preserve"> Proposed Project, and the Applicant’s proposed affiliation with BIDMC, will not impact </w:t>
      </w:r>
      <w:r w:rsidR="5318ADB1">
        <w:t>its</w:t>
      </w:r>
      <w:r w:rsidR="224A8B54">
        <w:t xml:space="preserve"> relationship with </w:t>
      </w:r>
      <w:r w:rsidR="73DB50C4">
        <w:t>Boston Children’s Hospital.</w:t>
      </w:r>
    </w:p>
    <w:p w14:paraId="1FA1575C" w14:textId="77777777" w:rsidR="001668BA" w:rsidRPr="00594FCC" w:rsidRDefault="001668BA" w:rsidP="00BA2054">
      <w:pPr>
        <w:rPr>
          <w:b/>
          <w:bCs/>
        </w:rPr>
      </w:pPr>
    </w:p>
    <w:p w14:paraId="6132017D" w14:textId="77777777" w:rsidR="00D55F06" w:rsidRDefault="00D55F06" w:rsidP="00BA2054">
      <w:pPr>
        <w:pStyle w:val="Heading1"/>
        <w:ind w:left="0"/>
        <w:rPr>
          <w:rFonts w:asciiTheme="minorHAnsi" w:hAnsiTheme="minorHAnsi"/>
          <w:color w:val="1F497D" w:themeColor="text2"/>
        </w:rPr>
      </w:pPr>
    </w:p>
    <w:p w14:paraId="38015343" w14:textId="14338F46" w:rsidR="00B447F3" w:rsidRPr="004D6D60" w:rsidRDefault="00A4110F" w:rsidP="00BA2054">
      <w:pPr>
        <w:rPr>
          <w:rFonts w:asciiTheme="minorHAnsi" w:hAnsiTheme="minorHAnsi"/>
          <w:b/>
          <w:bCs/>
          <w:color w:val="1F497D" w:themeColor="text2"/>
        </w:rPr>
      </w:pPr>
      <w:r w:rsidRPr="004D6D60">
        <w:rPr>
          <w:b/>
          <w:bCs/>
        </w:rPr>
        <w:lastRenderedPageBreak/>
        <w:t>Application Overview</w:t>
      </w:r>
    </w:p>
    <w:p w14:paraId="4CD8AD63" w14:textId="3ED3416F" w:rsidR="00E65AB1" w:rsidRDefault="00E65AB1" w:rsidP="00BA2054">
      <w:r w:rsidRPr="00FA1DD3">
        <w:t xml:space="preserve">The </w:t>
      </w:r>
      <w:r w:rsidR="00374BA6">
        <w:t>Proposed Project includes</w:t>
      </w:r>
      <w:r w:rsidR="00DD22EC">
        <w:t xml:space="preserve"> the</w:t>
      </w:r>
      <w:r w:rsidR="00374BA6">
        <w:t xml:space="preserve"> </w:t>
      </w:r>
      <w:r>
        <w:t>acquisition of site by lease</w:t>
      </w:r>
      <w:r w:rsidRPr="00FA1DD3">
        <w:t xml:space="preserve"> and construction, fit-out, and equipping of an approximately</w:t>
      </w:r>
      <w:r>
        <w:t xml:space="preserve"> 688,100 square-</w:t>
      </w:r>
      <w:r w:rsidRPr="00FA1DD3">
        <w:t xml:space="preserve">foot </w:t>
      </w:r>
      <w:r>
        <w:t xml:space="preserve">inpatient </w:t>
      </w:r>
      <w:r w:rsidR="00FF332A">
        <w:t xml:space="preserve">cancer </w:t>
      </w:r>
      <w:r>
        <w:t xml:space="preserve">hospital </w:t>
      </w:r>
      <w:r w:rsidR="00DD22EC">
        <w:t xml:space="preserve">that will </w:t>
      </w:r>
      <w:r>
        <w:t xml:space="preserve">be located </w:t>
      </w:r>
      <w:r w:rsidRPr="00FA1DD3">
        <w:t xml:space="preserve">at </w:t>
      </w:r>
      <w:bookmarkStart w:id="3" w:name="_Hlk144392686"/>
      <w:r>
        <w:t>1 Joslin Place</w:t>
      </w:r>
      <w:bookmarkEnd w:id="3"/>
      <w:r>
        <w:t>, Boston, M</w:t>
      </w:r>
      <w:r w:rsidR="005512A1">
        <w:t>A</w:t>
      </w:r>
      <w:r w:rsidR="00AF175B">
        <w:t xml:space="preserve">. The proposed </w:t>
      </w:r>
      <w:r w:rsidR="00030D60">
        <w:t>hospital</w:t>
      </w:r>
      <w:r w:rsidR="00AF175B">
        <w:t xml:space="preserve"> will</w:t>
      </w:r>
      <w:r w:rsidR="0013384B">
        <w:t xml:space="preserve"> focus on cancer care for adults and will</w:t>
      </w:r>
      <w:r w:rsidR="00AF175B">
        <w:t xml:space="preserve"> include the following</w:t>
      </w:r>
      <w:r>
        <w:t xml:space="preserve">: </w:t>
      </w:r>
    </w:p>
    <w:p w14:paraId="53A59D25" w14:textId="7342CE59" w:rsidR="00E65AB1" w:rsidRDefault="00E65AB1" w:rsidP="00BA2054">
      <w:pPr>
        <w:pStyle w:val="ListParagraph"/>
        <w:numPr>
          <w:ilvl w:val="0"/>
          <w:numId w:val="1"/>
        </w:numPr>
      </w:pPr>
      <w:r w:rsidRPr="34CE0AE4">
        <w:rPr>
          <w:b/>
          <w:bCs/>
        </w:rPr>
        <w:t>300</w:t>
      </w:r>
      <w:r>
        <w:t xml:space="preserve"> adult inpatient beds</w:t>
      </w:r>
      <w:r w:rsidR="00716AF5">
        <w:t xml:space="preserve"> (280 medical surgical (M/S)</w:t>
      </w:r>
      <w:r w:rsidR="00C955A7">
        <w:t xml:space="preserve"> and </w:t>
      </w:r>
      <w:r w:rsidR="00716AF5">
        <w:t>20 Intensive Care Unit (</w:t>
      </w:r>
      <w:r w:rsidR="00B17541">
        <w:t>ICU)</w:t>
      </w:r>
      <w:r w:rsidR="006F3A9D">
        <w:t>)</w:t>
      </w:r>
      <w:r>
        <w:t>,</w:t>
      </w:r>
      <w:r w:rsidR="00653B29">
        <w:t xml:space="preserve"> 270</w:t>
      </w:r>
      <w:r w:rsidR="00C955A7">
        <w:t xml:space="preserve"> (250 M/S and 20 ICU)</w:t>
      </w:r>
      <w:r w:rsidR="00653B29">
        <w:t xml:space="preserve"> </w:t>
      </w:r>
      <w:r w:rsidR="007D21E3">
        <w:t>will</w:t>
      </w:r>
      <w:r w:rsidR="00956CEB">
        <w:t xml:space="preserve"> represent </w:t>
      </w:r>
      <w:r w:rsidR="00653B29">
        <w:t xml:space="preserve">new beds, </w:t>
      </w:r>
      <w:r w:rsidR="001049A7">
        <w:t xml:space="preserve">and 30 </w:t>
      </w:r>
      <w:r w:rsidR="007D21E3">
        <w:t>will</w:t>
      </w:r>
      <w:r w:rsidR="00956CEB">
        <w:t xml:space="preserve"> be transferred from the Applicant’s current bed complement at</w:t>
      </w:r>
      <w:r w:rsidR="00F57A9D">
        <w:t xml:space="preserve"> Brigham and Women’s Hospital</w:t>
      </w:r>
      <w:r w:rsidR="005230AC">
        <w:t>,</w:t>
      </w:r>
      <w:r w:rsidR="00956CEB">
        <w:t xml:space="preserve"> 75 Francis Street</w:t>
      </w:r>
      <w:r w:rsidR="00055393">
        <w:t>;</w:t>
      </w:r>
      <w:r w:rsidR="001049A7">
        <w:t xml:space="preserve"> </w:t>
      </w:r>
    </w:p>
    <w:p w14:paraId="47A5AA70" w14:textId="6853C100" w:rsidR="00E43F8A" w:rsidRDefault="00E43F8A" w:rsidP="00BA2054">
      <w:pPr>
        <w:pStyle w:val="ListParagraph"/>
        <w:numPr>
          <w:ilvl w:val="0"/>
          <w:numId w:val="1"/>
        </w:numPr>
      </w:pPr>
      <w:r>
        <w:rPr>
          <w:b/>
          <w:bCs/>
        </w:rPr>
        <w:t xml:space="preserve">20 </w:t>
      </w:r>
      <w:r w:rsidR="001049A7">
        <w:rPr>
          <w:b/>
          <w:bCs/>
        </w:rPr>
        <w:t xml:space="preserve">new </w:t>
      </w:r>
      <w:r>
        <w:t>Observation Beds</w:t>
      </w:r>
      <w:r w:rsidR="00055393">
        <w:t>;</w:t>
      </w:r>
      <w:r>
        <w:t xml:space="preserve"> </w:t>
      </w:r>
    </w:p>
    <w:p w14:paraId="40375339" w14:textId="039FAA96" w:rsidR="006C1425" w:rsidRPr="003B2CD4" w:rsidRDefault="006C1425" w:rsidP="006C1425">
      <w:pPr>
        <w:pStyle w:val="TableParagraph"/>
        <w:numPr>
          <w:ilvl w:val="0"/>
          <w:numId w:val="1"/>
        </w:numPr>
        <w:rPr>
          <w:rFonts w:asciiTheme="minorHAnsi" w:hAnsiTheme="minorHAnsi"/>
          <w:szCs w:val="24"/>
        </w:rPr>
      </w:pPr>
      <w:r w:rsidRPr="003B2CD4">
        <w:rPr>
          <w:rFonts w:asciiTheme="minorHAnsi" w:hAnsiTheme="minorHAnsi"/>
          <w:b/>
          <w:bCs/>
          <w:szCs w:val="24"/>
        </w:rPr>
        <w:t>Two</w:t>
      </w:r>
      <w:r w:rsidRPr="003B2CD4">
        <w:rPr>
          <w:rFonts w:asciiTheme="minorHAnsi" w:hAnsiTheme="minorHAnsi"/>
          <w:szCs w:val="24"/>
        </w:rPr>
        <w:t xml:space="preserve"> new magnetic resonance imaging (MRI) machines, </w:t>
      </w:r>
      <w:r w:rsidRPr="003B2CD4">
        <w:rPr>
          <w:rFonts w:asciiTheme="minorHAnsi" w:hAnsiTheme="minorHAnsi"/>
          <w:b/>
          <w:bCs/>
          <w:szCs w:val="24"/>
        </w:rPr>
        <w:t>two</w:t>
      </w:r>
      <w:r w:rsidRPr="003B2CD4">
        <w:rPr>
          <w:rFonts w:asciiTheme="minorHAnsi" w:hAnsiTheme="minorHAnsi"/>
          <w:szCs w:val="24"/>
        </w:rPr>
        <w:t xml:space="preserve"> new computed tomography (CT) machines, and </w:t>
      </w:r>
      <w:r w:rsidRPr="003B2CD4">
        <w:rPr>
          <w:rFonts w:asciiTheme="minorHAnsi" w:hAnsiTheme="minorHAnsi"/>
          <w:b/>
          <w:bCs/>
          <w:szCs w:val="24"/>
        </w:rPr>
        <w:t>one</w:t>
      </w:r>
      <w:r w:rsidRPr="003B2CD4">
        <w:rPr>
          <w:rFonts w:asciiTheme="minorHAnsi" w:hAnsiTheme="minorHAnsi"/>
          <w:szCs w:val="24"/>
        </w:rPr>
        <w:t xml:space="preserve"> new positron emission tomography-computed tomography (PET-CT) machine (collectively, the </w:t>
      </w:r>
      <w:r w:rsidRPr="003B2CD4">
        <w:rPr>
          <w:rFonts w:asciiTheme="minorHAnsi" w:hAnsiTheme="minorHAnsi"/>
          <w:b/>
          <w:bCs/>
          <w:szCs w:val="24"/>
        </w:rPr>
        <w:t>Inpatient Imaging Equipment</w:t>
      </w:r>
      <w:r w:rsidRPr="003B2CD4">
        <w:rPr>
          <w:rFonts w:asciiTheme="minorHAnsi" w:hAnsiTheme="minorHAnsi"/>
          <w:szCs w:val="24"/>
        </w:rPr>
        <w:t xml:space="preserve">); and </w:t>
      </w:r>
    </w:p>
    <w:p w14:paraId="2580954A" w14:textId="56CC6C21" w:rsidR="006C1425" w:rsidRPr="003B2CD4" w:rsidRDefault="006C1425" w:rsidP="006C1425">
      <w:pPr>
        <w:pStyle w:val="TableParagraph"/>
        <w:numPr>
          <w:ilvl w:val="0"/>
          <w:numId w:val="1"/>
        </w:numPr>
        <w:rPr>
          <w:rFonts w:asciiTheme="minorHAnsi" w:hAnsiTheme="minorHAnsi"/>
          <w:szCs w:val="24"/>
        </w:rPr>
      </w:pPr>
      <w:r w:rsidRPr="003B2CD4">
        <w:rPr>
          <w:rFonts w:asciiTheme="minorHAnsi" w:hAnsiTheme="minorHAnsi"/>
          <w:b/>
          <w:bCs/>
          <w:szCs w:val="24"/>
        </w:rPr>
        <w:t>Two</w:t>
      </w:r>
      <w:r w:rsidRPr="003B2CD4">
        <w:rPr>
          <w:rFonts w:asciiTheme="minorHAnsi" w:hAnsiTheme="minorHAnsi"/>
          <w:szCs w:val="24"/>
        </w:rPr>
        <w:t xml:space="preserve"> new CT simulator machines, and </w:t>
      </w:r>
      <w:r w:rsidRPr="003B2CD4">
        <w:rPr>
          <w:rFonts w:asciiTheme="minorHAnsi" w:hAnsiTheme="minorHAnsi"/>
          <w:b/>
          <w:bCs/>
          <w:szCs w:val="24"/>
        </w:rPr>
        <w:t>three</w:t>
      </w:r>
      <w:r w:rsidRPr="003B2CD4">
        <w:rPr>
          <w:rFonts w:asciiTheme="minorHAnsi" w:hAnsiTheme="minorHAnsi"/>
          <w:szCs w:val="24"/>
        </w:rPr>
        <w:t xml:space="preserve"> new linear accelerators (LINACs) (the </w:t>
      </w:r>
      <w:r w:rsidRPr="003B2CD4">
        <w:rPr>
          <w:rFonts w:asciiTheme="minorHAnsi" w:hAnsiTheme="minorHAnsi"/>
          <w:b/>
          <w:bCs/>
          <w:szCs w:val="24"/>
        </w:rPr>
        <w:t>New Radiation Oncology Equipment</w:t>
      </w:r>
      <w:r w:rsidRPr="003B2CD4">
        <w:rPr>
          <w:rFonts w:asciiTheme="minorHAnsi" w:hAnsiTheme="minorHAnsi"/>
          <w:szCs w:val="24"/>
        </w:rPr>
        <w:t>)</w:t>
      </w:r>
      <w:r w:rsidRPr="003B2CD4">
        <w:rPr>
          <w:rFonts w:asciiTheme="minorHAnsi" w:hAnsiTheme="minorHAnsi"/>
          <w:bCs/>
          <w:szCs w:val="24"/>
        </w:rPr>
        <w:t>.</w:t>
      </w:r>
    </w:p>
    <w:p w14:paraId="0FDE0492" w14:textId="77777777" w:rsidR="00DC27F9" w:rsidRDefault="00DC27F9" w:rsidP="00BA2054">
      <w:pPr>
        <w:rPr>
          <w:rStyle w:val="FootnoteReference"/>
          <w:bCs/>
          <w:szCs w:val="24"/>
        </w:rPr>
      </w:pPr>
    </w:p>
    <w:p w14:paraId="3D32DE56" w14:textId="7BD5BF85" w:rsidR="00FC5574" w:rsidRDefault="00E65AB1" w:rsidP="00BA2054">
      <w:r w:rsidRPr="00E65AB1">
        <w:t xml:space="preserve">The Proposed Project will also include </w:t>
      </w:r>
      <w:r w:rsidR="007864FE">
        <w:t xml:space="preserve">the construction of </w:t>
      </w:r>
      <w:r w:rsidRPr="00E65AB1">
        <w:t xml:space="preserve">a tunnel under and a bridge over Brookline Avenue connecting the </w:t>
      </w:r>
      <w:r w:rsidR="00C2169E">
        <w:t xml:space="preserve">proposed hospital </w:t>
      </w:r>
      <w:r w:rsidRPr="00E65AB1">
        <w:t xml:space="preserve">to the Applicant’s </w:t>
      </w:r>
      <w:r w:rsidR="00C2169E">
        <w:t>current b</w:t>
      </w:r>
      <w:r w:rsidRPr="00E65AB1">
        <w:t>uilding at 440 Brookline Avenue.</w:t>
      </w:r>
      <w:r>
        <w:rPr>
          <w:rStyle w:val="FootnoteReference"/>
          <w:szCs w:val="24"/>
        </w:rPr>
        <w:footnoteReference w:id="6"/>
      </w:r>
      <w:r w:rsidR="00F02257" w:rsidRPr="00F02257">
        <w:t xml:space="preserve"> </w:t>
      </w:r>
    </w:p>
    <w:p w14:paraId="32208A57" w14:textId="0609B35E" w:rsidR="00F02257" w:rsidRDefault="00F02257" w:rsidP="00BA2054">
      <w:r w:rsidRPr="00F02257">
        <w:t xml:space="preserve"> </w:t>
      </w:r>
    </w:p>
    <w:p w14:paraId="748302EA" w14:textId="77777777" w:rsidR="000A481A" w:rsidRDefault="00F104A9" w:rsidP="00BA2054">
      <w:r w:rsidRPr="00AE24F4">
        <w:t>Table 1</w:t>
      </w:r>
      <w:r>
        <w:t xml:space="preserve"> provides an overview of the Proposed Project. </w:t>
      </w:r>
      <w:r w:rsidR="000A481A">
        <w:t>Staff note the following about Table 1:</w:t>
      </w:r>
    </w:p>
    <w:p w14:paraId="6D681A33" w14:textId="74C9C41D" w:rsidR="00DF4945" w:rsidRDefault="00DF4945" w:rsidP="00F91720">
      <w:pPr>
        <w:pStyle w:val="ListParagraph"/>
        <w:numPr>
          <w:ilvl w:val="0"/>
          <w:numId w:val="58"/>
        </w:numPr>
      </w:pPr>
      <w:r w:rsidRPr="001668BA">
        <w:rPr>
          <w:b/>
        </w:rPr>
        <w:t>Current Location</w:t>
      </w:r>
      <w:r>
        <w:t xml:space="preserve">: </w:t>
      </w:r>
      <w:r w:rsidR="00521D5B">
        <w:t>Longwood Medical Area</w:t>
      </w:r>
    </w:p>
    <w:p w14:paraId="65FC900F" w14:textId="30740171" w:rsidR="000A481A" w:rsidRDefault="00D73011" w:rsidP="00F91720">
      <w:pPr>
        <w:pStyle w:val="ListParagraph"/>
        <w:numPr>
          <w:ilvl w:val="1"/>
          <w:numId w:val="58"/>
        </w:numPr>
      </w:pPr>
      <w:r>
        <w:t>T</w:t>
      </w:r>
      <w:r w:rsidRPr="00D73011">
        <w:t xml:space="preserve">he Applicant’s </w:t>
      </w:r>
      <w:r>
        <w:t xml:space="preserve">30 licensed beds are currently located </w:t>
      </w:r>
      <w:r w:rsidRPr="00D73011">
        <w:t>at Brigham and Women’s Hospital, 75 Francis Street</w:t>
      </w:r>
      <w:r w:rsidR="00550B6D">
        <w:t>, Boston</w:t>
      </w:r>
      <w:r>
        <w:t xml:space="preserve">. </w:t>
      </w:r>
    </w:p>
    <w:p w14:paraId="61EC1349" w14:textId="227B6665" w:rsidR="00F104A9" w:rsidRDefault="00356DC1" w:rsidP="00F91720">
      <w:pPr>
        <w:pStyle w:val="ListParagraph"/>
        <w:numPr>
          <w:ilvl w:val="1"/>
          <w:numId w:val="58"/>
        </w:numPr>
      </w:pPr>
      <w:r w:rsidRPr="00356DC1">
        <w:t>The Applicant</w:t>
      </w:r>
      <w:r>
        <w:t xml:space="preserve">’s </w:t>
      </w:r>
      <w:r w:rsidR="00881B43">
        <w:t>3</w:t>
      </w:r>
      <w:r w:rsidRPr="00356DC1">
        <w:t xml:space="preserve"> licensed LINACs, </w:t>
      </w:r>
      <w:r w:rsidR="00881B43">
        <w:t xml:space="preserve">and the Applicant’s </w:t>
      </w:r>
      <w:r w:rsidR="00881B43" w:rsidRPr="00881B43">
        <w:t>3 CT machines, 2 MRI machines,</w:t>
      </w:r>
      <w:r w:rsidR="00881B43">
        <w:t xml:space="preserve"> and</w:t>
      </w:r>
      <w:r w:rsidR="00881B43" w:rsidRPr="00881B43">
        <w:t xml:space="preserve"> 2 PET</w:t>
      </w:r>
      <w:r w:rsidR="00B559FE">
        <w:t>-</w:t>
      </w:r>
      <w:r w:rsidR="00881B43" w:rsidRPr="00881B43">
        <w:t xml:space="preserve">CT machines </w:t>
      </w:r>
      <w:r>
        <w:t>are</w:t>
      </w:r>
      <w:r w:rsidRPr="00356DC1">
        <w:t xml:space="preserve"> </w:t>
      </w:r>
      <w:r w:rsidR="00881B43">
        <w:t xml:space="preserve">all currently </w:t>
      </w:r>
      <w:r w:rsidRPr="00356DC1">
        <w:t>located</w:t>
      </w:r>
      <w:r>
        <w:t xml:space="preserve"> </w:t>
      </w:r>
      <w:r w:rsidRPr="00356DC1">
        <w:t xml:space="preserve">at </w:t>
      </w:r>
      <w:r w:rsidR="00B2737E">
        <w:t xml:space="preserve">the Applicant’s facility at </w:t>
      </w:r>
      <w:r w:rsidRPr="00356DC1">
        <w:t>44 Binney Street, Boston.</w:t>
      </w:r>
      <w:r w:rsidR="00550B6D">
        <w:t xml:space="preserve"> </w:t>
      </w:r>
    </w:p>
    <w:p w14:paraId="20CA9BC1" w14:textId="068E798B" w:rsidR="00F7667E" w:rsidRDefault="00F7667E" w:rsidP="00F91720">
      <w:pPr>
        <w:pStyle w:val="ListParagraph"/>
        <w:numPr>
          <w:ilvl w:val="0"/>
          <w:numId w:val="58"/>
        </w:numPr>
      </w:pPr>
      <w:r w:rsidRPr="001668BA">
        <w:rPr>
          <w:b/>
        </w:rPr>
        <w:t>Proposed Site</w:t>
      </w:r>
      <w:r>
        <w:t>:</w:t>
      </w:r>
      <w:r w:rsidR="00521D5B">
        <w:t xml:space="preserve"> Longwood Medical Area</w:t>
      </w:r>
    </w:p>
    <w:p w14:paraId="11A1FF5F" w14:textId="6D8202B2" w:rsidR="00F7667E" w:rsidRDefault="00F7667E" w:rsidP="00F91720">
      <w:pPr>
        <w:pStyle w:val="ListParagraph"/>
        <w:numPr>
          <w:ilvl w:val="1"/>
          <w:numId w:val="58"/>
        </w:numPr>
      </w:pPr>
      <w:r>
        <w:t xml:space="preserve">The </w:t>
      </w:r>
      <w:r w:rsidR="001747F7">
        <w:t xml:space="preserve">Applicant is proposing to transfer its 30 licensed beds to </w:t>
      </w:r>
      <w:r w:rsidR="00A108BA">
        <w:t xml:space="preserve">the </w:t>
      </w:r>
      <w:r w:rsidR="00A75BD0">
        <w:t xml:space="preserve">proposed </w:t>
      </w:r>
      <w:r w:rsidR="00A108BA">
        <w:t xml:space="preserve">site, </w:t>
      </w:r>
      <w:r w:rsidR="0040007C">
        <w:t xml:space="preserve">1 Joslin Place, Boston, MA. </w:t>
      </w:r>
    </w:p>
    <w:p w14:paraId="35B08646" w14:textId="16D2CBAF" w:rsidR="0093445A" w:rsidRDefault="0093445A" w:rsidP="00F91720">
      <w:pPr>
        <w:pStyle w:val="ListParagraph"/>
        <w:numPr>
          <w:ilvl w:val="1"/>
          <w:numId w:val="58"/>
        </w:numPr>
      </w:pPr>
      <w:r>
        <w:t xml:space="preserve">All imaging equipment and radiation oncology equipment at the </w:t>
      </w:r>
      <w:r w:rsidR="00C37632">
        <w:t xml:space="preserve">proposed </w:t>
      </w:r>
      <w:r w:rsidR="00AA286F">
        <w:t>site will</w:t>
      </w:r>
      <w:r w:rsidR="00C623ED">
        <w:t xml:space="preserve"> be new. </w:t>
      </w:r>
    </w:p>
    <w:p w14:paraId="79F45C6D" w14:textId="77777777" w:rsidR="00EC2012" w:rsidRDefault="00EC2012" w:rsidP="00F02257"/>
    <w:p w14:paraId="2DB8BA45" w14:textId="77777777" w:rsidR="005512A1" w:rsidRDefault="005512A1" w:rsidP="00F02257"/>
    <w:p w14:paraId="6EBC6B1C" w14:textId="77777777" w:rsidR="005512A1" w:rsidRDefault="005512A1" w:rsidP="00F02257"/>
    <w:p w14:paraId="5D1A7FA0" w14:textId="77777777" w:rsidR="005512A1" w:rsidRDefault="005512A1" w:rsidP="00F02257"/>
    <w:p w14:paraId="59FC4D53" w14:textId="77777777" w:rsidR="005512A1" w:rsidRDefault="005512A1" w:rsidP="00F02257"/>
    <w:p w14:paraId="12D0BFF5" w14:textId="77777777" w:rsidR="005512A1" w:rsidRDefault="005512A1" w:rsidP="00F02257"/>
    <w:p w14:paraId="378C4447" w14:textId="77777777" w:rsidR="005512A1" w:rsidRDefault="005512A1" w:rsidP="00F02257"/>
    <w:p w14:paraId="539447EC" w14:textId="77777777" w:rsidR="005512A1" w:rsidRDefault="005512A1" w:rsidP="00F02257"/>
    <w:p w14:paraId="1DB86CD2" w14:textId="3410F963" w:rsidR="00A113AD" w:rsidRPr="00910A32" w:rsidRDefault="00910A32" w:rsidP="00DC27F9">
      <w:pPr>
        <w:rPr>
          <w:b/>
          <w:bCs/>
        </w:rPr>
      </w:pPr>
      <w:r w:rsidRPr="00910A32">
        <w:rPr>
          <w:b/>
          <w:bCs/>
          <w:u w:val="single"/>
        </w:rPr>
        <w:lastRenderedPageBreak/>
        <w:t>Table 1</w:t>
      </w:r>
      <w:r w:rsidRPr="00910A32">
        <w:rPr>
          <w:b/>
          <w:bCs/>
        </w:rPr>
        <w:t xml:space="preserve">: Overview of the </w:t>
      </w:r>
      <w:r w:rsidR="00E72ACA">
        <w:rPr>
          <w:b/>
          <w:bCs/>
        </w:rPr>
        <w:t xml:space="preserve">Applicant’s </w:t>
      </w:r>
      <w:r w:rsidRPr="00910A32">
        <w:rPr>
          <w:b/>
          <w:bCs/>
        </w:rPr>
        <w:t xml:space="preserve">Proposed Project </w:t>
      </w:r>
    </w:p>
    <w:tbl>
      <w:tblPr>
        <w:tblStyle w:val="TableGrid"/>
        <w:tblW w:w="0" w:type="auto"/>
        <w:tblLook w:val="04A0" w:firstRow="1" w:lastRow="0" w:firstColumn="1" w:lastColumn="0" w:noHBand="0" w:noVBand="1"/>
      </w:tblPr>
      <w:tblGrid>
        <w:gridCol w:w="1666"/>
        <w:gridCol w:w="1137"/>
        <w:gridCol w:w="1600"/>
        <w:gridCol w:w="1627"/>
        <w:gridCol w:w="1640"/>
        <w:gridCol w:w="2140"/>
      </w:tblGrid>
      <w:tr w:rsidR="00F91720" w:rsidRPr="0015250A" w14:paraId="3E113214" w14:textId="3088DAC7" w:rsidTr="00BA542D">
        <w:trPr>
          <w:cantSplit/>
          <w:tblHeader/>
        </w:trPr>
        <w:tc>
          <w:tcPr>
            <w:tcW w:w="0" w:type="auto"/>
            <w:shd w:val="clear" w:color="auto" w:fill="DBE5F1" w:themeFill="accent1" w:themeFillTint="33"/>
          </w:tcPr>
          <w:p w14:paraId="03147789" w14:textId="77777777" w:rsidR="0015250A" w:rsidRPr="0015250A" w:rsidRDefault="0015250A" w:rsidP="00DC27F9">
            <w:pPr>
              <w:rPr>
                <w:rFonts w:asciiTheme="minorHAnsi" w:hAnsiTheme="minorHAnsi"/>
                <w:b/>
                <w:bCs/>
                <w:sz w:val="20"/>
              </w:rPr>
            </w:pPr>
          </w:p>
        </w:tc>
        <w:tc>
          <w:tcPr>
            <w:tcW w:w="0" w:type="auto"/>
            <w:shd w:val="clear" w:color="auto" w:fill="DBE5F1" w:themeFill="accent1" w:themeFillTint="33"/>
          </w:tcPr>
          <w:p w14:paraId="5D666D64" w14:textId="7A981826" w:rsidR="0015250A" w:rsidRDefault="00D33220" w:rsidP="00176D59">
            <w:pPr>
              <w:jc w:val="center"/>
              <w:rPr>
                <w:rFonts w:asciiTheme="minorHAnsi" w:hAnsiTheme="minorHAnsi"/>
                <w:b/>
                <w:bCs/>
                <w:sz w:val="20"/>
              </w:rPr>
            </w:pPr>
            <w:r>
              <w:rPr>
                <w:rFonts w:asciiTheme="minorHAnsi" w:hAnsiTheme="minorHAnsi"/>
                <w:b/>
                <w:bCs/>
                <w:sz w:val="20"/>
              </w:rPr>
              <w:t xml:space="preserve">Total </w:t>
            </w:r>
            <w:r w:rsidR="0015250A" w:rsidRPr="0015250A">
              <w:rPr>
                <w:rFonts w:asciiTheme="minorHAnsi" w:hAnsiTheme="minorHAnsi"/>
                <w:b/>
                <w:bCs/>
                <w:sz w:val="20"/>
              </w:rPr>
              <w:t>Number at</w:t>
            </w:r>
          </w:p>
          <w:p w14:paraId="34A4C98A" w14:textId="2D0F5C26" w:rsidR="0015250A" w:rsidRDefault="0015250A" w:rsidP="00176D59">
            <w:pPr>
              <w:jc w:val="center"/>
              <w:rPr>
                <w:rFonts w:asciiTheme="minorHAnsi" w:hAnsiTheme="minorHAnsi"/>
                <w:b/>
                <w:bCs/>
                <w:sz w:val="20"/>
              </w:rPr>
            </w:pPr>
            <w:r w:rsidRPr="0015250A">
              <w:rPr>
                <w:rFonts w:asciiTheme="minorHAnsi" w:hAnsiTheme="minorHAnsi"/>
                <w:b/>
                <w:bCs/>
                <w:sz w:val="20"/>
              </w:rPr>
              <w:t>Current Location</w:t>
            </w:r>
          </w:p>
          <w:p w14:paraId="29F7823F" w14:textId="77777777" w:rsidR="00424C09" w:rsidRDefault="00424C09" w:rsidP="005512A1">
            <w:pPr>
              <w:jc w:val="center"/>
              <w:rPr>
                <w:rFonts w:asciiTheme="minorHAnsi" w:hAnsiTheme="minorHAnsi"/>
                <w:b/>
                <w:bCs/>
                <w:sz w:val="20"/>
              </w:rPr>
            </w:pPr>
          </w:p>
          <w:p w14:paraId="25B6BFB1" w14:textId="77777777" w:rsidR="00424C09" w:rsidRDefault="00424C09" w:rsidP="005512A1">
            <w:pPr>
              <w:jc w:val="center"/>
              <w:rPr>
                <w:rFonts w:asciiTheme="minorHAnsi" w:hAnsiTheme="minorHAnsi"/>
                <w:b/>
                <w:bCs/>
                <w:sz w:val="20"/>
              </w:rPr>
            </w:pPr>
          </w:p>
          <w:p w14:paraId="433A7FC3" w14:textId="52F8F002" w:rsidR="006329EC" w:rsidRPr="0015250A" w:rsidRDefault="006329EC" w:rsidP="00176D59">
            <w:pPr>
              <w:jc w:val="center"/>
              <w:rPr>
                <w:rFonts w:asciiTheme="minorHAnsi" w:hAnsiTheme="minorHAnsi"/>
                <w:b/>
                <w:bCs/>
                <w:sz w:val="20"/>
              </w:rPr>
            </w:pPr>
          </w:p>
        </w:tc>
        <w:tc>
          <w:tcPr>
            <w:tcW w:w="0" w:type="auto"/>
            <w:tcBorders>
              <w:bottom w:val="single" w:sz="4" w:space="0" w:color="auto"/>
            </w:tcBorders>
            <w:shd w:val="clear" w:color="auto" w:fill="DBE5F1" w:themeFill="accent1" w:themeFillTint="33"/>
          </w:tcPr>
          <w:p w14:paraId="16A7A0F9" w14:textId="37E36DD4" w:rsidR="0015250A" w:rsidRDefault="0015250A" w:rsidP="00176D59">
            <w:pPr>
              <w:jc w:val="center"/>
              <w:rPr>
                <w:rFonts w:asciiTheme="minorHAnsi" w:hAnsiTheme="minorHAnsi"/>
                <w:b/>
                <w:bCs/>
                <w:sz w:val="20"/>
              </w:rPr>
            </w:pPr>
            <w:r w:rsidRPr="0015250A">
              <w:rPr>
                <w:rFonts w:asciiTheme="minorHAnsi" w:hAnsiTheme="minorHAnsi"/>
                <w:b/>
                <w:bCs/>
                <w:sz w:val="20"/>
              </w:rPr>
              <w:t>Number Transferring from</w:t>
            </w:r>
          </w:p>
          <w:p w14:paraId="36443023" w14:textId="331C669A" w:rsidR="0015250A" w:rsidRPr="0015250A" w:rsidRDefault="0015250A" w:rsidP="00176D59">
            <w:pPr>
              <w:jc w:val="center"/>
              <w:rPr>
                <w:rFonts w:asciiTheme="minorHAnsi" w:hAnsiTheme="minorHAnsi"/>
                <w:b/>
                <w:bCs/>
                <w:sz w:val="20"/>
              </w:rPr>
            </w:pPr>
            <w:r w:rsidRPr="0015250A">
              <w:rPr>
                <w:rFonts w:asciiTheme="minorHAnsi" w:hAnsiTheme="minorHAnsi"/>
                <w:b/>
                <w:bCs/>
                <w:sz w:val="20"/>
              </w:rPr>
              <w:t>Current Location</w:t>
            </w:r>
          </w:p>
        </w:tc>
        <w:tc>
          <w:tcPr>
            <w:tcW w:w="0" w:type="auto"/>
            <w:tcBorders>
              <w:bottom w:val="single" w:sz="4" w:space="0" w:color="auto"/>
            </w:tcBorders>
            <w:shd w:val="clear" w:color="auto" w:fill="DBE5F1" w:themeFill="accent1" w:themeFillTint="33"/>
          </w:tcPr>
          <w:p w14:paraId="322C6B2F" w14:textId="2AF939F4" w:rsidR="0015250A" w:rsidRDefault="0015250A" w:rsidP="00176D59">
            <w:pPr>
              <w:jc w:val="center"/>
              <w:rPr>
                <w:rFonts w:asciiTheme="minorHAnsi" w:hAnsiTheme="minorHAnsi"/>
                <w:b/>
                <w:bCs/>
                <w:sz w:val="20"/>
              </w:rPr>
            </w:pPr>
            <w:r w:rsidRPr="0015250A">
              <w:rPr>
                <w:rFonts w:asciiTheme="minorHAnsi" w:hAnsiTheme="minorHAnsi"/>
                <w:b/>
                <w:bCs/>
                <w:sz w:val="20"/>
              </w:rPr>
              <w:t>Number of New</w:t>
            </w:r>
          </w:p>
          <w:p w14:paraId="70F78674" w14:textId="6398EEAC" w:rsidR="0015250A" w:rsidRPr="0015250A" w:rsidRDefault="0015250A" w:rsidP="00176D59">
            <w:pPr>
              <w:jc w:val="center"/>
              <w:rPr>
                <w:rFonts w:asciiTheme="minorHAnsi" w:hAnsiTheme="minorHAnsi"/>
                <w:b/>
                <w:bCs/>
                <w:sz w:val="20"/>
              </w:rPr>
            </w:pPr>
            <w:r w:rsidRPr="0015250A">
              <w:rPr>
                <w:rFonts w:asciiTheme="minorHAnsi" w:hAnsiTheme="minorHAnsi"/>
                <w:b/>
                <w:bCs/>
                <w:sz w:val="20"/>
              </w:rPr>
              <w:t>at Proposed Site (additional)</w:t>
            </w:r>
          </w:p>
        </w:tc>
        <w:tc>
          <w:tcPr>
            <w:tcW w:w="0" w:type="auto"/>
            <w:tcBorders>
              <w:bottom w:val="single" w:sz="4" w:space="0" w:color="auto"/>
            </w:tcBorders>
            <w:shd w:val="clear" w:color="auto" w:fill="DBE5F1" w:themeFill="accent1" w:themeFillTint="33"/>
          </w:tcPr>
          <w:p w14:paraId="49C75579" w14:textId="4A47D62B" w:rsidR="0015250A" w:rsidRDefault="0015250A" w:rsidP="005A2F11">
            <w:pPr>
              <w:jc w:val="center"/>
              <w:rPr>
                <w:rFonts w:asciiTheme="minorHAnsi" w:hAnsiTheme="minorHAnsi"/>
                <w:b/>
                <w:bCs/>
                <w:sz w:val="20"/>
              </w:rPr>
            </w:pPr>
            <w:r w:rsidRPr="0015250A">
              <w:rPr>
                <w:rFonts w:asciiTheme="minorHAnsi" w:hAnsiTheme="minorHAnsi"/>
                <w:b/>
                <w:bCs/>
                <w:sz w:val="20"/>
              </w:rPr>
              <w:t>Total Number at</w:t>
            </w:r>
          </w:p>
          <w:p w14:paraId="39F45157" w14:textId="6AC72905" w:rsidR="00603F75" w:rsidRDefault="0015250A" w:rsidP="00603F75">
            <w:pPr>
              <w:jc w:val="center"/>
              <w:rPr>
                <w:rFonts w:asciiTheme="minorHAnsi" w:hAnsiTheme="minorHAnsi"/>
                <w:b/>
                <w:bCs/>
                <w:sz w:val="20"/>
              </w:rPr>
            </w:pPr>
            <w:r w:rsidRPr="0015250A">
              <w:rPr>
                <w:rFonts w:asciiTheme="minorHAnsi" w:hAnsiTheme="minorHAnsi"/>
                <w:b/>
                <w:bCs/>
                <w:sz w:val="20"/>
              </w:rPr>
              <w:t>Proposed Site after</w:t>
            </w:r>
          </w:p>
          <w:p w14:paraId="17EF5E41" w14:textId="757D852C" w:rsidR="00A60E4B" w:rsidRDefault="00593051" w:rsidP="00176D59">
            <w:pPr>
              <w:jc w:val="center"/>
              <w:rPr>
                <w:rFonts w:asciiTheme="minorHAnsi" w:hAnsiTheme="minorHAnsi"/>
                <w:b/>
                <w:bCs/>
                <w:sz w:val="20"/>
              </w:rPr>
            </w:pPr>
            <w:r>
              <w:rPr>
                <w:rFonts w:asciiTheme="minorHAnsi" w:hAnsiTheme="minorHAnsi"/>
                <w:b/>
                <w:bCs/>
                <w:sz w:val="20"/>
              </w:rPr>
              <w:t>P</w:t>
            </w:r>
            <w:r w:rsidR="0015250A" w:rsidRPr="0015250A">
              <w:rPr>
                <w:rFonts w:asciiTheme="minorHAnsi" w:hAnsiTheme="minorHAnsi"/>
                <w:b/>
                <w:bCs/>
                <w:sz w:val="20"/>
              </w:rPr>
              <w:t>roject</w:t>
            </w:r>
          </w:p>
          <w:p w14:paraId="4668D070" w14:textId="6B6AD999" w:rsidR="0015250A" w:rsidRPr="0015250A" w:rsidRDefault="00593051" w:rsidP="00176D59">
            <w:pPr>
              <w:jc w:val="center"/>
              <w:rPr>
                <w:rFonts w:asciiTheme="minorHAnsi" w:hAnsiTheme="minorHAnsi"/>
                <w:b/>
                <w:bCs/>
                <w:sz w:val="20"/>
              </w:rPr>
            </w:pPr>
            <w:r>
              <w:rPr>
                <w:rFonts w:asciiTheme="minorHAnsi" w:hAnsiTheme="minorHAnsi"/>
                <w:b/>
                <w:bCs/>
                <w:sz w:val="20"/>
              </w:rPr>
              <w:t>I</w:t>
            </w:r>
            <w:r w:rsidR="00A60E4B" w:rsidRPr="0015250A">
              <w:rPr>
                <w:rFonts w:asciiTheme="minorHAnsi" w:hAnsiTheme="minorHAnsi"/>
                <w:b/>
                <w:bCs/>
                <w:sz w:val="20"/>
              </w:rPr>
              <w:t>mplement</w:t>
            </w:r>
            <w:r w:rsidR="00A60E4B">
              <w:rPr>
                <w:rFonts w:asciiTheme="minorHAnsi" w:hAnsiTheme="minorHAnsi"/>
                <w:b/>
                <w:bCs/>
                <w:sz w:val="20"/>
              </w:rPr>
              <w:t>ation</w:t>
            </w:r>
          </w:p>
        </w:tc>
        <w:tc>
          <w:tcPr>
            <w:tcW w:w="0" w:type="auto"/>
            <w:shd w:val="clear" w:color="auto" w:fill="DBE5F1" w:themeFill="accent1" w:themeFillTint="33"/>
          </w:tcPr>
          <w:p w14:paraId="36BB08E0" w14:textId="36311A9C" w:rsidR="00A35AB1" w:rsidRDefault="0015250A" w:rsidP="00176D59">
            <w:pPr>
              <w:jc w:val="center"/>
              <w:rPr>
                <w:rFonts w:asciiTheme="minorHAnsi" w:hAnsiTheme="minorHAnsi"/>
                <w:b/>
                <w:bCs/>
                <w:sz w:val="20"/>
              </w:rPr>
            </w:pPr>
            <w:r>
              <w:rPr>
                <w:rFonts w:asciiTheme="minorHAnsi" w:hAnsiTheme="minorHAnsi"/>
                <w:b/>
                <w:bCs/>
                <w:sz w:val="20"/>
              </w:rPr>
              <w:t>Total Number</w:t>
            </w:r>
          </w:p>
          <w:p w14:paraId="6D4D023D" w14:textId="14D6ABC4" w:rsidR="00D33220" w:rsidRDefault="0015250A" w:rsidP="00176D59">
            <w:pPr>
              <w:jc w:val="center"/>
              <w:rPr>
                <w:rFonts w:asciiTheme="minorHAnsi" w:hAnsiTheme="minorHAnsi"/>
                <w:b/>
                <w:bCs/>
                <w:sz w:val="20"/>
              </w:rPr>
            </w:pPr>
            <w:r>
              <w:rPr>
                <w:rFonts w:asciiTheme="minorHAnsi" w:hAnsiTheme="minorHAnsi"/>
                <w:b/>
                <w:bCs/>
                <w:sz w:val="20"/>
              </w:rPr>
              <w:t xml:space="preserve">at </w:t>
            </w:r>
            <w:r w:rsidR="00F4182F">
              <w:rPr>
                <w:rFonts w:asciiTheme="minorHAnsi" w:hAnsiTheme="minorHAnsi"/>
                <w:b/>
                <w:bCs/>
                <w:sz w:val="20"/>
              </w:rPr>
              <w:t>Current</w:t>
            </w:r>
          </w:p>
          <w:p w14:paraId="02979C8D" w14:textId="26552B3D" w:rsidR="006035C6" w:rsidRDefault="00825B40" w:rsidP="00176D59">
            <w:pPr>
              <w:jc w:val="center"/>
              <w:rPr>
                <w:rFonts w:asciiTheme="minorHAnsi" w:hAnsiTheme="minorHAnsi"/>
                <w:b/>
                <w:bCs/>
                <w:sz w:val="20"/>
              </w:rPr>
            </w:pPr>
            <w:r>
              <w:rPr>
                <w:rFonts w:asciiTheme="minorHAnsi" w:hAnsiTheme="minorHAnsi"/>
                <w:b/>
                <w:bCs/>
                <w:sz w:val="20"/>
              </w:rPr>
              <w:t>L</w:t>
            </w:r>
            <w:r w:rsidR="00F4182F">
              <w:rPr>
                <w:rFonts w:asciiTheme="minorHAnsi" w:hAnsiTheme="minorHAnsi"/>
                <w:b/>
                <w:bCs/>
                <w:sz w:val="20"/>
              </w:rPr>
              <w:t>ocation</w:t>
            </w:r>
            <w:r w:rsidR="006035C6">
              <w:rPr>
                <w:rFonts w:asciiTheme="minorHAnsi" w:hAnsiTheme="minorHAnsi"/>
                <w:b/>
                <w:bCs/>
                <w:sz w:val="20"/>
              </w:rPr>
              <w:t xml:space="preserve"> after Project Implementation</w:t>
            </w:r>
          </w:p>
          <w:p w14:paraId="0D3DD093" w14:textId="4F0C3BEF" w:rsidR="0015250A" w:rsidRPr="0015250A" w:rsidRDefault="0015250A" w:rsidP="00176D59">
            <w:pPr>
              <w:jc w:val="center"/>
              <w:rPr>
                <w:rFonts w:asciiTheme="minorHAnsi" w:hAnsiTheme="minorHAnsi"/>
                <w:b/>
                <w:bCs/>
                <w:sz w:val="20"/>
              </w:rPr>
            </w:pPr>
          </w:p>
        </w:tc>
      </w:tr>
      <w:tr w:rsidR="00953B3A" w:rsidRPr="0015250A" w14:paraId="3749BDAB" w14:textId="77777777" w:rsidTr="00BA542D">
        <w:trPr>
          <w:cantSplit/>
        </w:trPr>
        <w:tc>
          <w:tcPr>
            <w:tcW w:w="0" w:type="auto"/>
            <w:tcBorders>
              <w:right w:val="nil"/>
            </w:tcBorders>
            <w:shd w:val="clear" w:color="auto" w:fill="F2F2F2" w:themeFill="background1" w:themeFillShade="F2"/>
          </w:tcPr>
          <w:p w14:paraId="714ECF72" w14:textId="77777777" w:rsidR="00953B3A" w:rsidRDefault="00953B3A" w:rsidP="001668BA">
            <w:pPr>
              <w:rPr>
                <w:rFonts w:asciiTheme="minorHAnsi" w:hAnsiTheme="minorHAnsi"/>
                <w:sz w:val="20"/>
              </w:rPr>
            </w:pPr>
            <w:r w:rsidRPr="001668BA">
              <w:rPr>
                <w:rFonts w:asciiTheme="minorHAnsi" w:hAnsiTheme="minorHAnsi"/>
                <w:b/>
                <w:sz w:val="20"/>
              </w:rPr>
              <w:t>Inpatient Beds</w:t>
            </w:r>
            <w:r w:rsidRPr="00631778">
              <w:rPr>
                <w:rFonts w:asciiTheme="minorHAnsi" w:hAnsiTheme="minorHAnsi"/>
                <w:b/>
                <w:bCs/>
                <w:sz w:val="20"/>
                <w:vertAlign w:val="superscript"/>
              </w:rPr>
              <w:footnoteReference w:id="7"/>
            </w:r>
          </w:p>
        </w:tc>
        <w:tc>
          <w:tcPr>
            <w:tcW w:w="0" w:type="auto"/>
            <w:tcBorders>
              <w:left w:val="nil"/>
              <w:right w:val="nil"/>
            </w:tcBorders>
            <w:shd w:val="clear" w:color="auto" w:fill="F2F2F2" w:themeFill="background1" w:themeFillShade="F2"/>
          </w:tcPr>
          <w:p w14:paraId="777940E5" w14:textId="77777777" w:rsidR="00953B3A" w:rsidRDefault="00953B3A"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01BB9465" w14:textId="77777777" w:rsidR="00953B3A" w:rsidRDefault="00953B3A"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14389C45" w14:textId="77777777" w:rsidR="00953B3A" w:rsidRDefault="00953B3A"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5ACFB1AC" w14:textId="77777777" w:rsidR="00953B3A" w:rsidRDefault="00953B3A" w:rsidP="001668BA">
            <w:pPr>
              <w:rPr>
                <w:rFonts w:asciiTheme="minorHAnsi" w:hAnsiTheme="minorHAnsi"/>
                <w:sz w:val="20"/>
              </w:rPr>
            </w:pPr>
          </w:p>
        </w:tc>
        <w:tc>
          <w:tcPr>
            <w:tcW w:w="0" w:type="auto"/>
            <w:tcBorders>
              <w:left w:val="nil"/>
            </w:tcBorders>
            <w:shd w:val="clear" w:color="auto" w:fill="F2F2F2" w:themeFill="background1" w:themeFillShade="F2"/>
          </w:tcPr>
          <w:p w14:paraId="11A30D81" w14:textId="433F5FE6" w:rsidR="00953B3A" w:rsidRDefault="00953B3A" w:rsidP="001668BA">
            <w:pPr>
              <w:rPr>
                <w:rFonts w:asciiTheme="minorHAnsi" w:hAnsiTheme="minorHAnsi"/>
                <w:sz w:val="20"/>
              </w:rPr>
            </w:pPr>
          </w:p>
        </w:tc>
      </w:tr>
      <w:tr w:rsidR="00477CCB" w:rsidRPr="0015250A" w14:paraId="069468FE" w14:textId="46FE6D90" w:rsidTr="00BA542D">
        <w:trPr>
          <w:cantSplit/>
        </w:trPr>
        <w:tc>
          <w:tcPr>
            <w:tcW w:w="0" w:type="auto"/>
          </w:tcPr>
          <w:p w14:paraId="7B6A5DBD" w14:textId="7260BAF5" w:rsidR="0015250A" w:rsidRPr="0015250A" w:rsidRDefault="0015250A" w:rsidP="00833EEE">
            <w:pPr>
              <w:ind w:left="144"/>
              <w:rPr>
                <w:rFonts w:asciiTheme="minorHAnsi" w:hAnsiTheme="minorHAnsi"/>
                <w:sz w:val="20"/>
              </w:rPr>
            </w:pPr>
            <w:r w:rsidRPr="0015250A">
              <w:rPr>
                <w:rFonts w:asciiTheme="minorHAnsi" w:hAnsiTheme="minorHAnsi"/>
                <w:sz w:val="20"/>
              </w:rPr>
              <w:t>M/S</w:t>
            </w:r>
          </w:p>
        </w:tc>
        <w:tc>
          <w:tcPr>
            <w:tcW w:w="0" w:type="auto"/>
          </w:tcPr>
          <w:p w14:paraId="3A9B132C" w14:textId="63AE322B" w:rsidR="0015250A" w:rsidRPr="0015250A" w:rsidRDefault="0015250A" w:rsidP="00BF719E">
            <w:pPr>
              <w:jc w:val="center"/>
              <w:rPr>
                <w:rFonts w:asciiTheme="minorHAnsi" w:hAnsiTheme="minorHAnsi"/>
                <w:sz w:val="20"/>
              </w:rPr>
            </w:pPr>
            <w:r w:rsidRPr="0015250A">
              <w:rPr>
                <w:rFonts w:asciiTheme="minorHAnsi" w:hAnsiTheme="minorHAnsi"/>
                <w:sz w:val="20"/>
              </w:rPr>
              <w:t>30</w:t>
            </w:r>
          </w:p>
        </w:tc>
        <w:tc>
          <w:tcPr>
            <w:tcW w:w="0" w:type="auto"/>
          </w:tcPr>
          <w:p w14:paraId="6A3B4E08" w14:textId="7BF795C4" w:rsidR="0015250A" w:rsidRPr="0015250A" w:rsidRDefault="0015250A" w:rsidP="00BF719E">
            <w:pPr>
              <w:jc w:val="center"/>
              <w:rPr>
                <w:rFonts w:asciiTheme="minorHAnsi" w:hAnsiTheme="minorHAnsi"/>
                <w:sz w:val="20"/>
              </w:rPr>
            </w:pPr>
            <w:r w:rsidRPr="0015250A">
              <w:rPr>
                <w:rFonts w:asciiTheme="minorHAnsi" w:hAnsiTheme="minorHAnsi"/>
                <w:sz w:val="20"/>
              </w:rPr>
              <w:t>30</w:t>
            </w:r>
          </w:p>
        </w:tc>
        <w:tc>
          <w:tcPr>
            <w:tcW w:w="0" w:type="auto"/>
          </w:tcPr>
          <w:p w14:paraId="002D7AF4" w14:textId="445A3C9D" w:rsidR="0015250A" w:rsidRPr="0015250A" w:rsidRDefault="0015250A" w:rsidP="00BF719E">
            <w:pPr>
              <w:jc w:val="center"/>
              <w:rPr>
                <w:rFonts w:asciiTheme="minorHAnsi" w:hAnsiTheme="minorHAnsi"/>
                <w:sz w:val="20"/>
              </w:rPr>
            </w:pPr>
            <w:r w:rsidRPr="0015250A">
              <w:rPr>
                <w:rFonts w:asciiTheme="minorHAnsi" w:hAnsiTheme="minorHAnsi"/>
                <w:sz w:val="20"/>
              </w:rPr>
              <w:t>250</w:t>
            </w:r>
          </w:p>
        </w:tc>
        <w:tc>
          <w:tcPr>
            <w:tcW w:w="0" w:type="auto"/>
          </w:tcPr>
          <w:p w14:paraId="4CEBA136" w14:textId="3FBE20BA" w:rsidR="0015250A" w:rsidRPr="0015250A" w:rsidRDefault="0015250A" w:rsidP="00BF719E">
            <w:pPr>
              <w:jc w:val="center"/>
              <w:rPr>
                <w:rFonts w:asciiTheme="minorHAnsi" w:hAnsiTheme="minorHAnsi"/>
                <w:sz w:val="20"/>
              </w:rPr>
            </w:pPr>
            <w:r w:rsidRPr="0015250A">
              <w:rPr>
                <w:rFonts w:asciiTheme="minorHAnsi" w:hAnsiTheme="minorHAnsi"/>
                <w:sz w:val="20"/>
              </w:rPr>
              <w:t>280</w:t>
            </w:r>
          </w:p>
        </w:tc>
        <w:tc>
          <w:tcPr>
            <w:tcW w:w="0" w:type="auto"/>
          </w:tcPr>
          <w:p w14:paraId="29BE10AB" w14:textId="1EBAF0D9" w:rsidR="0015250A" w:rsidRPr="0015250A" w:rsidRDefault="00F4182F" w:rsidP="00BF719E">
            <w:pPr>
              <w:jc w:val="center"/>
              <w:rPr>
                <w:rFonts w:asciiTheme="minorHAnsi" w:hAnsiTheme="minorHAnsi"/>
                <w:sz w:val="20"/>
              </w:rPr>
            </w:pPr>
            <w:r>
              <w:rPr>
                <w:rFonts w:asciiTheme="minorHAnsi" w:hAnsiTheme="minorHAnsi"/>
                <w:sz w:val="20"/>
              </w:rPr>
              <w:t>0</w:t>
            </w:r>
          </w:p>
        </w:tc>
      </w:tr>
      <w:tr w:rsidR="00477CCB" w:rsidRPr="0015250A" w14:paraId="2C37695A" w14:textId="787AA11C" w:rsidTr="00BA542D">
        <w:trPr>
          <w:cantSplit/>
        </w:trPr>
        <w:tc>
          <w:tcPr>
            <w:tcW w:w="0" w:type="auto"/>
          </w:tcPr>
          <w:p w14:paraId="068C799F" w14:textId="570F8101" w:rsidR="0015250A" w:rsidRPr="0015250A" w:rsidRDefault="0015250A" w:rsidP="00833EEE">
            <w:pPr>
              <w:ind w:left="144"/>
              <w:rPr>
                <w:rFonts w:asciiTheme="minorHAnsi" w:hAnsiTheme="minorHAnsi"/>
                <w:sz w:val="20"/>
              </w:rPr>
            </w:pPr>
            <w:r w:rsidRPr="0015250A">
              <w:rPr>
                <w:rFonts w:asciiTheme="minorHAnsi" w:hAnsiTheme="minorHAnsi"/>
                <w:sz w:val="20"/>
              </w:rPr>
              <w:t>ICU</w:t>
            </w:r>
          </w:p>
        </w:tc>
        <w:tc>
          <w:tcPr>
            <w:tcW w:w="0" w:type="auto"/>
          </w:tcPr>
          <w:p w14:paraId="562275B8" w14:textId="75C9E57A" w:rsidR="0015250A" w:rsidRPr="0015250A" w:rsidRDefault="0015250A" w:rsidP="00BF719E">
            <w:pPr>
              <w:jc w:val="center"/>
              <w:rPr>
                <w:rFonts w:asciiTheme="minorHAnsi" w:hAnsiTheme="minorHAnsi"/>
                <w:sz w:val="20"/>
              </w:rPr>
            </w:pPr>
            <w:r w:rsidRPr="0015250A">
              <w:rPr>
                <w:rFonts w:asciiTheme="minorHAnsi" w:hAnsiTheme="minorHAnsi"/>
                <w:sz w:val="20"/>
              </w:rPr>
              <w:t>0</w:t>
            </w:r>
          </w:p>
        </w:tc>
        <w:tc>
          <w:tcPr>
            <w:tcW w:w="0" w:type="auto"/>
          </w:tcPr>
          <w:p w14:paraId="030AED16" w14:textId="5D757ACC" w:rsidR="0015250A" w:rsidRPr="0015250A" w:rsidRDefault="0015250A" w:rsidP="00BF719E">
            <w:pPr>
              <w:jc w:val="center"/>
              <w:rPr>
                <w:rFonts w:asciiTheme="minorHAnsi" w:hAnsiTheme="minorHAnsi"/>
                <w:sz w:val="20"/>
              </w:rPr>
            </w:pPr>
            <w:r w:rsidRPr="0015250A">
              <w:rPr>
                <w:rFonts w:asciiTheme="minorHAnsi" w:hAnsiTheme="minorHAnsi"/>
                <w:sz w:val="20"/>
              </w:rPr>
              <w:t>0</w:t>
            </w:r>
          </w:p>
        </w:tc>
        <w:tc>
          <w:tcPr>
            <w:tcW w:w="0" w:type="auto"/>
          </w:tcPr>
          <w:p w14:paraId="55362548" w14:textId="1784E75C" w:rsidR="0015250A" w:rsidRPr="0015250A" w:rsidRDefault="0015250A" w:rsidP="00BF719E">
            <w:pPr>
              <w:jc w:val="center"/>
              <w:rPr>
                <w:rFonts w:asciiTheme="minorHAnsi" w:hAnsiTheme="minorHAnsi"/>
                <w:sz w:val="20"/>
              </w:rPr>
            </w:pPr>
            <w:r w:rsidRPr="0015250A">
              <w:rPr>
                <w:rFonts w:asciiTheme="minorHAnsi" w:hAnsiTheme="minorHAnsi"/>
                <w:sz w:val="20"/>
              </w:rPr>
              <w:t>20</w:t>
            </w:r>
          </w:p>
        </w:tc>
        <w:tc>
          <w:tcPr>
            <w:tcW w:w="0" w:type="auto"/>
          </w:tcPr>
          <w:p w14:paraId="45AD80EA" w14:textId="71305A47" w:rsidR="0015250A" w:rsidRPr="0015250A" w:rsidRDefault="0015250A" w:rsidP="00BF719E">
            <w:pPr>
              <w:jc w:val="center"/>
              <w:rPr>
                <w:rFonts w:asciiTheme="minorHAnsi" w:hAnsiTheme="minorHAnsi"/>
                <w:sz w:val="20"/>
              </w:rPr>
            </w:pPr>
            <w:r w:rsidRPr="0015250A">
              <w:rPr>
                <w:rFonts w:asciiTheme="minorHAnsi" w:hAnsiTheme="minorHAnsi"/>
                <w:sz w:val="20"/>
              </w:rPr>
              <w:t>20</w:t>
            </w:r>
          </w:p>
        </w:tc>
        <w:tc>
          <w:tcPr>
            <w:tcW w:w="0" w:type="auto"/>
          </w:tcPr>
          <w:p w14:paraId="1383AE67" w14:textId="5FBDEF25" w:rsidR="0015250A" w:rsidRPr="0015250A" w:rsidRDefault="00F4182F" w:rsidP="00BF719E">
            <w:pPr>
              <w:jc w:val="center"/>
              <w:rPr>
                <w:rFonts w:asciiTheme="minorHAnsi" w:hAnsiTheme="minorHAnsi"/>
                <w:sz w:val="20"/>
              </w:rPr>
            </w:pPr>
            <w:r>
              <w:rPr>
                <w:rFonts w:asciiTheme="minorHAnsi" w:hAnsiTheme="minorHAnsi"/>
                <w:sz w:val="20"/>
              </w:rPr>
              <w:t>0</w:t>
            </w:r>
          </w:p>
        </w:tc>
      </w:tr>
      <w:tr w:rsidR="00477CCB" w:rsidRPr="0015250A" w14:paraId="352F1367" w14:textId="568F699F" w:rsidTr="00BA542D">
        <w:trPr>
          <w:cantSplit/>
        </w:trPr>
        <w:tc>
          <w:tcPr>
            <w:tcW w:w="0" w:type="auto"/>
          </w:tcPr>
          <w:p w14:paraId="2E42D4C9" w14:textId="31CDA6AD" w:rsidR="0015250A" w:rsidRPr="0015250A" w:rsidRDefault="0015250A" w:rsidP="001668BA">
            <w:pPr>
              <w:ind w:left="144"/>
              <w:rPr>
                <w:rFonts w:asciiTheme="minorHAnsi" w:hAnsiTheme="minorHAnsi"/>
                <w:sz w:val="20"/>
              </w:rPr>
            </w:pPr>
            <w:r w:rsidRPr="0015250A">
              <w:rPr>
                <w:rFonts w:asciiTheme="minorHAnsi" w:hAnsiTheme="minorHAnsi"/>
                <w:sz w:val="20"/>
              </w:rPr>
              <w:t>Total</w:t>
            </w:r>
          </w:p>
        </w:tc>
        <w:tc>
          <w:tcPr>
            <w:tcW w:w="0" w:type="auto"/>
          </w:tcPr>
          <w:p w14:paraId="54E9F4FD" w14:textId="3F1B5799" w:rsidR="0015250A" w:rsidRPr="0015250A" w:rsidRDefault="0015250A" w:rsidP="00BF719E">
            <w:pPr>
              <w:jc w:val="center"/>
              <w:rPr>
                <w:rFonts w:asciiTheme="minorHAnsi" w:hAnsiTheme="minorHAnsi"/>
                <w:sz w:val="20"/>
              </w:rPr>
            </w:pPr>
            <w:r w:rsidRPr="0015250A">
              <w:rPr>
                <w:rFonts w:asciiTheme="minorHAnsi" w:hAnsiTheme="minorHAnsi"/>
                <w:sz w:val="20"/>
              </w:rPr>
              <w:t>30</w:t>
            </w:r>
          </w:p>
        </w:tc>
        <w:tc>
          <w:tcPr>
            <w:tcW w:w="0" w:type="auto"/>
          </w:tcPr>
          <w:p w14:paraId="2E68832D" w14:textId="691F7483" w:rsidR="0015250A" w:rsidRPr="0015250A" w:rsidRDefault="0015250A" w:rsidP="00BF719E">
            <w:pPr>
              <w:jc w:val="center"/>
              <w:rPr>
                <w:rFonts w:asciiTheme="minorHAnsi" w:hAnsiTheme="minorHAnsi"/>
                <w:sz w:val="20"/>
              </w:rPr>
            </w:pPr>
            <w:r w:rsidRPr="0015250A">
              <w:rPr>
                <w:rFonts w:asciiTheme="minorHAnsi" w:hAnsiTheme="minorHAnsi"/>
                <w:sz w:val="20"/>
              </w:rPr>
              <w:t>30</w:t>
            </w:r>
          </w:p>
        </w:tc>
        <w:tc>
          <w:tcPr>
            <w:tcW w:w="0" w:type="auto"/>
            <w:tcBorders>
              <w:bottom w:val="single" w:sz="4" w:space="0" w:color="auto"/>
            </w:tcBorders>
          </w:tcPr>
          <w:p w14:paraId="7A7D1316" w14:textId="731389F5" w:rsidR="0015250A" w:rsidRPr="0015250A" w:rsidRDefault="0015250A" w:rsidP="00BF719E">
            <w:pPr>
              <w:jc w:val="center"/>
              <w:rPr>
                <w:rFonts w:asciiTheme="minorHAnsi" w:hAnsiTheme="minorHAnsi"/>
                <w:sz w:val="20"/>
              </w:rPr>
            </w:pPr>
            <w:r w:rsidRPr="0015250A">
              <w:rPr>
                <w:rFonts w:asciiTheme="minorHAnsi" w:hAnsiTheme="minorHAnsi"/>
                <w:sz w:val="20"/>
              </w:rPr>
              <w:t>270</w:t>
            </w:r>
          </w:p>
        </w:tc>
        <w:tc>
          <w:tcPr>
            <w:tcW w:w="0" w:type="auto"/>
            <w:tcBorders>
              <w:bottom w:val="single" w:sz="4" w:space="0" w:color="auto"/>
            </w:tcBorders>
          </w:tcPr>
          <w:p w14:paraId="57460B5F" w14:textId="3F5F5A9E" w:rsidR="0015250A" w:rsidRPr="0015250A" w:rsidRDefault="0015250A" w:rsidP="00BF719E">
            <w:pPr>
              <w:jc w:val="center"/>
              <w:rPr>
                <w:rFonts w:asciiTheme="minorHAnsi" w:hAnsiTheme="minorHAnsi"/>
                <w:sz w:val="20"/>
              </w:rPr>
            </w:pPr>
            <w:r w:rsidRPr="0015250A">
              <w:rPr>
                <w:rFonts w:asciiTheme="minorHAnsi" w:hAnsiTheme="minorHAnsi"/>
                <w:sz w:val="20"/>
              </w:rPr>
              <w:t>300</w:t>
            </w:r>
          </w:p>
        </w:tc>
        <w:tc>
          <w:tcPr>
            <w:tcW w:w="0" w:type="auto"/>
          </w:tcPr>
          <w:p w14:paraId="56D3CCC1" w14:textId="5864D129" w:rsidR="0015250A" w:rsidRPr="0015250A" w:rsidRDefault="00500F8C" w:rsidP="00BF719E">
            <w:pPr>
              <w:jc w:val="center"/>
              <w:rPr>
                <w:rFonts w:asciiTheme="minorHAnsi" w:hAnsiTheme="minorHAnsi"/>
                <w:sz w:val="20"/>
              </w:rPr>
            </w:pPr>
            <w:r>
              <w:rPr>
                <w:rFonts w:asciiTheme="minorHAnsi" w:hAnsiTheme="minorHAnsi"/>
                <w:sz w:val="20"/>
              </w:rPr>
              <w:t>0</w:t>
            </w:r>
          </w:p>
        </w:tc>
      </w:tr>
      <w:tr w:rsidR="00441963" w:rsidRPr="0015250A" w14:paraId="0EC87878" w14:textId="77777777" w:rsidTr="00BA542D">
        <w:trPr>
          <w:cantSplit/>
        </w:trPr>
        <w:tc>
          <w:tcPr>
            <w:tcW w:w="0" w:type="auto"/>
            <w:tcBorders>
              <w:right w:val="nil"/>
            </w:tcBorders>
            <w:shd w:val="clear" w:color="auto" w:fill="F2F2F2" w:themeFill="background1" w:themeFillShade="F2"/>
          </w:tcPr>
          <w:p w14:paraId="702F6CF4" w14:textId="77777777" w:rsidR="00441963" w:rsidRDefault="00441963" w:rsidP="001668BA">
            <w:pPr>
              <w:rPr>
                <w:rFonts w:asciiTheme="minorHAnsi" w:hAnsiTheme="minorHAnsi"/>
                <w:sz w:val="20"/>
              </w:rPr>
            </w:pPr>
            <w:r w:rsidRPr="001668BA">
              <w:rPr>
                <w:rFonts w:asciiTheme="minorHAnsi" w:hAnsiTheme="minorHAnsi"/>
                <w:b/>
                <w:sz w:val="20"/>
              </w:rPr>
              <w:t>Imaging Equipment</w:t>
            </w:r>
          </w:p>
        </w:tc>
        <w:tc>
          <w:tcPr>
            <w:tcW w:w="0" w:type="auto"/>
            <w:tcBorders>
              <w:left w:val="nil"/>
              <w:right w:val="nil"/>
            </w:tcBorders>
            <w:shd w:val="clear" w:color="auto" w:fill="F2F2F2" w:themeFill="background1" w:themeFillShade="F2"/>
          </w:tcPr>
          <w:p w14:paraId="6673B803" w14:textId="77777777" w:rsidR="00441963" w:rsidRDefault="00441963"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0067302C" w14:textId="77777777" w:rsidR="00441963" w:rsidRDefault="00441963"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11AFBCBD" w14:textId="77777777" w:rsidR="00441963" w:rsidRDefault="00441963"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1DE84D58" w14:textId="77777777" w:rsidR="00441963" w:rsidRDefault="00441963" w:rsidP="001668BA">
            <w:pPr>
              <w:rPr>
                <w:rFonts w:asciiTheme="minorHAnsi" w:hAnsiTheme="minorHAnsi"/>
                <w:sz w:val="20"/>
              </w:rPr>
            </w:pPr>
          </w:p>
        </w:tc>
        <w:tc>
          <w:tcPr>
            <w:tcW w:w="0" w:type="auto"/>
            <w:tcBorders>
              <w:left w:val="nil"/>
            </w:tcBorders>
            <w:shd w:val="clear" w:color="auto" w:fill="F2F2F2" w:themeFill="background1" w:themeFillShade="F2"/>
          </w:tcPr>
          <w:p w14:paraId="3FC8A0AA" w14:textId="23C5A3F3" w:rsidR="00441963" w:rsidRDefault="00441963" w:rsidP="001668BA">
            <w:pPr>
              <w:rPr>
                <w:rFonts w:asciiTheme="minorHAnsi" w:hAnsiTheme="minorHAnsi"/>
                <w:sz w:val="20"/>
              </w:rPr>
            </w:pPr>
          </w:p>
        </w:tc>
      </w:tr>
      <w:tr w:rsidR="00477CCB" w:rsidRPr="0015250A" w14:paraId="3AAE3B46" w14:textId="508638CB" w:rsidTr="00BA542D">
        <w:trPr>
          <w:cantSplit/>
        </w:trPr>
        <w:tc>
          <w:tcPr>
            <w:tcW w:w="0" w:type="auto"/>
          </w:tcPr>
          <w:p w14:paraId="7126367E" w14:textId="53B9DB27" w:rsidR="0015250A" w:rsidRPr="0015250A" w:rsidRDefault="0015250A" w:rsidP="00833EEE">
            <w:pPr>
              <w:ind w:left="144"/>
              <w:rPr>
                <w:rFonts w:asciiTheme="minorHAnsi" w:hAnsiTheme="minorHAnsi"/>
                <w:sz w:val="20"/>
              </w:rPr>
            </w:pPr>
            <w:r w:rsidRPr="0015250A">
              <w:rPr>
                <w:rFonts w:asciiTheme="minorHAnsi" w:hAnsiTheme="minorHAnsi"/>
                <w:sz w:val="20"/>
              </w:rPr>
              <w:t>CT</w:t>
            </w:r>
          </w:p>
        </w:tc>
        <w:tc>
          <w:tcPr>
            <w:tcW w:w="0" w:type="auto"/>
          </w:tcPr>
          <w:p w14:paraId="6205679F" w14:textId="49173609" w:rsidR="0015250A" w:rsidRPr="0015250A" w:rsidRDefault="0015250A" w:rsidP="00BF719E">
            <w:pPr>
              <w:jc w:val="center"/>
              <w:rPr>
                <w:rFonts w:asciiTheme="minorHAnsi" w:hAnsiTheme="minorHAnsi"/>
                <w:sz w:val="20"/>
              </w:rPr>
            </w:pPr>
            <w:r w:rsidRPr="0015250A">
              <w:rPr>
                <w:rFonts w:asciiTheme="minorHAnsi" w:hAnsiTheme="minorHAnsi"/>
                <w:sz w:val="20"/>
              </w:rPr>
              <w:t>3</w:t>
            </w:r>
          </w:p>
        </w:tc>
        <w:tc>
          <w:tcPr>
            <w:tcW w:w="0" w:type="auto"/>
          </w:tcPr>
          <w:p w14:paraId="046535AD" w14:textId="5756D3BA" w:rsidR="0015250A" w:rsidRPr="0015250A" w:rsidRDefault="0015250A" w:rsidP="00BF719E">
            <w:pPr>
              <w:jc w:val="center"/>
              <w:rPr>
                <w:rFonts w:asciiTheme="minorHAnsi" w:hAnsiTheme="minorHAnsi"/>
                <w:sz w:val="20"/>
              </w:rPr>
            </w:pPr>
            <w:r w:rsidRPr="0015250A">
              <w:rPr>
                <w:rFonts w:asciiTheme="minorHAnsi" w:hAnsiTheme="minorHAnsi"/>
                <w:sz w:val="20"/>
              </w:rPr>
              <w:t>0</w:t>
            </w:r>
          </w:p>
        </w:tc>
        <w:tc>
          <w:tcPr>
            <w:tcW w:w="0" w:type="auto"/>
          </w:tcPr>
          <w:p w14:paraId="39C8EB70" w14:textId="1A80CB57" w:rsidR="0015250A" w:rsidRPr="0015250A" w:rsidRDefault="0015250A" w:rsidP="00BF719E">
            <w:pPr>
              <w:jc w:val="center"/>
              <w:rPr>
                <w:rFonts w:asciiTheme="minorHAnsi" w:hAnsiTheme="minorHAnsi"/>
                <w:sz w:val="20"/>
              </w:rPr>
            </w:pPr>
            <w:r w:rsidRPr="0015250A">
              <w:rPr>
                <w:rFonts w:asciiTheme="minorHAnsi" w:hAnsiTheme="minorHAnsi"/>
                <w:sz w:val="20"/>
              </w:rPr>
              <w:t>2</w:t>
            </w:r>
          </w:p>
        </w:tc>
        <w:tc>
          <w:tcPr>
            <w:tcW w:w="0" w:type="auto"/>
          </w:tcPr>
          <w:p w14:paraId="3FC9C598" w14:textId="397767CB" w:rsidR="0015250A" w:rsidRPr="0015250A" w:rsidRDefault="0015250A" w:rsidP="00BF719E">
            <w:pPr>
              <w:jc w:val="center"/>
              <w:rPr>
                <w:rFonts w:asciiTheme="minorHAnsi" w:hAnsiTheme="minorHAnsi"/>
                <w:sz w:val="20"/>
              </w:rPr>
            </w:pPr>
            <w:r w:rsidRPr="0015250A">
              <w:rPr>
                <w:rFonts w:asciiTheme="minorHAnsi" w:hAnsiTheme="minorHAnsi"/>
                <w:sz w:val="20"/>
              </w:rPr>
              <w:t>2</w:t>
            </w:r>
          </w:p>
        </w:tc>
        <w:tc>
          <w:tcPr>
            <w:tcW w:w="0" w:type="auto"/>
          </w:tcPr>
          <w:p w14:paraId="483D95CB" w14:textId="7C7348E2" w:rsidR="0015250A" w:rsidRPr="0015250A" w:rsidRDefault="00A35AB1" w:rsidP="00BF719E">
            <w:pPr>
              <w:jc w:val="center"/>
              <w:rPr>
                <w:rFonts w:asciiTheme="minorHAnsi" w:hAnsiTheme="minorHAnsi"/>
                <w:sz w:val="20"/>
              </w:rPr>
            </w:pPr>
            <w:r>
              <w:rPr>
                <w:rFonts w:asciiTheme="minorHAnsi" w:hAnsiTheme="minorHAnsi"/>
                <w:sz w:val="20"/>
              </w:rPr>
              <w:t>3</w:t>
            </w:r>
          </w:p>
        </w:tc>
      </w:tr>
      <w:tr w:rsidR="00477CCB" w:rsidRPr="0015250A" w14:paraId="2AF4BAE2" w14:textId="23E1FC14" w:rsidTr="00BA542D">
        <w:trPr>
          <w:cantSplit/>
        </w:trPr>
        <w:tc>
          <w:tcPr>
            <w:tcW w:w="0" w:type="auto"/>
          </w:tcPr>
          <w:p w14:paraId="4924CB37" w14:textId="4091253D" w:rsidR="0015250A" w:rsidRPr="0015250A" w:rsidRDefault="0015250A" w:rsidP="00833EEE">
            <w:pPr>
              <w:ind w:left="144"/>
              <w:rPr>
                <w:rFonts w:asciiTheme="minorHAnsi" w:hAnsiTheme="minorHAnsi"/>
                <w:sz w:val="20"/>
              </w:rPr>
            </w:pPr>
            <w:r w:rsidRPr="0015250A">
              <w:rPr>
                <w:rFonts w:asciiTheme="minorHAnsi" w:hAnsiTheme="minorHAnsi"/>
                <w:sz w:val="20"/>
              </w:rPr>
              <w:t>MRI</w:t>
            </w:r>
          </w:p>
        </w:tc>
        <w:tc>
          <w:tcPr>
            <w:tcW w:w="0" w:type="auto"/>
          </w:tcPr>
          <w:p w14:paraId="2394CE34" w14:textId="2F86E8DF" w:rsidR="0015250A" w:rsidRPr="0015250A" w:rsidRDefault="0015250A" w:rsidP="00BF719E">
            <w:pPr>
              <w:jc w:val="center"/>
              <w:rPr>
                <w:rFonts w:asciiTheme="minorHAnsi" w:hAnsiTheme="minorHAnsi"/>
                <w:sz w:val="20"/>
              </w:rPr>
            </w:pPr>
            <w:r w:rsidRPr="0015250A">
              <w:rPr>
                <w:rFonts w:asciiTheme="minorHAnsi" w:hAnsiTheme="minorHAnsi"/>
                <w:sz w:val="20"/>
              </w:rPr>
              <w:t>2</w:t>
            </w:r>
          </w:p>
        </w:tc>
        <w:tc>
          <w:tcPr>
            <w:tcW w:w="0" w:type="auto"/>
          </w:tcPr>
          <w:p w14:paraId="1EB776D6" w14:textId="2244404C" w:rsidR="0015250A" w:rsidRPr="0015250A" w:rsidRDefault="0015250A" w:rsidP="00BF719E">
            <w:pPr>
              <w:jc w:val="center"/>
              <w:rPr>
                <w:rFonts w:asciiTheme="minorHAnsi" w:hAnsiTheme="minorHAnsi"/>
                <w:sz w:val="20"/>
              </w:rPr>
            </w:pPr>
            <w:r w:rsidRPr="0015250A">
              <w:rPr>
                <w:rFonts w:asciiTheme="minorHAnsi" w:hAnsiTheme="minorHAnsi"/>
                <w:sz w:val="20"/>
              </w:rPr>
              <w:t>0</w:t>
            </w:r>
          </w:p>
        </w:tc>
        <w:tc>
          <w:tcPr>
            <w:tcW w:w="0" w:type="auto"/>
          </w:tcPr>
          <w:p w14:paraId="7F56B054" w14:textId="65A070E7" w:rsidR="0015250A" w:rsidRPr="0015250A" w:rsidRDefault="0015250A" w:rsidP="00BF719E">
            <w:pPr>
              <w:jc w:val="center"/>
              <w:rPr>
                <w:rFonts w:asciiTheme="minorHAnsi" w:hAnsiTheme="minorHAnsi"/>
                <w:sz w:val="20"/>
              </w:rPr>
            </w:pPr>
            <w:r w:rsidRPr="0015250A">
              <w:rPr>
                <w:rFonts w:asciiTheme="minorHAnsi" w:hAnsiTheme="minorHAnsi"/>
                <w:sz w:val="20"/>
              </w:rPr>
              <w:t>2</w:t>
            </w:r>
          </w:p>
        </w:tc>
        <w:tc>
          <w:tcPr>
            <w:tcW w:w="0" w:type="auto"/>
          </w:tcPr>
          <w:p w14:paraId="6AB7DF0C" w14:textId="360887D5" w:rsidR="0015250A" w:rsidRPr="0015250A" w:rsidRDefault="0015250A" w:rsidP="00BF719E">
            <w:pPr>
              <w:jc w:val="center"/>
              <w:rPr>
                <w:rFonts w:asciiTheme="minorHAnsi" w:hAnsiTheme="minorHAnsi"/>
                <w:sz w:val="20"/>
              </w:rPr>
            </w:pPr>
            <w:r w:rsidRPr="0015250A">
              <w:rPr>
                <w:rFonts w:asciiTheme="minorHAnsi" w:hAnsiTheme="minorHAnsi"/>
                <w:sz w:val="20"/>
              </w:rPr>
              <w:t>2</w:t>
            </w:r>
          </w:p>
        </w:tc>
        <w:tc>
          <w:tcPr>
            <w:tcW w:w="0" w:type="auto"/>
          </w:tcPr>
          <w:p w14:paraId="2F9057B2" w14:textId="50E0F02A" w:rsidR="0015250A" w:rsidRPr="0015250A" w:rsidRDefault="00743401" w:rsidP="00BF719E">
            <w:pPr>
              <w:jc w:val="center"/>
              <w:rPr>
                <w:rFonts w:asciiTheme="minorHAnsi" w:hAnsiTheme="minorHAnsi"/>
                <w:sz w:val="20"/>
              </w:rPr>
            </w:pPr>
            <w:r>
              <w:rPr>
                <w:rFonts w:asciiTheme="minorHAnsi" w:hAnsiTheme="minorHAnsi"/>
                <w:sz w:val="20"/>
              </w:rPr>
              <w:t>2</w:t>
            </w:r>
          </w:p>
        </w:tc>
      </w:tr>
      <w:tr w:rsidR="00477CCB" w:rsidRPr="0015250A" w14:paraId="560B1B6C" w14:textId="5DE138D5" w:rsidTr="00BA542D">
        <w:trPr>
          <w:cantSplit/>
        </w:trPr>
        <w:tc>
          <w:tcPr>
            <w:tcW w:w="0" w:type="auto"/>
          </w:tcPr>
          <w:p w14:paraId="09B23CAF" w14:textId="6215DE63" w:rsidR="0015250A" w:rsidRPr="0015250A" w:rsidRDefault="0015250A" w:rsidP="00833EEE">
            <w:pPr>
              <w:ind w:left="144"/>
              <w:rPr>
                <w:rFonts w:asciiTheme="minorHAnsi" w:hAnsiTheme="minorHAnsi"/>
                <w:sz w:val="20"/>
              </w:rPr>
            </w:pPr>
            <w:r w:rsidRPr="0015250A">
              <w:rPr>
                <w:rFonts w:asciiTheme="minorHAnsi" w:hAnsiTheme="minorHAnsi"/>
                <w:sz w:val="20"/>
              </w:rPr>
              <w:t>PET</w:t>
            </w:r>
            <w:r w:rsidR="00B559FE">
              <w:rPr>
                <w:rFonts w:asciiTheme="minorHAnsi" w:hAnsiTheme="minorHAnsi"/>
                <w:sz w:val="20"/>
              </w:rPr>
              <w:t>-</w:t>
            </w:r>
            <w:r w:rsidRPr="0015250A">
              <w:rPr>
                <w:rFonts w:asciiTheme="minorHAnsi" w:hAnsiTheme="minorHAnsi"/>
                <w:sz w:val="20"/>
              </w:rPr>
              <w:t>CT</w:t>
            </w:r>
          </w:p>
        </w:tc>
        <w:tc>
          <w:tcPr>
            <w:tcW w:w="0" w:type="auto"/>
          </w:tcPr>
          <w:p w14:paraId="15CEAB1E" w14:textId="5860451E" w:rsidR="0015250A" w:rsidRPr="0015250A" w:rsidRDefault="0015250A" w:rsidP="00BF719E">
            <w:pPr>
              <w:jc w:val="center"/>
              <w:rPr>
                <w:rFonts w:asciiTheme="minorHAnsi" w:hAnsiTheme="minorHAnsi"/>
                <w:sz w:val="20"/>
              </w:rPr>
            </w:pPr>
            <w:r w:rsidRPr="0015250A">
              <w:rPr>
                <w:rFonts w:asciiTheme="minorHAnsi" w:hAnsiTheme="minorHAnsi"/>
                <w:sz w:val="20"/>
              </w:rPr>
              <w:t>2</w:t>
            </w:r>
          </w:p>
        </w:tc>
        <w:tc>
          <w:tcPr>
            <w:tcW w:w="0" w:type="auto"/>
          </w:tcPr>
          <w:p w14:paraId="34875173" w14:textId="12136D07" w:rsidR="0015250A" w:rsidRPr="0015250A" w:rsidRDefault="0015250A" w:rsidP="00BF719E">
            <w:pPr>
              <w:jc w:val="center"/>
              <w:rPr>
                <w:rFonts w:asciiTheme="minorHAnsi" w:hAnsiTheme="minorHAnsi"/>
                <w:sz w:val="20"/>
              </w:rPr>
            </w:pPr>
            <w:r w:rsidRPr="0015250A">
              <w:rPr>
                <w:rFonts w:asciiTheme="minorHAnsi" w:hAnsiTheme="minorHAnsi"/>
                <w:sz w:val="20"/>
              </w:rPr>
              <w:t>0</w:t>
            </w:r>
          </w:p>
        </w:tc>
        <w:tc>
          <w:tcPr>
            <w:tcW w:w="0" w:type="auto"/>
            <w:tcBorders>
              <w:bottom w:val="single" w:sz="4" w:space="0" w:color="auto"/>
            </w:tcBorders>
          </w:tcPr>
          <w:p w14:paraId="464C816B" w14:textId="00486CAA" w:rsidR="0015250A" w:rsidRPr="0015250A" w:rsidRDefault="0015250A" w:rsidP="00BF719E">
            <w:pPr>
              <w:jc w:val="center"/>
              <w:rPr>
                <w:rFonts w:asciiTheme="minorHAnsi" w:hAnsiTheme="minorHAnsi"/>
                <w:sz w:val="20"/>
              </w:rPr>
            </w:pPr>
            <w:r w:rsidRPr="0015250A">
              <w:rPr>
                <w:rFonts w:asciiTheme="minorHAnsi" w:hAnsiTheme="minorHAnsi"/>
                <w:sz w:val="20"/>
              </w:rPr>
              <w:t>1</w:t>
            </w:r>
          </w:p>
        </w:tc>
        <w:tc>
          <w:tcPr>
            <w:tcW w:w="0" w:type="auto"/>
            <w:tcBorders>
              <w:bottom w:val="single" w:sz="4" w:space="0" w:color="auto"/>
            </w:tcBorders>
          </w:tcPr>
          <w:p w14:paraId="572C3571" w14:textId="0D05B348" w:rsidR="0015250A" w:rsidRPr="0015250A" w:rsidRDefault="0015250A" w:rsidP="00BF719E">
            <w:pPr>
              <w:jc w:val="center"/>
              <w:rPr>
                <w:rFonts w:asciiTheme="minorHAnsi" w:hAnsiTheme="minorHAnsi"/>
                <w:sz w:val="20"/>
              </w:rPr>
            </w:pPr>
            <w:r w:rsidRPr="0015250A">
              <w:rPr>
                <w:rFonts w:asciiTheme="minorHAnsi" w:hAnsiTheme="minorHAnsi"/>
                <w:sz w:val="20"/>
              </w:rPr>
              <w:t>1</w:t>
            </w:r>
          </w:p>
        </w:tc>
        <w:tc>
          <w:tcPr>
            <w:tcW w:w="0" w:type="auto"/>
          </w:tcPr>
          <w:p w14:paraId="244E1FB1" w14:textId="3EA0EA7F" w:rsidR="0015250A" w:rsidRPr="0015250A" w:rsidRDefault="00743401" w:rsidP="00BF719E">
            <w:pPr>
              <w:jc w:val="center"/>
              <w:rPr>
                <w:rFonts w:asciiTheme="minorHAnsi" w:hAnsiTheme="minorHAnsi"/>
                <w:sz w:val="20"/>
              </w:rPr>
            </w:pPr>
            <w:r>
              <w:rPr>
                <w:rFonts w:asciiTheme="minorHAnsi" w:hAnsiTheme="minorHAnsi"/>
                <w:sz w:val="20"/>
              </w:rPr>
              <w:t>2</w:t>
            </w:r>
          </w:p>
        </w:tc>
      </w:tr>
      <w:tr w:rsidR="00BA542D" w:rsidRPr="0015250A" w14:paraId="157B97DF" w14:textId="77777777" w:rsidTr="00BA542D">
        <w:trPr>
          <w:cantSplit/>
        </w:trPr>
        <w:tc>
          <w:tcPr>
            <w:tcW w:w="0" w:type="auto"/>
            <w:tcBorders>
              <w:right w:val="nil"/>
            </w:tcBorders>
            <w:shd w:val="clear" w:color="auto" w:fill="F2F2F2" w:themeFill="background1" w:themeFillShade="F2"/>
          </w:tcPr>
          <w:p w14:paraId="5FB0F501" w14:textId="77777777" w:rsidR="00BA542D" w:rsidRDefault="00BA542D" w:rsidP="001668BA">
            <w:pPr>
              <w:rPr>
                <w:rFonts w:asciiTheme="minorHAnsi" w:hAnsiTheme="minorHAnsi"/>
                <w:sz w:val="20"/>
              </w:rPr>
            </w:pPr>
            <w:r w:rsidRPr="001668BA">
              <w:rPr>
                <w:rFonts w:asciiTheme="minorHAnsi" w:hAnsiTheme="minorHAnsi"/>
                <w:b/>
                <w:sz w:val="20"/>
              </w:rPr>
              <w:t>Radiation Oncology Equipment</w:t>
            </w:r>
          </w:p>
        </w:tc>
        <w:tc>
          <w:tcPr>
            <w:tcW w:w="0" w:type="auto"/>
            <w:tcBorders>
              <w:left w:val="nil"/>
              <w:right w:val="nil"/>
            </w:tcBorders>
            <w:shd w:val="clear" w:color="auto" w:fill="F2F2F2" w:themeFill="background1" w:themeFillShade="F2"/>
          </w:tcPr>
          <w:p w14:paraId="22B40E77" w14:textId="77777777" w:rsidR="00BA542D" w:rsidRDefault="00BA542D"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709BC2AB" w14:textId="77777777" w:rsidR="00BA542D" w:rsidRDefault="00BA542D"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2288195A" w14:textId="77777777" w:rsidR="00BA542D" w:rsidRDefault="00BA542D" w:rsidP="001668BA">
            <w:pPr>
              <w:rPr>
                <w:rFonts w:asciiTheme="minorHAnsi" w:hAnsiTheme="minorHAnsi"/>
                <w:sz w:val="20"/>
              </w:rPr>
            </w:pPr>
          </w:p>
        </w:tc>
        <w:tc>
          <w:tcPr>
            <w:tcW w:w="0" w:type="auto"/>
            <w:tcBorders>
              <w:left w:val="nil"/>
              <w:right w:val="nil"/>
            </w:tcBorders>
            <w:shd w:val="clear" w:color="auto" w:fill="F2F2F2" w:themeFill="background1" w:themeFillShade="F2"/>
          </w:tcPr>
          <w:p w14:paraId="5A4155A7" w14:textId="77777777" w:rsidR="00BA542D" w:rsidRDefault="00BA542D" w:rsidP="001668BA">
            <w:pPr>
              <w:rPr>
                <w:rFonts w:asciiTheme="minorHAnsi" w:hAnsiTheme="minorHAnsi"/>
                <w:sz w:val="20"/>
              </w:rPr>
            </w:pPr>
          </w:p>
        </w:tc>
        <w:tc>
          <w:tcPr>
            <w:tcW w:w="0" w:type="auto"/>
            <w:tcBorders>
              <w:left w:val="nil"/>
            </w:tcBorders>
            <w:shd w:val="clear" w:color="auto" w:fill="F2F2F2" w:themeFill="background1" w:themeFillShade="F2"/>
          </w:tcPr>
          <w:p w14:paraId="6BED9BB6" w14:textId="23466C2E" w:rsidR="00BA542D" w:rsidRDefault="00BA542D" w:rsidP="001668BA">
            <w:pPr>
              <w:rPr>
                <w:rFonts w:asciiTheme="minorHAnsi" w:hAnsiTheme="minorHAnsi"/>
                <w:sz w:val="20"/>
              </w:rPr>
            </w:pPr>
          </w:p>
        </w:tc>
      </w:tr>
      <w:tr w:rsidR="00EF6172" w:rsidRPr="0015250A" w14:paraId="07812D66" w14:textId="77777777" w:rsidTr="00BA542D">
        <w:trPr>
          <w:cantSplit/>
        </w:trPr>
        <w:tc>
          <w:tcPr>
            <w:tcW w:w="0" w:type="auto"/>
          </w:tcPr>
          <w:p w14:paraId="653253FD" w14:textId="61321AC4" w:rsidR="007F7C58" w:rsidRPr="007F7C58" w:rsidRDefault="007F7C58" w:rsidP="007F7C58">
            <w:pPr>
              <w:ind w:left="144"/>
              <w:rPr>
                <w:rFonts w:asciiTheme="minorHAnsi" w:hAnsiTheme="minorHAnsi"/>
                <w:sz w:val="20"/>
              </w:rPr>
            </w:pPr>
            <w:r w:rsidRPr="001668BA">
              <w:rPr>
                <w:sz w:val="20"/>
              </w:rPr>
              <w:t xml:space="preserve">CT Simulator </w:t>
            </w:r>
          </w:p>
        </w:tc>
        <w:tc>
          <w:tcPr>
            <w:tcW w:w="0" w:type="auto"/>
          </w:tcPr>
          <w:p w14:paraId="56CD00A1" w14:textId="5A39CCE9" w:rsidR="007F7C58" w:rsidRPr="007F7C58" w:rsidRDefault="007F7C58" w:rsidP="007F7C58">
            <w:pPr>
              <w:jc w:val="center"/>
              <w:rPr>
                <w:rFonts w:asciiTheme="minorHAnsi" w:hAnsiTheme="minorHAnsi"/>
                <w:sz w:val="20"/>
              </w:rPr>
            </w:pPr>
            <w:r w:rsidRPr="001668BA">
              <w:rPr>
                <w:sz w:val="20"/>
              </w:rPr>
              <w:t>0</w:t>
            </w:r>
          </w:p>
        </w:tc>
        <w:tc>
          <w:tcPr>
            <w:tcW w:w="0" w:type="auto"/>
          </w:tcPr>
          <w:p w14:paraId="119DF3A9" w14:textId="7676DC36" w:rsidR="007F7C58" w:rsidRPr="007F7C58" w:rsidRDefault="007F7C58" w:rsidP="007F7C58">
            <w:pPr>
              <w:jc w:val="center"/>
              <w:rPr>
                <w:rFonts w:asciiTheme="minorHAnsi" w:hAnsiTheme="minorHAnsi"/>
                <w:sz w:val="20"/>
              </w:rPr>
            </w:pPr>
            <w:r w:rsidRPr="001668BA">
              <w:rPr>
                <w:sz w:val="20"/>
              </w:rPr>
              <w:t>0</w:t>
            </w:r>
          </w:p>
        </w:tc>
        <w:tc>
          <w:tcPr>
            <w:tcW w:w="0" w:type="auto"/>
          </w:tcPr>
          <w:p w14:paraId="739965B2" w14:textId="48EAEE17" w:rsidR="007F7C58" w:rsidRPr="007F7C58" w:rsidRDefault="007F7C58" w:rsidP="007F7C58">
            <w:pPr>
              <w:jc w:val="center"/>
              <w:rPr>
                <w:rFonts w:asciiTheme="minorHAnsi" w:hAnsiTheme="minorHAnsi"/>
                <w:sz w:val="20"/>
              </w:rPr>
            </w:pPr>
            <w:r w:rsidRPr="001668BA">
              <w:rPr>
                <w:sz w:val="20"/>
              </w:rPr>
              <w:t>2</w:t>
            </w:r>
          </w:p>
        </w:tc>
        <w:tc>
          <w:tcPr>
            <w:tcW w:w="0" w:type="auto"/>
          </w:tcPr>
          <w:p w14:paraId="5EDF4C8E" w14:textId="77BCC68A" w:rsidR="007F7C58" w:rsidRPr="007F7C58" w:rsidRDefault="007F7C58" w:rsidP="007F7C58">
            <w:pPr>
              <w:jc w:val="center"/>
              <w:rPr>
                <w:rFonts w:asciiTheme="minorHAnsi" w:hAnsiTheme="minorHAnsi"/>
                <w:sz w:val="20"/>
              </w:rPr>
            </w:pPr>
            <w:r w:rsidRPr="001668BA">
              <w:rPr>
                <w:sz w:val="20"/>
              </w:rPr>
              <w:t>2</w:t>
            </w:r>
          </w:p>
        </w:tc>
        <w:tc>
          <w:tcPr>
            <w:tcW w:w="0" w:type="auto"/>
          </w:tcPr>
          <w:p w14:paraId="3788DD32" w14:textId="20198256" w:rsidR="007F7C58" w:rsidRPr="007F7C58" w:rsidRDefault="007F7C58" w:rsidP="007F7C58">
            <w:pPr>
              <w:jc w:val="center"/>
              <w:rPr>
                <w:rFonts w:asciiTheme="minorHAnsi" w:hAnsiTheme="minorHAnsi"/>
                <w:sz w:val="20"/>
              </w:rPr>
            </w:pPr>
            <w:r w:rsidRPr="001668BA">
              <w:rPr>
                <w:sz w:val="20"/>
              </w:rPr>
              <w:t>0</w:t>
            </w:r>
          </w:p>
        </w:tc>
      </w:tr>
      <w:tr w:rsidR="00477CCB" w:rsidRPr="0015250A" w14:paraId="7D2A1101" w14:textId="3485E463" w:rsidTr="00BA542D">
        <w:trPr>
          <w:cantSplit/>
        </w:trPr>
        <w:tc>
          <w:tcPr>
            <w:tcW w:w="0" w:type="auto"/>
          </w:tcPr>
          <w:p w14:paraId="089F049D" w14:textId="7089B4D1" w:rsidR="0015250A" w:rsidRPr="0015250A" w:rsidRDefault="0015250A" w:rsidP="00833EEE">
            <w:pPr>
              <w:ind w:left="144"/>
              <w:rPr>
                <w:rFonts w:asciiTheme="minorHAnsi" w:hAnsiTheme="minorHAnsi"/>
                <w:sz w:val="20"/>
              </w:rPr>
            </w:pPr>
            <w:r w:rsidRPr="0015250A">
              <w:rPr>
                <w:rFonts w:asciiTheme="minorHAnsi" w:hAnsiTheme="minorHAnsi"/>
                <w:sz w:val="20"/>
              </w:rPr>
              <w:t>LINAC</w:t>
            </w:r>
          </w:p>
        </w:tc>
        <w:tc>
          <w:tcPr>
            <w:tcW w:w="0" w:type="auto"/>
          </w:tcPr>
          <w:p w14:paraId="5780BDF2" w14:textId="667D3D01" w:rsidR="0015250A" w:rsidRPr="0015250A" w:rsidRDefault="0015250A" w:rsidP="09B908E4">
            <w:pPr>
              <w:jc w:val="center"/>
              <w:rPr>
                <w:rFonts w:asciiTheme="minorHAnsi" w:hAnsiTheme="minorHAnsi"/>
                <w:sz w:val="20"/>
              </w:rPr>
            </w:pPr>
            <w:r w:rsidRPr="0015250A">
              <w:rPr>
                <w:rFonts w:asciiTheme="minorHAnsi" w:hAnsiTheme="minorHAnsi"/>
                <w:sz w:val="20"/>
              </w:rPr>
              <w:t>3</w:t>
            </w:r>
          </w:p>
        </w:tc>
        <w:tc>
          <w:tcPr>
            <w:tcW w:w="0" w:type="auto"/>
          </w:tcPr>
          <w:p w14:paraId="0103CEA0" w14:textId="571D5147" w:rsidR="0015250A" w:rsidRPr="0015250A" w:rsidRDefault="0015250A" w:rsidP="00BF719E">
            <w:pPr>
              <w:jc w:val="center"/>
              <w:rPr>
                <w:rFonts w:asciiTheme="minorHAnsi" w:hAnsiTheme="minorHAnsi"/>
                <w:sz w:val="20"/>
              </w:rPr>
            </w:pPr>
            <w:r w:rsidRPr="0015250A">
              <w:rPr>
                <w:rFonts w:asciiTheme="minorHAnsi" w:hAnsiTheme="minorHAnsi"/>
                <w:sz w:val="20"/>
              </w:rPr>
              <w:t>0</w:t>
            </w:r>
          </w:p>
        </w:tc>
        <w:tc>
          <w:tcPr>
            <w:tcW w:w="0" w:type="auto"/>
          </w:tcPr>
          <w:p w14:paraId="0A1A7E36" w14:textId="6D9A3A95" w:rsidR="0015250A" w:rsidRPr="0015250A" w:rsidRDefault="0015250A" w:rsidP="00BF719E">
            <w:pPr>
              <w:jc w:val="center"/>
              <w:rPr>
                <w:rFonts w:asciiTheme="minorHAnsi" w:hAnsiTheme="minorHAnsi"/>
                <w:sz w:val="20"/>
              </w:rPr>
            </w:pPr>
            <w:r w:rsidRPr="0015250A">
              <w:rPr>
                <w:rFonts w:asciiTheme="minorHAnsi" w:hAnsiTheme="minorHAnsi"/>
                <w:sz w:val="20"/>
              </w:rPr>
              <w:t>3</w:t>
            </w:r>
          </w:p>
        </w:tc>
        <w:tc>
          <w:tcPr>
            <w:tcW w:w="0" w:type="auto"/>
          </w:tcPr>
          <w:p w14:paraId="03B2CB33" w14:textId="6E3A741A" w:rsidR="0015250A" w:rsidRPr="0015250A" w:rsidRDefault="0015250A" w:rsidP="00BF719E">
            <w:pPr>
              <w:jc w:val="center"/>
              <w:rPr>
                <w:rFonts w:asciiTheme="minorHAnsi" w:hAnsiTheme="minorHAnsi"/>
                <w:sz w:val="20"/>
              </w:rPr>
            </w:pPr>
            <w:r w:rsidRPr="0015250A">
              <w:rPr>
                <w:rFonts w:asciiTheme="minorHAnsi" w:hAnsiTheme="minorHAnsi"/>
                <w:sz w:val="20"/>
              </w:rPr>
              <w:t>3</w:t>
            </w:r>
          </w:p>
        </w:tc>
        <w:tc>
          <w:tcPr>
            <w:tcW w:w="0" w:type="auto"/>
          </w:tcPr>
          <w:p w14:paraId="0F977499" w14:textId="3F109159" w:rsidR="0015250A" w:rsidRPr="0015250A" w:rsidRDefault="00743401" w:rsidP="00BF719E">
            <w:pPr>
              <w:jc w:val="center"/>
              <w:rPr>
                <w:rFonts w:asciiTheme="minorHAnsi" w:hAnsiTheme="minorHAnsi"/>
                <w:sz w:val="20"/>
              </w:rPr>
            </w:pPr>
            <w:r>
              <w:rPr>
                <w:rFonts w:asciiTheme="minorHAnsi" w:hAnsiTheme="minorHAnsi"/>
                <w:sz w:val="20"/>
              </w:rPr>
              <w:t>3</w:t>
            </w:r>
          </w:p>
        </w:tc>
      </w:tr>
    </w:tbl>
    <w:p w14:paraId="1BCCE89C" w14:textId="77777777" w:rsidR="00A113AD" w:rsidRDefault="00A113AD" w:rsidP="00DC27F9"/>
    <w:p w14:paraId="3097B6F0" w14:textId="34604ECC" w:rsidR="006D28C7" w:rsidRDefault="5F6F8E39" w:rsidP="00BA2054">
      <w:r>
        <w:t>The Applicant states that c</w:t>
      </w:r>
      <w:r w:rsidR="66E9A40C">
        <w:t>ancer treatment has grown more sophisticated over the past few decades, and new and innovative cancer treatments provided by the Applicant</w:t>
      </w:r>
      <w:r w:rsidR="007F76C9">
        <w:t>, including</w:t>
      </w:r>
      <w:r w:rsidR="00753344">
        <w:t xml:space="preserve"> many of those designed to target aggressive forms of cancer,</w:t>
      </w:r>
      <w:r w:rsidR="66E9A40C">
        <w:t xml:space="preserve"> require inpatient care. </w:t>
      </w:r>
      <w:r w:rsidR="006F0942">
        <w:t>The Applicant states further that p</w:t>
      </w:r>
      <w:r w:rsidR="5D59F456">
        <w:t>opulation projections</w:t>
      </w:r>
      <w:r w:rsidR="6C33035C">
        <w:t xml:space="preserve"> indicate an increasing </w:t>
      </w:r>
      <w:r w:rsidR="5D59F456">
        <w:t xml:space="preserve">older </w:t>
      </w:r>
      <w:r w:rsidR="6C33035C">
        <w:t>population, and</w:t>
      </w:r>
      <w:r w:rsidR="1C084AD8">
        <w:t xml:space="preserve"> </w:t>
      </w:r>
      <w:r w:rsidR="66E9A40C">
        <w:t xml:space="preserve">growing incidence and prevalence of </w:t>
      </w:r>
      <w:r w:rsidR="1C084AD8">
        <w:t>cancer</w:t>
      </w:r>
      <w:r w:rsidR="005C2046">
        <w:t xml:space="preserve"> will </w:t>
      </w:r>
      <w:r w:rsidR="006F0942">
        <w:t xml:space="preserve">further increase need for inpatient beds </w:t>
      </w:r>
      <w:r w:rsidR="002C0E40">
        <w:t xml:space="preserve">in part </w:t>
      </w:r>
      <w:r w:rsidR="006F0942">
        <w:t>because o</w:t>
      </w:r>
      <w:r w:rsidR="6C33035C">
        <w:t>lder p</w:t>
      </w:r>
      <w:r w:rsidR="5D59F456">
        <w:t xml:space="preserve">atients are more likely to experience side effects and complications from treatments that require an inpatient admission. </w:t>
      </w:r>
      <w:r w:rsidR="002E2B60">
        <w:t xml:space="preserve">The Applicant </w:t>
      </w:r>
      <w:r w:rsidR="00916AFB">
        <w:t>states that</w:t>
      </w:r>
      <w:r w:rsidR="002E2B60">
        <w:t xml:space="preserve"> i</w:t>
      </w:r>
      <w:r w:rsidR="6C33035C">
        <w:t xml:space="preserve">ncidence rates of cancer in younger adults is </w:t>
      </w:r>
      <w:r w:rsidR="6A0CF3EE">
        <w:t xml:space="preserve">further </w:t>
      </w:r>
      <w:r w:rsidR="6C33035C">
        <w:t xml:space="preserve">increasing need for inpatient care; younger adults </w:t>
      </w:r>
      <w:r w:rsidR="1C084AD8">
        <w:t>are more likely to have</w:t>
      </w:r>
      <w:r w:rsidR="6C33035C">
        <w:t xml:space="preserve"> more aggressive</w:t>
      </w:r>
      <w:r w:rsidR="1C084AD8">
        <w:t xml:space="preserve"> types of cancer</w:t>
      </w:r>
      <w:r w:rsidR="6C33035C">
        <w:t>, and</w:t>
      </w:r>
      <w:r w:rsidR="1C084AD8">
        <w:t xml:space="preserve"> are more likely to be diagnosed at an advanced stage,</w:t>
      </w:r>
      <w:r w:rsidR="6C33035C">
        <w:t xml:space="preserve"> </w:t>
      </w:r>
      <w:r w:rsidR="1C084AD8">
        <w:t xml:space="preserve">therefore </w:t>
      </w:r>
      <w:r w:rsidR="6C33035C">
        <w:t>requir</w:t>
      </w:r>
      <w:r w:rsidR="1C084AD8">
        <w:t>ing</w:t>
      </w:r>
      <w:r w:rsidR="6C33035C">
        <w:t xml:space="preserve"> more </w:t>
      </w:r>
      <w:r w:rsidR="1C084AD8">
        <w:t>aggressive therapy</w:t>
      </w:r>
      <w:r w:rsidR="5D59F456">
        <w:t xml:space="preserve">. </w:t>
      </w:r>
      <w:r w:rsidR="007636F2" w:rsidDel="00AF0FEA">
        <w:t>Also, y</w:t>
      </w:r>
      <w:r w:rsidR="66E9A40C" w:rsidDel="00AF0FEA">
        <w:t xml:space="preserve">ounger patients receive more surgical interventions, which require more inpatient beds. </w:t>
      </w:r>
      <w:r w:rsidR="00271820">
        <w:t xml:space="preserve">The Applicant states that disparities </w:t>
      </w:r>
      <w:r w:rsidR="01310078">
        <w:t xml:space="preserve">in </w:t>
      </w:r>
      <w:r w:rsidR="13A3CFE0">
        <w:t xml:space="preserve">cancer </w:t>
      </w:r>
      <w:r w:rsidR="01310078">
        <w:t xml:space="preserve">screening, </w:t>
      </w:r>
      <w:r w:rsidR="4BAE573B">
        <w:t xml:space="preserve">incidence </w:t>
      </w:r>
      <w:r w:rsidR="01310078">
        <w:t xml:space="preserve">and mortality </w:t>
      </w:r>
      <w:r w:rsidR="002F5554">
        <w:t>are documented</w:t>
      </w:r>
      <w:r w:rsidR="01310078">
        <w:t>, and</w:t>
      </w:r>
      <w:r w:rsidR="00407A26">
        <w:t xml:space="preserve"> </w:t>
      </w:r>
      <w:r w:rsidR="00271820">
        <w:t xml:space="preserve">the </w:t>
      </w:r>
      <w:r w:rsidR="3DFB759E">
        <w:t>add</w:t>
      </w:r>
      <w:r w:rsidR="00271820">
        <w:t>ition of</w:t>
      </w:r>
      <w:r w:rsidR="01310078">
        <w:t xml:space="preserve"> inpatient beds</w:t>
      </w:r>
      <w:r w:rsidR="1402002F">
        <w:t xml:space="preserve"> dedicated to cancer</w:t>
      </w:r>
      <w:r w:rsidR="01310078">
        <w:t xml:space="preserve"> in Boston </w:t>
      </w:r>
      <w:r w:rsidR="3DFB759E">
        <w:t>can</w:t>
      </w:r>
      <w:r w:rsidR="01310078">
        <w:t xml:space="preserve"> increase access for underserved communities disproportionately impacted by cancer. </w:t>
      </w:r>
    </w:p>
    <w:p w14:paraId="39C766E7" w14:textId="77777777" w:rsidR="006D28C7" w:rsidRDefault="006D28C7" w:rsidP="00BA2054">
      <w:pPr>
        <w:rPr>
          <w:bCs/>
        </w:rPr>
      </w:pPr>
    </w:p>
    <w:p w14:paraId="4EFE0D0C" w14:textId="2EFA465A" w:rsidR="002003D0" w:rsidRDefault="5B51A105" w:rsidP="00BA2054">
      <w:r>
        <w:t xml:space="preserve">The Applicant states that it provides </w:t>
      </w:r>
      <w:r w:rsidR="005F53C8">
        <w:t xml:space="preserve">subspecialized services </w:t>
      </w:r>
      <w:r>
        <w:t xml:space="preserve">to a highly-acute and medically complex patient population, that </w:t>
      </w:r>
      <w:r w:rsidR="00312B2D">
        <w:t xml:space="preserve">increasingly </w:t>
      </w:r>
      <w:r>
        <w:t xml:space="preserve">require more prolonged inpatient management and intervention. Further, its Patient Panel is growing more acute and the care it delivers is growing more complex. </w:t>
      </w:r>
      <w:r w:rsidR="00DB4BFF">
        <w:t xml:space="preserve">The Applicant cited the </w:t>
      </w:r>
      <w:r w:rsidR="6902A80D">
        <w:t>example</w:t>
      </w:r>
      <w:r w:rsidR="00DB4BFF">
        <w:t xml:space="preserve"> of</w:t>
      </w:r>
      <w:r w:rsidR="6902A80D">
        <w:t xml:space="preserve"> c</w:t>
      </w:r>
      <w:r w:rsidR="18EC26CD">
        <w:t xml:space="preserve">omplex and novel therapies like induction therapy for acute leukemia patients, </w:t>
      </w:r>
      <w:r w:rsidR="00EB35D2" w:rsidRPr="00EB35D2">
        <w:t xml:space="preserve">Chimeric </w:t>
      </w:r>
      <w:r w:rsidR="00AA59B3">
        <w:t>A</w:t>
      </w:r>
      <w:r w:rsidR="00EB35D2" w:rsidRPr="00EB35D2">
        <w:t xml:space="preserve">ntigen </w:t>
      </w:r>
      <w:r w:rsidR="00AA59B3">
        <w:t>R</w:t>
      </w:r>
      <w:r w:rsidR="00EB35D2" w:rsidRPr="00EB35D2">
        <w:t>eceptor (CAR)</w:t>
      </w:r>
      <w:r w:rsidR="00764A67">
        <w:t xml:space="preserve"> </w:t>
      </w:r>
      <w:r w:rsidR="00EB35D2">
        <w:t>T</w:t>
      </w:r>
      <w:r w:rsidR="00764A67">
        <w:t>-</w:t>
      </w:r>
      <w:r w:rsidR="18EC26CD">
        <w:t xml:space="preserve">cell therapy, bi-specific T-cell engager therapy, and stem cell transplantation, </w:t>
      </w:r>
      <w:r w:rsidR="0094577F">
        <w:t xml:space="preserve">all of </w:t>
      </w:r>
      <w:r w:rsidR="00DB4BFF">
        <w:t xml:space="preserve">which </w:t>
      </w:r>
      <w:r w:rsidR="00013184">
        <w:t xml:space="preserve">the Applicant states </w:t>
      </w:r>
      <w:r w:rsidR="18EC26CD">
        <w:t xml:space="preserve">require or may </w:t>
      </w:r>
      <w:r w:rsidR="18EC26CD">
        <w:lastRenderedPageBreak/>
        <w:t xml:space="preserve">lead to potentially lengthy inpatient stays, </w:t>
      </w:r>
      <w:r w:rsidR="301D1CB5">
        <w:t xml:space="preserve">and </w:t>
      </w:r>
      <w:r w:rsidR="18EC26CD">
        <w:t xml:space="preserve">are expanding significantly in their </w:t>
      </w:r>
      <w:r w:rsidR="00442C6A">
        <w:t>prevalence</w:t>
      </w:r>
      <w:r w:rsidR="18EC26CD">
        <w:t>.</w:t>
      </w:r>
      <w:r w:rsidR="0A01A867">
        <w:t xml:space="preserve"> </w:t>
      </w:r>
      <w:r w:rsidR="35D29B74">
        <w:t xml:space="preserve">As discussed further below, the Applicant </w:t>
      </w:r>
      <w:r w:rsidR="19F826DD">
        <w:t>provide</w:t>
      </w:r>
      <w:r w:rsidR="09DA86D3">
        <w:t>s</w:t>
      </w:r>
      <w:r w:rsidR="19F826DD">
        <w:t xml:space="preserve"> more of these services as compared to other providers in the Commonwealth that </w:t>
      </w:r>
      <w:r w:rsidR="00702BB8">
        <w:t xml:space="preserve">currently </w:t>
      </w:r>
      <w:r w:rsidR="19F826DD">
        <w:t>offer th</w:t>
      </w:r>
      <w:r w:rsidR="00B571A1">
        <w:t xml:space="preserve">em, </w:t>
      </w:r>
      <w:r w:rsidR="00D05172">
        <w:t>requiring the Applicant to have</w:t>
      </w:r>
      <w:r w:rsidR="00B571A1">
        <w:t xml:space="preserve"> sufficient inpatient capacity</w:t>
      </w:r>
      <w:r w:rsidR="09DA86D3">
        <w:t>.</w:t>
      </w:r>
      <w:r w:rsidR="0A01A867">
        <w:t xml:space="preserve"> </w:t>
      </w:r>
    </w:p>
    <w:p w14:paraId="040E17FB" w14:textId="77777777" w:rsidR="00ED44E5" w:rsidRDefault="00ED44E5" w:rsidP="00BA2054"/>
    <w:p w14:paraId="37A88389" w14:textId="57168CA5" w:rsidR="006D28C7" w:rsidRPr="006D28C7" w:rsidRDefault="006D28C7" w:rsidP="00BA2054">
      <w:r>
        <w:t xml:space="preserve">The Applicant determined that constructing a hospital dedicated to adult cancer care will meet the growing need among Massachusetts residents for the advanced cancer care that the Applicant will provide. </w:t>
      </w:r>
      <w:r w:rsidR="004C480C" w:rsidRPr="004C480C">
        <w:t>The Applicant maintains that identified Patient Panel need for oncology care cannot be met by other hospitals within the Commonwealth because of the highly specialized nature of inpatient oncology care required by the Applicant’s Patient Panel and the growing need for such care. This is discussed further in Factor 1a.</w:t>
      </w:r>
    </w:p>
    <w:p w14:paraId="31CF8ED9" w14:textId="77777777" w:rsidR="00716AF5" w:rsidRPr="00E54F94" w:rsidRDefault="00716AF5" w:rsidP="00BA2054"/>
    <w:p w14:paraId="35047073" w14:textId="77777777" w:rsidR="00C955A7" w:rsidRPr="00B730B7" w:rsidRDefault="00C955A7" w:rsidP="00BA2054">
      <w:r w:rsidRPr="00B730B7">
        <w:rPr>
          <w:b/>
          <w:bCs/>
        </w:rPr>
        <w:t>Contemporaneous Review of this Transaction</w:t>
      </w:r>
      <w:r w:rsidRPr="00B730B7">
        <w:t xml:space="preserve"> </w:t>
      </w:r>
    </w:p>
    <w:p w14:paraId="2F199766" w14:textId="545C55C2" w:rsidR="00C955A7" w:rsidRPr="00B730B7" w:rsidRDefault="00C955A7" w:rsidP="00BA2054">
      <w:r w:rsidRPr="00B730B7">
        <w:t xml:space="preserve">On </w:t>
      </w:r>
      <w:r w:rsidR="00923A5C" w:rsidRPr="00B730B7">
        <w:t>January 25</w:t>
      </w:r>
      <w:r w:rsidRPr="00B730B7">
        <w:t xml:space="preserve">, 2024, </w:t>
      </w:r>
      <w:bookmarkStart w:id="4" w:name="_Hlk175923959"/>
      <w:r w:rsidRPr="00B730B7">
        <w:t>the Massachusetts Health Policy Commission (HPC) authorized the initiation of a Cost and Market Impact Review (CMIR) which will analyze the impact of the proposed clinical affiliation between Dana-Farber,</w:t>
      </w:r>
      <w:r w:rsidR="007D4853" w:rsidRPr="00B730B7">
        <w:t xml:space="preserve"> </w:t>
      </w:r>
      <w:r w:rsidRPr="00B730B7">
        <w:t>BIDMC, and HMFP</w:t>
      </w:r>
      <w:r w:rsidR="00E67E2C" w:rsidRPr="00B730B7">
        <w:t xml:space="preserve"> and the joint construction of a new freestanding cancer hospital</w:t>
      </w:r>
      <w:r w:rsidRPr="00B730B7">
        <w:t xml:space="preserve">. The CMIR will examine the potential impact of the proposed plans on costs, market functioning, quality, care delivery, and </w:t>
      </w:r>
      <w:r w:rsidR="007D5642">
        <w:t>access/</w:t>
      </w:r>
      <w:r w:rsidR="00A82543" w:rsidRPr="00B730B7">
        <w:t>health equity</w:t>
      </w:r>
      <w:bookmarkEnd w:id="4"/>
      <w:r w:rsidRPr="00B730B7">
        <w:t xml:space="preserve">. The CMIR is in process at this time and its anticipated completion is </w:t>
      </w:r>
      <w:r w:rsidR="00A9569C" w:rsidRPr="00B730B7">
        <w:t>May</w:t>
      </w:r>
      <w:r w:rsidR="005135DB" w:rsidRPr="00B730B7">
        <w:t xml:space="preserve"> </w:t>
      </w:r>
      <w:r w:rsidR="00A9569C" w:rsidRPr="00B730B7">
        <w:t>2025</w:t>
      </w:r>
      <w:r w:rsidRPr="00B730B7">
        <w:t>. Because this transaction is subject to a CMIR, any Determination of Need (DON) approved by the Department of Public Health will not go into effect until 30 days following the HPC‘s completion of the CMIR. 105 CMR 100.</w:t>
      </w:r>
      <w:r w:rsidR="007670E4" w:rsidRPr="00B730B7">
        <w:t>310</w:t>
      </w:r>
      <w:r w:rsidRPr="00B730B7">
        <w:t>(</w:t>
      </w:r>
      <w:r w:rsidR="0045156C" w:rsidRPr="00B730B7">
        <w:t>A</w:t>
      </w:r>
      <w:r w:rsidRPr="00B730B7">
        <w:t>)(</w:t>
      </w:r>
      <w:r w:rsidR="0045156C" w:rsidRPr="00B730B7">
        <w:t>2</w:t>
      </w:r>
      <w:r w:rsidRPr="00B730B7">
        <w:t xml:space="preserve">). </w:t>
      </w:r>
    </w:p>
    <w:p w14:paraId="26C4715F" w14:textId="77777777" w:rsidR="00C955A7" w:rsidRPr="00B730B7" w:rsidRDefault="00C955A7" w:rsidP="00BA2054"/>
    <w:p w14:paraId="5592321C" w14:textId="7E881410" w:rsidR="00E54F94" w:rsidRDefault="209A3E59" w:rsidP="00BA2054">
      <w:r w:rsidRPr="00B730B7">
        <w:t xml:space="preserve">The DoN Regulation further states that the HPC may provide a written recommendation to the Commissioner that the DoN should not go into effect based on the findings of the CMIR. If the information in the CMIR causes the Commissioner to conclude that the Holder would fail to meet one or more of the specified Factors, the Public Health Council can reconsider the matter and may rescind or amend an approved Notice of Determination of Need. Separately, HPC can make a referral of its report to the Massachusetts Attorney General’s Office (AGO) and must make such a referral if the HPC determines in its preliminary report that the Provider Organization has a dominant market share for the services it provides; charges materially higher prices than the median prices; and the provider organization has materially higher health status adjusted Total Medical Expenses (TME) </w:t>
      </w:r>
      <w:r w:rsidR="14A76D7F">
        <w:t>compared to</w:t>
      </w:r>
      <w:r w:rsidRPr="00B730B7">
        <w:t xml:space="preserve"> other providers in the same market. See M.G.L. c. 6D, § 13.</w:t>
      </w:r>
    </w:p>
    <w:p w14:paraId="440F9785" w14:textId="77777777" w:rsidR="0079133F" w:rsidRDefault="0079133F" w:rsidP="00BA2054"/>
    <w:p w14:paraId="61D241C9" w14:textId="77777777" w:rsidR="00C955A7" w:rsidRDefault="00C955A7" w:rsidP="00BA2054">
      <w:pPr>
        <w:pStyle w:val="Heading1"/>
        <w:ind w:left="0"/>
      </w:pPr>
    </w:p>
    <w:p w14:paraId="0723DB56" w14:textId="48E6148E" w:rsidR="00B447F3" w:rsidRPr="003436F0" w:rsidRDefault="00A4110F" w:rsidP="00BA2054">
      <w:pPr>
        <w:pStyle w:val="Heading1"/>
        <w:ind w:left="0"/>
      </w:pPr>
      <w:bookmarkStart w:id="5" w:name="_Toc190780581"/>
      <w:r w:rsidRPr="00C776B7">
        <w:rPr>
          <w:color w:val="1F497D" w:themeColor="text2"/>
        </w:rPr>
        <w:t>Patient Panel</w:t>
      </w:r>
      <w:r w:rsidR="000F1587">
        <w:rPr>
          <w:rStyle w:val="FootnoteReference"/>
          <w:rFonts w:asciiTheme="minorHAnsi" w:hAnsiTheme="minorHAnsi"/>
          <w:color w:val="42558C"/>
        </w:rPr>
        <w:footnoteReference w:id="8"/>
      </w:r>
      <w:bookmarkEnd w:id="5"/>
    </w:p>
    <w:p w14:paraId="017EE0AE" w14:textId="1E0100B2" w:rsidR="00B67756" w:rsidRPr="00B67756" w:rsidRDefault="008E0F12" w:rsidP="00B67756">
      <w:bookmarkStart w:id="6" w:name="Patient_Information_(2019)"/>
      <w:bookmarkEnd w:id="6"/>
      <w:r w:rsidRPr="00AE24F4">
        <w:t xml:space="preserve">Table </w:t>
      </w:r>
      <w:r w:rsidR="00C53702" w:rsidRPr="00AE24F4">
        <w:t>2</w:t>
      </w:r>
      <w:r>
        <w:t xml:space="preserve"> shows the Applicant’s Patient Panel, </w:t>
      </w:r>
      <w:r w:rsidR="004C2CE6">
        <w:t xml:space="preserve">defined as unique patients seen from </w:t>
      </w:r>
      <w:r w:rsidR="001F019A">
        <w:t>fiscal year (FY) 21</w:t>
      </w:r>
      <w:r w:rsidR="004C2CE6">
        <w:t xml:space="preserve"> </w:t>
      </w:r>
      <w:r w:rsidR="004C2CE6">
        <w:lastRenderedPageBreak/>
        <w:t>to FY23.</w:t>
      </w:r>
      <w:r w:rsidR="00646669">
        <w:rPr>
          <w:rStyle w:val="FootnoteReference"/>
        </w:rPr>
        <w:footnoteReference w:id="9"/>
      </w:r>
      <w:r w:rsidR="004C2CE6">
        <w:t xml:space="preserve"> </w:t>
      </w:r>
      <w:r w:rsidR="00926275">
        <w:t xml:space="preserve">Unique patients include all of the Applicant’s inpatients and outpatients at all </w:t>
      </w:r>
      <w:r w:rsidR="00DC135D">
        <w:t xml:space="preserve">of the Applicant’s </w:t>
      </w:r>
      <w:r w:rsidR="00926275">
        <w:t>sites.</w:t>
      </w:r>
      <w:r w:rsidR="00A85FB9">
        <w:t xml:space="preserve"> </w:t>
      </w:r>
      <w:r w:rsidR="00B67756">
        <w:t>Table 2</w:t>
      </w:r>
      <w:r w:rsidR="00B67756" w:rsidRPr="00B67756">
        <w:t xml:space="preserve"> includes all patients seen at all locations on the Applicant’s license. </w:t>
      </w:r>
      <w:r w:rsidR="00F677BC">
        <w:t>The Applicant states that f</w:t>
      </w:r>
      <w:r w:rsidR="00B67756" w:rsidRPr="00B67756">
        <w:t xml:space="preserve">or inpatients only, </w:t>
      </w:r>
      <w:r w:rsidR="00B54AB1">
        <w:t>Table 2</w:t>
      </w:r>
      <w:r w:rsidR="00B67756" w:rsidRPr="00B67756">
        <w:t xml:space="preserve"> is based on utilization data for the Applicant’s current licensed beds, as well as an estimate of utilization for patients admitted to BWH-licensed beds </w:t>
      </w:r>
      <w:r w:rsidR="00792C75">
        <w:t xml:space="preserve">that were </w:t>
      </w:r>
      <w:r w:rsidR="00B67756" w:rsidRPr="00B67756">
        <w:t xml:space="preserve">under the care of the Applicant’s </w:t>
      </w:r>
      <w:r w:rsidR="00A21E19">
        <w:t xml:space="preserve">medical </w:t>
      </w:r>
      <w:r w:rsidR="00B67756" w:rsidRPr="00B67756">
        <w:t>oncologists</w:t>
      </w:r>
      <w:r w:rsidR="00760959">
        <w:t>. This information was produced</w:t>
      </w:r>
      <w:r w:rsidR="00B67756" w:rsidRPr="00B67756">
        <w:t xml:space="preserve"> from professional claim data</w:t>
      </w:r>
      <w:r w:rsidR="004A6322">
        <w:t>. The Applicant states that</w:t>
      </w:r>
      <w:r w:rsidR="00573CCC">
        <w:t xml:space="preserve"> </w:t>
      </w:r>
      <w:r w:rsidR="00CF0832">
        <w:t xml:space="preserve">while </w:t>
      </w:r>
      <w:r w:rsidR="00B67756" w:rsidRPr="00B67756">
        <w:t>precise utilization data for all such patients is available to the Applicant as part of its existing collaboration</w:t>
      </w:r>
      <w:r w:rsidR="00171E0C">
        <w:t xml:space="preserve"> with BWH</w:t>
      </w:r>
      <w:r w:rsidR="00B67756" w:rsidRPr="00B67756">
        <w:t>, portions of that data are proprietary to BWH, and the Applicant is restricted from disclosing it in th</w:t>
      </w:r>
      <w:r w:rsidR="00573CCC">
        <w:t>e DoN</w:t>
      </w:r>
      <w:r w:rsidR="00B67756" w:rsidRPr="00B67756">
        <w:t xml:space="preserve"> Application due to confidentiality restrictions.  </w:t>
      </w:r>
    </w:p>
    <w:p w14:paraId="68C97789" w14:textId="77777777" w:rsidR="006F0F59" w:rsidRDefault="006F0F59" w:rsidP="00397218"/>
    <w:p w14:paraId="1167AED8" w14:textId="0C8DBB97" w:rsidR="00A77FA8" w:rsidRPr="009977C3" w:rsidRDefault="009977C3" w:rsidP="007B0C1F">
      <w:pPr>
        <w:rPr>
          <w:b/>
          <w:bCs/>
        </w:rPr>
      </w:pPr>
      <w:r w:rsidRPr="009977C3">
        <w:rPr>
          <w:b/>
          <w:bCs/>
          <w:u w:val="single"/>
        </w:rPr>
        <w:t xml:space="preserve">Table </w:t>
      </w:r>
      <w:r w:rsidR="00910A32">
        <w:rPr>
          <w:b/>
          <w:bCs/>
          <w:u w:val="single"/>
        </w:rPr>
        <w:t>2</w:t>
      </w:r>
      <w:r w:rsidRPr="009977C3">
        <w:rPr>
          <w:b/>
          <w:bCs/>
        </w:rPr>
        <w:t xml:space="preserve">: </w:t>
      </w:r>
      <w:r w:rsidR="00A00A70">
        <w:rPr>
          <w:b/>
          <w:bCs/>
        </w:rPr>
        <w:t xml:space="preserve">Dana-Farber </w:t>
      </w:r>
      <w:r w:rsidRPr="009977C3">
        <w:rPr>
          <w:b/>
          <w:bCs/>
        </w:rPr>
        <w:t>Patient Panel</w:t>
      </w:r>
      <w:r w:rsidR="00CD417B">
        <w:rPr>
          <w:b/>
          <w:bCs/>
        </w:rPr>
        <w:t>, FY21 to FY23</w:t>
      </w:r>
    </w:p>
    <w:tbl>
      <w:tblPr>
        <w:tblStyle w:val="TableGrid"/>
        <w:tblW w:w="0" w:type="auto"/>
        <w:tblLook w:val="04A0" w:firstRow="1" w:lastRow="0" w:firstColumn="1" w:lastColumn="0" w:noHBand="0" w:noVBand="1"/>
      </w:tblPr>
      <w:tblGrid>
        <w:gridCol w:w="1810"/>
        <w:gridCol w:w="885"/>
        <w:gridCol w:w="885"/>
        <w:gridCol w:w="1006"/>
        <w:gridCol w:w="1263"/>
      </w:tblGrid>
      <w:tr w:rsidR="00A2407C" w:rsidRPr="009977C3" w14:paraId="182B9507" w14:textId="42BD41BF" w:rsidTr="00200BF9">
        <w:trPr>
          <w:cantSplit/>
          <w:trHeight w:val="288"/>
          <w:tblHeader/>
        </w:trPr>
        <w:tc>
          <w:tcPr>
            <w:tcW w:w="0" w:type="auto"/>
            <w:noWrap/>
            <w:hideMark/>
          </w:tcPr>
          <w:p w14:paraId="69C91B95" w14:textId="77777777" w:rsidR="00D33AA4" w:rsidRPr="009977C3" w:rsidRDefault="00D33AA4">
            <w:pPr>
              <w:contextualSpacing/>
              <w:jc w:val="center"/>
              <w:rPr>
                <w:rFonts w:eastAsia="Times New Roman"/>
                <w:color w:val="000000"/>
                <w:szCs w:val="24"/>
              </w:rPr>
            </w:pPr>
          </w:p>
        </w:tc>
        <w:tc>
          <w:tcPr>
            <w:tcW w:w="0" w:type="auto"/>
            <w:shd w:val="clear" w:color="auto" w:fill="DBE5F1" w:themeFill="accent1" w:themeFillTint="33"/>
            <w:noWrap/>
            <w:hideMark/>
          </w:tcPr>
          <w:p w14:paraId="633408E1" w14:textId="0D96E153" w:rsidR="00D33AA4" w:rsidRPr="009977C3" w:rsidRDefault="000057E6" w:rsidP="00793FD9">
            <w:pPr>
              <w:contextualSpacing/>
              <w:jc w:val="center"/>
              <w:rPr>
                <w:rFonts w:eastAsia="Times New Roman"/>
                <w:color w:val="000000"/>
                <w:szCs w:val="24"/>
              </w:rPr>
            </w:pPr>
            <w:r>
              <w:rPr>
                <w:rFonts w:eastAsia="Times New Roman"/>
                <w:b/>
                <w:bCs/>
                <w:color w:val="000000"/>
                <w:szCs w:val="24"/>
              </w:rPr>
              <w:t>FY</w:t>
            </w:r>
            <w:r w:rsidR="00D33AA4" w:rsidRPr="009977C3">
              <w:rPr>
                <w:rFonts w:eastAsia="Times New Roman"/>
                <w:b/>
                <w:bCs/>
                <w:color w:val="000000"/>
                <w:szCs w:val="24"/>
              </w:rPr>
              <w:t>2</w:t>
            </w:r>
            <w:r w:rsidR="009F62F7">
              <w:rPr>
                <w:rFonts w:eastAsia="Times New Roman"/>
                <w:b/>
                <w:bCs/>
                <w:color w:val="000000"/>
                <w:szCs w:val="24"/>
              </w:rPr>
              <w:t>1</w:t>
            </w:r>
          </w:p>
        </w:tc>
        <w:tc>
          <w:tcPr>
            <w:tcW w:w="0" w:type="auto"/>
            <w:shd w:val="clear" w:color="auto" w:fill="DBE5F1" w:themeFill="accent1" w:themeFillTint="33"/>
            <w:noWrap/>
            <w:hideMark/>
          </w:tcPr>
          <w:p w14:paraId="2E2D0836" w14:textId="704EDE14" w:rsidR="00D33AA4" w:rsidRPr="009977C3" w:rsidRDefault="000057E6" w:rsidP="00793FD9">
            <w:pPr>
              <w:contextualSpacing/>
              <w:jc w:val="center"/>
              <w:rPr>
                <w:rFonts w:eastAsia="Times New Roman"/>
                <w:color w:val="000000"/>
                <w:szCs w:val="24"/>
              </w:rPr>
            </w:pPr>
            <w:r>
              <w:rPr>
                <w:rFonts w:eastAsia="Times New Roman"/>
                <w:b/>
                <w:bCs/>
                <w:color w:val="000000"/>
                <w:szCs w:val="24"/>
              </w:rPr>
              <w:t>FY</w:t>
            </w:r>
            <w:r w:rsidR="00D33AA4" w:rsidRPr="009977C3">
              <w:rPr>
                <w:rFonts w:eastAsia="Times New Roman"/>
                <w:b/>
                <w:bCs/>
                <w:color w:val="000000"/>
                <w:szCs w:val="24"/>
              </w:rPr>
              <w:t>2</w:t>
            </w:r>
            <w:r w:rsidR="009F62F7">
              <w:rPr>
                <w:rFonts w:eastAsia="Times New Roman"/>
                <w:b/>
                <w:bCs/>
                <w:color w:val="000000"/>
                <w:szCs w:val="24"/>
              </w:rPr>
              <w:t>2</w:t>
            </w:r>
          </w:p>
        </w:tc>
        <w:tc>
          <w:tcPr>
            <w:tcW w:w="0" w:type="auto"/>
            <w:shd w:val="clear" w:color="auto" w:fill="DBE5F1" w:themeFill="accent1" w:themeFillTint="33"/>
            <w:noWrap/>
            <w:hideMark/>
          </w:tcPr>
          <w:p w14:paraId="017360D7" w14:textId="1CAA968F" w:rsidR="00D33AA4" w:rsidRPr="009977C3" w:rsidRDefault="000057E6" w:rsidP="00793FD9">
            <w:pPr>
              <w:contextualSpacing/>
              <w:jc w:val="center"/>
              <w:rPr>
                <w:rFonts w:eastAsia="Times New Roman"/>
                <w:color w:val="000000"/>
                <w:szCs w:val="24"/>
              </w:rPr>
            </w:pPr>
            <w:r>
              <w:rPr>
                <w:rFonts w:eastAsia="Times New Roman"/>
                <w:b/>
                <w:bCs/>
                <w:color w:val="000000"/>
                <w:szCs w:val="24"/>
              </w:rPr>
              <w:t>FY</w:t>
            </w:r>
            <w:r w:rsidR="00D33AA4" w:rsidRPr="009977C3">
              <w:rPr>
                <w:rFonts w:eastAsia="Times New Roman"/>
                <w:b/>
                <w:bCs/>
                <w:color w:val="000000"/>
                <w:szCs w:val="24"/>
              </w:rPr>
              <w:t>2</w:t>
            </w:r>
            <w:r w:rsidR="009F62F7">
              <w:rPr>
                <w:rFonts w:eastAsia="Times New Roman"/>
                <w:b/>
                <w:bCs/>
                <w:color w:val="000000"/>
                <w:szCs w:val="24"/>
              </w:rPr>
              <w:t>3</w:t>
            </w:r>
          </w:p>
        </w:tc>
        <w:tc>
          <w:tcPr>
            <w:tcW w:w="0" w:type="auto"/>
            <w:shd w:val="clear" w:color="auto" w:fill="DBE5F1" w:themeFill="accent1" w:themeFillTint="33"/>
          </w:tcPr>
          <w:p w14:paraId="1A5A81E2" w14:textId="575EB800" w:rsidR="00D33AA4" w:rsidRDefault="006074C1" w:rsidP="00793FD9">
            <w:pPr>
              <w:contextualSpacing/>
              <w:jc w:val="center"/>
              <w:rPr>
                <w:rFonts w:eastAsia="Times New Roman"/>
                <w:b/>
                <w:bCs/>
                <w:color w:val="000000"/>
                <w:szCs w:val="24"/>
              </w:rPr>
            </w:pPr>
            <w:r>
              <w:rPr>
                <w:rFonts w:eastAsia="Times New Roman"/>
                <w:b/>
                <w:bCs/>
                <w:color w:val="000000"/>
                <w:szCs w:val="24"/>
              </w:rPr>
              <w:t>% Change</w:t>
            </w:r>
          </w:p>
          <w:p w14:paraId="719007D6" w14:textId="56444903" w:rsidR="006074C1" w:rsidRPr="009977C3" w:rsidRDefault="006074C1" w:rsidP="00793FD9">
            <w:pPr>
              <w:contextualSpacing/>
              <w:jc w:val="center"/>
              <w:rPr>
                <w:rFonts w:eastAsia="Times New Roman"/>
                <w:b/>
                <w:bCs/>
                <w:color w:val="000000"/>
                <w:szCs w:val="24"/>
              </w:rPr>
            </w:pPr>
            <w:r w:rsidRPr="69679E8E">
              <w:rPr>
                <w:rFonts w:eastAsia="Times New Roman"/>
                <w:b/>
                <w:color w:val="000000" w:themeColor="text1"/>
              </w:rPr>
              <w:t>202</w:t>
            </w:r>
            <w:r w:rsidR="009F62F7" w:rsidRPr="69679E8E">
              <w:rPr>
                <w:rFonts w:eastAsia="Times New Roman"/>
                <w:b/>
                <w:color w:val="000000" w:themeColor="text1"/>
              </w:rPr>
              <w:t>1</w:t>
            </w:r>
            <w:r w:rsidRPr="69679E8E">
              <w:rPr>
                <w:rFonts w:eastAsia="Times New Roman"/>
                <w:b/>
                <w:color w:val="000000" w:themeColor="text1"/>
              </w:rPr>
              <w:t>-202</w:t>
            </w:r>
            <w:r w:rsidR="009F62F7" w:rsidRPr="69679E8E">
              <w:rPr>
                <w:rFonts w:eastAsia="Times New Roman"/>
                <w:b/>
                <w:color w:val="000000" w:themeColor="text1"/>
              </w:rPr>
              <w:t>3</w:t>
            </w:r>
          </w:p>
        </w:tc>
      </w:tr>
      <w:tr w:rsidR="009D232D" w:rsidRPr="009977C3" w14:paraId="6C4B6A9C" w14:textId="2FF2938B" w:rsidTr="002B2310">
        <w:trPr>
          <w:cantSplit/>
          <w:trHeight w:val="200"/>
        </w:trPr>
        <w:tc>
          <w:tcPr>
            <w:tcW w:w="0" w:type="auto"/>
            <w:noWrap/>
            <w:hideMark/>
          </w:tcPr>
          <w:p w14:paraId="5B00E7FC" w14:textId="580465D0" w:rsidR="009D232D" w:rsidRPr="009977C3" w:rsidRDefault="009D232D" w:rsidP="009D232D">
            <w:pPr>
              <w:contextualSpacing/>
              <w:rPr>
                <w:rFonts w:eastAsia="Times New Roman"/>
                <w:b/>
                <w:bCs/>
                <w:color w:val="000000"/>
                <w:szCs w:val="24"/>
              </w:rPr>
            </w:pPr>
            <w:r>
              <w:rPr>
                <w:rFonts w:eastAsia="Times New Roman"/>
                <w:b/>
                <w:bCs/>
                <w:color w:val="000000"/>
                <w:szCs w:val="24"/>
              </w:rPr>
              <w:t>U</w:t>
            </w:r>
            <w:r w:rsidRPr="009977C3">
              <w:rPr>
                <w:rFonts w:eastAsia="Times New Roman"/>
                <w:b/>
                <w:bCs/>
                <w:color w:val="000000"/>
                <w:szCs w:val="24"/>
              </w:rPr>
              <w:t xml:space="preserve">nique </w:t>
            </w:r>
            <w:r>
              <w:rPr>
                <w:rFonts w:eastAsia="Times New Roman"/>
                <w:b/>
                <w:bCs/>
                <w:color w:val="000000"/>
                <w:szCs w:val="24"/>
              </w:rPr>
              <w:t>P</w:t>
            </w:r>
            <w:r w:rsidRPr="009977C3">
              <w:rPr>
                <w:rFonts w:eastAsia="Times New Roman"/>
                <w:b/>
                <w:bCs/>
                <w:color w:val="000000"/>
                <w:szCs w:val="24"/>
              </w:rPr>
              <w:t>atients</w:t>
            </w:r>
          </w:p>
        </w:tc>
        <w:tc>
          <w:tcPr>
            <w:tcW w:w="0" w:type="auto"/>
            <w:noWrap/>
          </w:tcPr>
          <w:p w14:paraId="7AF562A1" w14:textId="088346A0" w:rsidR="009D232D" w:rsidRPr="009977C3" w:rsidRDefault="000525E6" w:rsidP="00793FD9">
            <w:pPr>
              <w:contextualSpacing/>
              <w:jc w:val="center"/>
              <w:rPr>
                <w:rFonts w:eastAsia="Times New Roman"/>
                <w:color w:val="000000"/>
                <w:szCs w:val="24"/>
              </w:rPr>
            </w:pPr>
            <w:r>
              <w:rPr>
                <w:rFonts w:eastAsia="Times New Roman"/>
                <w:color w:val="000000"/>
                <w:szCs w:val="24"/>
              </w:rPr>
              <w:t>90,754</w:t>
            </w:r>
          </w:p>
        </w:tc>
        <w:tc>
          <w:tcPr>
            <w:tcW w:w="0" w:type="auto"/>
            <w:noWrap/>
          </w:tcPr>
          <w:p w14:paraId="45FB20CE" w14:textId="0568C951" w:rsidR="009D232D" w:rsidRPr="009977C3" w:rsidRDefault="000525E6" w:rsidP="00793FD9">
            <w:pPr>
              <w:contextualSpacing/>
              <w:jc w:val="center"/>
              <w:rPr>
                <w:rFonts w:eastAsia="Times New Roman"/>
                <w:color w:val="000000"/>
                <w:szCs w:val="24"/>
              </w:rPr>
            </w:pPr>
            <w:r>
              <w:rPr>
                <w:rFonts w:eastAsia="Times New Roman"/>
                <w:color w:val="000000"/>
                <w:szCs w:val="24"/>
              </w:rPr>
              <w:t>96,940</w:t>
            </w:r>
          </w:p>
        </w:tc>
        <w:tc>
          <w:tcPr>
            <w:tcW w:w="0" w:type="auto"/>
            <w:noWrap/>
          </w:tcPr>
          <w:p w14:paraId="1D91D323" w14:textId="3BE01801" w:rsidR="009D232D" w:rsidRPr="009977C3" w:rsidRDefault="000525E6" w:rsidP="00793FD9">
            <w:pPr>
              <w:contextualSpacing/>
              <w:jc w:val="center"/>
              <w:rPr>
                <w:rFonts w:eastAsia="Times New Roman"/>
                <w:color w:val="000000"/>
                <w:szCs w:val="24"/>
              </w:rPr>
            </w:pPr>
            <w:r>
              <w:rPr>
                <w:rFonts w:eastAsia="Times New Roman"/>
                <w:color w:val="000000"/>
                <w:szCs w:val="24"/>
              </w:rPr>
              <w:t>102,921</w:t>
            </w:r>
          </w:p>
        </w:tc>
        <w:tc>
          <w:tcPr>
            <w:tcW w:w="0" w:type="auto"/>
          </w:tcPr>
          <w:p w14:paraId="081316FD" w14:textId="44E10CCB" w:rsidR="009D232D" w:rsidRPr="009977C3" w:rsidRDefault="00D5056F" w:rsidP="00793FD9">
            <w:pPr>
              <w:contextualSpacing/>
              <w:jc w:val="center"/>
              <w:rPr>
                <w:rFonts w:eastAsia="Times New Roman"/>
                <w:color w:val="000000"/>
                <w:szCs w:val="24"/>
              </w:rPr>
            </w:pPr>
            <w:r>
              <w:rPr>
                <w:rFonts w:eastAsia="Times New Roman"/>
                <w:color w:val="000000"/>
                <w:szCs w:val="24"/>
              </w:rPr>
              <w:t>13%</w:t>
            </w:r>
          </w:p>
        </w:tc>
      </w:tr>
    </w:tbl>
    <w:p w14:paraId="2F753464" w14:textId="480B6F1E" w:rsidR="00591136" w:rsidRDefault="00591136" w:rsidP="007B0C1F"/>
    <w:p w14:paraId="0BE5B6C7" w14:textId="70093FCF" w:rsidR="002C6BDF" w:rsidRDefault="002C6BDF" w:rsidP="007B0C1F">
      <w:r>
        <w:t xml:space="preserve">The Applicant provided </w:t>
      </w:r>
      <w:r w:rsidR="00CF4E65">
        <w:t>the number of total unique</w:t>
      </w:r>
      <w:r>
        <w:t xml:space="preserve"> patients from FY18 to FY23. This is shown in </w:t>
      </w:r>
      <w:r w:rsidRPr="00AE24F4">
        <w:t xml:space="preserve">Table </w:t>
      </w:r>
      <w:r w:rsidR="00D609AF" w:rsidRPr="00AE24F4">
        <w:t>3</w:t>
      </w:r>
      <w:r>
        <w:t xml:space="preserve">. </w:t>
      </w:r>
    </w:p>
    <w:p w14:paraId="0A147424" w14:textId="77777777" w:rsidR="0042557C" w:rsidRDefault="0042557C" w:rsidP="007B0C1F"/>
    <w:p w14:paraId="6805060A" w14:textId="5C0E80A8" w:rsidR="00CF4E65" w:rsidRPr="003B2CD4" w:rsidRDefault="00CF4E65" w:rsidP="007B0C1F">
      <w:pPr>
        <w:rPr>
          <w:b/>
          <w:bCs/>
        </w:rPr>
      </w:pPr>
      <w:r w:rsidRPr="007D7CA0">
        <w:rPr>
          <w:b/>
          <w:bCs/>
          <w:u w:val="single"/>
        </w:rPr>
        <w:t xml:space="preserve">Table </w:t>
      </w:r>
      <w:r w:rsidR="00D609AF" w:rsidRPr="007D7CA0">
        <w:rPr>
          <w:b/>
          <w:bCs/>
          <w:u w:val="single"/>
        </w:rPr>
        <w:t>3</w:t>
      </w:r>
      <w:r w:rsidRPr="003B2CD4">
        <w:rPr>
          <w:b/>
          <w:bCs/>
        </w:rPr>
        <w:t xml:space="preserve">: </w:t>
      </w:r>
      <w:r w:rsidR="00AD5E5D" w:rsidRPr="003B2CD4">
        <w:rPr>
          <w:b/>
          <w:bCs/>
        </w:rPr>
        <w:t xml:space="preserve">Dana-Farber </w:t>
      </w:r>
      <w:r w:rsidR="00CD3727">
        <w:rPr>
          <w:b/>
          <w:bCs/>
        </w:rPr>
        <w:t xml:space="preserve">Total </w:t>
      </w:r>
      <w:r w:rsidRPr="003B2CD4">
        <w:rPr>
          <w:b/>
          <w:bCs/>
        </w:rPr>
        <w:t>Unique Patients</w:t>
      </w:r>
      <w:r w:rsidR="00B23EF7" w:rsidRPr="003B2CD4">
        <w:rPr>
          <w:b/>
          <w:bCs/>
        </w:rPr>
        <w:t>, FY18</w:t>
      </w:r>
      <w:r w:rsidR="00CD417B" w:rsidRPr="003B2CD4">
        <w:rPr>
          <w:b/>
          <w:bCs/>
        </w:rPr>
        <w:t xml:space="preserve"> to </w:t>
      </w:r>
      <w:r w:rsidR="00B23EF7" w:rsidRPr="003B2CD4">
        <w:rPr>
          <w:b/>
          <w:bCs/>
        </w:rPr>
        <w:t>FY23</w:t>
      </w:r>
      <w:r w:rsidR="00EA27D2" w:rsidRPr="003B2CD4">
        <w:rPr>
          <w:b/>
          <w:bCs/>
          <w:vertAlign w:val="superscript"/>
        </w:rPr>
        <w:footnoteReference w:id="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885"/>
        <w:gridCol w:w="885"/>
        <w:gridCol w:w="885"/>
        <w:gridCol w:w="885"/>
        <w:gridCol w:w="885"/>
        <w:gridCol w:w="1006"/>
        <w:gridCol w:w="1246"/>
      </w:tblGrid>
      <w:tr w:rsidR="00F328ED" w:rsidRPr="000F1FA3" w14:paraId="65EB549B" w14:textId="77777777" w:rsidTr="007D7CA0">
        <w:trPr>
          <w:trHeight w:val="290"/>
        </w:trPr>
        <w:tc>
          <w:tcPr>
            <w:tcW w:w="0" w:type="auto"/>
            <w:shd w:val="clear" w:color="auto" w:fill="DBE5F1" w:themeFill="accent1" w:themeFillTint="33"/>
          </w:tcPr>
          <w:p w14:paraId="45AA5D53" w14:textId="77777777" w:rsidR="00C62E62" w:rsidRPr="00C62E62" w:rsidRDefault="00C62E62" w:rsidP="00937C42">
            <w:pPr>
              <w:widowControl/>
              <w:autoSpaceDE/>
              <w:autoSpaceDN/>
              <w:jc w:val="center"/>
              <w:rPr>
                <w:rFonts w:eastAsia="Times New Roman" w:cs="Calibri"/>
                <w:b/>
                <w:bCs/>
                <w:color w:val="000000"/>
                <w:szCs w:val="24"/>
              </w:rPr>
            </w:pPr>
          </w:p>
        </w:tc>
        <w:tc>
          <w:tcPr>
            <w:tcW w:w="0" w:type="auto"/>
            <w:shd w:val="clear" w:color="auto" w:fill="DBE5F1" w:themeFill="accent1" w:themeFillTint="33"/>
            <w:vAlign w:val="center"/>
            <w:hideMark/>
          </w:tcPr>
          <w:p w14:paraId="3A22D99A" w14:textId="7C077898" w:rsidR="00C62E62" w:rsidRPr="003B2CD4"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FY18</w:t>
            </w:r>
          </w:p>
        </w:tc>
        <w:tc>
          <w:tcPr>
            <w:tcW w:w="0" w:type="auto"/>
            <w:shd w:val="clear" w:color="auto" w:fill="DBE5F1" w:themeFill="accent1" w:themeFillTint="33"/>
            <w:vAlign w:val="center"/>
            <w:hideMark/>
          </w:tcPr>
          <w:p w14:paraId="6602BE49" w14:textId="77777777" w:rsidR="00C62E62" w:rsidRPr="003B2CD4"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FY19</w:t>
            </w:r>
          </w:p>
        </w:tc>
        <w:tc>
          <w:tcPr>
            <w:tcW w:w="0" w:type="auto"/>
            <w:shd w:val="clear" w:color="auto" w:fill="DBE5F1" w:themeFill="accent1" w:themeFillTint="33"/>
            <w:vAlign w:val="center"/>
            <w:hideMark/>
          </w:tcPr>
          <w:p w14:paraId="124AF274" w14:textId="77777777" w:rsidR="00C62E62" w:rsidRPr="003B2CD4"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FY20</w:t>
            </w:r>
          </w:p>
        </w:tc>
        <w:tc>
          <w:tcPr>
            <w:tcW w:w="0" w:type="auto"/>
            <w:shd w:val="clear" w:color="auto" w:fill="DBE5F1" w:themeFill="accent1" w:themeFillTint="33"/>
            <w:vAlign w:val="center"/>
            <w:hideMark/>
          </w:tcPr>
          <w:p w14:paraId="60441040" w14:textId="77777777" w:rsidR="00C62E62" w:rsidRPr="003B2CD4"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FY21</w:t>
            </w:r>
          </w:p>
        </w:tc>
        <w:tc>
          <w:tcPr>
            <w:tcW w:w="0" w:type="auto"/>
            <w:shd w:val="clear" w:color="auto" w:fill="DBE5F1" w:themeFill="accent1" w:themeFillTint="33"/>
            <w:vAlign w:val="center"/>
            <w:hideMark/>
          </w:tcPr>
          <w:p w14:paraId="2E30455D" w14:textId="77777777" w:rsidR="00C62E62" w:rsidRPr="003B2CD4"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FY22</w:t>
            </w:r>
          </w:p>
        </w:tc>
        <w:tc>
          <w:tcPr>
            <w:tcW w:w="0" w:type="auto"/>
            <w:shd w:val="clear" w:color="auto" w:fill="DBE5F1" w:themeFill="accent1" w:themeFillTint="33"/>
            <w:vAlign w:val="center"/>
            <w:hideMark/>
          </w:tcPr>
          <w:p w14:paraId="0CE1B9A9" w14:textId="77777777" w:rsidR="00C62E62" w:rsidRPr="003B2CD4"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FY23</w:t>
            </w:r>
          </w:p>
        </w:tc>
        <w:tc>
          <w:tcPr>
            <w:tcW w:w="0" w:type="auto"/>
            <w:shd w:val="clear" w:color="auto" w:fill="DBE5F1" w:themeFill="accent1" w:themeFillTint="33"/>
            <w:vAlign w:val="bottom"/>
            <w:hideMark/>
          </w:tcPr>
          <w:p w14:paraId="418AABB7" w14:textId="0BBDFF28" w:rsidR="00C62E62"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 Change</w:t>
            </w:r>
          </w:p>
          <w:p w14:paraId="4A9C36B3" w14:textId="4DB8B1D2" w:rsidR="00C62E62" w:rsidRPr="003B2CD4" w:rsidRDefault="00C62E62"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FY18-FY23</w:t>
            </w:r>
          </w:p>
        </w:tc>
      </w:tr>
      <w:tr w:rsidR="00F328ED" w:rsidRPr="000F1FA3" w14:paraId="481D95DA" w14:textId="77777777" w:rsidTr="007D7CA0">
        <w:trPr>
          <w:trHeight w:val="290"/>
        </w:trPr>
        <w:tc>
          <w:tcPr>
            <w:tcW w:w="0" w:type="auto"/>
          </w:tcPr>
          <w:p w14:paraId="1A056BBE" w14:textId="6E232132" w:rsidR="00C62E62" w:rsidRPr="003B2CD4" w:rsidRDefault="00F328ED" w:rsidP="00F102B4">
            <w:pPr>
              <w:widowControl/>
              <w:autoSpaceDE/>
              <w:autoSpaceDN/>
              <w:rPr>
                <w:rFonts w:eastAsia="Times New Roman" w:cs="Calibri"/>
                <w:b/>
                <w:bCs/>
                <w:color w:val="000000"/>
                <w:szCs w:val="24"/>
              </w:rPr>
            </w:pPr>
            <w:r w:rsidRPr="003B2CD4">
              <w:rPr>
                <w:rFonts w:eastAsia="Times New Roman" w:cs="Calibri"/>
                <w:b/>
                <w:bCs/>
                <w:color w:val="000000"/>
                <w:szCs w:val="24"/>
              </w:rPr>
              <w:t>Unique Patients</w:t>
            </w:r>
          </w:p>
        </w:tc>
        <w:tc>
          <w:tcPr>
            <w:tcW w:w="0" w:type="auto"/>
            <w:shd w:val="clear" w:color="auto" w:fill="auto"/>
            <w:vAlign w:val="center"/>
            <w:hideMark/>
          </w:tcPr>
          <w:p w14:paraId="1019A783" w14:textId="14FF1CED" w:rsidR="00C62E62" w:rsidRPr="003B2CD4" w:rsidRDefault="00C62E62" w:rsidP="00793FD9">
            <w:pPr>
              <w:widowControl/>
              <w:autoSpaceDE/>
              <w:autoSpaceDN/>
              <w:jc w:val="center"/>
              <w:rPr>
                <w:rFonts w:eastAsia="Times New Roman" w:cs="Calibri"/>
                <w:color w:val="000000"/>
                <w:szCs w:val="24"/>
              </w:rPr>
            </w:pPr>
            <w:r w:rsidRPr="003B2CD4">
              <w:rPr>
                <w:rFonts w:eastAsia="Times New Roman" w:cs="Calibri"/>
                <w:color w:val="000000"/>
                <w:szCs w:val="24"/>
              </w:rPr>
              <w:t>73,074</w:t>
            </w:r>
          </w:p>
        </w:tc>
        <w:tc>
          <w:tcPr>
            <w:tcW w:w="0" w:type="auto"/>
            <w:shd w:val="clear" w:color="auto" w:fill="auto"/>
            <w:vAlign w:val="center"/>
            <w:hideMark/>
          </w:tcPr>
          <w:p w14:paraId="433C00F7" w14:textId="77777777" w:rsidR="00C62E62" w:rsidRPr="003B2CD4" w:rsidRDefault="00C62E62" w:rsidP="00793FD9">
            <w:pPr>
              <w:widowControl/>
              <w:autoSpaceDE/>
              <w:autoSpaceDN/>
              <w:jc w:val="center"/>
              <w:rPr>
                <w:rFonts w:eastAsia="Times New Roman" w:cs="Calibri"/>
                <w:color w:val="000000"/>
                <w:szCs w:val="24"/>
              </w:rPr>
            </w:pPr>
            <w:r w:rsidRPr="003B2CD4">
              <w:rPr>
                <w:rFonts w:eastAsia="Times New Roman" w:cs="Calibri"/>
                <w:color w:val="000000"/>
                <w:szCs w:val="24"/>
              </w:rPr>
              <w:t>76,789</w:t>
            </w:r>
          </w:p>
        </w:tc>
        <w:tc>
          <w:tcPr>
            <w:tcW w:w="0" w:type="auto"/>
            <w:shd w:val="clear" w:color="auto" w:fill="auto"/>
            <w:vAlign w:val="center"/>
            <w:hideMark/>
          </w:tcPr>
          <w:p w14:paraId="6FFDDC4B" w14:textId="77777777" w:rsidR="00C62E62" w:rsidRPr="003B2CD4" w:rsidRDefault="00C62E62" w:rsidP="00793FD9">
            <w:pPr>
              <w:widowControl/>
              <w:autoSpaceDE/>
              <w:autoSpaceDN/>
              <w:jc w:val="center"/>
              <w:rPr>
                <w:rFonts w:eastAsia="Times New Roman" w:cs="Calibri"/>
                <w:color w:val="000000"/>
                <w:szCs w:val="24"/>
              </w:rPr>
            </w:pPr>
            <w:r w:rsidRPr="003B2CD4">
              <w:rPr>
                <w:rFonts w:eastAsia="Times New Roman" w:cs="Calibri"/>
                <w:color w:val="000000"/>
                <w:szCs w:val="24"/>
              </w:rPr>
              <w:t>79,358</w:t>
            </w:r>
          </w:p>
        </w:tc>
        <w:tc>
          <w:tcPr>
            <w:tcW w:w="0" w:type="auto"/>
            <w:shd w:val="clear" w:color="auto" w:fill="auto"/>
            <w:vAlign w:val="center"/>
            <w:hideMark/>
          </w:tcPr>
          <w:p w14:paraId="78F91DE8" w14:textId="77777777" w:rsidR="00C62E62" w:rsidRPr="003B2CD4" w:rsidRDefault="00C62E62" w:rsidP="00793FD9">
            <w:pPr>
              <w:widowControl/>
              <w:autoSpaceDE/>
              <w:autoSpaceDN/>
              <w:jc w:val="center"/>
              <w:rPr>
                <w:rFonts w:eastAsia="Times New Roman" w:cs="Calibri"/>
                <w:color w:val="000000"/>
                <w:szCs w:val="24"/>
              </w:rPr>
            </w:pPr>
            <w:r w:rsidRPr="003B2CD4">
              <w:rPr>
                <w:rFonts w:eastAsia="Times New Roman" w:cs="Calibri"/>
                <w:color w:val="000000"/>
                <w:szCs w:val="24"/>
              </w:rPr>
              <w:t>90,754</w:t>
            </w:r>
          </w:p>
        </w:tc>
        <w:tc>
          <w:tcPr>
            <w:tcW w:w="0" w:type="auto"/>
            <w:shd w:val="clear" w:color="auto" w:fill="auto"/>
            <w:vAlign w:val="center"/>
            <w:hideMark/>
          </w:tcPr>
          <w:p w14:paraId="07FD4672" w14:textId="77777777" w:rsidR="00C62E62" w:rsidRPr="003B2CD4" w:rsidRDefault="00C62E62" w:rsidP="00793FD9">
            <w:pPr>
              <w:widowControl/>
              <w:autoSpaceDE/>
              <w:autoSpaceDN/>
              <w:jc w:val="center"/>
              <w:rPr>
                <w:rFonts w:eastAsia="Times New Roman" w:cs="Calibri"/>
                <w:color w:val="000000"/>
                <w:szCs w:val="24"/>
              </w:rPr>
            </w:pPr>
            <w:r w:rsidRPr="003B2CD4">
              <w:rPr>
                <w:rFonts w:eastAsia="Times New Roman" w:cs="Calibri"/>
                <w:color w:val="000000"/>
                <w:szCs w:val="24"/>
              </w:rPr>
              <w:t>96,940</w:t>
            </w:r>
          </w:p>
        </w:tc>
        <w:tc>
          <w:tcPr>
            <w:tcW w:w="0" w:type="auto"/>
            <w:shd w:val="clear" w:color="auto" w:fill="auto"/>
            <w:vAlign w:val="center"/>
            <w:hideMark/>
          </w:tcPr>
          <w:p w14:paraId="1A842BF4" w14:textId="77777777" w:rsidR="00C62E62" w:rsidRPr="003B2CD4" w:rsidRDefault="00C62E62" w:rsidP="00793FD9">
            <w:pPr>
              <w:widowControl/>
              <w:autoSpaceDE/>
              <w:autoSpaceDN/>
              <w:jc w:val="center"/>
              <w:rPr>
                <w:rFonts w:eastAsia="Times New Roman" w:cs="Calibri"/>
                <w:color w:val="000000"/>
                <w:szCs w:val="24"/>
              </w:rPr>
            </w:pPr>
            <w:r w:rsidRPr="003B2CD4">
              <w:rPr>
                <w:rFonts w:eastAsia="Times New Roman" w:cs="Calibri"/>
                <w:color w:val="000000"/>
                <w:szCs w:val="24"/>
              </w:rPr>
              <w:t>102,921</w:t>
            </w:r>
          </w:p>
        </w:tc>
        <w:tc>
          <w:tcPr>
            <w:tcW w:w="0" w:type="auto"/>
            <w:shd w:val="clear" w:color="auto" w:fill="auto"/>
            <w:noWrap/>
            <w:vAlign w:val="bottom"/>
            <w:hideMark/>
          </w:tcPr>
          <w:p w14:paraId="5B96ED61" w14:textId="237F55E7" w:rsidR="00C62E62" w:rsidRPr="003B2CD4" w:rsidRDefault="00C62E62" w:rsidP="00793FD9">
            <w:pPr>
              <w:widowControl/>
              <w:autoSpaceDE/>
              <w:autoSpaceDN/>
              <w:jc w:val="center"/>
              <w:rPr>
                <w:rFonts w:eastAsia="Times New Roman" w:cs="Calibri"/>
                <w:color w:val="000000"/>
                <w:szCs w:val="24"/>
              </w:rPr>
            </w:pPr>
            <w:r>
              <w:rPr>
                <w:rFonts w:eastAsia="Times New Roman" w:cs="Calibri"/>
                <w:color w:val="000000"/>
                <w:szCs w:val="24"/>
              </w:rPr>
              <w:t>41%</w:t>
            </w:r>
          </w:p>
        </w:tc>
      </w:tr>
    </w:tbl>
    <w:p w14:paraId="7E57FB4B" w14:textId="77777777" w:rsidR="002C6BDF" w:rsidRDefault="002C6BDF" w:rsidP="007B0C1F"/>
    <w:p w14:paraId="07E9211B" w14:textId="299F6897" w:rsidR="00C53702" w:rsidRDefault="00AB432B" w:rsidP="00BA2054">
      <w:r w:rsidRPr="00AB432B">
        <w:t xml:space="preserve">The Applicant also provided the </w:t>
      </w:r>
      <w:r w:rsidR="00CD5BDA">
        <w:t xml:space="preserve">total </w:t>
      </w:r>
      <w:r w:rsidRPr="00AB432B">
        <w:t xml:space="preserve">number of unique inpatients and unique outpatients from FY18 to FY23. This is shown in </w:t>
      </w:r>
      <w:r w:rsidRPr="00AE24F4">
        <w:t xml:space="preserve">Table </w:t>
      </w:r>
      <w:r w:rsidR="00F64C9C">
        <w:t>4</w:t>
      </w:r>
      <w:r w:rsidRPr="00AB432B">
        <w:t xml:space="preserve">. </w:t>
      </w:r>
      <w:r w:rsidR="00445A85">
        <w:t>The</w:t>
      </w:r>
      <w:r w:rsidR="00164D8B">
        <w:t xml:space="preserve"> Applicant</w:t>
      </w:r>
      <w:r w:rsidR="00C53702" w:rsidRPr="00C53702">
        <w:t xml:space="preserve"> define</w:t>
      </w:r>
      <w:r w:rsidR="00164D8B">
        <w:t>s</w:t>
      </w:r>
      <w:r w:rsidR="00C53702" w:rsidRPr="00C53702">
        <w:t xml:space="preserve"> </w:t>
      </w:r>
      <w:r w:rsidR="00445A85">
        <w:t xml:space="preserve">unique inpatients </w:t>
      </w:r>
      <w:r w:rsidR="00C53702" w:rsidRPr="00C53702">
        <w:t>as inpatients admitted to beds on the Applicant’s license, as well as</w:t>
      </w:r>
      <w:r w:rsidR="00C71653">
        <w:t xml:space="preserve"> an estimation of</w:t>
      </w:r>
      <w:r w:rsidR="00C53702" w:rsidRPr="00C53702">
        <w:t xml:space="preserve"> inpatients admitted to BWH-licensed beds under the care of the Applicant’s medical oncologists</w:t>
      </w:r>
      <w:r w:rsidR="00152126">
        <w:t>.</w:t>
      </w:r>
      <w:r w:rsidR="00E75CBD" w:rsidRPr="00E75CBD">
        <w:t xml:space="preserve"> The Applicant states that precise utilization data for all such patients is available to the Applicant as part of its existing collaboration</w:t>
      </w:r>
      <w:r w:rsidR="00467EB9">
        <w:t xml:space="preserve"> with BWH</w:t>
      </w:r>
      <w:r w:rsidR="00E75CBD" w:rsidRPr="00E75CBD">
        <w:t>, however portions of that data are proprietary to BWH, and the Applicant is restricted from disclosing it in this Application due to confidentiality restrictions.</w:t>
      </w:r>
      <w:r w:rsidR="00E75CBD">
        <w:t xml:space="preserve"> </w:t>
      </w:r>
      <w:r w:rsidR="00906DB3">
        <w:t>U</w:t>
      </w:r>
      <w:r w:rsidR="00C53702" w:rsidRPr="00C53702">
        <w:t>nique outpatients</w:t>
      </w:r>
      <w:r w:rsidR="00032707">
        <w:t xml:space="preserve"> include all </w:t>
      </w:r>
      <w:r w:rsidR="00C53702" w:rsidRPr="00C53702">
        <w:t>the Applicant’s outpatients</w:t>
      </w:r>
      <w:r w:rsidR="001E7548">
        <w:t xml:space="preserve"> on the Longwood Medical Campus</w:t>
      </w:r>
      <w:r w:rsidR="00C53702" w:rsidRPr="00C53702">
        <w:t xml:space="preserve">. </w:t>
      </w:r>
      <w:r w:rsidR="00F472B9">
        <w:t xml:space="preserve">The Longwood Medical Campus is defined in the application to include patients seen in Boston as well as patients seen at the Applicant’s site in Chestnut Hill. </w:t>
      </w:r>
      <w:r w:rsidR="00C53702" w:rsidRPr="00C53702">
        <w:t>All data presented</w:t>
      </w:r>
      <w:r w:rsidR="00032707">
        <w:t xml:space="preserve"> in Tables </w:t>
      </w:r>
      <w:r w:rsidR="00F04C91">
        <w:t>2,3, and 4</w:t>
      </w:r>
      <w:r w:rsidR="00C53702" w:rsidRPr="00C53702">
        <w:t xml:space="preserve"> include only adult patients since the Proposed Project relates only to adult oncology care.</w:t>
      </w:r>
    </w:p>
    <w:p w14:paraId="209F7902" w14:textId="77777777" w:rsidR="00D341C2" w:rsidRDefault="00D341C2" w:rsidP="00BA2054"/>
    <w:p w14:paraId="1AF2EA51" w14:textId="1802940F" w:rsidR="00BA0D79" w:rsidRPr="003B2CD4" w:rsidRDefault="00B23EF7" w:rsidP="00BA2054">
      <w:pPr>
        <w:rPr>
          <w:b/>
          <w:bCs/>
        </w:rPr>
      </w:pPr>
      <w:r w:rsidRPr="00FB6A65">
        <w:rPr>
          <w:b/>
          <w:bCs/>
          <w:u w:val="single"/>
        </w:rPr>
        <w:t xml:space="preserve">Table </w:t>
      </w:r>
      <w:r w:rsidR="000846E0" w:rsidRPr="00FB6A65">
        <w:rPr>
          <w:b/>
          <w:bCs/>
          <w:u w:val="single"/>
        </w:rPr>
        <w:t>4</w:t>
      </w:r>
      <w:r w:rsidRPr="003B2CD4">
        <w:rPr>
          <w:b/>
          <w:bCs/>
        </w:rPr>
        <w:t xml:space="preserve">: </w:t>
      </w:r>
      <w:r w:rsidR="00484C69" w:rsidRPr="003B2CD4">
        <w:rPr>
          <w:b/>
          <w:bCs/>
        </w:rPr>
        <w:t xml:space="preserve">Dana-Farber </w:t>
      </w:r>
      <w:r w:rsidRPr="003B2CD4">
        <w:rPr>
          <w:b/>
          <w:bCs/>
        </w:rPr>
        <w:t>Unique Inpatients and Unique Outpatients</w:t>
      </w:r>
      <w:r w:rsidR="009727DE">
        <w:rPr>
          <w:b/>
          <w:bCs/>
        </w:rPr>
        <w:t xml:space="preserve"> (Longwood)</w:t>
      </w:r>
      <w:r w:rsidRPr="003B2CD4">
        <w:rPr>
          <w:b/>
          <w:bCs/>
        </w:rPr>
        <w:t>, FY18</w:t>
      </w:r>
      <w:r w:rsidR="00CD417B" w:rsidRPr="003B2CD4">
        <w:rPr>
          <w:b/>
          <w:bCs/>
        </w:rPr>
        <w:t xml:space="preserve"> to </w:t>
      </w:r>
      <w:r w:rsidRPr="003B2CD4">
        <w:rPr>
          <w:b/>
          <w:bCs/>
        </w:rPr>
        <w:t>FY23</w:t>
      </w:r>
    </w:p>
    <w:tbl>
      <w:tblPr>
        <w:tblW w:w="0" w:type="auto"/>
        <w:tblLayout w:type="fixed"/>
        <w:tblLook w:val="04A0" w:firstRow="1" w:lastRow="0" w:firstColumn="1" w:lastColumn="0" w:noHBand="0" w:noVBand="1"/>
      </w:tblPr>
      <w:tblGrid>
        <w:gridCol w:w="2965"/>
        <w:gridCol w:w="900"/>
        <w:gridCol w:w="900"/>
        <w:gridCol w:w="900"/>
        <w:gridCol w:w="990"/>
        <w:gridCol w:w="990"/>
        <w:gridCol w:w="900"/>
        <w:gridCol w:w="1265"/>
      </w:tblGrid>
      <w:tr w:rsidR="00C970D9" w:rsidRPr="003F62C6" w14:paraId="22CD68DE" w14:textId="77777777" w:rsidTr="000F7616">
        <w:trPr>
          <w:cantSplit/>
          <w:trHeight w:val="580"/>
          <w:tblHeader/>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2194B" w14:textId="77777777" w:rsidR="00B23EF7" w:rsidRPr="003B2CD4" w:rsidRDefault="00B23EF7" w:rsidP="00B23EF7">
            <w:pPr>
              <w:widowControl/>
              <w:autoSpaceDE/>
              <w:autoSpaceDN/>
              <w:rPr>
                <w:rFonts w:eastAsia="Times New Roman" w:cs="Calibri"/>
                <w:color w:val="000000"/>
                <w:szCs w:val="24"/>
              </w:rPr>
            </w:pPr>
            <w:r w:rsidRPr="003B2CD4">
              <w:rPr>
                <w:rFonts w:eastAsia="Times New Roman" w:cs="Calibri"/>
                <w:color w:val="000000"/>
                <w:szCs w:val="24"/>
              </w:rPr>
              <w:t> </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6812D6F" w14:textId="77777777" w:rsidR="00B23EF7" w:rsidRPr="003B2CD4" w:rsidRDefault="00B23EF7"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FY18</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4B8D756" w14:textId="77777777" w:rsidR="00B23EF7" w:rsidRPr="003B2CD4" w:rsidRDefault="00B23EF7"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FY19</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229DA2E" w14:textId="77777777" w:rsidR="00B23EF7" w:rsidRPr="003B2CD4" w:rsidRDefault="00B23EF7"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FY20</w:t>
            </w:r>
          </w:p>
        </w:tc>
        <w:tc>
          <w:tcPr>
            <w:tcW w:w="99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AA3EBAE" w14:textId="77777777" w:rsidR="00B23EF7" w:rsidRPr="003B2CD4" w:rsidRDefault="00B23EF7"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FY21</w:t>
            </w:r>
          </w:p>
        </w:tc>
        <w:tc>
          <w:tcPr>
            <w:tcW w:w="99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D954B4D" w14:textId="77777777" w:rsidR="00B23EF7" w:rsidRPr="003B2CD4" w:rsidRDefault="00B23EF7"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FY22</w:t>
            </w:r>
          </w:p>
        </w:tc>
        <w:tc>
          <w:tcPr>
            <w:tcW w:w="9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376A1B1" w14:textId="77777777" w:rsidR="00B23EF7" w:rsidRPr="003B2CD4" w:rsidRDefault="00B23EF7"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FY23</w:t>
            </w:r>
          </w:p>
        </w:tc>
        <w:tc>
          <w:tcPr>
            <w:tcW w:w="126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925B92D" w14:textId="206DC6AD" w:rsidR="00B23EF7" w:rsidRPr="003B2CD4" w:rsidRDefault="00B23EF7" w:rsidP="00793FD9">
            <w:pPr>
              <w:widowControl/>
              <w:autoSpaceDE/>
              <w:autoSpaceDN/>
              <w:jc w:val="center"/>
              <w:rPr>
                <w:rFonts w:eastAsia="Times New Roman" w:cs="Calibri"/>
                <w:b/>
                <w:bCs/>
                <w:color w:val="000000"/>
                <w:szCs w:val="24"/>
              </w:rPr>
            </w:pPr>
            <w:r w:rsidRPr="003B2CD4">
              <w:rPr>
                <w:rFonts w:eastAsia="Times New Roman" w:cs="Calibri"/>
                <w:b/>
                <w:bCs/>
                <w:color w:val="000000"/>
                <w:szCs w:val="24"/>
              </w:rPr>
              <w:t>% Change                             FY18-FY23</w:t>
            </w:r>
          </w:p>
        </w:tc>
      </w:tr>
      <w:tr w:rsidR="00C970D9" w:rsidRPr="003F62C6" w14:paraId="72EA6287" w14:textId="77777777" w:rsidTr="000F7616">
        <w:trPr>
          <w:cantSplit/>
          <w:trHeight w:val="65"/>
        </w:trPr>
        <w:tc>
          <w:tcPr>
            <w:tcW w:w="2965" w:type="dxa"/>
            <w:tcBorders>
              <w:top w:val="nil"/>
              <w:left w:val="single" w:sz="4" w:space="0" w:color="auto"/>
              <w:bottom w:val="single" w:sz="4" w:space="0" w:color="auto"/>
              <w:right w:val="single" w:sz="4" w:space="0" w:color="auto"/>
            </w:tcBorders>
            <w:shd w:val="clear" w:color="auto" w:fill="auto"/>
            <w:noWrap/>
            <w:vAlign w:val="center"/>
            <w:hideMark/>
          </w:tcPr>
          <w:p w14:paraId="76A8369E" w14:textId="5C3D500C" w:rsidR="00B23EF7" w:rsidRPr="003B2CD4" w:rsidRDefault="00B23EF7" w:rsidP="00B23EF7">
            <w:pPr>
              <w:widowControl/>
              <w:autoSpaceDE/>
              <w:autoSpaceDN/>
              <w:rPr>
                <w:rFonts w:eastAsia="Times New Roman" w:cs="Calibri"/>
                <w:b/>
                <w:bCs/>
                <w:color w:val="000000"/>
                <w:szCs w:val="24"/>
              </w:rPr>
            </w:pPr>
            <w:r w:rsidRPr="003B2CD4">
              <w:rPr>
                <w:rFonts w:eastAsia="Times New Roman" w:cs="Calibri"/>
                <w:b/>
                <w:bCs/>
                <w:color w:val="000000"/>
                <w:szCs w:val="24"/>
              </w:rPr>
              <w:t>Unique Inpatients</w:t>
            </w:r>
          </w:p>
        </w:tc>
        <w:tc>
          <w:tcPr>
            <w:tcW w:w="900" w:type="dxa"/>
            <w:tcBorders>
              <w:top w:val="nil"/>
              <w:left w:val="nil"/>
              <w:bottom w:val="single" w:sz="4" w:space="0" w:color="auto"/>
              <w:right w:val="single" w:sz="4" w:space="0" w:color="auto"/>
            </w:tcBorders>
            <w:shd w:val="clear" w:color="auto" w:fill="auto"/>
            <w:noWrap/>
            <w:vAlign w:val="center"/>
            <w:hideMark/>
          </w:tcPr>
          <w:p w14:paraId="2E444BFA"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4,524</w:t>
            </w:r>
          </w:p>
        </w:tc>
        <w:tc>
          <w:tcPr>
            <w:tcW w:w="900" w:type="dxa"/>
            <w:tcBorders>
              <w:top w:val="nil"/>
              <w:left w:val="nil"/>
              <w:bottom w:val="single" w:sz="4" w:space="0" w:color="auto"/>
              <w:right w:val="single" w:sz="4" w:space="0" w:color="auto"/>
            </w:tcBorders>
            <w:shd w:val="clear" w:color="auto" w:fill="auto"/>
            <w:noWrap/>
            <w:vAlign w:val="center"/>
            <w:hideMark/>
          </w:tcPr>
          <w:p w14:paraId="0D2383F9"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4,819</w:t>
            </w:r>
          </w:p>
        </w:tc>
        <w:tc>
          <w:tcPr>
            <w:tcW w:w="900" w:type="dxa"/>
            <w:tcBorders>
              <w:top w:val="nil"/>
              <w:left w:val="nil"/>
              <w:bottom w:val="single" w:sz="4" w:space="0" w:color="auto"/>
              <w:right w:val="single" w:sz="4" w:space="0" w:color="auto"/>
            </w:tcBorders>
            <w:shd w:val="clear" w:color="auto" w:fill="auto"/>
            <w:noWrap/>
            <w:vAlign w:val="center"/>
            <w:hideMark/>
          </w:tcPr>
          <w:p w14:paraId="268AAC3E"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4,521</w:t>
            </w:r>
          </w:p>
        </w:tc>
        <w:tc>
          <w:tcPr>
            <w:tcW w:w="990" w:type="dxa"/>
            <w:tcBorders>
              <w:top w:val="nil"/>
              <w:left w:val="nil"/>
              <w:bottom w:val="single" w:sz="4" w:space="0" w:color="auto"/>
              <w:right w:val="single" w:sz="4" w:space="0" w:color="auto"/>
            </w:tcBorders>
            <w:shd w:val="clear" w:color="auto" w:fill="auto"/>
            <w:noWrap/>
            <w:vAlign w:val="center"/>
            <w:hideMark/>
          </w:tcPr>
          <w:p w14:paraId="30FE969F"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4,784</w:t>
            </w:r>
          </w:p>
        </w:tc>
        <w:tc>
          <w:tcPr>
            <w:tcW w:w="990" w:type="dxa"/>
            <w:tcBorders>
              <w:top w:val="nil"/>
              <w:left w:val="nil"/>
              <w:bottom w:val="single" w:sz="4" w:space="0" w:color="auto"/>
              <w:right w:val="single" w:sz="4" w:space="0" w:color="auto"/>
            </w:tcBorders>
            <w:shd w:val="clear" w:color="auto" w:fill="auto"/>
            <w:noWrap/>
            <w:vAlign w:val="center"/>
            <w:hideMark/>
          </w:tcPr>
          <w:p w14:paraId="31E53245"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4,887</w:t>
            </w:r>
          </w:p>
        </w:tc>
        <w:tc>
          <w:tcPr>
            <w:tcW w:w="900" w:type="dxa"/>
            <w:tcBorders>
              <w:top w:val="nil"/>
              <w:left w:val="nil"/>
              <w:bottom w:val="single" w:sz="4" w:space="0" w:color="auto"/>
              <w:right w:val="single" w:sz="4" w:space="0" w:color="auto"/>
            </w:tcBorders>
            <w:shd w:val="clear" w:color="auto" w:fill="auto"/>
            <w:noWrap/>
            <w:vAlign w:val="center"/>
            <w:hideMark/>
          </w:tcPr>
          <w:p w14:paraId="40C6591C"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5,004</w:t>
            </w:r>
          </w:p>
        </w:tc>
        <w:tc>
          <w:tcPr>
            <w:tcW w:w="1265" w:type="dxa"/>
            <w:tcBorders>
              <w:top w:val="nil"/>
              <w:left w:val="nil"/>
              <w:bottom w:val="single" w:sz="4" w:space="0" w:color="auto"/>
              <w:right w:val="single" w:sz="4" w:space="0" w:color="auto"/>
            </w:tcBorders>
            <w:shd w:val="clear" w:color="auto" w:fill="auto"/>
            <w:noWrap/>
            <w:vAlign w:val="bottom"/>
            <w:hideMark/>
          </w:tcPr>
          <w:p w14:paraId="14554B0F"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11%</w:t>
            </w:r>
          </w:p>
        </w:tc>
      </w:tr>
      <w:tr w:rsidR="00C970D9" w:rsidRPr="003F62C6" w14:paraId="55D6D9A4" w14:textId="77777777" w:rsidTr="000F7616">
        <w:trPr>
          <w:cantSplit/>
          <w:trHeight w:val="209"/>
        </w:trPr>
        <w:tc>
          <w:tcPr>
            <w:tcW w:w="2965" w:type="dxa"/>
            <w:tcBorders>
              <w:top w:val="nil"/>
              <w:left w:val="single" w:sz="4" w:space="0" w:color="auto"/>
              <w:bottom w:val="single" w:sz="4" w:space="0" w:color="auto"/>
              <w:right w:val="single" w:sz="4" w:space="0" w:color="auto"/>
            </w:tcBorders>
            <w:shd w:val="clear" w:color="auto" w:fill="auto"/>
            <w:vAlign w:val="center"/>
            <w:hideMark/>
          </w:tcPr>
          <w:p w14:paraId="0F22BD45" w14:textId="2C236566" w:rsidR="00B23EF7" w:rsidRPr="003B2CD4" w:rsidRDefault="005F65AA" w:rsidP="00B23EF7">
            <w:pPr>
              <w:widowControl/>
              <w:autoSpaceDE/>
              <w:autoSpaceDN/>
              <w:rPr>
                <w:rFonts w:eastAsia="Times New Roman" w:cs="Calibri"/>
                <w:b/>
                <w:bCs/>
                <w:color w:val="000000"/>
                <w:szCs w:val="24"/>
              </w:rPr>
            </w:pPr>
            <w:r>
              <w:rPr>
                <w:rFonts w:eastAsia="Times New Roman" w:cs="Calibri"/>
                <w:b/>
                <w:bCs/>
                <w:color w:val="000000"/>
                <w:szCs w:val="24"/>
              </w:rPr>
              <w:lastRenderedPageBreak/>
              <w:t>U</w:t>
            </w:r>
            <w:r w:rsidR="00B23EF7" w:rsidRPr="003B2CD4">
              <w:rPr>
                <w:rFonts w:eastAsia="Times New Roman" w:cs="Calibri"/>
                <w:b/>
                <w:bCs/>
                <w:color w:val="000000"/>
                <w:szCs w:val="24"/>
              </w:rPr>
              <w:t xml:space="preserve">nique </w:t>
            </w:r>
            <w:r>
              <w:rPr>
                <w:rFonts w:eastAsia="Times New Roman" w:cs="Calibri"/>
                <w:b/>
                <w:bCs/>
                <w:color w:val="000000"/>
                <w:szCs w:val="24"/>
              </w:rPr>
              <w:t>O</w:t>
            </w:r>
            <w:r w:rsidR="00B23EF7" w:rsidRPr="003B2CD4">
              <w:rPr>
                <w:rFonts w:eastAsia="Times New Roman" w:cs="Calibri"/>
                <w:b/>
                <w:bCs/>
                <w:color w:val="000000"/>
                <w:szCs w:val="24"/>
              </w:rPr>
              <w:t>utpatients</w:t>
            </w:r>
          </w:p>
        </w:tc>
        <w:tc>
          <w:tcPr>
            <w:tcW w:w="900" w:type="dxa"/>
            <w:tcBorders>
              <w:top w:val="nil"/>
              <w:left w:val="nil"/>
              <w:bottom w:val="single" w:sz="4" w:space="0" w:color="auto"/>
              <w:right w:val="single" w:sz="4" w:space="0" w:color="auto"/>
            </w:tcBorders>
            <w:shd w:val="clear" w:color="auto" w:fill="auto"/>
            <w:vAlign w:val="center"/>
            <w:hideMark/>
          </w:tcPr>
          <w:p w14:paraId="42C3AD40"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58,573</w:t>
            </w:r>
          </w:p>
        </w:tc>
        <w:tc>
          <w:tcPr>
            <w:tcW w:w="900" w:type="dxa"/>
            <w:tcBorders>
              <w:top w:val="nil"/>
              <w:left w:val="nil"/>
              <w:bottom w:val="single" w:sz="4" w:space="0" w:color="auto"/>
              <w:right w:val="single" w:sz="4" w:space="0" w:color="auto"/>
            </w:tcBorders>
            <w:shd w:val="clear" w:color="auto" w:fill="auto"/>
            <w:vAlign w:val="center"/>
            <w:hideMark/>
          </w:tcPr>
          <w:p w14:paraId="67DA3807"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61,842</w:t>
            </w:r>
          </w:p>
        </w:tc>
        <w:tc>
          <w:tcPr>
            <w:tcW w:w="900" w:type="dxa"/>
            <w:tcBorders>
              <w:top w:val="nil"/>
              <w:left w:val="nil"/>
              <w:bottom w:val="single" w:sz="4" w:space="0" w:color="auto"/>
              <w:right w:val="single" w:sz="4" w:space="0" w:color="auto"/>
            </w:tcBorders>
            <w:shd w:val="clear" w:color="auto" w:fill="auto"/>
            <w:vAlign w:val="center"/>
            <w:hideMark/>
          </w:tcPr>
          <w:p w14:paraId="39A46532"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59,745</w:t>
            </w:r>
          </w:p>
        </w:tc>
        <w:tc>
          <w:tcPr>
            <w:tcW w:w="990" w:type="dxa"/>
            <w:tcBorders>
              <w:top w:val="nil"/>
              <w:left w:val="nil"/>
              <w:bottom w:val="single" w:sz="4" w:space="0" w:color="auto"/>
              <w:right w:val="single" w:sz="4" w:space="0" w:color="auto"/>
            </w:tcBorders>
            <w:shd w:val="clear" w:color="auto" w:fill="auto"/>
            <w:vAlign w:val="center"/>
            <w:hideMark/>
          </w:tcPr>
          <w:p w14:paraId="72CB0448"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65,605</w:t>
            </w:r>
          </w:p>
        </w:tc>
        <w:tc>
          <w:tcPr>
            <w:tcW w:w="990" w:type="dxa"/>
            <w:tcBorders>
              <w:top w:val="nil"/>
              <w:left w:val="nil"/>
              <w:bottom w:val="single" w:sz="4" w:space="0" w:color="auto"/>
              <w:right w:val="single" w:sz="4" w:space="0" w:color="auto"/>
            </w:tcBorders>
            <w:shd w:val="clear" w:color="auto" w:fill="auto"/>
            <w:vAlign w:val="center"/>
            <w:hideMark/>
          </w:tcPr>
          <w:p w14:paraId="7170252E"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69,286</w:t>
            </w:r>
          </w:p>
        </w:tc>
        <w:tc>
          <w:tcPr>
            <w:tcW w:w="900" w:type="dxa"/>
            <w:tcBorders>
              <w:top w:val="nil"/>
              <w:left w:val="nil"/>
              <w:bottom w:val="single" w:sz="4" w:space="0" w:color="auto"/>
              <w:right w:val="single" w:sz="4" w:space="0" w:color="auto"/>
            </w:tcBorders>
            <w:shd w:val="clear" w:color="auto" w:fill="auto"/>
            <w:vAlign w:val="center"/>
            <w:hideMark/>
          </w:tcPr>
          <w:p w14:paraId="764F4C9F" w14:textId="77777777" w:rsidR="00B23EF7" w:rsidRPr="003B2CD4" w:rsidRDefault="00B23EF7" w:rsidP="00793FD9">
            <w:pPr>
              <w:widowControl/>
              <w:autoSpaceDE/>
              <w:autoSpaceDN/>
              <w:jc w:val="center"/>
              <w:rPr>
                <w:rFonts w:eastAsia="Times New Roman" w:cs="Calibri"/>
                <w:color w:val="000000"/>
                <w:szCs w:val="24"/>
              </w:rPr>
            </w:pPr>
            <w:r w:rsidRPr="003B2CD4">
              <w:rPr>
                <w:rFonts w:eastAsia="Times New Roman" w:cs="Calibri"/>
                <w:color w:val="000000"/>
                <w:szCs w:val="24"/>
              </w:rPr>
              <w:t>73,875</w:t>
            </w:r>
          </w:p>
        </w:tc>
        <w:tc>
          <w:tcPr>
            <w:tcW w:w="1265" w:type="dxa"/>
            <w:tcBorders>
              <w:top w:val="nil"/>
              <w:left w:val="nil"/>
              <w:bottom w:val="single" w:sz="4" w:space="0" w:color="auto"/>
              <w:right w:val="single" w:sz="4" w:space="0" w:color="auto"/>
            </w:tcBorders>
            <w:shd w:val="clear" w:color="auto" w:fill="auto"/>
            <w:noWrap/>
            <w:vAlign w:val="bottom"/>
            <w:hideMark/>
          </w:tcPr>
          <w:p w14:paraId="5B3B53CA" w14:textId="27E5D377" w:rsidR="00B23EF7" w:rsidRPr="003B2CD4" w:rsidRDefault="00B23EF7" w:rsidP="00793FD9">
            <w:pPr>
              <w:widowControl/>
              <w:autoSpaceDE/>
              <w:autoSpaceDN/>
              <w:jc w:val="center"/>
              <w:rPr>
                <w:rFonts w:eastAsia="Times New Roman" w:cs="Calibri"/>
                <w:color w:val="000000"/>
              </w:rPr>
            </w:pPr>
            <w:r w:rsidRPr="4B1DE6FF">
              <w:rPr>
                <w:rFonts w:eastAsia="Times New Roman" w:cs="Calibri"/>
                <w:color w:val="000000" w:themeColor="text1"/>
              </w:rPr>
              <w:t>26%</w:t>
            </w:r>
          </w:p>
        </w:tc>
      </w:tr>
    </w:tbl>
    <w:p w14:paraId="456B4579" w14:textId="77777777" w:rsidR="00B23EF7" w:rsidRDefault="00B23EF7" w:rsidP="00BA2054"/>
    <w:p w14:paraId="4CD46C67" w14:textId="081A00F1" w:rsidR="00302A45" w:rsidRDefault="001A0313" w:rsidP="00BA2054">
      <w:r>
        <w:t>As shown in the tables above, t</w:t>
      </w:r>
      <w:r w:rsidR="00EC7F37">
        <w:t>he number of u</w:t>
      </w:r>
      <w:r w:rsidR="00B96034">
        <w:t xml:space="preserve">nique patients, </w:t>
      </w:r>
      <w:r w:rsidR="00EC7F37">
        <w:t xml:space="preserve">unique </w:t>
      </w:r>
      <w:r w:rsidR="00B96034">
        <w:t>inpatients</w:t>
      </w:r>
      <w:r w:rsidR="020FF86B">
        <w:t>,</w:t>
      </w:r>
      <w:r w:rsidR="00B96034">
        <w:t xml:space="preserve"> and </w:t>
      </w:r>
      <w:r w:rsidR="00EC7F37">
        <w:t xml:space="preserve">unique </w:t>
      </w:r>
      <w:r w:rsidR="00B96034">
        <w:t xml:space="preserve">outpatients have all been increasing over the past three </w:t>
      </w:r>
      <w:r w:rsidR="00B43DC4">
        <w:t xml:space="preserve">fiscal </w:t>
      </w:r>
      <w:r w:rsidR="00B96034">
        <w:t>years, with the greatest increase</w:t>
      </w:r>
      <w:r w:rsidR="00EF59D1">
        <w:t>s</w:t>
      </w:r>
      <w:r w:rsidR="00B96034">
        <w:t xml:space="preserve"> occurring in </w:t>
      </w:r>
      <w:r w:rsidR="00451772">
        <w:t xml:space="preserve">the </w:t>
      </w:r>
      <w:r w:rsidR="00EF59D1">
        <w:t xml:space="preserve">Applicant’s </w:t>
      </w:r>
      <w:r w:rsidR="00451772">
        <w:t>Patient Panel</w:t>
      </w:r>
      <w:r w:rsidR="00BE1318">
        <w:t xml:space="preserve"> and </w:t>
      </w:r>
      <w:r w:rsidR="00336ECA">
        <w:t xml:space="preserve">the Applicant’s </w:t>
      </w:r>
      <w:r w:rsidR="007E0BD6">
        <w:t>o</w:t>
      </w:r>
      <w:r w:rsidR="00BE1318">
        <w:t>utpatients</w:t>
      </w:r>
      <w:r w:rsidR="00B96034">
        <w:t xml:space="preserve">. </w:t>
      </w:r>
      <w:r w:rsidR="00814428">
        <w:t xml:space="preserve">The Applicant attributes the increase in unique inpatients and outpatients to </w:t>
      </w:r>
      <w:r w:rsidR="00302A45">
        <w:t>two factors:</w:t>
      </w:r>
    </w:p>
    <w:p w14:paraId="384C43BE" w14:textId="77777777" w:rsidR="00302A45" w:rsidRDefault="00814428" w:rsidP="00F91720">
      <w:pPr>
        <w:pStyle w:val="ListParagraph"/>
        <w:numPr>
          <w:ilvl w:val="0"/>
          <w:numId w:val="23"/>
        </w:numPr>
      </w:pPr>
      <w:r>
        <w:t xml:space="preserve">the </w:t>
      </w:r>
      <w:r w:rsidR="00611952">
        <w:t>r</w:t>
      </w:r>
      <w:r w:rsidR="00B6599A">
        <w:t>eceipt of care that was delayed by patients during the COVID-19 pandemic</w:t>
      </w:r>
      <w:r w:rsidR="00842EFC">
        <w:t>,</w:t>
      </w:r>
      <w:r w:rsidR="00FA0884">
        <w:t xml:space="preserve"> and </w:t>
      </w:r>
    </w:p>
    <w:p w14:paraId="1A9FC526" w14:textId="27CF3EE0" w:rsidR="003F362E" w:rsidRDefault="00611952" w:rsidP="00F91720">
      <w:pPr>
        <w:pStyle w:val="ListParagraph"/>
        <w:numPr>
          <w:ilvl w:val="0"/>
          <w:numId w:val="23"/>
        </w:numPr>
      </w:pPr>
      <w:r>
        <w:t>g</w:t>
      </w:r>
      <w:r w:rsidR="00B6599A">
        <w:t xml:space="preserve">eneral increases in </w:t>
      </w:r>
      <w:r w:rsidR="003F362E">
        <w:t xml:space="preserve">the incidence of cancer cases </w:t>
      </w:r>
      <w:r w:rsidR="00FA0884">
        <w:t xml:space="preserve">and </w:t>
      </w:r>
      <w:r w:rsidR="003F362E">
        <w:t>in prevalence of cancer cases</w:t>
      </w:r>
      <w:r w:rsidR="00C55458">
        <w:t xml:space="preserve"> </w:t>
      </w:r>
      <w:r w:rsidR="00C32523">
        <w:t xml:space="preserve">which </w:t>
      </w:r>
      <w:r w:rsidR="004E0541">
        <w:t xml:space="preserve">the Applicant states </w:t>
      </w:r>
      <w:r w:rsidR="00C32523">
        <w:t xml:space="preserve">lead to an increase in the number of </w:t>
      </w:r>
      <w:r w:rsidR="00C55458">
        <w:t>patients seek</w:t>
      </w:r>
      <w:r w:rsidR="00C32523">
        <w:t>ing</w:t>
      </w:r>
      <w:r w:rsidR="00C55458">
        <w:t xml:space="preserve"> treatment at the Applicant’s facilities</w:t>
      </w:r>
      <w:r w:rsidR="00351D12">
        <w:t xml:space="preserve">, including </w:t>
      </w:r>
      <w:r w:rsidR="00C32523">
        <w:t>at the Applicant’s newer facilities</w:t>
      </w:r>
      <w:r w:rsidR="00351D12">
        <w:t xml:space="preserve"> in Methuen, Chestnut Hill, and Foxborough. </w:t>
      </w:r>
    </w:p>
    <w:p w14:paraId="66FF6AD5" w14:textId="77777777" w:rsidR="00B6599A" w:rsidRDefault="00B6599A" w:rsidP="00BA2054"/>
    <w:p w14:paraId="3136953B" w14:textId="77777777" w:rsidR="00A6619A" w:rsidRDefault="00A6619A" w:rsidP="00A6619A">
      <w:r>
        <w:t xml:space="preserve">Table 5 shows the average daily census (ADC) of oncology beds that the Applicant manages in partnership with BWH from FY18 to FY23. </w:t>
      </w:r>
      <w:r w:rsidRPr="00624598">
        <w:t xml:space="preserve">The </w:t>
      </w:r>
      <w:r>
        <w:t>Applicant states that T</w:t>
      </w:r>
      <w:r w:rsidRPr="00624598">
        <w:t>able</w:t>
      </w:r>
      <w:r>
        <w:t xml:space="preserve"> 5</w:t>
      </w:r>
      <w:r w:rsidRPr="00624598">
        <w:t xml:space="preserve"> includes </w:t>
      </w:r>
      <w:r>
        <w:t>Center for Health Information and Analysis (</w:t>
      </w:r>
      <w:r w:rsidRPr="00624598">
        <w:t>CHIA</w:t>
      </w:r>
      <w:r>
        <w:t>)</w:t>
      </w:r>
      <w:r w:rsidRPr="00624598">
        <w:t xml:space="preserve"> data for Dana-Farber</w:t>
      </w:r>
      <w:r>
        <w:t xml:space="preserve"> and </w:t>
      </w:r>
      <w:r w:rsidRPr="00624598">
        <w:t>BWH</w:t>
      </w:r>
      <w:r>
        <w:t>.</w:t>
      </w:r>
      <w:r w:rsidRPr="00624598">
        <w:t xml:space="preserve"> </w:t>
      </w:r>
      <w:r>
        <w:t>The Applicant</w:t>
      </w:r>
      <w:r w:rsidRPr="00624598">
        <w:t xml:space="preserve"> omitted FY20 due to COVID-19, and FY23 is not yet available through CHIA.</w:t>
      </w:r>
    </w:p>
    <w:p w14:paraId="1607D353" w14:textId="77777777" w:rsidR="00A6619A" w:rsidRDefault="00A6619A" w:rsidP="00A6619A"/>
    <w:p w14:paraId="4542D74A" w14:textId="77777777" w:rsidR="00A6619A" w:rsidRPr="00737E4F" w:rsidRDefault="00A6619A" w:rsidP="00A6619A">
      <w:pPr>
        <w:rPr>
          <w:rFonts w:asciiTheme="minorHAnsi" w:hAnsiTheme="minorHAnsi"/>
          <w:b/>
          <w:bCs/>
          <w:szCs w:val="24"/>
        </w:rPr>
      </w:pPr>
      <w:r w:rsidRPr="00737E4F">
        <w:rPr>
          <w:rFonts w:asciiTheme="minorHAnsi" w:hAnsiTheme="minorHAnsi"/>
          <w:b/>
          <w:bCs/>
          <w:szCs w:val="24"/>
          <w:u w:val="single"/>
        </w:rPr>
        <w:t xml:space="preserve">Table </w:t>
      </w:r>
      <w:r>
        <w:rPr>
          <w:rFonts w:asciiTheme="minorHAnsi" w:hAnsiTheme="minorHAnsi"/>
          <w:b/>
          <w:bCs/>
          <w:szCs w:val="24"/>
          <w:u w:val="single"/>
        </w:rPr>
        <w:t>5</w:t>
      </w:r>
      <w:r w:rsidRPr="00737E4F">
        <w:rPr>
          <w:rFonts w:asciiTheme="minorHAnsi" w:hAnsiTheme="minorHAnsi"/>
          <w:b/>
          <w:bCs/>
          <w:szCs w:val="24"/>
        </w:rPr>
        <w:t xml:space="preserve">: </w:t>
      </w:r>
      <w:r w:rsidRPr="00484C69">
        <w:rPr>
          <w:rFonts w:asciiTheme="minorHAnsi" w:hAnsiTheme="minorHAnsi"/>
          <w:b/>
          <w:bCs/>
          <w:szCs w:val="24"/>
        </w:rPr>
        <w:t xml:space="preserve">Dana-Farber/BWH </w:t>
      </w:r>
      <w:r w:rsidRPr="00737E4F">
        <w:rPr>
          <w:rFonts w:asciiTheme="minorHAnsi" w:hAnsiTheme="minorHAnsi"/>
          <w:b/>
          <w:bCs/>
          <w:szCs w:val="24"/>
        </w:rPr>
        <w:t>ADC</w:t>
      </w:r>
      <w:r>
        <w:rPr>
          <w:rFonts w:asciiTheme="minorHAnsi" w:hAnsiTheme="minorHAnsi"/>
          <w:b/>
          <w:bCs/>
          <w:szCs w:val="24"/>
        </w:rPr>
        <w:t>, FY18 to FY23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754"/>
        <w:gridCol w:w="754"/>
        <w:gridCol w:w="695"/>
        <w:gridCol w:w="754"/>
        <w:gridCol w:w="754"/>
        <w:gridCol w:w="695"/>
        <w:gridCol w:w="1246"/>
      </w:tblGrid>
      <w:tr w:rsidR="00A6619A" w:rsidRPr="00E52C17" w14:paraId="79759C50" w14:textId="77777777">
        <w:trPr>
          <w:trHeight w:val="290"/>
        </w:trPr>
        <w:tc>
          <w:tcPr>
            <w:tcW w:w="0" w:type="auto"/>
            <w:shd w:val="clear" w:color="auto" w:fill="auto"/>
            <w:vAlign w:val="center"/>
            <w:hideMark/>
          </w:tcPr>
          <w:p w14:paraId="304A1E4E" w14:textId="77777777" w:rsidR="00A6619A" w:rsidRPr="00E52C17" w:rsidRDefault="00A6619A">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 </w:t>
            </w:r>
          </w:p>
        </w:tc>
        <w:tc>
          <w:tcPr>
            <w:tcW w:w="0" w:type="auto"/>
            <w:shd w:val="clear" w:color="auto" w:fill="DBE5F1" w:themeFill="accent1" w:themeFillTint="33"/>
            <w:vAlign w:val="center"/>
            <w:hideMark/>
          </w:tcPr>
          <w:p w14:paraId="267969CF" w14:textId="77777777" w:rsidR="00A6619A" w:rsidRPr="00E52C17" w:rsidRDefault="00A6619A">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pacing w:val="-4"/>
                <w:szCs w:val="24"/>
              </w:rPr>
              <w:t>FY18</w:t>
            </w:r>
          </w:p>
        </w:tc>
        <w:tc>
          <w:tcPr>
            <w:tcW w:w="0" w:type="auto"/>
            <w:shd w:val="clear" w:color="auto" w:fill="DBE5F1" w:themeFill="accent1" w:themeFillTint="33"/>
            <w:vAlign w:val="center"/>
            <w:hideMark/>
          </w:tcPr>
          <w:p w14:paraId="1ADCEB04" w14:textId="77777777" w:rsidR="00A6619A" w:rsidRPr="00E52C17" w:rsidRDefault="00A6619A">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pacing w:val="-4"/>
                <w:szCs w:val="24"/>
              </w:rPr>
              <w:t>FY19</w:t>
            </w:r>
          </w:p>
        </w:tc>
        <w:tc>
          <w:tcPr>
            <w:tcW w:w="0" w:type="auto"/>
            <w:shd w:val="clear" w:color="auto" w:fill="DBE5F1" w:themeFill="accent1" w:themeFillTint="33"/>
            <w:vAlign w:val="center"/>
            <w:hideMark/>
          </w:tcPr>
          <w:p w14:paraId="2830B080" w14:textId="77777777" w:rsidR="00A6619A" w:rsidRPr="00E52C17" w:rsidRDefault="00A6619A">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FY20</w:t>
            </w:r>
          </w:p>
        </w:tc>
        <w:tc>
          <w:tcPr>
            <w:tcW w:w="0" w:type="auto"/>
            <w:shd w:val="clear" w:color="auto" w:fill="DBE5F1" w:themeFill="accent1" w:themeFillTint="33"/>
            <w:vAlign w:val="center"/>
            <w:hideMark/>
          </w:tcPr>
          <w:p w14:paraId="6EEFF33E" w14:textId="77777777" w:rsidR="00A6619A" w:rsidRPr="00E52C17" w:rsidRDefault="00A6619A">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pacing w:val="-4"/>
                <w:szCs w:val="24"/>
              </w:rPr>
              <w:t>FY21</w:t>
            </w:r>
          </w:p>
        </w:tc>
        <w:tc>
          <w:tcPr>
            <w:tcW w:w="0" w:type="auto"/>
            <w:shd w:val="clear" w:color="auto" w:fill="DBE5F1" w:themeFill="accent1" w:themeFillTint="33"/>
            <w:vAlign w:val="center"/>
            <w:hideMark/>
          </w:tcPr>
          <w:p w14:paraId="06537C13" w14:textId="77777777" w:rsidR="00A6619A" w:rsidRPr="00E52C17" w:rsidRDefault="00A6619A">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pacing w:val="-4"/>
                <w:szCs w:val="24"/>
              </w:rPr>
              <w:t>FY22</w:t>
            </w:r>
          </w:p>
        </w:tc>
        <w:tc>
          <w:tcPr>
            <w:tcW w:w="0" w:type="auto"/>
            <w:shd w:val="clear" w:color="auto" w:fill="DBE5F1" w:themeFill="accent1" w:themeFillTint="33"/>
            <w:vAlign w:val="center"/>
            <w:hideMark/>
          </w:tcPr>
          <w:p w14:paraId="4BCBA3C4" w14:textId="77777777" w:rsidR="00A6619A" w:rsidRPr="00E52C17" w:rsidRDefault="00A6619A">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FY23</w:t>
            </w:r>
          </w:p>
        </w:tc>
        <w:tc>
          <w:tcPr>
            <w:tcW w:w="0" w:type="auto"/>
            <w:shd w:val="clear" w:color="auto" w:fill="DBE5F1" w:themeFill="accent1" w:themeFillTint="33"/>
          </w:tcPr>
          <w:p w14:paraId="5E567F40" w14:textId="77777777" w:rsidR="00A6619A" w:rsidRDefault="00A6619A">
            <w:pPr>
              <w:widowControl/>
              <w:autoSpaceDE/>
              <w:autoSpaceDN/>
              <w:jc w:val="center"/>
              <w:rPr>
                <w:rFonts w:asciiTheme="minorHAnsi" w:eastAsia="Times New Roman" w:hAnsiTheme="minorHAnsi"/>
                <w:b/>
                <w:bCs/>
                <w:color w:val="000000"/>
                <w:szCs w:val="24"/>
              </w:rPr>
            </w:pPr>
            <w:r>
              <w:rPr>
                <w:rFonts w:asciiTheme="minorHAnsi" w:eastAsia="Times New Roman" w:hAnsiTheme="minorHAnsi"/>
                <w:b/>
                <w:bCs/>
                <w:color w:val="000000"/>
                <w:szCs w:val="24"/>
              </w:rPr>
              <w:t>% Change</w:t>
            </w:r>
          </w:p>
          <w:p w14:paraId="375CAD6A" w14:textId="77777777" w:rsidR="00A6619A" w:rsidRPr="00E52C17" w:rsidRDefault="00A6619A">
            <w:pPr>
              <w:widowControl/>
              <w:autoSpaceDE/>
              <w:autoSpaceDN/>
              <w:jc w:val="center"/>
              <w:rPr>
                <w:rFonts w:asciiTheme="minorHAnsi" w:eastAsia="Times New Roman" w:hAnsiTheme="minorHAnsi"/>
                <w:b/>
                <w:bCs/>
                <w:color w:val="000000"/>
                <w:szCs w:val="24"/>
              </w:rPr>
            </w:pPr>
            <w:r>
              <w:rPr>
                <w:rFonts w:asciiTheme="minorHAnsi" w:eastAsia="Times New Roman" w:hAnsiTheme="minorHAnsi"/>
                <w:b/>
                <w:bCs/>
                <w:color w:val="000000"/>
                <w:szCs w:val="24"/>
              </w:rPr>
              <w:t>FY18-FY22</w:t>
            </w:r>
          </w:p>
        </w:tc>
      </w:tr>
      <w:tr w:rsidR="00A6619A" w:rsidRPr="00E52C17" w14:paraId="5DB10E45" w14:textId="77777777">
        <w:trPr>
          <w:trHeight w:val="290"/>
        </w:trPr>
        <w:tc>
          <w:tcPr>
            <w:tcW w:w="0" w:type="auto"/>
            <w:shd w:val="clear" w:color="auto" w:fill="auto"/>
            <w:vAlign w:val="center"/>
            <w:hideMark/>
          </w:tcPr>
          <w:p w14:paraId="2FFA9CFA" w14:textId="77777777" w:rsidR="00A6619A" w:rsidRPr="00CC4E8B" w:rsidRDefault="00A6619A">
            <w:pPr>
              <w:widowControl/>
              <w:autoSpaceDE/>
              <w:autoSpaceDN/>
              <w:rPr>
                <w:rFonts w:asciiTheme="minorHAnsi" w:eastAsia="Times New Roman" w:hAnsiTheme="minorHAnsi"/>
                <w:b/>
                <w:bCs/>
                <w:color w:val="000000"/>
                <w:szCs w:val="24"/>
              </w:rPr>
            </w:pPr>
            <w:r w:rsidRPr="00CC4E8B">
              <w:rPr>
                <w:rFonts w:asciiTheme="minorHAnsi" w:eastAsia="Times New Roman" w:hAnsiTheme="minorHAnsi"/>
                <w:b/>
                <w:bCs/>
                <w:color w:val="000000"/>
                <w:spacing w:val="-2"/>
                <w:szCs w:val="24"/>
              </w:rPr>
              <w:t>Dana-Farber/BWH</w:t>
            </w:r>
            <w:r w:rsidRPr="00CC4E8B">
              <w:rPr>
                <w:rFonts w:asciiTheme="minorHAnsi" w:eastAsia="Times New Roman" w:hAnsiTheme="minorHAnsi"/>
                <w:b/>
                <w:bCs/>
                <w:color w:val="000000"/>
                <w:szCs w:val="24"/>
              </w:rPr>
              <w:t xml:space="preserve"> </w:t>
            </w:r>
            <w:r w:rsidRPr="00CC4E8B">
              <w:rPr>
                <w:rFonts w:asciiTheme="minorHAnsi" w:eastAsia="Times New Roman" w:hAnsiTheme="minorHAnsi"/>
                <w:b/>
                <w:bCs/>
                <w:color w:val="000000"/>
                <w:spacing w:val="-2"/>
                <w:szCs w:val="24"/>
              </w:rPr>
              <w:t>ADC (in Patients)</w:t>
            </w:r>
          </w:p>
        </w:tc>
        <w:tc>
          <w:tcPr>
            <w:tcW w:w="0" w:type="auto"/>
            <w:shd w:val="clear" w:color="auto" w:fill="auto"/>
            <w:vAlign w:val="center"/>
            <w:hideMark/>
          </w:tcPr>
          <w:p w14:paraId="3C64FCA9" w14:textId="77777777" w:rsidR="00A6619A" w:rsidRPr="00E52C17" w:rsidRDefault="00A6619A">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168.1</w:t>
            </w:r>
          </w:p>
        </w:tc>
        <w:tc>
          <w:tcPr>
            <w:tcW w:w="0" w:type="auto"/>
            <w:shd w:val="clear" w:color="auto" w:fill="auto"/>
            <w:vAlign w:val="center"/>
            <w:hideMark/>
          </w:tcPr>
          <w:p w14:paraId="093DB112" w14:textId="77777777" w:rsidR="00A6619A" w:rsidRPr="00E52C17" w:rsidRDefault="00A6619A">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180.8</w:t>
            </w:r>
          </w:p>
        </w:tc>
        <w:tc>
          <w:tcPr>
            <w:tcW w:w="0" w:type="auto"/>
            <w:shd w:val="clear" w:color="auto" w:fill="auto"/>
            <w:hideMark/>
          </w:tcPr>
          <w:p w14:paraId="1EBEB291" w14:textId="77777777" w:rsidR="00A6619A" w:rsidRPr="00E52C17" w:rsidRDefault="00A6619A">
            <w:pPr>
              <w:widowControl/>
              <w:autoSpaceDE/>
              <w:autoSpaceDN/>
              <w:jc w:val="center"/>
              <w:rPr>
                <w:rFonts w:asciiTheme="minorHAnsi" w:eastAsia="Times New Roman" w:hAnsiTheme="minorHAnsi"/>
                <w:color w:val="000000"/>
                <w:szCs w:val="24"/>
              </w:rPr>
            </w:pPr>
            <w:r w:rsidRPr="00E52C17">
              <w:rPr>
                <w:rFonts w:asciiTheme="minorHAnsi" w:hAnsiTheme="minorHAnsi"/>
                <w:szCs w:val="24"/>
              </w:rPr>
              <w:t>-</w:t>
            </w:r>
          </w:p>
        </w:tc>
        <w:tc>
          <w:tcPr>
            <w:tcW w:w="0" w:type="auto"/>
            <w:shd w:val="clear" w:color="auto" w:fill="auto"/>
            <w:vAlign w:val="center"/>
            <w:hideMark/>
          </w:tcPr>
          <w:p w14:paraId="14D532E7" w14:textId="77777777" w:rsidR="00A6619A" w:rsidRPr="00E52C17" w:rsidRDefault="00A6619A">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166.4</w:t>
            </w:r>
          </w:p>
        </w:tc>
        <w:tc>
          <w:tcPr>
            <w:tcW w:w="0" w:type="auto"/>
            <w:shd w:val="clear" w:color="auto" w:fill="auto"/>
            <w:vAlign w:val="center"/>
            <w:hideMark/>
          </w:tcPr>
          <w:p w14:paraId="520E93AB" w14:textId="77777777" w:rsidR="00A6619A" w:rsidRPr="00E52C17" w:rsidRDefault="00A6619A">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186.4</w:t>
            </w:r>
          </w:p>
        </w:tc>
        <w:tc>
          <w:tcPr>
            <w:tcW w:w="0" w:type="auto"/>
            <w:shd w:val="clear" w:color="auto" w:fill="auto"/>
            <w:noWrap/>
            <w:hideMark/>
          </w:tcPr>
          <w:p w14:paraId="1443F977" w14:textId="77777777" w:rsidR="00A6619A" w:rsidRPr="00E52C17" w:rsidRDefault="00A6619A">
            <w:pPr>
              <w:widowControl/>
              <w:autoSpaceDE/>
              <w:autoSpaceDN/>
              <w:jc w:val="center"/>
              <w:rPr>
                <w:rFonts w:asciiTheme="minorHAnsi" w:eastAsia="Times New Roman" w:hAnsiTheme="minorHAnsi"/>
                <w:color w:val="000000"/>
                <w:szCs w:val="24"/>
              </w:rPr>
            </w:pPr>
            <w:r w:rsidRPr="00E52C17">
              <w:rPr>
                <w:rFonts w:asciiTheme="minorHAnsi" w:hAnsiTheme="minorHAnsi"/>
                <w:szCs w:val="24"/>
              </w:rPr>
              <w:t>-</w:t>
            </w:r>
          </w:p>
        </w:tc>
        <w:tc>
          <w:tcPr>
            <w:tcW w:w="0" w:type="auto"/>
          </w:tcPr>
          <w:p w14:paraId="0EC604C1" w14:textId="77777777" w:rsidR="00A6619A" w:rsidRPr="00E52C17" w:rsidRDefault="00A6619A">
            <w:pPr>
              <w:widowControl/>
              <w:autoSpaceDE/>
              <w:autoSpaceDN/>
              <w:jc w:val="center"/>
              <w:rPr>
                <w:rFonts w:asciiTheme="minorHAnsi" w:hAnsiTheme="minorHAnsi"/>
                <w:szCs w:val="24"/>
              </w:rPr>
            </w:pPr>
            <w:r w:rsidRPr="00810F16">
              <w:t>11%</w:t>
            </w:r>
          </w:p>
        </w:tc>
      </w:tr>
    </w:tbl>
    <w:p w14:paraId="0570A42B" w14:textId="77777777" w:rsidR="002F527A" w:rsidRDefault="002F527A" w:rsidP="00BA2054"/>
    <w:p w14:paraId="1C750B33" w14:textId="77777777" w:rsidR="00A6619A" w:rsidRDefault="00A6619A" w:rsidP="00BA2054"/>
    <w:p w14:paraId="35FF9BCF" w14:textId="364B9697" w:rsidR="00B447F3" w:rsidRDefault="00A4110F" w:rsidP="00BA2054">
      <w:pPr>
        <w:pStyle w:val="NoSpacing"/>
        <w:rPr>
          <w:rFonts w:asciiTheme="minorHAnsi" w:hAnsiTheme="minorHAnsi" w:cstheme="minorHAnsi"/>
          <w:b/>
          <w:bCs/>
          <w:color w:val="1F497D" w:themeColor="text2"/>
          <w:sz w:val="28"/>
          <w:szCs w:val="28"/>
        </w:rPr>
      </w:pPr>
      <w:r w:rsidRPr="00C776B7">
        <w:rPr>
          <w:rFonts w:asciiTheme="minorHAnsi" w:hAnsiTheme="minorHAnsi" w:cstheme="minorHAnsi"/>
          <w:b/>
          <w:bCs/>
          <w:color w:val="1F497D" w:themeColor="text2"/>
          <w:sz w:val="28"/>
          <w:szCs w:val="28"/>
        </w:rPr>
        <w:t xml:space="preserve">Patient Information </w:t>
      </w:r>
    </w:p>
    <w:p w14:paraId="13C3A4C2" w14:textId="77777777" w:rsidR="009449AF" w:rsidRDefault="009449AF" w:rsidP="00BA2054"/>
    <w:p w14:paraId="54D7A5CB" w14:textId="16C9D06F" w:rsidR="003424E9" w:rsidRDefault="00B96034" w:rsidP="00BA2054">
      <w:r>
        <w:t xml:space="preserve">Table </w:t>
      </w:r>
      <w:r w:rsidR="00A5471D">
        <w:t>6</w:t>
      </w:r>
      <w:r>
        <w:t xml:space="preserve"> provides</w:t>
      </w:r>
      <w:r w:rsidR="00596BA7">
        <w:t xml:space="preserve"> </w:t>
      </w:r>
      <w:r w:rsidR="001B13D0">
        <w:t xml:space="preserve">a </w:t>
      </w:r>
      <w:r w:rsidR="009449AF" w:rsidRPr="009449AF">
        <w:t>demographic and geographic profile</w:t>
      </w:r>
      <w:r>
        <w:t xml:space="preserve"> of the </w:t>
      </w:r>
      <w:r w:rsidR="0092271C">
        <w:t xml:space="preserve">Applicant’s </w:t>
      </w:r>
      <w:r>
        <w:t>patient population</w:t>
      </w:r>
      <w:r w:rsidR="00E71B8B">
        <w:t xml:space="preserve">s (unique patients, </w:t>
      </w:r>
      <w:r w:rsidR="000614A9">
        <w:t xml:space="preserve">unique </w:t>
      </w:r>
      <w:r w:rsidR="00E71B8B">
        <w:t xml:space="preserve">inpatients, and </w:t>
      </w:r>
      <w:r w:rsidR="000614A9">
        <w:t xml:space="preserve">unique </w:t>
      </w:r>
      <w:r w:rsidR="00E71B8B">
        <w:t>outpatients)</w:t>
      </w:r>
      <w:r>
        <w:t xml:space="preserve"> </w:t>
      </w:r>
      <w:r w:rsidR="006E668A">
        <w:t>for FY23</w:t>
      </w:r>
      <w:r w:rsidR="00BC5D61">
        <w:t xml:space="preserve">. The demographic and geographic profile is similar across all three patient populations. </w:t>
      </w:r>
    </w:p>
    <w:p w14:paraId="13DE6BFB" w14:textId="77777777" w:rsidR="00FA0884" w:rsidRDefault="00FA0884" w:rsidP="00BA2054"/>
    <w:p w14:paraId="6680F9CA" w14:textId="390FF48C" w:rsidR="003802C5" w:rsidRDefault="003802C5" w:rsidP="00BA2054">
      <w:r>
        <w:t xml:space="preserve">Staff note the following about the data presented in Table </w:t>
      </w:r>
      <w:r w:rsidR="00B727C3">
        <w:t>6</w:t>
      </w:r>
      <w:r>
        <w:t>:</w:t>
      </w:r>
    </w:p>
    <w:p w14:paraId="3D8BB190" w14:textId="3C20D75A" w:rsidR="009D232D" w:rsidRDefault="009D232D" w:rsidP="00BA2054">
      <w:pPr>
        <w:pStyle w:val="ListParagraph"/>
        <w:numPr>
          <w:ilvl w:val="0"/>
          <w:numId w:val="2"/>
        </w:numPr>
      </w:pPr>
      <w:r w:rsidRPr="00BC5D61">
        <w:rPr>
          <w:b/>
          <w:bCs/>
        </w:rPr>
        <w:t>Age</w:t>
      </w:r>
      <w:r>
        <w:t xml:space="preserve">: </w:t>
      </w:r>
      <w:r w:rsidR="007D1D0A">
        <w:t>70</w:t>
      </w:r>
      <w:r w:rsidR="00BC5D61">
        <w:t xml:space="preserve">% to </w:t>
      </w:r>
      <w:r w:rsidR="007D1D0A">
        <w:t>78</w:t>
      </w:r>
      <w:r w:rsidR="00BC5D61">
        <w:t>% are aged 56 and o</w:t>
      </w:r>
      <w:r w:rsidR="000614A9">
        <w:t>lder</w:t>
      </w:r>
      <w:r w:rsidR="00BC5D61">
        <w:t xml:space="preserve">. </w:t>
      </w:r>
    </w:p>
    <w:p w14:paraId="2AE3BFCE" w14:textId="4DD1D1DB" w:rsidR="00BC5D61" w:rsidRDefault="00BC5D61" w:rsidP="00BA2054">
      <w:pPr>
        <w:pStyle w:val="ListParagraph"/>
        <w:numPr>
          <w:ilvl w:val="0"/>
          <w:numId w:val="2"/>
        </w:numPr>
      </w:pPr>
      <w:r>
        <w:rPr>
          <w:b/>
          <w:bCs/>
        </w:rPr>
        <w:t>Race/Ethnicity</w:t>
      </w:r>
      <w:r w:rsidRPr="00BC5D61">
        <w:t>:</w:t>
      </w:r>
      <w:r>
        <w:t xml:space="preserve"> 7</w:t>
      </w:r>
      <w:r w:rsidR="0037397A">
        <w:t>5</w:t>
      </w:r>
      <w:r>
        <w:t>% to 7</w:t>
      </w:r>
      <w:r w:rsidR="0037397A">
        <w:t>7</w:t>
      </w:r>
      <w:r>
        <w:t xml:space="preserve">% identify as </w:t>
      </w:r>
      <w:r w:rsidRPr="00BC5D61">
        <w:t>White or Caucasian Non-Hispanic or Latino</w:t>
      </w:r>
      <w:r w:rsidR="009B7662">
        <w:t>.</w:t>
      </w:r>
    </w:p>
    <w:p w14:paraId="2FA18F87" w14:textId="2F42D65B" w:rsidR="00BC5D61" w:rsidRPr="00BC5D61" w:rsidRDefault="00BC5D61" w:rsidP="00BA2054">
      <w:pPr>
        <w:pStyle w:val="ListParagraph"/>
        <w:numPr>
          <w:ilvl w:val="0"/>
          <w:numId w:val="2"/>
        </w:numPr>
      </w:pPr>
      <w:r>
        <w:rPr>
          <w:b/>
          <w:bCs/>
        </w:rPr>
        <w:t xml:space="preserve">Patient Origin: </w:t>
      </w:r>
      <w:r w:rsidRPr="00BC5D61">
        <w:t>2</w:t>
      </w:r>
      <w:r w:rsidR="00D65671">
        <w:t>0</w:t>
      </w:r>
      <w:r w:rsidRPr="00BC5D61">
        <w:t>% to 2</w:t>
      </w:r>
      <w:r w:rsidR="00B75E87">
        <w:t>8</w:t>
      </w:r>
      <w:r w:rsidRPr="00BC5D61">
        <w:t>% come from outside of Massachusetts</w:t>
      </w:r>
      <w:r w:rsidR="00015EFD">
        <w:t xml:space="preserve"> (</w:t>
      </w:r>
      <w:r w:rsidR="0023654B">
        <w:t>United States</w:t>
      </w:r>
      <w:r w:rsidR="00015EFD">
        <w:t>)</w:t>
      </w:r>
      <w:r w:rsidR="009B7662" w:rsidRPr="009911B3">
        <w:t>.</w:t>
      </w:r>
    </w:p>
    <w:p w14:paraId="5EBC45B4" w14:textId="77777777" w:rsidR="009449AF" w:rsidRPr="003B2CD4" w:rsidRDefault="009449AF" w:rsidP="003B2CD4">
      <w:pPr>
        <w:rPr>
          <w:rFonts w:asciiTheme="minorHAnsi" w:hAnsiTheme="minorHAnsi"/>
          <w:b/>
          <w:bCs/>
          <w:color w:val="1F497D" w:themeColor="text2"/>
          <w:sz w:val="28"/>
          <w:szCs w:val="28"/>
        </w:rPr>
      </w:pPr>
    </w:p>
    <w:p w14:paraId="440BCD18" w14:textId="44B019D0" w:rsidR="008917DC" w:rsidRPr="001D1ABB" w:rsidRDefault="00466C0D" w:rsidP="002C52D4">
      <w:pPr>
        <w:rPr>
          <w:b/>
          <w:bCs/>
        </w:rPr>
      </w:pPr>
      <w:r w:rsidRPr="00466C0D">
        <w:rPr>
          <w:b/>
          <w:bCs/>
          <w:u w:val="single"/>
        </w:rPr>
        <w:t xml:space="preserve">Table </w:t>
      </w:r>
      <w:r w:rsidR="003700DA">
        <w:rPr>
          <w:b/>
          <w:bCs/>
          <w:u w:val="single"/>
        </w:rPr>
        <w:t>6</w:t>
      </w:r>
      <w:r w:rsidRPr="00466C0D">
        <w:rPr>
          <w:b/>
          <w:bCs/>
          <w:u w:val="single"/>
        </w:rPr>
        <w:t>:</w:t>
      </w:r>
      <w:r w:rsidR="001D1ABB">
        <w:rPr>
          <w:b/>
          <w:bCs/>
        </w:rPr>
        <w:t xml:space="preserve"> </w:t>
      </w:r>
      <w:r w:rsidR="006A4FD9">
        <w:rPr>
          <w:b/>
          <w:bCs/>
        </w:rPr>
        <w:t xml:space="preserve">Dana-Farber </w:t>
      </w:r>
      <w:r w:rsidR="001D1ABB">
        <w:rPr>
          <w:b/>
          <w:bCs/>
        </w:rPr>
        <w:t xml:space="preserve">Patient Information, </w:t>
      </w:r>
      <w:r w:rsidR="00BC5D61">
        <w:rPr>
          <w:b/>
          <w:bCs/>
        </w:rPr>
        <w:t>FY</w:t>
      </w:r>
      <w:r w:rsidR="001D1ABB">
        <w:rPr>
          <w:b/>
          <w:bCs/>
        </w:rPr>
        <w:t>2</w:t>
      </w:r>
      <w:r w:rsidR="000952C4">
        <w:rPr>
          <w:b/>
          <w:bCs/>
        </w:rPr>
        <w:t>3</w:t>
      </w:r>
      <w:r w:rsidR="001D1ABB">
        <w:rPr>
          <w:b/>
          <w:bCs/>
        </w:rPr>
        <w:t xml:space="preserve"> </w:t>
      </w:r>
    </w:p>
    <w:tbl>
      <w:tblPr>
        <w:tblStyle w:val="TableGrid"/>
        <w:tblW w:w="3484" w:type="pct"/>
        <w:tblLayout w:type="fixed"/>
        <w:tblLook w:val="04A0" w:firstRow="1" w:lastRow="0" w:firstColumn="1" w:lastColumn="0" w:noHBand="0" w:noVBand="1"/>
      </w:tblPr>
      <w:tblGrid>
        <w:gridCol w:w="2542"/>
        <w:gridCol w:w="1393"/>
        <w:gridCol w:w="1393"/>
        <w:gridCol w:w="1508"/>
      </w:tblGrid>
      <w:tr w:rsidR="00BB3BAE" w:rsidRPr="003F3F2B" w14:paraId="65CEE925" w14:textId="1A2B56DC" w:rsidTr="000F7616">
        <w:trPr>
          <w:cantSplit/>
          <w:trHeight w:val="413"/>
          <w:tblHeader/>
        </w:trPr>
        <w:tc>
          <w:tcPr>
            <w:tcW w:w="2542" w:type="dxa"/>
            <w:shd w:val="clear" w:color="auto" w:fill="DBE5F1" w:themeFill="accent1" w:themeFillTint="33"/>
            <w:noWrap/>
          </w:tcPr>
          <w:p w14:paraId="3BB83095" w14:textId="60B11C23" w:rsidR="00BB3BAE" w:rsidRPr="003F3F2B" w:rsidRDefault="00BB3BAE">
            <w:pPr>
              <w:contextualSpacing/>
              <w:jc w:val="center"/>
              <w:rPr>
                <w:rFonts w:asciiTheme="minorHAnsi" w:eastAsia="Times New Roman" w:hAnsiTheme="minorHAnsi"/>
                <w:b/>
                <w:bCs/>
                <w:color w:val="000000"/>
                <w:szCs w:val="24"/>
              </w:rPr>
            </w:pPr>
            <w:bookmarkStart w:id="7" w:name="Factor_1a:_Patient_Panel_Need"/>
            <w:bookmarkEnd w:id="7"/>
          </w:p>
        </w:tc>
        <w:tc>
          <w:tcPr>
            <w:tcW w:w="1393" w:type="dxa"/>
            <w:shd w:val="clear" w:color="auto" w:fill="DBE5F1" w:themeFill="accent1" w:themeFillTint="33"/>
            <w:noWrap/>
          </w:tcPr>
          <w:p w14:paraId="758CB18C" w14:textId="3C21F7F8" w:rsidR="00AA11F7" w:rsidRPr="003F3F2B" w:rsidRDefault="00AA11F7" w:rsidP="00535B5B">
            <w:pPr>
              <w:contextualSpacing/>
              <w:jc w:val="center"/>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Unique</w:t>
            </w:r>
          </w:p>
          <w:p w14:paraId="5C989D14" w14:textId="57807170" w:rsidR="00BB3BAE" w:rsidRPr="003F3F2B" w:rsidRDefault="0028104A" w:rsidP="00535B5B">
            <w:pPr>
              <w:contextualSpacing/>
              <w:jc w:val="center"/>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Patients</w:t>
            </w:r>
          </w:p>
        </w:tc>
        <w:tc>
          <w:tcPr>
            <w:tcW w:w="1393" w:type="dxa"/>
            <w:shd w:val="clear" w:color="auto" w:fill="DBE5F1" w:themeFill="accent1" w:themeFillTint="33"/>
          </w:tcPr>
          <w:p w14:paraId="7B6F0D05" w14:textId="2AB45E42" w:rsidR="00AA11F7" w:rsidRPr="003F3F2B" w:rsidRDefault="00AA11F7" w:rsidP="00535B5B">
            <w:pPr>
              <w:contextualSpacing/>
              <w:jc w:val="center"/>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Unique</w:t>
            </w:r>
          </w:p>
          <w:p w14:paraId="5B9E8FD6" w14:textId="7E32BC4F" w:rsidR="00BB3BAE" w:rsidRPr="003F3F2B" w:rsidRDefault="00BB3BAE" w:rsidP="00535B5B">
            <w:pPr>
              <w:contextualSpacing/>
              <w:jc w:val="center"/>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Inpatients</w:t>
            </w:r>
          </w:p>
        </w:tc>
        <w:tc>
          <w:tcPr>
            <w:tcW w:w="1508" w:type="dxa"/>
            <w:shd w:val="clear" w:color="auto" w:fill="DBE5F1" w:themeFill="accent1" w:themeFillTint="33"/>
          </w:tcPr>
          <w:p w14:paraId="228C9C9D" w14:textId="1485B5C7" w:rsidR="00AA11F7" w:rsidRPr="003F3F2B" w:rsidRDefault="00AA11F7" w:rsidP="00535B5B">
            <w:pPr>
              <w:contextualSpacing/>
              <w:jc w:val="center"/>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Unique</w:t>
            </w:r>
          </w:p>
          <w:p w14:paraId="0BAFF4DD" w14:textId="123FF319" w:rsidR="00BB3BAE" w:rsidRPr="003F3F2B" w:rsidRDefault="00BB3BAE" w:rsidP="00535B5B">
            <w:pPr>
              <w:contextualSpacing/>
              <w:jc w:val="center"/>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Outpatients</w:t>
            </w:r>
          </w:p>
        </w:tc>
      </w:tr>
      <w:tr w:rsidR="00BB3BAE" w:rsidRPr="003F3F2B" w14:paraId="2F2D6BF9" w14:textId="1EA269C5" w:rsidTr="000F7616">
        <w:trPr>
          <w:cantSplit/>
          <w:trHeight w:val="413"/>
        </w:trPr>
        <w:tc>
          <w:tcPr>
            <w:tcW w:w="2542" w:type="dxa"/>
            <w:noWrap/>
            <w:hideMark/>
          </w:tcPr>
          <w:p w14:paraId="385F7675" w14:textId="09A7ADF3" w:rsidR="00BB3BAE" w:rsidRPr="003F3F2B" w:rsidRDefault="00BB3BAE" w:rsidP="00664A8F">
            <w:pPr>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Total</w:t>
            </w:r>
          </w:p>
        </w:tc>
        <w:tc>
          <w:tcPr>
            <w:tcW w:w="1393" w:type="dxa"/>
            <w:noWrap/>
          </w:tcPr>
          <w:p w14:paraId="7E877F59" w14:textId="36A3F353" w:rsidR="00BB3BAE" w:rsidRPr="003F3F2B" w:rsidRDefault="00AA11F7">
            <w:pPr>
              <w:contextualSpacing/>
              <w:jc w:val="center"/>
              <w:rPr>
                <w:rFonts w:asciiTheme="minorHAnsi" w:eastAsia="Times New Roman" w:hAnsiTheme="minorHAnsi"/>
                <w:color w:val="000000"/>
                <w:szCs w:val="24"/>
              </w:rPr>
            </w:pPr>
            <w:r w:rsidRPr="003F3F2B">
              <w:rPr>
                <w:rFonts w:asciiTheme="minorHAnsi" w:eastAsia="Times New Roman" w:hAnsiTheme="minorHAnsi"/>
                <w:color w:val="000000"/>
                <w:szCs w:val="24"/>
              </w:rPr>
              <w:t>102,921</w:t>
            </w:r>
          </w:p>
        </w:tc>
        <w:tc>
          <w:tcPr>
            <w:tcW w:w="1393" w:type="dxa"/>
          </w:tcPr>
          <w:p w14:paraId="021B1B4C" w14:textId="76CE5667" w:rsidR="00BB3BAE" w:rsidRPr="003F3F2B" w:rsidRDefault="00AA11F7">
            <w:pPr>
              <w:contextualSpacing/>
              <w:jc w:val="center"/>
              <w:rPr>
                <w:rFonts w:asciiTheme="minorHAnsi" w:eastAsia="Times New Roman" w:hAnsiTheme="minorHAnsi"/>
                <w:color w:val="000000"/>
                <w:szCs w:val="24"/>
              </w:rPr>
            </w:pPr>
            <w:r w:rsidRPr="003F3F2B">
              <w:rPr>
                <w:rFonts w:asciiTheme="minorHAnsi" w:eastAsia="Times New Roman" w:hAnsiTheme="minorHAnsi"/>
                <w:color w:val="000000"/>
                <w:szCs w:val="24"/>
              </w:rPr>
              <w:t>5,004</w:t>
            </w:r>
          </w:p>
        </w:tc>
        <w:tc>
          <w:tcPr>
            <w:tcW w:w="1508" w:type="dxa"/>
          </w:tcPr>
          <w:p w14:paraId="57C05C3E" w14:textId="3E395F23" w:rsidR="00BB3BAE" w:rsidRPr="003F3F2B" w:rsidRDefault="00AA11F7">
            <w:pPr>
              <w:contextualSpacing/>
              <w:jc w:val="center"/>
              <w:rPr>
                <w:rFonts w:asciiTheme="minorHAnsi" w:eastAsia="Times New Roman" w:hAnsiTheme="minorHAnsi"/>
                <w:color w:val="000000"/>
                <w:szCs w:val="24"/>
              </w:rPr>
            </w:pPr>
            <w:r w:rsidRPr="003F3F2B">
              <w:rPr>
                <w:rFonts w:asciiTheme="minorHAnsi" w:eastAsia="Times New Roman" w:hAnsiTheme="minorHAnsi"/>
                <w:color w:val="000000"/>
                <w:szCs w:val="24"/>
              </w:rPr>
              <w:t>73,875</w:t>
            </w:r>
          </w:p>
        </w:tc>
      </w:tr>
      <w:tr w:rsidR="00BB3BAE" w:rsidRPr="003F3F2B" w14:paraId="3D0E31D6" w14:textId="0E5124F4" w:rsidTr="000F7616">
        <w:trPr>
          <w:cantSplit/>
          <w:trHeight w:val="288"/>
        </w:trPr>
        <w:tc>
          <w:tcPr>
            <w:tcW w:w="2542" w:type="dxa"/>
            <w:shd w:val="clear" w:color="auto" w:fill="F2F2F2" w:themeFill="background1" w:themeFillShade="F2"/>
            <w:noWrap/>
            <w:hideMark/>
          </w:tcPr>
          <w:p w14:paraId="7C9405FF" w14:textId="5B7A8846" w:rsidR="00BB3BAE" w:rsidRPr="003F3F2B" w:rsidRDefault="00BB3BAE" w:rsidP="00955DA5">
            <w:pPr>
              <w:contextualSpacing/>
              <w:rPr>
                <w:rFonts w:asciiTheme="minorHAnsi" w:eastAsia="Times New Roman" w:hAnsiTheme="minorHAnsi"/>
                <w:b/>
                <w:bCs/>
                <w:color w:val="000000"/>
                <w:szCs w:val="24"/>
              </w:rPr>
            </w:pPr>
            <w:r w:rsidRPr="003F3F2B">
              <w:rPr>
                <w:rFonts w:asciiTheme="minorHAnsi" w:eastAsia="Times New Roman" w:hAnsiTheme="minorHAnsi"/>
                <w:b/>
                <w:bCs/>
                <w:color w:val="000000"/>
                <w:szCs w:val="24"/>
              </w:rPr>
              <w:lastRenderedPageBreak/>
              <w:t>Gender</w:t>
            </w:r>
            <w:r w:rsidR="00342910">
              <w:rPr>
                <w:rStyle w:val="FootnoteReference"/>
                <w:rFonts w:asciiTheme="minorHAnsi" w:eastAsia="Times New Roman" w:hAnsiTheme="minorHAnsi"/>
                <w:b/>
                <w:bCs/>
                <w:color w:val="000000"/>
                <w:szCs w:val="24"/>
              </w:rPr>
              <w:footnoteReference w:id="11"/>
            </w:r>
          </w:p>
        </w:tc>
        <w:tc>
          <w:tcPr>
            <w:tcW w:w="1393" w:type="dxa"/>
            <w:shd w:val="clear" w:color="auto" w:fill="F2F2F2" w:themeFill="background1" w:themeFillShade="F2"/>
            <w:noWrap/>
          </w:tcPr>
          <w:p w14:paraId="6802589B" w14:textId="77777777" w:rsidR="00BB3BAE" w:rsidRPr="003F3F2B" w:rsidRDefault="00BB3BAE">
            <w:pPr>
              <w:contextualSpacing/>
              <w:jc w:val="center"/>
              <w:rPr>
                <w:rFonts w:asciiTheme="minorHAnsi" w:eastAsia="Times New Roman" w:hAnsiTheme="minorHAnsi"/>
                <w:color w:val="000000"/>
                <w:szCs w:val="24"/>
              </w:rPr>
            </w:pPr>
          </w:p>
        </w:tc>
        <w:tc>
          <w:tcPr>
            <w:tcW w:w="1393" w:type="dxa"/>
            <w:shd w:val="clear" w:color="auto" w:fill="F2F2F2" w:themeFill="background1" w:themeFillShade="F2"/>
          </w:tcPr>
          <w:p w14:paraId="7EDF75CA" w14:textId="77777777" w:rsidR="00BB3BAE" w:rsidRPr="003F3F2B" w:rsidRDefault="00BB3BAE">
            <w:pPr>
              <w:contextualSpacing/>
              <w:jc w:val="center"/>
              <w:rPr>
                <w:rFonts w:asciiTheme="minorHAnsi" w:eastAsia="Times New Roman" w:hAnsiTheme="minorHAnsi"/>
                <w:color w:val="000000"/>
                <w:szCs w:val="24"/>
              </w:rPr>
            </w:pPr>
          </w:p>
        </w:tc>
        <w:tc>
          <w:tcPr>
            <w:tcW w:w="1508" w:type="dxa"/>
            <w:shd w:val="clear" w:color="auto" w:fill="F2F2F2" w:themeFill="background1" w:themeFillShade="F2"/>
          </w:tcPr>
          <w:p w14:paraId="5A0351D2" w14:textId="77777777" w:rsidR="00BB3BAE" w:rsidRPr="003F3F2B" w:rsidRDefault="00BB3BAE">
            <w:pPr>
              <w:contextualSpacing/>
              <w:jc w:val="center"/>
              <w:rPr>
                <w:rFonts w:asciiTheme="minorHAnsi" w:eastAsia="Times New Roman" w:hAnsiTheme="minorHAnsi"/>
                <w:color w:val="000000"/>
                <w:szCs w:val="24"/>
              </w:rPr>
            </w:pPr>
          </w:p>
        </w:tc>
      </w:tr>
      <w:tr w:rsidR="003B7C53" w:rsidRPr="003F3F2B" w14:paraId="5FDDFCB4" w14:textId="0762E491" w:rsidTr="000F7616">
        <w:trPr>
          <w:cantSplit/>
          <w:trHeight w:val="288"/>
        </w:trPr>
        <w:tc>
          <w:tcPr>
            <w:tcW w:w="2542" w:type="dxa"/>
            <w:noWrap/>
            <w:hideMark/>
          </w:tcPr>
          <w:p w14:paraId="649ABE6C" w14:textId="77777777" w:rsidR="003B7C53" w:rsidRPr="003F3F2B" w:rsidRDefault="003B7C53" w:rsidP="003B7C53">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Female</w:t>
            </w:r>
          </w:p>
        </w:tc>
        <w:tc>
          <w:tcPr>
            <w:tcW w:w="1393" w:type="dxa"/>
            <w:noWrap/>
          </w:tcPr>
          <w:p w14:paraId="56A3AAD8" w14:textId="5B80CE4D" w:rsidR="003B7C53" w:rsidRPr="003F3F2B" w:rsidRDefault="003B7C53" w:rsidP="00397343">
            <w:pPr>
              <w:tabs>
                <w:tab w:val="left" w:pos="796"/>
              </w:tabs>
              <w:contextualSpacing/>
              <w:jc w:val="center"/>
              <w:rPr>
                <w:rFonts w:asciiTheme="minorHAnsi" w:hAnsiTheme="minorHAnsi"/>
                <w:szCs w:val="24"/>
              </w:rPr>
            </w:pPr>
            <w:r w:rsidRPr="003F3F2B">
              <w:rPr>
                <w:rFonts w:asciiTheme="minorHAnsi" w:hAnsiTheme="minorHAnsi"/>
                <w:szCs w:val="24"/>
              </w:rPr>
              <w:t>62.</w:t>
            </w:r>
            <w:r w:rsidR="00397343" w:rsidRPr="003F3F2B">
              <w:rPr>
                <w:rFonts w:asciiTheme="minorHAnsi" w:hAnsiTheme="minorHAnsi"/>
                <w:szCs w:val="24"/>
              </w:rPr>
              <w:t>2</w:t>
            </w:r>
            <w:r w:rsidRPr="003F3F2B">
              <w:rPr>
                <w:rFonts w:asciiTheme="minorHAnsi" w:hAnsiTheme="minorHAnsi"/>
                <w:szCs w:val="24"/>
              </w:rPr>
              <w:t>%</w:t>
            </w:r>
          </w:p>
        </w:tc>
        <w:tc>
          <w:tcPr>
            <w:tcW w:w="1393" w:type="dxa"/>
          </w:tcPr>
          <w:p w14:paraId="7CEDBFE2" w14:textId="7BC0487D" w:rsidR="003B7C53" w:rsidRPr="003F3F2B" w:rsidRDefault="00DF07C3" w:rsidP="003B7C53">
            <w:pPr>
              <w:tabs>
                <w:tab w:val="left" w:pos="796"/>
              </w:tabs>
              <w:contextualSpacing/>
              <w:jc w:val="center"/>
              <w:rPr>
                <w:rFonts w:asciiTheme="minorHAnsi" w:hAnsiTheme="minorHAnsi"/>
                <w:color w:val="000000"/>
                <w:szCs w:val="24"/>
              </w:rPr>
            </w:pPr>
            <w:r>
              <w:rPr>
                <w:rFonts w:asciiTheme="minorHAnsi" w:hAnsiTheme="minorHAnsi"/>
                <w:szCs w:val="24"/>
              </w:rPr>
              <w:t>49</w:t>
            </w:r>
            <w:r w:rsidR="003B7C53" w:rsidRPr="003F3F2B">
              <w:rPr>
                <w:rFonts w:asciiTheme="minorHAnsi" w:hAnsiTheme="minorHAnsi"/>
                <w:szCs w:val="24"/>
              </w:rPr>
              <w:t>.</w:t>
            </w:r>
            <w:r>
              <w:rPr>
                <w:rFonts w:asciiTheme="minorHAnsi" w:hAnsiTheme="minorHAnsi"/>
                <w:szCs w:val="24"/>
              </w:rPr>
              <w:t>9</w:t>
            </w:r>
            <w:r w:rsidR="003B7C53" w:rsidRPr="003F3F2B">
              <w:rPr>
                <w:rFonts w:asciiTheme="minorHAnsi" w:hAnsiTheme="minorHAnsi"/>
                <w:szCs w:val="24"/>
              </w:rPr>
              <w:t>%</w:t>
            </w:r>
          </w:p>
        </w:tc>
        <w:tc>
          <w:tcPr>
            <w:tcW w:w="1508" w:type="dxa"/>
          </w:tcPr>
          <w:p w14:paraId="77E7394F" w14:textId="3B31A884" w:rsidR="00A52DC1" w:rsidRPr="003F3F2B" w:rsidRDefault="00A52DC1" w:rsidP="00A52DC1">
            <w:pPr>
              <w:tabs>
                <w:tab w:val="left" w:pos="796"/>
              </w:tabs>
              <w:contextualSpacing/>
              <w:jc w:val="center"/>
              <w:rPr>
                <w:rFonts w:asciiTheme="minorHAnsi" w:hAnsiTheme="minorHAnsi"/>
                <w:szCs w:val="24"/>
              </w:rPr>
            </w:pPr>
            <w:r w:rsidRPr="003F3F2B">
              <w:rPr>
                <w:rFonts w:asciiTheme="minorHAnsi" w:hAnsiTheme="minorHAnsi"/>
                <w:szCs w:val="24"/>
              </w:rPr>
              <w:t>62.0%</w:t>
            </w:r>
          </w:p>
        </w:tc>
      </w:tr>
      <w:tr w:rsidR="003B7C53" w:rsidRPr="003F3F2B" w14:paraId="25EB91A4" w14:textId="2E580683" w:rsidTr="000F7616">
        <w:trPr>
          <w:cantSplit/>
          <w:trHeight w:val="288"/>
        </w:trPr>
        <w:tc>
          <w:tcPr>
            <w:tcW w:w="2542" w:type="dxa"/>
            <w:noWrap/>
            <w:hideMark/>
          </w:tcPr>
          <w:p w14:paraId="6234763B" w14:textId="77777777" w:rsidR="003B7C53" w:rsidRPr="003F3F2B" w:rsidRDefault="003B7C53" w:rsidP="003B7C53">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Male</w:t>
            </w:r>
          </w:p>
        </w:tc>
        <w:tc>
          <w:tcPr>
            <w:tcW w:w="1393" w:type="dxa"/>
            <w:noWrap/>
          </w:tcPr>
          <w:p w14:paraId="67D9B46C" w14:textId="7980E8A7" w:rsidR="003B7C53" w:rsidRPr="003F3F2B" w:rsidRDefault="003B7C53" w:rsidP="003B7C53">
            <w:pPr>
              <w:contextualSpacing/>
              <w:jc w:val="center"/>
              <w:rPr>
                <w:rFonts w:asciiTheme="minorHAnsi" w:eastAsia="Times New Roman" w:hAnsiTheme="minorHAnsi"/>
                <w:color w:val="000000"/>
                <w:szCs w:val="24"/>
              </w:rPr>
            </w:pPr>
            <w:r w:rsidRPr="003F3F2B">
              <w:rPr>
                <w:rFonts w:asciiTheme="minorHAnsi" w:hAnsiTheme="minorHAnsi"/>
                <w:szCs w:val="24"/>
              </w:rPr>
              <w:t>37.8%</w:t>
            </w:r>
          </w:p>
        </w:tc>
        <w:tc>
          <w:tcPr>
            <w:tcW w:w="1393" w:type="dxa"/>
          </w:tcPr>
          <w:p w14:paraId="786A8B3F" w14:textId="1AA9D3BB" w:rsidR="003B7C53" w:rsidRPr="003F3F2B" w:rsidRDefault="003B7C53" w:rsidP="003B7C53">
            <w:pPr>
              <w:contextualSpacing/>
              <w:jc w:val="center"/>
              <w:rPr>
                <w:rFonts w:asciiTheme="minorHAnsi" w:hAnsiTheme="minorHAnsi"/>
                <w:color w:val="000000"/>
                <w:szCs w:val="24"/>
              </w:rPr>
            </w:pPr>
            <w:r w:rsidRPr="003F3F2B">
              <w:rPr>
                <w:rFonts w:asciiTheme="minorHAnsi" w:hAnsiTheme="minorHAnsi"/>
                <w:szCs w:val="24"/>
              </w:rPr>
              <w:t>50.</w:t>
            </w:r>
            <w:r w:rsidR="00DF07C3">
              <w:rPr>
                <w:rFonts w:asciiTheme="minorHAnsi" w:hAnsiTheme="minorHAnsi"/>
                <w:szCs w:val="24"/>
              </w:rPr>
              <w:t>1</w:t>
            </w:r>
            <w:r w:rsidRPr="003F3F2B">
              <w:rPr>
                <w:rFonts w:asciiTheme="minorHAnsi" w:hAnsiTheme="minorHAnsi"/>
                <w:szCs w:val="24"/>
              </w:rPr>
              <w:t>%</w:t>
            </w:r>
          </w:p>
        </w:tc>
        <w:tc>
          <w:tcPr>
            <w:tcW w:w="1508" w:type="dxa"/>
          </w:tcPr>
          <w:p w14:paraId="01FE9BF2" w14:textId="39AD2FE7" w:rsidR="003B7C53" w:rsidRPr="003F3F2B" w:rsidRDefault="00A52DC1" w:rsidP="003B7C53">
            <w:pPr>
              <w:contextualSpacing/>
              <w:jc w:val="center"/>
              <w:rPr>
                <w:rFonts w:asciiTheme="minorHAnsi" w:hAnsiTheme="minorHAnsi"/>
                <w:szCs w:val="24"/>
              </w:rPr>
            </w:pPr>
            <w:r w:rsidRPr="003F3F2B">
              <w:rPr>
                <w:rFonts w:asciiTheme="minorHAnsi" w:hAnsiTheme="minorHAnsi"/>
                <w:szCs w:val="24"/>
              </w:rPr>
              <w:t>38.0%</w:t>
            </w:r>
          </w:p>
        </w:tc>
      </w:tr>
      <w:tr w:rsidR="003B7C53" w:rsidRPr="003F3F2B" w14:paraId="14D372B8" w14:textId="50862D41" w:rsidTr="000F7616">
        <w:trPr>
          <w:cantSplit/>
          <w:trHeight w:val="288"/>
        </w:trPr>
        <w:tc>
          <w:tcPr>
            <w:tcW w:w="2542" w:type="dxa"/>
            <w:noWrap/>
            <w:hideMark/>
          </w:tcPr>
          <w:p w14:paraId="593F0476" w14:textId="77777777" w:rsidR="003B7C53" w:rsidRPr="003F3F2B" w:rsidRDefault="003B7C53" w:rsidP="003B7C53">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Unknown</w:t>
            </w:r>
          </w:p>
        </w:tc>
        <w:tc>
          <w:tcPr>
            <w:tcW w:w="1393" w:type="dxa"/>
            <w:noWrap/>
          </w:tcPr>
          <w:p w14:paraId="474A9F70" w14:textId="66255990" w:rsidR="003B7C53" w:rsidRPr="003F3F2B" w:rsidRDefault="003B7C53" w:rsidP="003B7C53">
            <w:pPr>
              <w:contextualSpacing/>
              <w:jc w:val="center"/>
              <w:rPr>
                <w:rFonts w:asciiTheme="minorHAnsi" w:eastAsia="Times New Roman" w:hAnsiTheme="minorHAnsi"/>
                <w:color w:val="000000"/>
                <w:szCs w:val="24"/>
              </w:rPr>
            </w:pPr>
            <w:r w:rsidRPr="003F3F2B">
              <w:rPr>
                <w:rFonts w:asciiTheme="minorHAnsi" w:hAnsiTheme="minorHAnsi"/>
                <w:szCs w:val="24"/>
              </w:rPr>
              <w:t>0</w:t>
            </w:r>
            <w:r w:rsidR="001958B5">
              <w:rPr>
                <w:rFonts w:asciiTheme="minorHAnsi" w:hAnsiTheme="minorHAnsi"/>
                <w:szCs w:val="24"/>
              </w:rPr>
              <w:t>.0%</w:t>
            </w:r>
          </w:p>
        </w:tc>
        <w:tc>
          <w:tcPr>
            <w:tcW w:w="1393" w:type="dxa"/>
          </w:tcPr>
          <w:p w14:paraId="73D10057" w14:textId="7F3897A8" w:rsidR="003B7C53" w:rsidRPr="003F3F2B" w:rsidRDefault="003B7C53" w:rsidP="003B7C53">
            <w:pPr>
              <w:contextualSpacing/>
              <w:jc w:val="center"/>
              <w:rPr>
                <w:rFonts w:asciiTheme="minorHAnsi" w:hAnsiTheme="minorHAnsi"/>
                <w:color w:val="000000"/>
                <w:szCs w:val="24"/>
              </w:rPr>
            </w:pPr>
            <w:r w:rsidRPr="003F3F2B">
              <w:rPr>
                <w:rFonts w:asciiTheme="minorHAnsi" w:hAnsiTheme="minorHAnsi"/>
                <w:szCs w:val="24"/>
              </w:rPr>
              <w:t>0.0%</w:t>
            </w:r>
          </w:p>
        </w:tc>
        <w:tc>
          <w:tcPr>
            <w:tcW w:w="1508" w:type="dxa"/>
          </w:tcPr>
          <w:p w14:paraId="4682ED75" w14:textId="328031B4" w:rsidR="003B7C53" w:rsidRPr="003F3F2B" w:rsidRDefault="00A52DC1" w:rsidP="003B7C53">
            <w:pPr>
              <w:contextualSpacing/>
              <w:jc w:val="center"/>
              <w:rPr>
                <w:rFonts w:asciiTheme="minorHAnsi" w:hAnsiTheme="minorHAnsi"/>
                <w:szCs w:val="24"/>
              </w:rPr>
            </w:pPr>
            <w:r w:rsidRPr="003F3F2B">
              <w:rPr>
                <w:rFonts w:asciiTheme="minorHAnsi" w:hAnsiTheme="minorHAnsi"/>
                <w:szCs w:val="24"/>
              </w:rPr>
              <w:t>0</w:t>
            </w:r>
            <w:r w:rsidR="001958B5">
              <w:rPr>
                <w:rFonts w:asciiTheme="minorHAnsi" w:hAnsiTheme="minorHAnsi"/>
                <w:szCs w:val="24"/>
              </w:rPr>
              <w:t>.0</w:t>
            </w:r>
            <w:r w:rsidRPr="003F3F2B">
              <w:rPr>
                <w:rFonts w:asciiTheme="minorHAnsi" w:hAnsiTheme="minorHAnsi"/>
                <w:szCs w:val="24"/>
              </w:rPr>
              <w:t>%</w:t>
            </w:r>
          </w:p>
        </w:tc>
      </w:tr>
      <w:tr w:rsidR="003B7C53" w:rsidRPr="003F3F2B" w14:paraId="29927CB3" w14:textId="1E4605C2" w:rsidTr="000F7616">
        <w:trPr>
          <w:cantSplit/>
          <w:trHeight w:val="288"/>
        </w:trPr>
        <w:tc>
          <w:tcPr>
            <w:tcW w:w="2542" w:type="dxa"/>
            <w:noWrap/>
          </w:tcPr>
          <w:p w14:paraId="12A922A0" w14:textId="3ECC5493" w:rsidR="003B7C53" w:rsidRPr="003F3F2B" w:rsidRDefault="003B7C53" w:rsidP="003B7C53">
            <w:pPr>
              <w:contextualSpacing/>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Total</w:t>
            </w:r>
          </w:p>
        </w:tc>
        <w:tc>
          <w:tcPr>
            <w:tcW w:w="1393" w:type="dxa"/>
            <w:noWrap/>
          </w:tcPr>
          <w:p w14:paraId="4EBC5194" w14:textId="3A5DCBB1" w:rsidR="003B7C53" w:rsidRPr="003F3F2B" w:rsidRDefault="00BE07D1" w:rsidP="00397343">
            <w:pPr>
              <w:contextualSpacing/>
              <w:jc w:val="center"/>
              <w:rPr>
                <w:rFonts w:asciiTheme="minorHAnsi" w:eastAsia="Times New Roman" w:hAnsiTheme="minorHAnsi"/>
                <w:color w:val="000000"/>
                <w:szCs w:val="24"/>
              </w:rPr>
            </w:pPr>
            <w:r w:rsidRPr="003F3F2B">
              <w:rPr>
                <w:rFonts w:asciiTheme="minorHAnsi" w:eastAsia="Times New Roman" w:hAnsiTheme="minorHAnsi"/>
                <w:color w:val="000000"/>
                <w:szCs w:val="24"/>
              </w:rPr>
              <w:fldChar w:fldCharType="begin"/>
            </w:r>
            <w:r w:rsidRPr="003F3F2B">
              <w:rPr>
                <w:rFonts w:asciiTheme="minorHAnsi" w:eastAsia="Times New Roman" w:hAnsiTheme="minorHAnsi"/>
                <w:color w:val="000000"/>
                <w:szCs w:val="24"/>
              </w:rPr>
              <w:instrText xml:space="preserve"> =SUM(ABOVE)*100 \# "0.00%" </w:instrText>
            </w:r>
            <w:r w:rsidRPr="003F3F2B">
              <w:rPr>
                <w:rFonts w:asciiTheme="minorHAnsi" w:eastAsia="Times New Roman" w:hAnsiTheme="minorHAnsi"/>
                <w:color w:val="000000"/>
                <w:szCs w:val="24"/>
              </w:rPr>
              <w:fldChar w:fldCharType="separate"/>
            </w:r>
            <w:r w:rsidRPr="003F3F2B">
              <w:rPr>
                <w:rFonts w:asciiTheme="minorHAnsi" w:eastAsia="Times New Roman" w:hAnsiTheme="minorHAnsi"/>
                <w:noProof/>
                <w:color w:val="000000"/>
                <w:szCs w:val="24"/>
              </w:rPr>
              <w:t>100.0%</w:t>
            </w:r>
            <w:r w:rsidRPr="003F3F2B">
              <w:rPr>
                <w:rFonts w:asciiTheme="minorHAnsi" w:eastAsia="Times New Roman" w:hAnsiTheme="minorHAnsi"/>
                <w:color w:val="000000"/>
                <w:szCs w:val="24"/>
              </w:rPr>
              <w:fldChar w:fldCharType="end"/>
            </w:r>
          </w:p>
        </w:tc>
        <w:tc>
          <w:tcPr>
            <w:tcW w:w="1393" w:type="dxa"/>
          </w:tcPr>
          <w:p w14:paraId="68D9B8E6" w14:textId="3FD5513C" w:rsidR="003B7C53" w:rsidRPr="003F3F2B" w:rsidRDefault="00BE07D1" w:rsidP="003B7C53">
            <w:pPr>
              <w:contextualSpacing/>
              <w:jc w:val="center"/>
              <w:rPr>
                <w:rFonts w:asciiTheme="minorHAnsi" w:eastAsia="Times New Roman" w:hAnsiTheme="minorHAnsi"/>
                <w:color w:val="000000"/>
                <w:szCs w:val="24"/>
              </w:rPr>
            </w:pPr>
            <w:r w:rsidRPr="003F3F2B">
              <w:rPr>
                <w:rFonts w:asciiTheme="minorHAnsi" w:eastAsia="Times New Roman" w:hAnsiTheme="minorHAnsi"/>
                <w:color w:val="000000"/>
                <w:szCs w:val="24"/>
              </w:rPr>
              <w:fldChar w:fldCharType="begin"/>
            </w:r>
            <w:r w:rsidRPr="003F3F2B">
              <w:rPr>
                <w:rFonts w:asciiTheme="minorHAnsi" w:eastAsia="Times New Roman" w:hAnsiTheme="minorHAnsi"/>
                <w:color w:val="000000"/>
                <w:szCs w:val="24"/>
              </w:rPr>
              <w:instrText xml:space="preserve"> =SUM(ABOVE)*100 \# "0.00%" </w:instrText>
            </w:r>
            <w:r w:rsidRPr="003F3F2B">
              <w:rPr>
                <w:rFonts w:asciiTheme="minorHAnsi" w:eastAsia="Times New Roman" w:hAnsiTheme="minorHAnsi"/>
                <w:color w:val="000000"/>
                <w:szCs w:val="24"/>
              </w:rPr>
              <w:fldChar w:fldCharType="separate"/>
            </w:r>
            <w:r w:rsidRPr="003F3F2B">
              <w:rPr>
                <w:rFonts w:asciiTheme="minorHAnsi" w:eastAsia="Times New Roman" w:hAnsiTheme="minorHAnsi"/>
                <w:noProof/>
                <w:color w:val="000000"/>
                <w:szCs w:val="24"/>
              </w:rPr>
              <w:t>100.</w:t>
            </w:r>
            <w:r w:rsidR="00DF07C3">
              <w:rPr>
                <w:rFonts w:asciiTheme="minorHAnsi" w:eastAsia="Times New Roman" w:hAnsiTheme="minorHAnsi"/>
                <w:noProof/>
                <w:color w:val="000000"/>
                <w:szCs w:val="24"/>
              </w:rPr>
              <w:t>0</w:t>
            </w:r>
            <w:r w:rsidRPr="003F3F2B">
              <w:rPr>
                <w:rFonts w:asciiTheme="minorHAnsi" w:eastAsia="Times New Roman" w:hAnsiTheme="minorHAnsi"/>
                <w:noProof/>
                <w:color w:val="000000"/>
                <w:szCs w:val="24"/>
              </w:rPr>
              <w:t>%</w:t>
            </w:r>
            <w:r w:rsidRPr="003F3F2B">
              <w:rPr>
                <w:rFonts w:asciiTheme="minorHAnsi" w:eastAsia="Times New Roman" w:hAnsiTheme="minorHAnsi"/>
                <w:color w:val="000000"/>
                <w:szCs w:val="24"/>
              </w:rPr>
              <w:fldChar w:fldCharType="end"/>
            </w:r>
          </w:p>
        </w:tc>
        <w:tc>
          <w:tcPr>
            <w:tcW w:w="1508" w:type="dxa"/>
          </w:tcPr>
          <w:p w14:paraId="7F57A2A3" w14:textId="56AAEAB1" w:rsidR="003B7C53" w:rsidRPr="003F3F2B" w:rsidRDefault="00BE07D1" w:rsidP="003B7C53">
            <w:pPr>
              <w:contextualSpacing/>
              <w:jc w:val="center"/>
              <w:rPr>
                <w:rFonts w:asciiTheme="minorHAnsi" w:hAnsiTheme="minorHAnsi"/>
                <w:szCs w:val="24"/>
              </w:rPr>
            </w:pPr>
            <w:r w:rsidRPr="003F3F2B">
              <w:rPr>
                <w:rFonts w:asciiTheme="minorHAnsi" w:hAnsiTheme="minorHAnsi"/>
                <w:szCs w:val="24"/>
              </w:rPr>
              <w:fldChar w:fldCharType="begin"/>
            </w:r>
            <w:r w:rsidRPr="003F3F2B">
              <w:rPr>
                <w:rFonts w:asciiTheme="minorHAnsi" w:hAnsiTheme="minorHAnsi"/>
                <w:szCs w:val="24"/>
              </w:rPr>
              <w:instrText xml:space="preserve"> =SUM(ABOVE)*100 \# "0.00%" </w:instrText>
            </w:r>
            <w:r w:rsidRPr="003F3F2B">
              <w:rPr>
                <w:rFonts w:asciiTheme="minorHAnsi" w:hAnsiTheme="minorHAnsi"/>
                <w:szCs w:val="24"/>
              </w:rPr>
              <w:fldChar w:fldCharType="separate"/>
            </w:r>
            <w:r w:rsidRPr="003F3F2B">
              <w:rPr>
                <w:rFonts w:asciiTheme="minorHAnsi" w:hAnsiTheme="minorHAnsi"/>
                <w:noProof/>
                <w:szCs w:val="24"/>
              </w:rPr>
              <w:t>100.0%</w:t>
            </w:r>
            <w:r w:rsidRPr="003F3F2B">
              <w:rPr>
                <w:rFonts w:asciiTheme="minorHAnsi" w:hAnsiTheme="minorHAnsi"/>
                <w:szCs w:val="24"/>
              </w:rPr>
              <w:fldChar w:fldCharType="end"/>
            </w:r>
          </w:p>
        </w:tc>
      </w:tr>
      <w:tr w:rsidR="00BB3BAE" w:rsidRPr="003F3F2B" w14:paraId="4977629D" w14:textId="1E746DBE" w:rsidTr="000F7616">
        <w:trPr>
          <w:cantSplit/>
          <w:trHeight w:val="288"/>
        </w:trPr>
        <w:tc>
          <w:tcPr>
            <w:tcW w:w="2542" w:type="dxa"/>
            <w:shd w:val="clear" w:color="auto" w:fill="F2F2F2" w:themeFill="background1" w:themeFillShade="F2"/>
            <w:noWrap/>
            <w:hideMark/>
          </w:tcPr>
          <w:p w14:paraId="0EE4A6F5" w14:textId="77777777" w:rsidR="00BB3BAE" w:rsidRPr="003F3F2B" w:rsidRDefault="00BB3BAE" w:rsidP="00955DA5">
            <w:pPr>
              <w:contextualSpacing/>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Race &amp; Ethnicity</w:t>
            </w:r>
          </w:p>
        </w:tc>
        <w:tc>
          <w:tcPr>
            <w:tcW w:w="1393" w:type="dxa"/>
            <w:shd w:val="clear" w:color="auto" w:fill="F2F2F2" w:themeFill="background1" w:themeFillShade="F2"/>
            <w:noWrap/>
          </w:tcPr>
          <w:p w14:paraId="48E30D05" w14:textId="77777777" w:rsidR="00BB3BAE" w:rsidRPr="003F3F2B" w:rsidRDefault="00BB3BAE">
            <w:pPr>
              <w:contextualSpacing/>
              <w:jc w:val="center"/>
              <w:rPr>
                <w:rFonts w:asciiTheme="minorHAnsi" w:eastAsia="Times New Roman" w:hAnsiTheme="minorHAnsi"/>
                <w:color w:val="000000"/>
                <w:szCs w:val="24"/>
              </w:rPr>
            </w:pPr>
          </w:p>
        </w:tc>
        <w:tc>
          <w:tcPr>
            <w:tcW w:w="1393" w:type="dxa"/>
            <w:shd w:val="clear" w:color="auto" w:fill="F2F2F2" w:themeFill="background1" w:themeFillShade="F2"/>
          </w:tcPr>
          <w:p w14:paraId="01540BC7" w14:textId="77777777" w:rsidR="00BB3BAE" w:rsidRPr="003F3F2B" w:rsidRDefault="00BB3BAE">
            <w:pPr>
              <w:contextualSpacing/>
              <w:jc w:val="center"/>
              <w:rPr>
                <w:rFonts w:asciiTheme="minorHAnsi" w:eastAsia="Times New Roman" w:hAnsiTheme="minorHAnsi"/>
                <w:color w:val="000000"/>
                <w:szCs w:val="24"/>
              </w:rPr>
            </w:pPr>
          </w:p>
        </w:tc>
        <w:tc>
          <w:tcPr>
            <w:tcW w:w="1508" w:type="dxa"/>
            <w:shd w:val="clear" w:color="auto" w:fill="F2F2F2" w:themeFill="background1" w:themeFillShade="F2"/>
          </w:tcPr>
          <w:p w14:paraId="73A2C93E" w14:textId="77777777" w:rsidR="00BB3BAE" w:rsidRPr="003F3F2B" w:rsidRDefault="00BB3BAE">
            <w:pPr>
              <w:contextualSpacing/>
              <w:jc w:val="center"/>
              <w:rPr>
                <w:rFonts w:asciiTheme="minorHAnsi" w:eastAsia="Times New Roman" w:hAnsiTheme="minorHAnsi"/>
                <w:color w:val="000000"/>
                <w:szCs w:val="24"/>
              </w:rPr>
            </w:pPr>
          </w:p>
        </w:tc>
      </w:tr>
      <w:tr w:rsidR="00E64C92" w:rsidRPr="003F3F2B" w14:paraId="2986B305" w14:textId="300EC13D" w:rsidTr="000F7616">
        <w:trPr>
          <w:cantSplit/>
          <w:trHeight w:val="288"/>
        </w:trPr>
        <w:tc>
          <w:tcPr>
            <w:tcW w:w="2542" w:type="dxa"/>
            <w:noWrap/>
            <w:hideMark/>
          </w:tcPr>
          <w:p w14:paraId="040F0D29" w14:textId="77777777" w:rsidR="00E64C92" w:rsidRPr="003F3F2B" w:rsidRDefault="00E64C92" w:rsidP="00E64C92">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Asian Non-Hispanic or Latino</w:t>
            </w:r>
          </w:p>
        </w:tc>
        <w:tc>
          <w:tcPr>
            <w:tcW w:w="1393" w:type="dxa"/>
            <w:noWrap/>
          </w:tcPr>
          <w:p w14:paraId="6346ADCE" w14:textId="02F4EE32" w:rsidR="00E64C92" w:rsidRPr="003F3F2B" w:rsidRDefault="00E64C92" w:rsidP="00E64C92">
            <w:pPr>
              <w:contextualSpacing/>
              <w:jc w:val="center"/>
              <w:rPr>
                <w:rFonts w:asciiTheme="minorHAnsi" w:eastAsia="Times New Roman" w:hAnsiTheme="minorHAnsi"/>
                <w:color w:val="000000"/>
                <w:szCs w:val="24"/>
              </w:rPr>
            </w:pPr>
            <w:r w:rsidRPr="003F3F2B">
              <w:rPr>
                <w:rFonts w:asciiTheme="minorHAnsi" w:hAnsiTheme="minorHAnsi"/>
                <w:szCs w:val="24"/>
              </w:rPr>
              <w:t>3.1%</w:t>
            </w:r>
          </w:p>
        </w:tc>
        <w:tc>
          <w:tcPr>
            <w:tcW w:w="1393" w:type="dxa"/>
          </w:tcPr>
          <w:p w14:paraId="0570D315" w14:textId="3ED55E48" w:rsidR="00E64C92" w:rsidRPr="003F3F2B" w:rsidRDefault="00E64C92" w:rsidP="00E64C92">
            <w:pPr>
              <w:contextualSpacing/>
              <w:jc w:val="center"/>
              <w:rPr>
                <w:rFonts w:asciiTheme="minorHAnsi" w:hAnsiTheme="minorHAnsi"/>
                <w:color w:val="000000"/>
                <w:szCs w:val="24"/>
              </w:rPr>
            </w:pPr>
            <w:r w:rsidRPr="003F3F2B">
              <w:rPr>
                <w:rFonts w:asciiTheme="minorHAnsi" w:hAnsiTheme="minorHAnsi"/>
                <w:szCs w:val="24"/>
              </w:rPr>
              <w:t>4.1%</w:t>
            </w:r>
          </w:p>
        </w:tc>
        <w:tc>
          <w:tcPr>
            <w:tcW w:w="1508" w:type="dxa"/>
          </w:tcPr>
          <w:p w14:paraId="41181CA6" w14:textId="6E76EC45" w:rsidR="00E64C92" w:rsidRPr="003F3F2B" w:rsidRDefault="00E64C92" w:rsidP="00E64C92">
            <w:pPr>
              <w:contextualSpacing/>
              <w:jc w:val="center"/>
              <w:rPr>
                <w:rFonts w:asciiTheme="minorHAnsi" w:hAnsiTheme="minorHAnsi"/>
                <w:szCs w:val="24"/>
              </w:rPr>
            </w:pPr>
            <w:r w:rsidRPr="003F3F2B">
              <w:rPr>
                <w:rFonts w:asciiTheme="minorHAnsi" w:hAnsiTheme="minorHAnsi"/>
                <w:szCs w:val="24"/>
              </w:rPr>
              <w:t>3.6%</w:t>
            </w:r>
          </w:p>
        </w:tc>
      </w:tr>
      <w:tr w:rsidR="00E64C92" w:rsidRPr="003F3F2B" w14:paraId="76801804" w14:textId="7A4CA70F" w:rsidTr="000F7616">
        <w:trPr>
          <w:cantSplit/>
          <w:trHeight w:val="288"/>
        </w:trPr>
        <w:tc>
          <w:tcPr>
            <w:tcW w:w="2542" w:type="dxa"/>
            <w:noWrap/>
            <w:hideMark/>
          </w:tcPr>
          <w:p w14:paraId="2F8E91F9" w14:textId="77777777" w:rsidR="00E64C92" w:rsidRPr="003F3F2B" w:rsidRDefault="00E64C92" w:rsidP="00E64C92">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Black or African American</w:t>
            </w:r>
          </w:p>
        </w:tc>
        <w:tc>
          <w:tcPr>
            <w:tcW w:w="1393" w:type="dxa"/>
            <w:noWrap/>
          </w:tcPr>
          <w:p w14:paraId="4EB0FA53" w14:textId="0962B7AE" w:rsidR="00E64C92" w:rsidRPr="003F3F2B" w:rsidRDefault="00E64C92" w:rsidP="00E64C92">
            <w:pPr>
              <w:contextualSpacing/>
              <w:jc w:val="center"/>
              <w:rPr>
                <w:rFonts w:asciiTheme="minorHAnsi" w:eastAsia="Times New Roman" w:hAnsiTheme="minorHAnsi"/>
                <w:color w:val="000000"/>
                <w:szCs w:val="24"/>
              </w:rPr>
            </w:pPr>
            <w:r w:rsidRPr="003F3F2B">
              <w:rPr>
                <w:rFonts w:asciiTheme="minorHAnsi" w:hAnsiTheme="minorHAnsi"/>
                <w:szCs w:val="24"/>
              </w:rPr>
              <w:t>3.9%</w:t>
            </w:r>
          </w:p>
        </w:tc>
        <w:tc>
          <w:tcPr>
            <w:tcW w:w="1393" w:type="dxa"/>
          </w:tcPr>
          <w:p w14:paraId="6F732FB8" w14:textId="1A8ECB0C" w:rsidR="00E64C92" w:rsidRPr="003F3F2B" w:rsidRDefault="00E64C92" w:rsidP="00E64C92">
            <w:pPr>
              <w:contextualSpacing/>
              <w:jc w:val="center"/>
              <w:rPr>
                <w:rFonts w:asciiTheme="minorHAnsi" w:hAnsiTheme="minorHAnsi"/>
                <w:color w:val="000000"/>
                <w:szCs w:val="24"/>
              </w:rPr>
            </w:pPr>
            <w:r w:rsidRPr="003F3F2B">
              <w:rPr>
                <w:rFonts w:asciiTheme="minorHAnsi" w:hAnsiTheme="minorHAnsi"/>
                <w:szCs w:val="24"/>
              </w:rPr>
              <w:t>6.3%</w:t>
            </w:r>
          </w:p>
        </w:tc>
        <w:tc>
          <w:tcPr>
            <w:tcW w:w="1508" w:type="dxa"/>
          </w:tcPr>
          <w:p w14:paraId="69B1DBD0" w14:textId="63531477" w:rsidR="00E64C92" w:rsidRPr="003F3F2B" w:rsidRDefault="00E64C92" w:rsidP="00E64C92">
            <w:pPr>
              <w:contextualSpacing/>
              <w:jc w:val="center"/>
              <w:rPr>
                <w:rFonts w:asciiTheme="minorHAnsi" w:hAnsiTheme="minorHAnsi"/>
                <w:szCs w:val="24"/>
              </w:rPr>
            </w:pPr>
            <w:r w:rsidRPr="003F3F2B">
              <w:rPr>
                <w:rFonts w:asciiTheme="minorHAnsi" w:hAnsiTheme="minorHAnsi"/>
                <w:szCs w:val="24"/>
              </w:rPr>
              <w:t>4.3%</w:t>
            </w:r>
          </w:p>
        </w:tc>
      </w:tr>
      <w:tr w:rsidR="00E64C92" w:rsidRPr="003F3F2B" w14:paraId="7961DC08" w14:textId="02DEAA9C" w:rsidTr="000F7616">
        <w:trPr>
          <w:cantSplit/>
          <w:trHeight w:val="288"/>
        </w:trPr>
        <w:tc>
          <w:tcPr>
            <w:tcW w:w="2542" w:type="dxa"/>
            <w:noWrap/>
            <w:hideMark/>
          </w:tcPr>
          <w:p w14:paraId="2B2657CD" w14:textId="77777777" w:rsidR="00E64C92" w:rsidRPr="003F3F2B" w:rsidRDefault="00E64C92" w:rsidP="00E64C92">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Hispanic or Latino</w:t>
            </w:r>
          </w:p>
        </w:tc>
        <w:tc>
          <w:tcPr>
            <w:tcW w:w="1393" w:type="dxa"/>
            <w:noWrap/>
          </w:tcPr>
          <w:p w14:paraId="063D513A" w14:textId="2B2D3494" w:rsidR="00E64C92" w:rsidRPr="003F3F2B" w:rsidRDefault="00E64C92" w:rsidP="00E64C92">
            <w:pPr>
              <w:contextualSpacing/>
              <w:jc w:val="center"/>
              <w:rPr>
                <w:rFonts w:asciiTheme="minorHAnsi" w:eastAsia="Times New Roman" w:hAnsiTheme="minorHAnsi"/>
                <w:color w:val="000000"/>
                <w:szCs w:val="24"/>
              </w:rPr>
            </w:pPr>
            <w:r w:rsidRPr="003F3F2B">
              <w:rPr>
                <w:rFonts w:asciiTheme="minorHAnsi" w:hAnsiTheme="minorHAnsi"/>
                <w:szCs w:val="24"/>
              </w:rPr>
              <w:t>6.0%</w:t>
            </w:r>
          </w:p>
        </w:tc>
        <w:tc>
          <w:tcPr>
            <w:tcW w:w="1393" w:type="dxa"/>
          </w:tcPr>
          <w:p w14:paraId="367012DF" w14:textId="75FA6476" w:rsidR="00E64C92" w:rsidRPr="003F3F2B" w:rsidRDefault="00E64C92" w:rsidP="00E64C92">
            <w:pPr>
              <w:contextualSpacing/>
              <w:jc w:val="center"/>
              <w:rPr>
                <w:rFonts w:asciiTheme="minorHAnsi" w:hAnsiTheme="minorHAnsi"/>
                <w:color w:val="000000"/>
                <w:szCs w:val="24"/>
              </w:rPr>
            </w:pPr>
            <w:r w:rsidRPr="003F3F2B">
              <w:rPr>
                <w:rFonts w:asciiTheme="minorHAnsi" w:hAnsiTheme="minorHAnsi"/>
                <w:szCs w:val="24"/>
              </w:rPr>
              <w:t>5.</w:t>
            </w:r>
            <w:r w:rsidR="000D6EA6">
              <w:rPr>
                <w:rFonts w:asciiTheme="minorHAnsi" w:hAnsiTheme="minorHAnsi"/>
                <w:szCs w:val="24"/>
              </w:rPr>
              <w:t>6</w:t>
            </w:r>
            <w:r w:rsidRPr="003F3F2B">
              <w:rPr>
                <w:rFonts w:asciiTheme="minorHAnsi" w:hAnsiTheme="minorHAnsi"/>
                <w:szCs w:val="24"/>
              </w:rPr>
              <w:t>%</w:t>
            </w:r>
          </w:p>
        </w:tc>
        <w:tc>
          <w:tcPr>
            <w:tcW w:w="1508" w:type="dxa"/>
          </w:tcPr>
          <w:p w14:paraId="3343CF2E" w14:textId="05450DBF" w:rsidR="00E64C92" w:rsidRPr="003F3F2B" w:rsidRDefault="00E64C92" w:rsidP="00E64C92">
            <w:pPr>
              <w:contextualSpacing/>
              <w:jc w:val="center"/>
              <w:rPr>
                <w:rFonts w:asciiTheme="minorHAnsi" w:hAnsiTheme="minorHAnsi"/>
                <w:szCs w:val="24"/>
              </w:rPr>
            </w:pPr>
            <w:r w:rsidRPr="003F3F2B">
              <w:rPr>
                <w:rFonts w:asciiTheme="minorHAnsi" w:hAnsiTheme="minorHAnsi"/>
                <w:szCs w:val="24"/>
              </w:rPr>
              <w:t>4.7%</w:t>
            </w:r>
          </w:p>
        </w:tc>
      </w:tr>
      <w:tr w:rsidR="00E64C92" w:rsidRPr="003F3F2B" w14:paraId="6400D979" w14:textId="6FD96FC8" w:rsidTr="000F7616">
        <w:trPr>
          <w:cantSplit/>
          <w:trHeight w:val="288"/>
        </w:trPr>
        <w:tc>
          <w:tcPr>
            <w:tcW w:w="2542" w:type="dxa"/>
            <w:noWrap/>
            <w:hideMark/>
          </w:tcPr>
          <w:p w14:paraId="3A43276D" w14:textId="77777777" w:rsidR="00E64C92" w:rsidRPr="003F3F2B" w:rsidRDefault="00E64C92" w:rsidP="00E64C92">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Multiracial, non-Hispanic</w:t>
            </w:r>
          </w:p>
        </w:tc>
        <w:tc>
          <w:tcPr>
            <w:tcW w:w="1393" w:type="dxa"/>
            <w:noWrap/>
          </w:tcPr>
          <w:p w14:paraId="4DFFA8F0" w14:textId="0046DC3D" w:rsidR="00E64C92" w:rsidRPr="003F3F2B" w:rsidRDefault="00E64C92" w:rsidP="00E64C92">
            <w:pPr>
              <w:contextualSpacing/>
              <w:jc w:val="center"/>
              <w:rPr>
                <w:rFonts w:asciiTheme="minorHAnsi" w:eastAsia="Times New Roman" w:hAnsiTheme="minorHAnsi"/>
                <w:color w:val="000000"/>
                <w:szCs w:val="24"/>
              </w:rPr>
            </w:pPr>
            <w:r w:rsidRPr="003F3F2B">
              <w:rPr>
                <w:rFonts w:asciiTheme="minorHAnsi" w:hAnsiTheme="minorHAnsi"/>
                <w:szCs w:val="24"/>
              </w:rPr>
              <w:t>1.4%</w:t>
            </w:r>
          </w:p>
        </w:tc>
        <w:tc>
          <w:tcPr>
            <w:tcW w:w="1393" w:type="dxa"/>
          </w:tcPr>
          <w:p w14:paraId="15A833C7" w14:textId="532D338F" w:rsidR="00E64C92" w:rsidRPr="003F3F2B" w:rsidRDefault="00E64C92" w:rsidP="00E64C92">
            <w:pPr>
              <w:contextualSpacing/>
              <w:jc w:val="center"/>
              <w:rPr>
                <w:rFonts w:asciiTheme="minorHAnsi" w:hAnsiTheme="minorHAnsi"/>
                <w:color w:val="000000"/>
                <w:szCs w:val="24"/>
              </w:rPr>
            </w:pPr>
            <w:r w:rsidRPr="003F3F2B">
              <w:rPr>
                <w:rFonts w:asciiTheme="minorHAnsi" w:hAnsiTheme="minorHAnsi"/>
                <w:szCs w:val="24"/>
              </w:rPr>
              <w:t>1.4%</w:t>
            </w:r>
          </w:p>
        </w:tc>
        <w:tc>
          <w:tcPr>
            <w:tcW w:w="1508" w:type="dxa"/>
          </w:tcPr>
          <w:p w14:paraId="03A22CD8" w14:textId="452D1D2C" w:rsidR="00E64C92" w:rsidRPr="003F3F2B" w:rsidRDefault="00E64C92" w:rsidP="00E64C92">
            <w:pPr>
              <w:contextualSpacing/>
              <w:jc w:val="center"/>
              <w:rPr>
                <w:rFonts w:asciiTheme="minorHAnsi" w:hAnsiTheme="minorHAnsi"/>
                <w:szCs w:val="24"/>
              </w:rPr>
            </w:pPr>
            <w:r w:rsidRPr="003F3F2B">
              <w:rPr>
                <w:rFonts w:asciiTheme="minorHAnsi" w:hAnsiTheme="minorHAnsi"/>
                <w:szCs w:val="24"/>
              </w:rPr>
              <w:t>1.5%</w:t>
            </w:r>
          </w:p>
        </w:tc>
      </w:tr>
      <w:tr w:rsidR="00E64C92" w:rsidRPr="003F3F2B" w14:paraId="684D8C9D" w14:textId="22CD4CD8" w:rsidTr="000F7616">
        <w:trPr>
          <w:cantSplit/>
          <w:trHeight w:val="288"/>
        </w:trPr>
        <w:tc>
          <w:tcPr>
            <w:tcW w:w="2542" w:type="dxa"/>
            <w:noWrap/>
            <w:hideMark/>
          </w:tcPr>
          <w:p w14:paraId="0FA3F271" w14:textId="09B48F04" w:rsidR="00E64C92" w:rsidRPr="003F3F2B" w:rsidRDefault="00AC1A1F" w:rsidP="00E64C92">
            <w:pPr>
              <w:ind w:left="144"/>
              <w:contextualSpacing/>
              <w:rPr>
                <w:rFonts w:asciiTheme="minorHAnsi" w:eastAsia="Times New Roman" w:hAnsiTheme="minorHAnsi"/>
                <w:color w:val="000000"/>
                <w:szCs w:val="24"/>
              </w:rPr>
            </w:pPr>
            <w:r>
              <w:rPr>
                <w:rFonts w:asciiTheme="minorHAnsi" w:eastAsia="Times New Roman" w:hAnsiTheme="minorHAnsi"/>
                <w:color w:val="000000"/>
                <w:szCs w:val="24"/>
              </w:rPr>
              <w:t>Null</w:t>
            </w:r>
            <w:r w:rsidR="00E64C92" w:rsidRPr="003F3F2B">
              <w:rPr>
                <w:rFonts w:asciiTheme="minorHAnsi" w:eastAsia="Times New Roman" w:hAnsiTheme="minorHAnsi"/>
                <w:color w:val="000000"/>
                <w:szCs w:val="24"/>
              </w:rPr>
              <w:t xml:space="preserve"> &amp; Other</w:t>
            </w:r>
            <w:r w:rsidR="002C2E24">
              <w:rPr>
                <w:rStyle w:val="FootnoteReference"/>
                <w:rFonts w:asciiTheme="minorHAnsi" w:eastAsia="Times New Roman" w:hAnsiTheme="minorHAnsi"/>
                <w:color w:val="000000"/>
                <w:szCs w:val="24"/>
              </w:rPr>
              <w:footnoteReference w:id="12"/>
            </w:r>
          </w:p>
        </w:tc>
        <w:tc>
          <w:tcPr>
            <w:tcW w:w="1393" w:type="dxa"/>
            <w:noWrap/>
          </w:tcPr>
          <w:p w14:paraId="35D93185" w14:textId="397BC985" w:rsidR="00E64C92" w:rsidRPr="003F3F2B" w:rsidRDefault="00E64C92" w:rsidP="00E64C92">
            <w:pPr>
              <w:contextualSpacing/>
              <w:jc w:val="center"/>
              <w:rPr>
                <w:rFonts w:asciiTheme="minorHAnsi" w:eastAsia="Times New Roman" w:hAnsiTheme="minorHAnsi"/>
                <w:color w:val="000000"/>
                <w:szCs w:val="24"/>
              </w:rPr>
            </w:pPr>
            <w:r w:rsidRPr="003F3F2B">
              <w:rPr>
                <w:rFonts w:asciiTheme="minorHAnsi" w:hAnsiTheme="minorHAnsi"/>
                <w:szCs w:val="24"/>
              </w:rPr>
              <w:t>10.2%</w:t>
            </w:r>
          </w:p>
        </w:tc>
        <w:tc>
          <w:tcPr>
            <w:tcW w:w="1393" w:type="dxa"/>
          </w:tcPr>
          <w:p w14:paraId="54897327" w14:textId="081FC87F" w:rsidR="00E64C92" w:rsidRPr="003F3F2B" w:rsidRDefault="00E64C92" w:rsidP="00E64C92">
            <w:pPr>
              <w:contextualSpacing/>
              <w:jc w:val="center"/>
              <w:rPr>
                <w:rFonts w:asciiTheme="minorHAnsi" w:hAnsiTheme="minorHAnsi"/>
                <w:color w:val="000000"/>
                <w:szCs w:val="24"/>
              </w:rPr>
            </w:pPr>
            <w:r w:rsidRPr="003F3F2B">
              <w:rPr>
                <w:rFonts w:asciiTheme="minorHAnsi" w:hAnsiTheme="minorHAnsi"/>
                <w:szCs w:val="24"/>
              </w:rPr>
              <w:t>5.5%</w:t>
            </w:r>
          </w:p>
        </w:tc>
        <w:tc>
          <w:tcPr>
            <w:tcW w:w="1508" w:type="dxa"/>
          </w:tcPr>
          <w:p w14:paraId="3909C6BF" w14:textId="6EC4F115" w:rsidR="00E64C92" w:rsidRPr="003F3F2B" w:rsidRDefault="00E64C92" w:rsidP="00E64C92">
            <w:pPr>
              <w:contextualSpacing/>
              <w:jc w:val="center"/>
              <w:rPr>
                <w:rFonts w:asciiTheme="minorHAnsi" w:hAnsiTheme="minorHAnsi"/>
                <w:szCs w:val="24"/>
              </w:rPr>
            </w:pPr>
            <w:r w:rsidRPr="003F3F2B">
              <w:rPr>
                <w:rFonts w:asciiTheme="minorHAnsi" w:hAnsiTheme="minorHAnsi"/>
                <w:szCs w:val="24"/>
              </w:rPr>
              <w:t>9.2%</w:t>
            </w:r>
          </w:p>
        </w:tc>
      </w:tr>
      <w:tr w:rsidR="00E64C92" w:rsidRPr="003F3F2B" w14:paraId="4FBC1B47" w14:textId="7D646470" w:rsidTr="000F7616">
        <w:trPr>
          <w:cantSplit/>
          <w:trHeight w:val="288"/>
        </w:trPr>
        <w:tc>
          <w:tcPr>
            <w:tcW w:w="2542" w:type="dxa"/>
            <w:noWrap/>
            <w:hideMark/>
          </w:tcPr>
          <w:p w14:paraId="02183FF3" w14:textId="77777777" w:rsidR="00E64C92" w:rsidRPr="003F3F2B" w:rsidRDefault="00E64C92" w:rsidP="00E64C92">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White or Caucasian Non-Hispanic or Latino</w:t>
            </w:r>
          </w:p>
        </w:tc>
        <w:tc>
          <w:tcPr>
            <w:tcW w:w="1393" w:type="dxa"/>
            <w:noWrap/>
          </w:tcPr>
          <w:p w14:paraId="602A3EE7" w14:textId="5CEEBBBC" w:rsidR="00E64C92" w:rsidRPr="003F3F2B" w:rsidRDefault="00E64C92" w:rsidP="00E64C92">
            <w:pPr>
              <w:contextualSpacing/>
              <w:jc w:val="center"/>
              <w:rPr>
                <w:rFonts w:asciiTheme="minorHAnsi" w:eastAsia="Times New Roman" w:hAnsiTheme="minorHAnsi"/>
                <w:color w:val="000000"/>
                <w:szCs w:val="24"/>
              </w:rPr>
            </w:pPr>
            <w:r w:rsidRPr="003F3F2B">
              <w:rPr>
                <w:rFonts w:asciiTheme="minorHAnsi" w:hAnsiTheme="minorHAnsi"/>
                <w:szCs w:val="24"/>
              </w:rPr>
              <w:t>75.4%</w:t>
            </w:r>
          </w:p>
        </w:tc>
        <w:tc>
          <w:tcPr>
            <w:tcW w:w="1393" w:type="dxa"/>
          </w:tcPr>
          <w:p w14:paraId="39085467" w14:textId="465B77EB" w:rsidR="00E64C92" w:rsidRPr="003F3F2B" w:rsidRDefault="00E64C92" w:rsidP="00E64C92">
            <w:pPr>
              <w:contextualSpacing/>
              <w:jc w:val="center"/>
              <w:rPr>
                <w:rFonts w:asciiTheme="minorHAnsi" w:hAnsiTheme="minorHAnsi"/>
                <w:color w:val="000000"/>
                <w:szCs w:val="24"/>
              </w:rPr>
            </w:pPr>
            <w:r w:rsidRPr="003F3F2B">
              <w:rPr>
                <w:rFonts w:asciiTheme="minorHAnsi" w:hAnsiTheme="minorHAnsi"/>
                <w:szCs w:val="24"/>
              </w:rPr>
              <w:t>77.3%</w:t>
            </w:r>
          </w:p>
        </w:tc>
        <w:tc>
          <w:tcPr>
            <w:tcW w:w="1508" w:type="dxa"/>
          </w:tcPr>
          <w:p w14:paraId="0F6E2669" w14:textId="14619324" w:rsidR="00E64C92" w:rsidRPr="003F3F2B" w:rsidRDefault="00E64C92" w:rsidP="00E64C92">
            <w:pPr>
              <w:contextualSpacing/>
              <w:jc w:val="center"/>
              <w:rPr>
                <w:rFonts w:asciiTheme="minorHAnsi" w:hAnsiTheme="minorHAnsi"/>
                <w:szCs w:val="24"/>
              </w:rPr>
            </w:pPr>
            <w:r w:rsidRPr="003F3F2B">
              <w:rPr>
                <w:rFonts w:asciiTheme="minorHAnsi" w:hAnsiTheme="minorHAnsi"/>
                <w:szCs w:val="24"/>
              </w:rPr>
              <w:t>76.8%</w:t>
            </w:r>
          </w:p>
        </w:tc>
      </w:tr>
      <w:tr w:rsidR="00E64C92" w:rsidRPr="003F3F2B" w14:paraId="073ABF2E" w14:textId="293A8996" w:rsidTr="000F7616">
        <w:trPr>
          <w:cantSplit/>
          <w:trHeight w:val="288"/>
        </w:trPr>
        <w:tc>
          <w:tcPr>
            <w:tcW w:w="2542" w:type="dxa"/>
            <w:noWrap/>
          </w:tcPr>
          <w:p w14:paraId="7323D4D0" w14:textId="35F2FFD3" w:rsidR="00E64C92" w:rsidRPr="003F3F2B" w:rsidRDefault="00E64C92" w:rsidP="00E64C92">
            <w:pPr>
              <w:contextualSpacing/>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Total</w:t>
            </w:r>
          </w:p>
        </w:tc>
        <w:tc>
          <w:tcPr>
            <w:tcW w:w="1393" w:type="dxa"/>
            <w:noWrap/>
          </w:tcPr>
          <w:p w14:paraId="0F45E3A4" w14:textId="21ECECBE" w:rsidR="00E64C92" w:rsidRPr="003F3F2B" w:rsidRDefault="00BE07D1" w:rsidP="09B908E4">
            <w:pPr>
              <w:contextualSpacing/>
              <w:jc w:val="center"/>
              <w:rPr>
                <w:rFonts w:asciiTheme="minorHAnsi" w:eastAsia="Times New Roman" w:hAnsiTheme="minorHAnsi"/>
                <w:color w:val="000000"/>
              </w:rPr>
            </w:pPr>
            <w:r w:rsidRPr="09B908E4">
              <w:rPr>
                <w:rFonts w:asciiTheme="minorHAnsi" w:eastAsia="Times New Roman" w:hAnsiTheme="minorHAnsi"/>
                <w:color w:val="000000" w:themeColor="text1"/>
              </w:rPr>
              <w:fldChar w:fldCharType="begin"/>
            </w:r>
            <w:r w:rsidRPr="09B908E4">
              <w:rPr>
                <w:rFonts w:asciiTheme="minorHAnsi" w:eastAsia="Times New Roman" w:hAnsiTheme="minorHAnsi"/>
                <w:color w:val="000000" w:themeColor="text1"/>
              </w:rPr>
              <w:instrText xml:space="preserve"> =SUM(ABOVE)*100 \# "0.00%" </w:instrText>
            </w:r>
            <w:r w:rsidRPr="09B908E4">
              <w:rPr>
                <w:rFonts w:asciiTheme="minorHAnsi" w:eastAsia="Times New Roman" w:hAnsiTheme="minorHAnsi"/>
                <w:color w:val="000000" w:themeColor="text1"/>
              </w:rPr>
              <w:fldChar w:fldCharType="separate"/>
            </w:r>
            <w:r w:rsidR="28B0D1BB" w:rsidRPr="09B908E4">
              <w:rPr>
                <w:rFonts w:asciiTheme="minorHAnsi" w:eastAsia="Times New Roman" w:hAnsiTheme="minorHAnsi"/>
                <w:noProof/>
                <w:color w:val="000000" w:themeColor="text1"/>
              </w:rPr>
              <w:t>100.0%</w:t>
            </w:r>
            <w:r w:rsidRPr="09B908E4">
              <w:rPr>
                <w:rFonts w:asciiTheme="minorHAnsi" w:eastAsia="Times New Roman" w:hAnsiTheme="minorHAnsi"/>
                <w:color w:val="000000" w:themeColor="text1"/>
              </w:rPr>
              <w:fldChar w:fldCharType="end"/>
            </w:r>
          </w:p>
        </w:tc>
        <w:tc>
          <w:tcPr>
            <w:tcW w:w="1393" w:type="dxa"/>
          </w:tcPr>
          <w:p w14:paraId="4A6DE61C" w14:textId="464D0889" w:rsidR="00E64C92" w:rsidRPr="003F3F2B" w:rsidRDefault="00BE07D1" w:rsidP="00E64C92">
            <w:pPr>
              <w:contextualSpacing/>
              <w:jc w:val="center"/>
              <w:rPr>
                <w:rFonts w:asciiTheme="minorHAnsi" w:eastAsia="Times New Roman" w:hAnsiTheme="minorHAnsi"/>
                <w:color w:val="000000"/>
                <w:szCs w:val="24"/>
              </w:rPr>
            </w:pPr>
            <w:r w:rsidRPr="003F3F2B">
              <w:rPr>
                <w:rFonts w:asciiTheme="minorHAnsi" w:eastAsia="Times New Roman" w:hAnsiTheme="minorHAnsi"/>
                <w:color w:val="000000"/>
                <w:szCs w:val="24"/>
              </w:rPr>
              <w:fldChar w:fldCharType="begin"/>
            </w:r>
            <w:r w:rsidRPr="003F3F2B">
              <w:rPr>
                <w:rFonts w:asciiTheme="minorHAnsi" w:eastAsia="Times New Roman" w:hAnsiTheme="minorHAnsi"/>
                <w:color w:val="000000"/>
                <w:szCs w:val="24"/>
              </w:rPr>
              <w:instrText xml:space="preserve"> =SUM(ABOVE)*100 \# "0.00%" </w:instrText>
            </w:r>
            <w:r w:rsidRPr="003F3F2B">
              <w:rPr>
                <w:rFonts w:asciiTheme="minorHAnsi" w:eastAsia="Times New Roman" w:hAnsiTheme="minorHAnsi"/>
                <w:color w:val="000000"/>
                <w:szCs w:val="24"/>
              </w:rPr>
              <w:fldChar w:fldCharType="separate"/>
            </w:r>
            <w:r w:rsidRPr="003F3F2B">
              <w:rPr>
                <w:rFonts w:asciiTheme="minorHAnsi" w:eastAsia="Times New Roman" w:hAnsiTheme="minorHAnsi"/>
                <w:noProof/>
                <w:color w:val="000000"/>
                <w:szCs w:val="24"/>
              </w:rPr>
              <w:t>100.</w:t>
            </w:r>
            <w:r w:rsidR="00130706">
              <w:rPr>
                <w:rFonts w:asciiTheme="minorHAnsi" w:eastAsia="Times New Roman" w:hAnsiTheme="minorHAnsi"/>
                <w:noProof/>
                <w:color w:val="000000"/>
                <w:szCs w:val="24"/>
              </w:rPr>
              <w:t>0</w:t>
            </w:r>
            <w:r w:rsidRPr="003F3F2B">
              <w:rPr>
                <w:rFonts w:asciiTheme="minorHAnsi" w:eastAsia="Times New Roman" w:hAnsiTheme="minorHAnsi"/>
                <w:noProof/>
                <w:color w:val="000000"/>
                <w:szCs w:val="24"/>
              </w:rPr>
              <w:t>%</w:t>
            </w:r>
            <w:r w:rsidRPr="003F3F2B">
              <w:rPr>
                <w:rFonts w:asciiTheme="minorHAnsi" w:eastAsia="Times New Roman" w:hAnsiTheme="minorHAnsi"/>
                <w:color w:val="000000"/>
                <w:szCs w:val="24"/>
              </w:rPr>
              <w:fldChar w:fldCharType="end"/>
            </w:r>
          </w:p>
        </w:tc>
        <w:tc>
          <w:tcPr>
            <w:tcW w:w="1508" w:type="dxa"/>
          </w:tcPr>
          <w:p w14:paraId="45BD192E" w14:textId="144D432B" w:rsidR="00E64C92" w:rsidRPr="003F3F2B" w:rsidRDefault="00BE07D1" w:rsidP="09B908E4">
            <w:pPr>
              <w:contextualSpacing/>
              <w:jc w:val="center"/>
              <w:rPr>
                <w:rFonts w:asciiTheme="minorHAnsi" w:hAnsiTheme="minorHAnsi"/>
              </w:rPr>
            </w:pPr>
            <w:r w:rsidRPr="09B908E4">
              <w:rPr>
                <w:rFonts w:asciiTheme="minorHAnsi" w:hAnsiTheme="minorHAnsi"/>
              </w:rPr>
              <w:fldChar w:fldCharType="begin"/>
            </w:r>
            <w:r w:rsidRPr="09B908E4">
              <w:rPr>
                <w:rFonts w:asciiTheme="minorHAnsi" w:hAnsiTheme="minorHAnsi"/>
              </w:rPr>
              <w:instrText xml:space="preserve"> =SUM(ABOVE)*100 \# "0.00%" </w:instrText>
            </w:r>
            <w:r w:rsidRPr="09B908E4">
              <w:rPr>
                <w:rFonts w:asciiTheme="minorHAnsi" w:hAnsiTheme="minorHAnsi"/>
              </w:rPr>
              <w:fldChar w:fldCharType="separate"/>
            </w:r>
            <w:r w:rsidR="28B0D1BB" w:rsidRPr="09B908E4">
              <w:rPr>
                <w:rFonts w:asciiTheme="minorHAnsi" w:hAnsiTheme="minorHAnsi"/>
                <w:noProof/>
              </w:rPr>
              <w:t>100.</w:t>
            </w:r>
            <w:r w:rsidR="00703B95">
              <w:rPr>
                <w:rFonts w:asciiTheme="minorHAnsi" w:hAnsiTheme="minorHAnsi"/>
                <w:noProof/>
              </w:rPr>
              <w:t>0</w:t>
            </w:r>
            <w:r w:rsidR="28B0D1BB" w:rsidRPr="09B908E4">
              <w:rPr>
                <w:rFonts w:asciiTheme="minorHAnsi" w:hAnsiTheme="minorHAnsi"/>
                <w:noProof/>
              </w:rPr>
              <w:t>%</w:t>
            </w:r>
            <w:r w:rsidRPr="09B908E4">
              <w:rPr>
                <w:rFonts w:asciiTheme="minorHAnsi" w:hAnsiTheme="minorHAnsi"/>
              </w:rPr>
              <w:fldChar w:fldCharType="end"/>
            </w:r>
          </w:p>
        </w:tc>
      </w:tr>
      <w:tr w:rsidR="00BB3BAE" w:rsidRPr="003F3F2B" w14:paraId="2F32FAAF" w14:textId="451F81DB" w:rsidTr="000F7616">
        <w:trPr>
          <w:cantSplit/>
          <w:trHeight w:val="288"/>
        </w:trPr>
        <w:tc>
          <w:tcPr>
            <w:tcW w:w="2542" w:type="dxa"/>
            <w:shd w:val="clear" w:color="auto" w:fill="F2F2F2" w:themeFill="background1" w:themeFillShade="F2"/>
            <w:noWrap/>
            <w:hideMark/>
          </w:tcPr>
          <w:p w14:paraId="7E6F5A31" w14:textId="77777777" w:rsidR="00BB3BAE" w:rsidRPr="003F3F2B" w:rsidRDefault="00BB3BAE" w:rsidP="00955DA5">
            <w:pPr>
              <w:contextualSpacing/>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Age</w:t>
            </w:r>
            <w:r w:rsidRPr="003F3F2B">
              <w:rPr>
                <w:rStyle w:val="FootnoteReference"/>
                <w:rFonts w:asciiTheme="minorHAnsi" w:eastAsia="Times New Roman" w:hAnsiTheme="minorHAnsi"/>
                <w:b/>
                <w:bCs/>
                <w:color w:val="000000"/>
                <w:szCs w:val="24"/>
              </w:rPr>
              <w:footnoteReference w:id="13"/>
            </w:r>
          </w:p>
        </w:tc>
        <w:tc>
          <w:tcPr>
            <w:tcW w:w="1393" w:type="dxa"/>
            <w:shd w:val="clear" w:color="auto" w:fill="F2F2F2" w:themeFill="background1" w:themeFillShade="F2"/>
            <w:noWrap/>
          </w:tcPr>
          <w:p w14:paraId="676BD764" w14:textId="77777777" w:rsidR="00BB3BAE" w:rsidRPr="003F3F2B" w:rsidRDefault="00BB3BAE">
            <w:pPr>
              <w:contextualSpacing/>
              <w:jc w:val="center"/>
              <w:rPr>
                <w:rFonts w:asciiTheme="minorHAnsi" w:eastAsia="Times New Roman" w:hAnsiTheme="minorHAnsi"/>
                <w:color w:val="000000"/>
                <w:szCs w:val="24"/>
              </w:rPr>
            </w:pPr>
          </w:p>
        </w:tc>
        <w:tc>
          <w:tcPr>
            <w:tcW w:w="1393" w:type="dxa"/>
            <w:shd w:val="clear" w:color="auto" w:fill="F2F2F2" w:themeFill="background1" w:themeFillShade="F2"/>
          </w:tcPr>
          <w:p w14:paraId="4E4D430A" w14:textId="77777777" w:rsidR="00BB3BAE" w:rsidRPr="003F3F2B" w:rsidRDefault="00BB3BAE">
            <w:pPr>
              <w:contextualSpacing/>
              <w:jc w:val="center"/>
              <w:rPr>
                <w:rFonts w:asciiTheme="minorHAnsi" w:eastAsia="Times New Roman" w:hAnsiTheme="minorHAnsi"/>
                <w:color w:val="000000"/>
                <w:szCs w:val="24"/>
              </w:rPr>
            </w:pPr>
          </w:p>
        </w:tc>
        <w:tc>
          <w:tcPr>
            <w:tcW w:w="1508" w:type="dxa"/>
            <w:shd w:val="clear" w:color="auto" w:fill="F2F2F2" w:themeFill="background1" w:themeFillShade="F2"/>
          </w:tcPr>
          <w:p w14:paraId="64C5985B" w14:textId="77777777" w:rsidR="00BB3BAE" w:rsidRPr="003F3F2B" w:rsidRDefault="00BB3BAE">
            <w:pPr>
              <w:contextualSpacing/>
              <w:jc w:val="center"/>
              <w:rPr>
                <w:rFonts w:asciiTheme="minorHAnsi" w:eastAsia="Times New Roman" w:hAnsiTheme="minorHAnsi"/>
                <w:color w:val="000000"/>
                <w:szCs w:val="24"/>
              </w:rPr>
            </w:pPr>
          </w:p>
        </w:tc>
      </w:tr>
      <w:tr w:rsidR="00791FCC" w:rsidRPr="003F3F2B" w14:paraId="4586E05D" w14:textId="132950C9" w:rsidTr="000F7616">
        <w:trPr>
          <w:cantSplit/>
          <w:trHeight w:val="288"/>
        </w:trPr>
        <w:tc>
          <w:tcPr>
            <w:tcW w:w="2542" w:type="dxa"/>
            <w:noWrap/>
          </w:tcPr>
          <w:p w14:paraId="51C7DFDE" w14:textId="77777777" w:rsidR="00791FCC" w:rsidRPr="003F3F2B" w:rsidRDefault="00791FCC" w:rsidP="00791FCC">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0-18</w:t>
            </w:r>
            <w:r w:rsidRPr="003F3F2B">
              <w:rPr>
                <w:rStyle w:val="FootnoteReference"/>
                <w:rFonts w:asciiTheme="minorHAnsi" w:eastAsia="Times New Roman" w:hAnsiTheme="minorHAnsi"/>
                <w:color w:val="000000"/>
                <w:szCs w:val="24"/>
              </w:rPr>
              <w:footnoteReference w:id="14"/>
            </w:r>
          </w:p>
        </w:tc>
        <w:tc>
          <w:tcPr>
            <w:tcW w:w="1393" w:type="dxa"/>
            <w:noWrap/>
          </w:tcPr>
          <w:p w14:paraId="1863BE43" w14:textId="6B1D2AE7" w:rsidR="00791FCC" w:rsidRPr="003F3F2B" w:rsidRDefault="00791FCC" w:rsidP="00791FCC">
            <w:pPr>
              <w:contextualSpacing/>
              <w:jc w:val="center"/>
              <w:rPr>
                <w:rFonts w:asciiTheme="minorHAnsi" w:hAnsiTheme="minorHAnsi"/>
                <w:color w:val="000000"/>
                <w:szCs w:val="24"/>
              </w:rPr>
            </w:pPr>
            <w:r w:rsidRPr="003F3F2B">
              <w:rPr>
                <w:rFonts w:asciiTheme="minorHAnsi" w:hAnsiTheme="minorHAnsi"/>
                <w:szCs w:val="24"/>
              </w:rPr>
              <w:t>0.1%</w:t>
            </w:r>
          </w:p>
        </w:tc>
        <w:tc>
          <w:tcPr>
            <w:tcW w:w="1393" w:type="dxa"/>
          </w:tcPr>
          <w:p w14:paraId="12D89ADA" w14:textId="77FABE9D" w:rsidR="00791FCC" w:rsidRPr="003F3F2B" w:rsidRDefault="00791FCC" w:rsidP="00791FCC">
            <w:pPr>
              <w:contextualSpacing/>
              <w:jc w:val="center"/>
              <w:rPr>
                <w:rFonts w:asciiTheme="minorHAnsi" w:hAnsiTheme="minorHAnsi"/>
                <w:color w:val="000000"/>
                <w:szCs w:val="24"/>
              </w:rPr>
            </w:pPr>
            <w:r w:rsidRPr="003F3F2B">
              <w:rPr>
                <w:rFonts w:asciiTheme="minorHAnsi" w:hAnsiTheme="minorHAnsi"/>
                <w:szCs w:val="24"/>
              </w:rPr>
              <w:t>0.2%</w:t>
            </w:r>
          </w:p>
        </w:tc>
        <w:tc>
          <w:tcPr>
            <w:tcW w:w="1508" w:type="dxa"/>
          </w:tcPr>
          <w:p w14:paraId="330CE592" w14:textId="61985F18" w:rsidR="00791FCC" w:rsidRPr="003F3F2B" w:rsidRDefault="00791FCC" w:rsidP="00791FCC">
            <w:pPr>
              <w:contextualSpacing/>
              <w:jc w:val="center"/>
              <w:rPr>
                <w:rFonts w:asciiTheme="minorHAnsi" w:hAnsiTheme="minorHAnsi"/>
                <w:szCs w:val="24"/>
              </w:rPr>
            </w:pPr>
            <w:r w:rsidRPr="003F3F2B">
              <w:rPr>
                <w:rFonts w:asciiTheme="minorHAnsi" w:hAnsiTheme="minorHAnsi"/>
                <w:szCs w:val="24"/>
              </w:rPr>
              <w:t>0.1%</w:t>
            </w:r>
          </w:p>
        </w:tc>
      </w:tr>
      <w:tr w:rsidR="00791FCC" w:rsidRPr="003F3F2B" w14:paraId="7035ADBA" w14:textId="1046B866" w:rsidTr="000F7616">
        <w:trPr>
          <w:cantSplit/>
          <w:trHeight w:val="288"/>
        </w:trPr>
        <w:tc>
          <w:tcPr>
            <w:tcW w:w="2542" w:type="dxa"/>
            <w:noWrap/>
            <w:hideMark/>
          </w:tcPr>
          <w:p w14:paraId="625A2953" w14:textId="77777777" w:rsidR="00791FCC" w:rsidRPr="003F3F2B" w:rsidRDefault="00791FCC" w:rsidP="00791FCC">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19-35</w:t>
            </w:r>
          </w:p>
        </w:tc>
        <w:tc>
          <w:tcPr>
            <w:tcW w:w="1393" w:type="dxa"/>
            <w:noWrap/>
          </w:tcPr>
          <w:p w14:paraId="3C42F820" w14:textId="217B686C" w:rsidR="00791FCC" w:rsidRPr="003F3F2B" w:rsidRDefault="00791FCC" w:rsidP="00791FCC">
            <w:pPr>
              <w:contextualSpacing/>
              <w:jc w:val="center"/>
              <w:rPr>
                <w:rFonts w:asciiTheme="minorHAnsi" w:eastAsia="Times New Roman" w:hAnsiTheme="minorHAnsi"/>
                <w:color w:val="000000"/>
                <w:szCs w:val="24"/>
              </w:rPr>
            </w:pPr>
            <w:r w:rsidRPr="003F3F2B">
              <w:rPr>
                <w:rFonts w:asciiTheme="minorHAnsi" w:hAnsiTheme="minorHAnsi"/>
                <w:szCs w:val="24"/>
              </w:rPr>
              <w:t>6.</w:t>
            </w:r>
            <w:r w:rsidR="00087526">
              <w:rPr>
                <w:rFonts w:asciiTheme="minorHAnsi" w:hAnsiTheme="minorHAnsi"/>
                <w:szCs w:val="24"/>
              </w:rPr>
              <w:t>5</w:t>
            </w:r>
            <w:r w:rsidRPr="003F3F2B">
              <w:rPr>
                <w:rFonts w:asciiTheme="minorHAnsi" w:hAnsiTheme="minorHAnsi"/>
                <w:szCs w:val="24"/>
              </w:rPr>
              <w:t>%</w:t>
            </w:r>
          </w:p>
        </w:tc>
        <w:tc>
          <w:tcPr>
            <w:tcW w:w="1393" w:type="dxa"/>
          </w:tcPr>
          <w:p w14:paraId="1AC06D5C" w14:textId="696F83A5" w:rsidR="00791FCC" w:rsidRPr="003F3F2B" w:rsidRDefault="00791FCC" w:rsidP="00791FCC">
            <w:pPr>
              <w:contextualSpacing/>
              <w:jc w:val="center"/>
              <w:rPr>
                <w:rFonts w:asciiTheme="minorHAnsi" w:hAnsiTheme="minorHAnsi"/>
                <w:color w:val="000000"/>
                <w:szCs w:val="24"/>
              </w:rPr>
            </w:pPr>
            <w:r w:rsidRPr="003F3F2B">
              <w:rPr>
                <w:rFonts w:asciiTheme="minorHAnsi" w:hAnsiTheme="minorHAnsi"/>
                <w:szCs w:val="24"/>
              </w:rPr>
              <w:t>4.4%</w:t>
            </w:r>
          </w:p>
        </w:tc>
        <w:tc>
          <w:tcPr>
            <w:tcW w:w="1508" w:type="dxa"/>
          </w:tcPr>
          <w:p w14:paraId="041CCF84" w14:textId="1661AAA3" w:rsidR="00791FCC" w:rsidRPr="003F3F2B" w:rsidRDefault="00791FCC" w:rsidP="00791FCC">
            <w:pPr>
              <w:contextualSpacing/>
              <w:jc w:val="center"/>
              <w:rPr>
                <w:rFonts w:asciiTheme="minorHAnsi" w:hAnsiTheme="minorHAnsi"/>
                <w:szCs w:val="24"/>
              </w:rPr>
            </w:pPr>
            <w:r w:rsidRPr="003F3F2B">
              <w:rPr>
                <w:rFonts w:asciiTheme="minorHAnsi" w:hAnsiTheme="minorHAnsi"/>
                <w:szCs w:val="24"/>
              </w:rPr>
              <w:t>6.</w:t>
            </w:r>
            <w:r w:rsidR="00AD1336">
              <w:rPr>
                <w:rFonts w:asciiTheme="minorHAnsi" w:hAnsiTheme="minorHAnsi"/>
                <w:szCs w:val="24"/>
              </w:rPr>
              <w:t>6</w:t>
            </w:r>
            <w:r w:rsidRPr="003F3F2B">
              <w:rPr>
                <w:rFonts w:asciiTheme="minorHAnsi" w:hAnsiTheme="minorHAnsi"/>
                <w:szCs w:val="24"/>
              </w:rPr>
              <w:t>%</w:t>
            </w:r>
          </w:p>
        </w:tc>
      </w:tr>
      <w:tr w:rsidR="00791FCC" w:rsidRPr="003F3F2B" w14:paraId="22DDD2B9" w14:textId="1FE6A4AC" w:rsidTr="000F7616">
        <w:trPr>
          <w:cantSplit/>
          <w:trHeight w:val="288"/>
        </w:trPr>
        <w:tc>
          <w:tcPr>
            <w:tcW w:w="2542" w:type="dxa"/>
            <w:noWrap/>
            <w:hideMark/>
          </w:tcPr>
          <w:p w14:paraId="5656AB0F" w14:textId="77777777" w:rsidR="00791FCC" w:rsidRPr="003F3F2B" w:rsidRDefault="00791FCC" w:rsidP="00791FCC">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36-55</w:t>
            </w:r>
          </w:p>
        </w:tc>
        <w:tc>
          <w:tcPr>
            <w:tcW w:w="1393" w:type="dxa"/>
            <w:noWrap/>
          </w:tcPr>
          <w:p w14:paraId="5B749751" w14:textId="3BDBF9EB" w:rsidR="00791FCC" w:rsidRPr="003F3F2B" w:rsidRDefault="00791FCC" w:rsidP="00791FCC">
            <w:pPr>
              <w:contextualSpacing/>
              <w:jc w:val="center"/>
              <w:rPr>
                <w:rFonts w:asciiTheme="minorHAnsi" w:eastAsia="Times New Roman" w:hAnsiTheme="minorHAnsi"/>
                <w:color w:val="000000"/>
                <w:szCs w:val="24"/>
              </w:rPr>
            </w:pPr>
            <w:r w:rsidRPr="003F3F2B">
              <w:rPr>
                <w:rFonts w:asciiTheme="minorHAnsi" w:hAnsiTheme="minorHAnsi"/>
                <w:szCs w:val="24"/>
              </w:rPr>
              <w:t>23.</w:t>
            </w:r>
            <w:r w:rsidR="00281760">
              <w:rPr>
                <w:rFonts w:asciiTheme="minorHAnsi" w:hAnsiTheme="minorHAnsi"/>
                <w:szCs w:val="24"/>
              </w:rPr>
              <w:t>5</w:t>
            </w:r>
            <w:r w:rsidRPr="003F3F2B">
              <w:rPr>
                <w:rFonts w:asciiTheme="minorHAnsi" w:hAnsiTheme="minorHAnsi"/>
                <w:szCs w:val="24"/>
              </w:rPr>
              <w:t>%</w:t>
            </w:r>
          </w:p>
        </w:tc>
        <w:tc>
          <w:tcPr>
            <w:tcW w:w="1393" w:type="dxa"/>
          </w:tcPr>
          <w:p w14:paraId="6E61D50E" w14:textId="010F89E3" w:rsidR="00791FCC" w:rsidRPr="003F3F2B" w:rsidRDefault="00791FCC" w:rsidP="00791FCC">
            <w:pPr>
              <w:contextualSpacing/>
              <w:jc w:val="center"/>
              <w:rPr>
                <w:rFonts w:asciiTheme="minorHAnsi" w:hAnsiTheme="minorHAnsi"/>
                <w:color w:val="000000"/>
                <w:szCs w:val="24"/>
              </w:rPr>
            </w:pPr>
            <w:r w:rsidRPr="003F3F2B">
              <w:rPr>
                <w:rFonts w:asciiTheme="minorHAnsi" w:hAnsiTheme="minorHAnsi"/>
                <w:szCs w:val="24"/>
              </w:rPr>
              <w:t>17.</w:t>
            </w:r>
            <w:r w:rsidR="00487366">
              <w:rPr>
                <w:rFonts w:asciiTheme="minorHAnsi" w:hAnsiTheme="minorHAnsi"/>
                <w:szCs w:val="24"/>
              </w:rPr>
              <w:t>4</w:t>
            </w:r>
            <w:r w:rsidRPr="003F3F2B">
              <w:rPr>
                <w:rFonts w:asciiTheme="minorHAnsi" w:hAnsiTheme="minorHAnsi"/>
                <w:szCs w:val="24"/>
              </w:rPr>
              <w:t>%</w:t>
            </w:r>
          </w:p>
        </w:tc>
        <w:tc>
          <w:tcPr>
            <w:tcW w:w="1508" w:type="dxa"/>
          </w:tcPr>
          <w:p w14:paraId="6E482C01" w14:textId="4C2970F4" w:rsidR="00791FCC" w:rsidRPr="003F3F2B" w:rsidRDefault="00791FCC" w:rsidP="00791FCC">
            <w:pPr>
              <w:contextualSpacing/>
              <w:jc w:val="center"/>
              <w:rPr>
                <w:rFonts w:asciiTheme="minorHAnsi" w:hAnsiTheme="minorHAnsi"/>
                <w:szCs w:val="24"/>
              </w:rPr>
            </w:pPr>
            <w:r w:rsidRPr="003F3F2B">
              <w:rPr>
                <w:rFonts w:asciiTheme="minorHAnsi" w:hAnsiTheme="minorHAnsi"/>
                <w:szCs w:val="24"/>
              </w:rPr>
              <w:t>24.</w:t>
            </w:r>
            <w:r w:rsidR="00AD1336">
              <w:rPr>
                <w:rFonts w:asciiTheme="minorHAnsi" w:hAnsiTheme="minorHAnsi"/>
                <w:szCs w:val="24"/>
              </w:rPr>
              <w:t>7</w:t>
            </w:r>
            <w:r w:rsidRPr="003F3F2B">
              <w:rPr>
                <w:rFonts w:asciiTheme="minorHAnsi" w:hAnsiTheme="minorHAnsi"/>
                <w:szCs w:val="24"/>
              </w:rPr>
              <w:t>%</w:t>
            </w:r>
          </w:p>
        </w:tc>
      </w:tr>
      <w:tr w:rsidR="00791FCC" w:rsidRPr="003F3F2B" w14:paraId="6AD2BA26" w14:textId="7CCC3295" w:rsidTr="000F7616">
        <w:trPr>
          <w:cantSplit/>
          <w:trHeight w:val="288"/>
        </w:trPr>
        <w:tc>
          <w:tcPr>
            <w:tcW w:w="2542" w:type="dxa"/>
            <w:noWrap/>
            <w:hideMark/>
          </w:tcPr>
          <w:p w14:paraId="32E9C3F2" w14:textId="77777777" w:rsidR="00791FCC" w:rsidRPr="003F3F2B" w:rsidRDefault="00791FCC" w:rsidP="00791FCC">
            <w:pPr>
              <w:ind w:left="144"/>
              <w:contextualSpacing/>
              <w:rPr>
                <w:rFonts w:asciiTheme="minorHAnsi" w:eastAsia="Times New Roman" w:hAnsiTheme="minorHAnsi"/>
                <w:color w:val="000000"/>
                <w:szCs w:val="24"/>
              </w:rPr>
            </w:pPr>
            <w:r w:rsidRPr="003F3F2B">
              <w:rPr>
                <w:rFonts w:asciiTheme="minorHAnsi" w:hAnsiTheme="minorHAnsi"/>
                <w:color w:val="000000"/>
                <w:szCs w:val="24"/>
              </w:rPr>
              <w:t>56-75</w:t>
            </w:r>
          </w:p>
        </w:tc>
        <w:tc>
          <w:tcPr>
            <w:tcW w:w="1393" w:type="dxa"/>
            <w:noWrap/>
          </w:tcPr>
          <w:p w14:paraId="7F57EAAC" w14:textId="7541A03A" w:rsidR="00791FCC" w:rsidRPr="003F3F2B" w:rsidRDefault="002F5AF0" w:rsidP="00791FCC">
            <w:pPr>
              <w:contextualSpacing/>
              <w:jc w:val="center"/>
              <w:rPr>
                <w:rFonts w:asciiTheme="minorHAnsi" w:eastAsia="Times New Roman" w:hAnsiTheme="minorHAnsi"/>
                <w:color w:val="000000"/>
                <w:szCs w:val="24"/>
              </w:rPr>
            </w:pPr>
            <w:r>
              <w:rPr>
                <w:rFonts w:asciiTheme="minorHAnsi" w:hAnsiTheme="minorHAnsi"/>
                <w:szCs w:val="24"/>
              </w:rPr>
              <w:t>52</w:t>
            </w:r>
            <w:r w:rsidR="00281760">
              <w:rPr>
                <w:rFonts w:asciiTheme="minorHAnsi" w:hAnsiTheme="minorHAnsi"/>
                <w:szCs w:val="24"/>
              </w:rPr>
              <w:t>.</w:t>
            </w:r>
            <w:r>
              <w:rPr>
                <w:rFonts w:asciiTheme="minorHAnsi" w:hAnsiTheme="minorHAnsi"/>
                <w:szCs w:val="24"/>
              </w:rPr>
              <w:t>9</w:t>
            </w:r>
            <w:r w:rsidR="00791FCC" w:rsidRPr="003F3F2B">
              <w:rPr>
                <w:rFonts w:asciiTheme="minorHAnsi" w:hAnsiTheme="minorHAnsi"/>
                <w:szCs w:val="24"/>
              </w:rPr>
              <w:t>%</w:t>
            </w:r>
          </w:p>
        </w:tc>
        <w:tc>
          <w:tcPr>
            <w:tcW w:w="1393" w:type="dxa"/>
          </w:tcPr>
          <w:p w14:paraId="5AD387FA" w14:textId="71ACB46C" w:rsidR="00791FCC" w:rsidRPr="003F3F2B" w:rsidRDefault="00791FCC" w:rsidP="00791FCC">
            <w:pPr>
              <w:contextualSpacing/>
              <w:jc w:val="center"/>
              <w:rPr>
                <w:rFonts w:asciiTheme="minorHAnsi" w:hAnsiTheme="minorHAnsi"/>
                <w:color w:val="000000"/>
                <w:szCs w:val="24"/>
              </w:rPr>
            </w:pPr>
            <w:r w:rsidRPr="003F3F2B">
              <w:rPr>
                <w:rFonts w:asciiTheme="minorHAnsi" w:hAnsiTheme="minorHAnsi"/>
                <w:szCs w:val="24"/>
              </w:rPr>
              <w:t>57.</w:t>
            </w:r>
            <w:r w:rsidR="00487366">
              <w:rPr>
                <w:rFonts w:asciiTheme="minorHAnsi" w:hAnsiTheme="minorHAnsi"/>
                <w:szCs w:val="24"/>
              </w:rPr>
              <w:t>2</w:t>
            </w:r>
            <w:r w:rsidRPr="003F3F2B">
              <w:rPr>
                <w:rFonts w:asciiTheme="minorHAnsi" w:hAnsiTheme="minorHAnsi"/>
                <w:szCs w:val="24"/>
              </w:rPr>
              <w:t>%</w:t>
            </w:r>
          </w:p>
        </w:tc>
        <w:tc>
          <w:tcPr>
            <w:tcW w:w="1508" w:type="dxa"/>
          </w:tcPr>
          <w:p w14:paraId="40BD7364" w14:textId="09928E0C" w:rsidR="00791FCC" w:rsidRPr="003F3F2B" w:rsidRDefault="00791FCC" w:rsidP="00791FCC">
            <w:pPr>
              <w:contextualSpacing/>
              <w:jc w:val="center"/>
              <w:rPr>
                <w:rFonts w:asciiTheme="minorHAnsi" w:hAnsiTheme="minorHAnsi"/>
                <w:szCs w:val="24"/>
              </w:rPr>
            </w:pPr>
            <w:r w:rsidRPr="003F3F2B">
              <w:rPr>
                <w:rFonts w:asciiTheme="minorHAnsi" w:hAnsiTheme="minorHAnsi"/>
                <w:szCs w:val="24"/>
              </w:rPr>
              <w:t>5</w:t>
            </w:r>
            <w:r w:rsidR="00AD1336">
              <w:rPr>
                <w:rFonts w:asciiTheme="minorHAnsi" w:hAnsiTheme="minorHAnsi"/>
                <w:szCs w:val="24"/>
              </w:rPr>
              <w:t>4</w:t>
            </w:r>
            <w:r w:rsidRPr="003F3F2B">
              <w:rPr>
                <w:rFonts w:asciiTheme="minorHAnsi" w:hAnsiTheme="minorHAnsi"/>
                <w:szCs w:val="24"/>
              </w:rPr>
              <w:t>.3%</w:t>
            </w:r>
          </w:p>
        </w:tc>
      </w:tr>
      <w:tr w:rsidR="00791FCC" w:rsidRPr="003F3F2B" w14:paraId="376A9731" w14:textId="4D62C78C" w:rsidTr="000F7616">
        <w:trPr>
          <w:cantSplit/>
          <w:trHeight w:val="288"/>
        </w:trPr>
        <w:tc>
          <w:tcPr>
            <w:tcW w:w="2542" w:type="dxa"/>
            <w:noWrap/>
          </w:tcPr>
          <w:p w14:paraId="313C32C6" w14:textId="77777777" w:rsidR="00791FCC" w:rsidRPr="003F3F2B" w:rsidRDefault="00791FCC" w:rsidP="00791FCC">
            <w:pPr>
              <w:ind w:left="144"/>
              <w:contextualSpacing/>
              <w:rPr>
                <w:rFonts w:asciiTheme="minorHAnsi" w:eastAsia="Times New Roman" w:hAnsiTheme="minorHAnsi"/>
                <w:color w:val="000000"/>
                <w:szCs w:val="24"/>
              </w:rPr>
            </w:pPr>
            <w:r w:rsidRPr="003F3F2B">
              <w:rPr>
                <w:rFonts w:asciiTheme="minorHAnsi" w:hAnsiTheme="minorHAnsi"/>
                <w:color w:val="000000"/>
                <w:szCs w:val="24"/>
              </w:rPr>
              <w:t>&gt;75</w:t>
            </w:r>
          </w:p>
        </w:tc>
        <w:tc>
          <w:tcPr>
            <w:tcW w:w="1393" w:type="dxa"/>
            <w:noWrap/>
          </w:tcPr>
          <w:p w14:paraId="12C8AB91" w14:textId="56600ABF" w:rsidR="00791FCC" w:rsidRPr="003F3F2B" w:rsidRDefault="00791FCC" w:rsidP="00791FCC">
            <w:pPr>
              <w:contextualSpacing/>
              <w:jc w:val="center"/>
              <w:rPr>
                <w:rFonts w:asciiTheme="minorHAnsi" w:eastAsia="Times New Roman" w:hAnsiTheme="minorHAnsi"/>
                <w:color w:val="000000"/>
                <w:szCs w:val="24"/>
              </w:rPr>
            </w:pPr>
            <w:r w:rsidRPr="003F3F2B">
              <w:rPr>
                <w:rFonts w:asciiTheme="minorHAnsi" w:hAnsiTheme="minorHAnsi"/>
                <w:szCs w:val="24"/>
              </w:rPr>
              <w:t>18.</w:t>
            </w:r>
            <w:r w:rsidR="002F5AF0">
              <w:rPr>
                <w:rFonts w:asciiTheme="minorHAnsi" w:hAnsiTheme="minorHAnsi"/>
                <w:szCs w:val="24"/>
              </w:rPr>
              <w:t>9</w:t>
            </w:r>
            <w:r w:rsidRPr="003F3F2B">
              <w:rPr>
                <w:rFonts w:asciiTheme="minorHAnsi" w:hAnsiTheme="minorHAnsi"/>
                <w:szCs w:val="24"/>
              </w:rPr>
              <w:t>%</w:t>
            </w:r>
          </w:p>
        </w:tc>
        <w:tc>
          <w:tcPr>
            <w:tcW w:w="1393" w:type="dxa"/>
          </w:tcPr>
          <w:p w14:paraId="7E1256C3" w14:textId="3D89178E" w:rsidR="00791FCC" w:rsidRPr="003F3F2B" w:rsidRDefault="00791FCC" w:rsidP="00791FCC">
            <w:pPr>
              <w:contextualSpacing/>
              <w:jc w:val="center"/>
              <w:rPr>
                <w:rFonts w:asciiTheme="minorHAnsi" w:hAnsiTheme="minorHAnsi"/>
                <w:color w:val="000000"/>
                <w:szCs w:val="24"/>
              </w:rPr>
            </w:pPr>
            <w:r w:rsidRPr="003F3F2B">
              <w:rPr>
                <w:rFonts w:asciiTheme="minorHAnsi" w:hAnsiTheme="minorHAnsi"/>
                <w:szCs w:val="24"/>
              </w:rPr>
              <w:t>21.</w:t>
            </w:r>
            <w:r w:rsidR="007260A4">
              <w:rPr>
                <w:rFonts w:asciiTheme="minorHAnsi" w:hAnsiTheme="minorHAnsi"/>
                <w:szCs w:val="24"/>
              </w:rPr>
              <w:t>2</w:t>
            </w:r>
            <w:r w:rsidRPr="003F3F2B">
              <w:rPr>
                <w:rFonts w:asciiTheme="minorHAnsi" w:hAnsiTheme="minorHAnsi"/>
                <w:szCs w:val="24"/>
              </w:rPr>
              <w:t>%</w:t>
            </w:r>
          </w:p>
        </w:tc>
        <w:tc>
          <w:tcPr>
            <w:tcW w:w="1508" w:type="dxa"/>
          </w:tcPr>
          <w:p w14:paraId="618E216C" w14:textId="36607AC5" w:rsidR="00791FCC" w:rsidRPr="003F3F2B" w:rsidRDefault="00791FCC" w:rsidP="00791FCC">
            <w:pPr>
              <w:contextualSpacing/>
              <w:jc w:val="center"/>
              <w:rPr>
                <w:rFonts w:asciiTheme="minorHAnsi" w:hAnsiTheme="minorHAnsi"/>
                <w:szCs w:val="24"/>
              </w:rPr>
            </w:pPr>
            <w:r w:rsidRPr="003F3F2B">
              <w:rPr>
                <w:rFonts w:asciiTheme="minorHAnsi" w:hAnsiTheme="minorHAnsi"/>
                <w:szCs w:val="24"/>
              </w:rPr>
              <w:t>1</w:t>
            </w:r>
            <w:r w:rsidR="00AD1336">
              <w:rPr>
                <w:rFonts w:asciiTheme="minorHAnsi" w:hAnsiTheme="minorHAnsi"/>
                <w:szCs w:val="24"/>
              </w:rPr>
              <w:t>6</w:t>
            </w:r>
            <w:r w:rsidRPr="003F3F2B">
              <w:rPr>
                <w:rFonts w:asciiTheme="minorHAnsi" w:hAnsiTheme="minorHAnsi"/>
                <w:szCs w:val="24"/>
              </w:rPr>
              <w:t>.</w:t>
            </w:r>
            <w:r w:rsidR="00AD1336">
              <w:rPr>
                <w:rFonts w:asciiTheme="minorHAnsi" w:hAnsiTheme="minorHAnsi"/>
                <w:szCs w:val="24"/>
              </w:rPr>
              <w:t>1</w:t>
            </w:r>
            <w:r w:rsidRPr="003F3F2B">
              <w:rPr>
                <w:rFonts w:asciiTheme="minorHAnsi" w:hAnsiTheme="minorHAnsi"/>
                <w:szCs w:val="24"/>
              </w:rPr>
              <w:t>%</w:t>
            </w:r>
          </w:p>
        </w:tc>
      </w:tr>
      <w:tr w:rsidR="00BB3BAE" w:rsidRPr="003F3F2B" w14:paraId="3B55BB03" w14:textId="79498D51" w:rsidTr="000F7616">
        <w:trPr>
          <w:cantSplit/>
          <w:trHeight w:val="288"/>
        </w:trPr>
        <w:tc>
          <w:tcPr>
            <w:tcW w:w="2542" w:type="dxa"/>
            <w:shd w:val="clear" w:color="auto" w:fill="F2F2F2" w:themeFill="background1" w:themeFillShade="F2"/>
            <w:noWrap/>
            <w:hideMark/>
          </w:tcPr>
          <w:p w14:paraId="0F371183" w14:textId="77777777" w:rsidR="00BB3BAE" w:rsidRPr="003F3F2B" w:rsidRDefault="00BB3BAE" w:rsidP="00955DA5">
            <w:pPr>
              <w:contextualSpacing/>
              <w:rPr>
                <w:rFonts w:asciiTheme="minorHAnsi" w:eastAsia="Times New Roman" w:hAnsiTheme="minorHAnsi"/>
                <w:b/>
                <w:bCs/>
                <w:color w:val="000000"/>
                <w:szCs w:val="24"/>
              </w:rPr>
            </w:pPr>
            <w:r w:rsidRPr="003F3F2B">
              <w:rPr>
                <w:rFonts w:asciiTheme="minorHAnsi" w:eastAsia="Times New Roman" w:hAnsiTheme="minorHAnsi"/>
                <w:b/>
                <w:bCs/>
                <w:color w:val="000000"/>
                <w:szCs w:val="24"/>
              </w:rPr>
              <w:t>Geography</w:t>
            </w:r>
            <w:r w:rsidRPr="003F3F2B">
              <w:rPr>
                <w:rStyle w:val="FootnoteReference"/>
                <w:rFonts w:asciiTheme="minorHAnsi" w:eastAsia="Times New Roman" w:hAnsiTheme="minorHAnsi"/>
                <w:b/>
                <w:bCs/>
                <w:color w:val="000000"/>
                <w:szCs w:val="24"/>
              </w:rPr>
              <w:footnoteReference w:id="15"/>
            </w:r>
          </w:p>
        </w:tc>
        <w:tc>
          <w:tcPr>
            <w:tcW w:w="1393" w:type="dxa"/>
            <w:shd w:val="clear" w:color="auto" w:fill="F2F2F2" w:themeFill="background1" w:themeFillShade="F2"/>
            <w:noWrap/>
          </w:tcPr>
          <w:p w14:paraId="63F14E4D" w14:textId="77777777" w:rsidR="00BB3BAE" w:rsidRPr="003F3F2B" w:rsidRDefault="00BB3BAE">
            <w:pPr>
              <w:contextualSpacing/>
              <w:jc w:val="center"/>
              <w:rPr>
                <w:rFonts w:asciiTheme="minorHAnsi" w:eastAsia="Times New Roman" w:hAnsiTheme="minorHAnsi"/>
                <w:color w:val="000000"/>
                <w:szCs w:val="24"/>
              </w:rPr>
            </w:pPr>
          </w:p>
        </w:tc>
        <w:tc>
          <w:tcPr>
            <w:tcW w:w="1393" w:type="dxa"/>
            <w:shd w:val="clear" w:color="auto" w:fill="F2F2F2" w:themeFill="background1" w:themeFillShade="F2"/>
          </w:tcPr>
          <w:p w14:paraId="5AD7468C" w14:textId="77777777" w:rsidR="00BB3BAE" w:rsidRPr="003F3F2B" w:rsidRDefault="00BB3BAE">
            <w:pPr>
              <w:contextualSpacing/>
              <w:jc w:val="center"/>
              <w:rPr>
                <w:rFonts w:asciiTheme="minorHAnsi" w:eastAsia="Times New Roman" w:hAnsiTheme="minorHAnsi"/>
                <w:color w:val="000000"/>
                <w:szCs w:val="24"/>
              </w:rPr>
            </w:pPr>
          </w:p>
        </w:tc>
        <w:tc>
          <w:tcPr>
            <w:tcW w:w="1508" w:type="dxa"/>
            <w:shd w:val="clear" w:color="auto" w:fill="F2F2F2" w:themeFill="background1" w:themeFillShade="F2"/>
          </w:tcPr>
          <w:p w14:paraId="15BF615A" w14:textId="77777777" w:rsidR="00BB3BAE" w:rsidRPr="003F3F2B" w:rsidRDefault="00BB3BAE">
            <w:pPr>
              <w:contextualSpacing/>
              <w:jc w:val="center"/>
              <w:rPr>
                <w:rFonts w:asciiTheme="minorHAnsi" w:eastAsia="Times New Roman" w:hAnsiTheme="minorHAnsi"/>
                <w:color w:val="000000"/>
                <w:szCs w:val="24"/>
              </w:rPr>
            </w:pPr>
          </w:p>
        </w:tc>
      </w:tr>
      <w:tr w:rsidR="00BE54E9" w:rsidRPr="003F3F2B" w14:paraId="62DA7D00" w14:textId="544F634D" w:rsidTr="000F7616">
        <w:trPr>
          <w:cantSplit/>
          <w:trHeight w:val="288"/>
        </w:trPr>
        <w:tc>
          <w:tcPr>
            <w:tcW w:w="2542" w:type="dxa"/>
            <w:noWrap/>
            <w:hideMark/>
          </w:tcPr>
          <w:p w14:paraId="62F4302A" w14:textId="77777777" w:rsidR="00BE54E9" w:rsidRPr="003F3F2B" w:rsidRDefault="00BE54E9" w:rsidP="00BE54E9">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Massachusetts</w:t>
            </w:r>
          </w:p>
        </w:tc>
        <w:tc>
          <w:tcPr>
            <w:tcW w:w="1393" w:type="dxa"/>
            <w:noWrap/>
          </w:tcPr>
          <w:p w14:paraId="154A6A3E" w14:textId="14C242FE" w:rsidR="00BE54E9" w:rsidRPr="003F3F2B" w:rsidRDefault="002F5AF0" w:rsidP="00BE54E9">
            <w:pPr>
              <w:contextualSpacing/>
              <w:jc w:val="center"/>
              <w:rPr>
                <w:rFonts w:asciiTheme="minorHAnsi" w:eastAsia="Times New Roman" w:hAnsiTheme="minorHAnsi"/>
                <w:color w:val="000000"/>
                <w:szCs w:val="24"/>
              </w:rPr>
            </w:pPr>
            <w:r>
              <w:rPr>
                <w:rFonts w:asciiTheme="minorHAnsi" w:hAnsiTheme="minorHAnsi"/>
                <w:szCs w:val="24"/>
              </w:rPr>
              <w:t>75</w:t>
            </w:r>
            <w:r w:rsidR="00BE54E9" w:rsidRPr="003F3F2B">
              <w:rPr>
                <w:rFonts w:asciiTheme="minorHAnsi" w:hAnsiTheme="minorHAnsi"/>
                <w:szCs w:val="24"/>
              </w:rPr>
              <w:t>.</w:t>
            </w:r>
            <w:r>
              <w:rPr>
                <w:rFonts w:asciiTheme="minorHAnsi" w:hAnsiTheme="minorHAnsi"/>
                <w:szCs w:val="24"/>
              </w:rPr>
              <w:t>8</w:t>
            </w:r>
            <w:r w:rsidR="00BE54E9" w:rsidRPr="003F3F2B">
              <w:rPr>
                <w:rFonts w:asciiTheme="minorHAnsi" w:hAnsiTheme="minorHAnsi"/>
                <w:szCs w:val="24"/>
              </w:rPr>
              <w:t>%</w:t>
            </w:r>
          </w:p>
        </w:tc>
        <w:tc>
          <w:tcPr>
            <w:tcW w:w="1393" w:type="dxa"/>
          </w:tcPr>
          <w:p w14:paraId="47CB6D65" w14:textId="1B3A2E3C" w:rsidR="00BE54E9" w:rsidRPr="003F3F2B" w:rsidRDefault="00BE54E9" w:rsidP="00BE54E9">
            <w:pPr>
              <w:contextualSpacing/>
              <w:jc w:val="center"/>
              <w:rPr>
                <w:rFonts w:asciiTheme="minorHAnsi" w:hAnsiTheme="minorHAnsi"/>
                <w:color w:val="000000"/>
                <w:szCs w:val="24"/>
              </w:rPr>
            </w:pPr>
            <w:r w:rsidRPr="003F3F2B">
              <w:rPr>
                <w:rFonts w:asciiTheme="minorHAnsi" w:hAnsiTheme="minorHAnsi"/>
                <w:szCs w:val="24"/>
              </w:rPr>
              <w:t>73.8%</w:t>
            </w:r>
          </w:p>
        </w:tc>
        <w:tc>
          <w:tcPr>
            <w:tcW w:w="1508" w:type="dxa"/>
          </w:tcPr>
          <w:p w14:paraId="04A155CC" w14:textId="25B4FCFB" w:rsidR="00BE54E9" w:rsidRPr="003F3F2B" w:rsidRDefault="004278F5" w:rsidP="00BE54E9">
            <w:pPr>
              <w:contextualSpacing/>
              <w:jc w:val="center"/>
              <w:rPr>
                <w:rFonts w:asciiTheme="minorHAnsi" w:hAnsiTheme="minorHAnsi"/>
                <w:szCs w:val="24"/>
              </w:rPr>
            </w:pPr>
            <w:r>
              <w:rPr>
                <w:rFonts w:asciiTheme="minorHAnsi" w:hAnsiTheme="minorHAnsi"/>
                <w:szCs w:val="24"/>
              </w:rPr>
              <w:t>70.7</w:t>
            </w:r>
            <w:r w:rsidR="00BE54E9" w:rsidRPr="003F3F2B">
              <w:rPr>
                <w:rFonts w:asciiTheme="minorHAnsi" w:hAnsiTheme="minorHAnsi"/>
                <w:szCs w:val="24"/>
              </w:rPr>
              <w:t>%</w:t>
            </w:r>
          </w:p>
        </w:tc>
      </w:tr>
      <w:tr w:rsidR="00BE54E9" w:rsidRPr="003F3F2B" w14:paraId="6F5D5F28" w14:textId="38BD8414" w:rsidTr="000F7616">
        <w:trPr>
          <w:cantSplit/>
          <w:trHeight w:val="288"/>
        </w:trPr>
        <w:tc>
          <w:tcPr>
            <w:tcW w:w="2542" w:type="dxa"/>
            <w:noWrap/>
            <w:hideMark/>
          </w:tcPr>
          <w:p w14:paraId="72FA56D8" w14:textId="77777777" w:rsidR="00BE54E9" w:rsidRPr="003F3F2B" w:rsidRDefault="00BE54E9" w:rsidP="00BE54E9">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New York</w:t>
            </w:r>
          </w:p>
        </w:tc>
        <w:tc>
          <w:tcPr>
            <w:tcW w:w="1393" w:type="dxa"/>
            <w:noWrap/>
          </w:tcPr>
          <w:p w14:paraId="2F8A8000" w14:textId="49978492" w:rsidR="00BE54E9" w:rsidRPr="003F3F2B" w:rsidRDefault="002F5AF0" w:rsidP="00BE54E9">
            <w:pPr>
              <w:contextualSpacing/>
              <w:jc w:val="center"/>
              <w:rPr>
                <w:rFonts w:asciiTheme="minorHAnsi" w:eastAsia="Times New Roman" w:hAnsiTheme="minorHAnsi"/>
                <w:color w:val="000000"/>
                <w:szCs w:val="24"/>
              </w:rPr>
            </w:pPr>
            <w:r>
              <w:rPr>
                <w:rFonts w:asciiTheme="minorHAnsi" w:hAnsiTheme="minorHAnsi"/>
                <w:szCs w:val="24"/>
              </w:rPr>
              <w:t>2.2</w:t>
            </w:r>
            <w:r w:rsidR="00BE54E9" w:rsidRPr="003F3F2B">
              <w:rPr>
                <w:rFonts w:asciiTheme="minorHAnsi" w:hAnsiTheme="minorHAnsi"/>
                <w:szCs w:val="24"/>
              </w:rPr>
              <w:t>%</w:t>
            </w:r>
          </w:p>
        </w:tc>
        <w:tc>
          <w:tcPr>
            <w:tcW w:w="1393" w:type="dxa"/>
          </w:tcPr>
          <w:p w14:paraId="1E64BC4A" w14:textId="220C701E" w:rsidR="00BE54E9" w:rsidRPr="003F3F2B" w:rsidRDefault="00BE54E9" w:rsidP="00BE54E9">
            <w:pPr>
              <w:contextualSpacing/>
              <w:jc w:val="center"/>
              <w:rPr>
                <w:rFonts w:asciiTheme="minorHAnsi" w:hAnsiTheme="minorHAnsi"/>
                <w:color w:val="000000"/>
                <w:szCs w:val="24"/>
              </w:rPr>
            </w:pPr>
            <w:r w:rsidRPr="003F3F2B">
              <w:rPr>
                <w:rFonts w:asciiTheme="minorHAnsi" w:hAnsiTheme="minorHAnsi"/>
                <w:szCs w:val="24"/>
              </w:rPr>
              <w:t>2.3%</w:t>
            </w:r>
          </w:p>
        </w:tc>
        <w:tc>
          <w:tcPr>
            <w:tcW w:w="1508" w:type="dxa"/>
          </w:tcPr>
          <w:p w14:paraId="5980C4C9" w14:textId="3E8522E7" w:rsidR="00BE54E9" w:rsidRPr="003F3F2B" w:rsidRDefault="004278F5" w:rsidP="00BE54E9">
            <w:pPr>
              <w:contextualSpacing/>
              <w:jc w:val="center"/>
              <w:rPr>
                <w:rFonts w:asciiTheme="minorHAnsi" w:hAnsiTheme="minorHAnsi"/>
                <w:szCs w:val="24"/>
              </w:rPr>
            </w:pPr>
            <w:r>
              <w:rPr>
                <w:rFonts w:asciiTheme="minorHAnsi" w:hAnsiTheme="minorHAnsi"/>
                <w:szCs w:val="24"/>
              </w:rPr>
              <w:t>3</w:t>
            </w:r>
            <w:r w:rsidR="00BE54E9" w:rsidRPr="003F3F2B">
              <w:rPr>
                <w:rFonts w:asciiTheme="minorHAnsi" w:hAnsiTheme="minorHAnsi"/>
                <w:szCs w:val="24"/>
              </w:rPr>
              <w:t>.</w:t>
            </w:r>
            <w:r>
              <w:rPr>
                <w:rFonts w:asciiTheme="minorHAnsi" w:hAnsiTheme="minorHAnsi"/>
                <w:szCs w:val="24"/>
              </w:rPr>
              <w:t>1</w:t>
            </w:r>
            <w:r w:rsidR="00BE54E9" w:rsidRPr="003F3F2B">
              <w:rPr>
                <w:rFonts w:asciiTheme="minorHAnsi" w:hAnsiTheme="minorHAnsi"/>
                <w:szCs w:val="24"/>
              </w:rPr>
              <w:t>%</w:t>
            </w:r>
          </w:p>
        </w:tc>
      </w:tr>
      <w:tr w:rsidR="00BE54E9" w:rsidRPr="003F3F2B" w14:paraId="4D638C50" w14:textId="19188EA0" w:rsidTr="000F7616">
        <w:trPr>
          <w:cantSplit/>
          <w:trHeight w:val="288"/>
        </w:trPr>
        <w:tc>
          <w:tcPr>
            <w:tcW w:w="2542" w:type="dxa"/>
            <w:noWrap/>
          </w:tcPr>
          <w:p w14:paraId="6C187598" w14:textId="77777777" w:rsidR="00BE54E9" w:rsidRPr="003F3F2B" w:rsidRDefault="00BE54E9" w:rsidP="00BE54E9">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 xml:space="preserve">Outside MA </w:t>
            </w:r>
          </w:p>
          <w:p w14:paraId="01643000" w14:textId="77777777" w:rsidR="00BE54E9" w:rsidRPr="003F3F2B" w:rsidRDefault="00BE54E9" w:rsidP="00BE54E9">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(New England)</w:t>
            </w:r>
            <w:r w:rsidRPr="003F3F2B">
              <w:rPr>
                <w:rStyle w:val="FootnoteReference"/>
                <w:rFonts w:asciiTheme="minorHAnsi" w:eastAsia="Times New Roman" w:hAnsiTheme="minorHAnsi"/>
                <w:color w:val="000000"/>
                <w:szCs w:val="24"/>
              </w:rPr>
              <w:t xml:space="preserve"> </w:t>
            </w:r>
            <w:r w:rsidRPr="003F3F2B">
              <w:rPr>
                <w:rStyle w:val="FootnoteReference"/>
                <w:rFonts w:asciiTheme="minorHAnsi" w:eastAsia="Times New Roman" w:hAnsiTheme="minorHAnsi"/>
                <w:color w:val="000000"/>
                <w:szCs w:val="24"/>
              </w:rPr>
              <w:footnoteReference w:id="16"/>
            </w:r>
          </w:p>
        </w:tc>
        <w:tc>
          <w:tcPr>
            <w:tcW w:w="1393" w:type="dxa"/>
            <w:noWrap/>
          </w:tcPr>
          <w:p w14:paraId="0173AA93" w14:textId="10BDE46E" w:rsidR="00BE54E9" w:rsidRPr="003F3F2B" w:rsidRDefault="002F5AF0" w:rsidP="00BE54E9">
            <w:pPr>
              <w:contextualSpacing/>
              <w:jc w:val="center"/>
              <w:rPr>
                <w:rFonts w:asciiTheme="minorHAnsi" w:eastAsia="Times New Roman" w:hAnsiTheme="minorHAnsi"/>
                <w:color w:val="000000"/>
                <w:szCs w:val="24"/>
              </w:rPr>
            </w:pPr>
            <w:r>
              <w:rPr>
                <w:rFonts w:asciiTheme="minorHAnsi" w:hAnsiTheme="minorHAnsi"/>
                <w:szCs w:val="24"/>
              </w:rPr>
              <w:t>23.2</w:t>
            </w:r>
            <w:r w:rsidR="00BE54E9" w:rsidRPr="003F3F2B">
              <w:rPr>
                <w:rFonts w:asciiTheme="minorHAnsi" w:hAnsiTheme="minorHAnsi"/>
                <w:szCs w:val="24"/>
              </w:rPr>
              <w:t>%</w:t>
            </w:r>
          </w:p>
        </w:tc>
        <w:tc>
          <w:tcPr>
            <w:tcW w:w="1393" w:type="dxa"/>
          </w:tcPr>
          <w:p w14:paraId="72EC92C9" w14:textId="5235EAD7" w:rsidR="00BE54E9" w:rsidRPr="003F3F2B" w:rsidRDefault="00BE54E9" w:rsidP="00BE54E9">
            <w:pPr>
              <w:contextualSpacing/>
              <w:jc w:val="center"/>
              <w:rPr>
                <w:rFonts w:asciiTheme="minorHAnsi" w:hAnsiTheme="minorHAnsi"/>
                <w:color w:val="000000"/>
                <w:szCs w:val="24"/>
              </w:rPr>
            </w:pPr>
            <w:r w:rsidRPr="003F3F2B">
              <w:rPr>
                <w:rFonts w:asciiTheme="minorHAnsi" w:hAnsiTheme="minorHAnsi"/>
                <w:szCs w:val="24"/>
              </w:rPr>
              <w:t>18.2%</w:t>
            </w:r>
          </w:p>
        </w:tc>
        <w:tc>
          <w:tcPr>
            <w:tcW w:w="1508" w:type="dxa"/>
          </w:tcPr>
          <w:p w14:paraId="5E243CDB" w14:textId="5DF7B7F0" w:rsidR="00BE54E9" w:rsidRPr="003F3F2B" w:rsidRDefault="00E30A37" w:rsidP="00BE54E9">
            <w:pPr>
              <w:contextualSpacing/>
              <w:jc w:val="center"/>
              <w:rPr>
                <w:rFonts w:asciiTheme="minorHAnsi" w:hAnsiTheme="minorHAnsi"/>
                <w:szCs w:val="24"/>
              </w:rPr>
            </w:pPr>
            <w:r>
              <w:rPr>
                <w:rFonts w:asciiTheme="minorHAnsi" w:hAnsiTheme="minorHAnsi"/>
                <w:szCs w:val="24"/>
              </w:rPr>
              <w:t>1</w:t>
            </w:r>
            <w:r w:rsidR="004278F5">
              <w:rPr>
                <w:rFonts w:asciiTheme="minorHAnsi" w:hAnsiTheme="minorHAnsi"/>
                <w:szCs w:val="24"/>
              </w:rPr>
              <w:t>9</w:t>
            </w:r>
            <w:r w:rsidR="00BE54E9" w:rsidRPr="003F3F2B">
              <w:rPr>
                <w:rFonts w:asciiTheme="minorHAnsi" w:hAnsiTheme="minorHAnsi"/>
                <w:szCs w:val="24"/>
              </w:rPr>
              <w:t>.</w:t>
            </w:r>
            <w:r w:rsidR="00C40200">
              <w:rPr>
                <w:rFonts w:asciiTheme="minorHAnsi" w:hAnsiTheme="minorHAnsi"/>
                <w:szCs w:val="24"/>
              </w:rPr>
              <w:t>1</w:t>
            </w:r>
            <w:r w:rsidR="00BE54E9" w:rsidRPr="003F3F2B">
              <w:rPr>
                <w:rFonts w:asciiTheme="minorHAnsi" w:hAnsiTheme="minorHAnsi"/>
                <w:szCs w:val="24"/>
              </w:rPr>
              <w:t>%</w:t>
            </w:r>
          </w:p>
        </w:tc>
      </w:tr>
      <w:tr w:rsidR="00BE54E9" w:rsidRPr="003F3F2B" w14:paraId="607FC9B5" w14:textId="48CCAB5C" w:rsidTr="000F7616">
        <w:trPr>
          <w:cantSplit/>
          <w:trHeight w:val="288"/>
        </w:trPr>
        <w:tc>
          <w:tcPr>
            <w:tcW w:w="2542" w:type="dxa"/>
            <w:noWrap/>
          </w:tcPr>
          <w:p w14:paraId="7F0ABAC4" w14:textId="77777777" w:rsidR="00BE54E9" w:rsidRPr="003F3F2B" w:rsidRDefault="00BE54E9" w:rsidP="00BE54E9">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lastRenderedPageBreak/>
              <w:t>Outside MA</w:t>
            </w:r>
          </w:p>
          <w:p w14:paraId="59ABF779" w14:textId="77777777" w:rsidR="00BE54E9" w:rsidRPr="003F3F2B" w:rsidRDefault="00BE54E9" w:rsidP="00BE54E9">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 xml:space="preserve"> (United States)</w:t>
            </w:r>
            <w:r w:rsidRPr="003F3F2B">
              <w:rPr>
                <w:rStyle w:val="FootnoteReference"/>
                <w:rFonts w:asciiTheme="minorHAnsi" w:eastAsia="Times New Roman" w:hAnsiTheme="minorHAnsi"/>
                <w:color w:val="000000"/>
                <w:szCs w:val="24"/>
              </w:rPr>
              <w:t xml:space="preserve"> </w:t>
            </w:r>
            <w:r w:rsidRPr="003F3F2B">
              <w:rPr>
                <w:rStyle w:val="FootnoteReference"/>
                <w:rFonts w:asciiTheme="minorHAnsi" w:eastAsia="Times New Roman" w:hAnsiTheme="minorHAnsi"/>
                <w:color w:val="000000"/>
                <w:szCs w:val="24"/>
              </w:rPr>
              <w:footnoteReference w:id="17"/>
            </w:r>
          </w:p>
        </w:tc>
        <w:tc>
          <w:tcPr>
            <w:tcW w:w="1393" w:type="dxa"/>
            <w:noWrap/>
          </w:tcPr>
          <w:p w14:paraId="5E5AE7E9" w14:textId="50E534F5" w:rsidR="00BE54E9" w:rsidRPr="003F3F2B" w:rsidRDefault="002F5AF0" w:rsidP="00BE54E9">
            <w:pPr>
              <w:contextualSpacing/>
              <w:jc w:val="center"/>
              <w:rPr>
                <w:rFonts w:asciiTheme="minorHAnsi" w:eastAsia="Times New Roman" w:hAnsiTheme="minorHAnsi"/>
                <w:color w:val="000000"/>
                <w:szCs w:val="24"/>
              </w:rPr>
            </w:pPr>
            <w:r>
              <w:rPr>
                <w:rFonts w:asciiTheme="minorHAnsi" w:hAnsiTheme="minorHAnsi"/>
                <w:szCs w:val="24"/>
              </w:rPr>
              <w:t>20.1</w:t>
            </w:r>
            <w:r w:rsidR="00BE54E9" w:rsidRPr="003F3F2B">
              <w:rPr>
                <w:rFonts w:asciiTheme="minorHAnsi" w:hAnsiTheme="minorHAnsi"/>
                <w:szCs w:val="24"/>
              </w:rPr>
              <w:t>%</w:t>
            </w:r>
          </w:p>
        </w:tc>
        <w:tc>
          <w:tcPr>
            <w:tcW w:w="1393" w:type="dxa"/>
          </w:tcPr>
          <w:p w14:paraId="08443C77" w14:textId="797F1FEE" w:rsidR="00BE54E9" w:rsidRPr="003F3F2B" w:rsidRDefault="00BE54E9" w:rsidP="00BE54E9">
            <w:pPr>
              <w:contextualSpacing/>
              <w:jc w:val="center"/>
              <w:rPr>
                <w:rFonts w:asciiTheme="minorHAnsi" w:hAnsiTheme="minorHAnsi"/>
                <w:color w:val="000000"/>
                <w:szCs w:val="24"/>
              </w:rPr>
            </w:pPr>
            <w:r w:rsidRPr="003F3F2B">
              <w:rPr>
                <w:rFonts w:asciiTheme="minorHAnsi" w:hAnsiTheme="minorHAnsi"/>
                <w:szCs w:val="24"/>
              </w:rPr>
              <w:t>23.7%</w:t>
            </w:r>
          </w:p>
        </w:tc>
        <w:tc>
          <w:tcPr>
            <w:tcW w:w="1508" w:type="dxa"/>
          </w:tcPr>
          <w:p w14:paraId="6ED6BE36" w14:textId="1821E317" w:rsidR="00BE54E9" w:rsidRPr="003F3F2B" w:rsidRDefault="00737028" w:rsidP="00BE54E9">
            <w:pPr>
              <w:contextualSpacing/>
              <w:jc w:val="center"/>
              <w:rPr>
                <w:rFonts w:asciiTheme="minorHAnsi" w:hAnsiTheme="minorHAnsi"/>
                <w:color w:val="000000"/>
                <w:szCs w:val="24"/>
              </w:rPr>
            </w:pPr>
            <w:r>
              <w:rPr>
                <w:rFonts w:asciiTheme="minorHAnsi" w:hAnsiTheme="minorHAnsi"/>
                <w:szCs w:val="24"/>
              </w:rPr>
              <w:t>2</w:t>
            </w:r>
            <w:r w:rsidR="004278F5">
              <w:rPr>
                <w:rFonts w:asciiTheme="minorHAnsi" w:hAnsiTheme="minorHAnsi"/>
                <w:szCs w:val="24"/>
              </w:rPr>
              <w:t>7</w:t>
            </w:r>
            <w:r w:rsidR="00BE54E9" w:rsidRPr="003F3F2B">
              <w:rPr>
                <w:rFonts w:asciiTheme="minorHAnsi" w:hAnsiTheme="minorHAnsi"/>
                <w:szCs w:val="24"/>
              </w:rPr>
              <w:t>.</w:t>
            </w:r>
            <w:r>
              <w:rPr>
                <w:rFonts w:asciiTheme="minorHAnsi" w:hAnsiTheme="minorHAnsi"/>
                <w:szCs w:val="24"/>
              </w:rPr>
              <w:t>9</w:t>
            </w:r>
            <w:r w:rsidR="00BE54E9" w:rsidRPr="003F3F2B">
              <w:rPr>
                <w:rFonts w:asciiTheme="minorHAnsi" w:hAnsiTheme="minorHAnsi"/>
                <w:szCs w:val="24"/>
              </w:rPr>
              <w:t>%</w:t>
            </w:r>
          </w:p>
        </w:tc>
      </w:tr>
      <w:tr w:rsidR="00BE54E9" w:rsidRPr="003F3F2B" w14:paraId="4014EDAA" w14:textId="574373F5" w:rsidTr="09B908E4">
        <w:trPr>
          <w:cantSplit/>
          <w:trHeight w:val="77"/>
        </w:trPr>
        <w:tc>
          <w:tcPr>
            <w:tcW w:w="2542" w:type="dxa"/>
            <w:noWrap/>
            <w:hideMark/>
          </w:tcPr>
          <w:p w14:paraId="216A0C75" w14:textId="110FB74F" w:rsidR="00BE54E9" w:rsidRPr="003F3F2B" w:rsidRDefault="00BE54E9" w:rsidP="00BE54E9">
            <w:pPr>
              <w:ind w:left="144"/>
              <w:contextualSpacing/>
              <w:rPr>
                <w:rFonts w:asciiTheme="minorHAnsi" w:eastAsia="Times New Roman" w:hAnsiTheme="minorHAnsi"/>
                <w:color w:val="000000"/>
                <w:szCs w:val="24"/>
              </w:rPr>
            </w:pPr>
            <w:r w:rsidRPr="003F3F2B">
              <w:rPr>
                <w:rFonts w:asciiTheme="minorHAnsi" w:eastAsia="Times New Roman" w:hAnsiTheme="minorHAnsi"/>
                <w:color w:val="000000"/>
                <w:szCs w:val="24"/>
              </w:rPr>
              <w:t>Outside MA (International)</w:t>
            </w:r>
            <w:r w:rsidRPr="003F3F2B">
              <w:rPr>
                <w:rStyle w:val="FootnoteReference"/>
                <w:rFonts w:asciiTheme="minorHAnsi" w:eastAsia="Times New Roman" w:hAnsiTheme="minorHAnsi"/>
                <w:color w:val="000000"/>
                <w:szCs w:val="24"/>
              </w:rPr>
              <w:t xml:space="preserve"> </w:t>
            </w:r>
            <w:r w:rsidRPr="003F3F2B">
              <w:rPr>
                <w:rStyle w:val="FootnoteReference"/>
                <w:rFonts w:asciiTheme="minorHAnsi" w:eastAsia="Times New Roman" w:hAnsiTheme="minorHAnsi"/>
                <w:color w:val="000000"/>
                <w:szCs w:val="24"/>
              </w:rPr>
              <w:footnoteReference w:id="18"/>
            </w:r>
            <w:r w:rsidR="007E5EB3" w:rsidRPr="003B2CD4">
              <w:rPr>
                <w:rFonts w:asciiTheme="minorHAnsi" w:eastAsia="Times New Roman" w:hAnsiTheme="minorHAnsi"/>
                <w:color w:val="000000"/>
                <w:szCs w:val="24"/>
                <w:vertAlign w:val="superscript"/>
              </w:rPr>
              <w:t>,</w:t>
            </w:r>
            <w:r w:rsidR="007E5EB3">
              <w:rPr>
                <w:rStyle w:val="FootnoteReference"/>
                <w:rFonts w:asciiTheme="minorHAnsi" w:eastAsia="Times New Roman" w:hAnsiTheme="minorHAnsi"/>
                <w:color w:val="000000"/>
                <w:szCs w:val="24"/>
              </w:rPr>
              <w:footnoteReference w:id="19"/>
            </w:r>
          </w:p>
        </w:tc>
        <w:tc>
          <w:tcPr>
            <w:tcW w:w="1393" w:type="dxa"/>
            <w:noWrap/>
          </w:tcPr>
          <w:p w14:paraId="59DE4BF5" w14:textId="63580731" w:rsidR="00BE54E9" w:rsidRPr="003F3F2B" w:rsidRDefault="002F5AF0" w:rsidP="00BE54E9">
            <w:pPr>
              <w:contextualSpacing/>
              <w:jc w:val="center"/>
              <w:rPr>
                <w:rFonts w:asciiTheme="minorHAnsi" w:eastAsia="Times New Roman" w:hAnsiTheme="minorHAnsi"/>
                <w:color w:val="000000"/>
                <w:szCs w:val="24"/>
              </w:rPr>
            </w:pPr>
            <w:r>
              <w:rPr>
                <w:rFonts w:asciiTheme="minorHAnsi" w:hAnsiTheme="minorHAnsi"/>
                <w:szCs w:val="24"/>
              </w:rPr>
              <w:t>1.0</w:t>
            </w:r>
            <w:r w:rsidR="00BE54E9" w:rsidRPr="003F3F2B">
              <w:rPr>
                <w:rFonts w:asciiTheme="minorHAnsi" w:hAnsiTheme="minorHAnsi"/>
                <w:szCs w:val="24"/>
              </w:rPr>
              <w:t>%</w:t>
            </w:r>
          </w:p>
        </w:tc>
        <w:tc>
          <w:tcPr>
            <w:tcW w:w="1393" w:type="dxa"/>
          </w:tcPr>
          <w:p w14:paraId="277C9F26" w14:textId="1CF8E7E5" w:rsidR="00BE54E9" w:rsidRPr="003F3F2B" w:rsidRDefault="00BE54E9" w:rsidP="00BE54E9">
            <w:pPr>
              <w:contextualSpacing/>
              <w:jc w:val="center"/>
              <w:rPr>
                <w:rFonts w:asciiTheme="minorHAnsi" w:hAnsiTheme="minorHAnsi"/>
                <w:szCs w:val="24"/>
              </w:rPr>
            </w:pPr>
            <w:r w:rsidRPr="003F3F2B">
              <w:rPr>
                <w:rFonts w:asciiTheme="minorHAnsi" w:hAnsiTheme="minorHAnsi"/>
                <w:szCs w:val="24"/>
              </w:rPr>
              <w:t>2.3%</w:t>
            </w:r>
          </w:p>
        </w:tc>
        <w:tc>
          <w:tcPr>
            <w:tcW w:w="1508" w:type="dxa"/>
          </w:tcPr>
          <w:p w14:paraId="51C46E78" w14:textId="2B6ABED1" w:rsidR="00BE54E9" w:rsidRPr="003F3F2B" w:rsidRDefault="00737028" w:rsidP="00BE54E9">
            <w:pPr>
              <w:contextualSpacing/>
              <w:jc w:val="center"/>
              <w:rPr>
                <w:rFonts w:asciiTheme="minorHAnsi" w:hAnsiTheme="minorHAnsi"/>
                <w:szCs w:val="24"/>
              </w:rPr>
            </w:pPr>
            <w:r>
              <w:rPr>
                <w:rFonts w:asciiTheme="minorHAnsi" w:hAnsiTheme="minorHAnsi"/>
                <w:szCs w:val="24"/>
              </w:rPr>
              <w:t>1</w:t>
            </w:r>
            <w:r w:rsidR="00BE54E9" w:rsidRPr="003F3F2B">
              <w:rPr>
                <w:rFonts w:asciiTheme="minorHAnsi" w:hAnsiTheme="minorHAnsi"/>
                <w:szCs w:val="24"/>
              </w:rPr>
              <w:t>.</w:t>
            </w:r>
            <w:r w:rsidR="004278F5">
              <w:rPr>
                <w:rFonts w:asciiTheme="minorHAnsi" w:hAnsiTheme="minorHAnsi"/>
                <w:szCs w:val="24"/>
              </w:rPr>
              <w:t>4</w:t>
            </w:r>
            <w:r w:rsidR="00BE54E9" w:rsidRPr="003F3F2B">
              <w:rPr>
                <w:rFonts w:asciiTheme="minorHAnsi" w:hAnsiTheme="minorHAnsi"/>
                <w:szCs w:val="24"/>
              </w:rPr>
              <w:t>%</w:t>
            </w:r>
          </w:p>
        </w:tc>
      </w:tr>
    </w:tbl>
    <w:p w14:paraId="3275E83E" w14:textId="132409D7" w:rsidR="00684BF6" w:rsidRDefault="00684BF6" w:rsidP="00684BF6">
      <w:r>
        <w:t xml:space="preserve">Table 7 shows the </w:t>
      </w:r>
      <w:r w:rsidRPr="00AB348B">
        <w:t xml:space="preserve">payer mix for </w:t>
      </w:r>
      <w:r>
        <w:t xml:space="preserve">the Longwood Medical Campus. </w:t>
      </w:r>
    </w:p>
    <w:p w14:paraId="7CEB4C28" w14:textId="77777777" w:rsidR="00E26D0F" w:rsidRDefault="00E26D0F" w:rsidP="00684BF6"/>
    <w:p w14:paraId="7F6A112B" w14:textId="2CD37E26" w:rsidR="00684BF6" w:rsidRPr="007F46F5" w:rsidRDefault="00684BF6" w:rsidP="00684BF6">
      <w:pPr>
        <w:rPr>
          <w:b/>
          <w:bCs/>
        </w:rPr>
      </w:pPr>
      <w:r w:rsidRPr="00206C59">
        <w:rPr>
          <w:b/>
          <w:bCs/>
          <w:u w:val="single"/>
        </w:rPr>
        <w:t xml:space="preserve">Table </w:t>
      </w:r>
      <w:r>
        <w:rPr>
          <w:b/>
          <w:bCs/>
          <w:u w:val="single"/>
        </w:rPr>
        <w:t>7</w:t>
      </w:r>
      <w:r>
        <w:rPr>
          <w:b/>
          <w:bCs/>
        </w:rPr>
        <w:t xml:space="preserve">: </w:t>
      </w:r>
      <w:r w:rsidR="006A4FD9">
        <w:rPr>
          <w:b/>
          <w:bCs/>
        </w:rPr>
        <w:t xml:space="preserve">Dana-Farber </w:t>
      </w:r>
      <w:r w:rsidRPr="00E43E76">
        <w:rPr>
          <w:b/>
          <w:bCs/>
        </w:rPr>
        <w:t>Payor Mix (Gross Revenues)</w:t>
      </w:r>
      <w:r>
        <w:rPr>
          <w:b/>
          <w:bCs/>
        </w:rPr>
        <w:t xml:space="preserve"> </w:t>
      </w:r>
      <w:r w:rsidRPr="00E43E76">
        <w:rPr>
          <w:b/>
          <w:bCs/>
        </w:rPr>
        <w:t>Longwood Medical Campus</w:t>
      </w:r>
      <w:r w:rsidR="00705DEE">
        <w:rPr>
          <w:rStyle w:val="FootnoteReference"/>
          <w:b/>
          <w:bCs/>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814"/>
        <w:gridCol w:w="814"/>
        <w:gridCol w:w="814"/>
        <w:gridCol w:w="814"/>
        <w:gridCol w:w="814"/>
        <w:gridCol w:w="814"/>
      </w:tblGrid>
      <w:tr w:rsidR="003D71DD" w:rsidRPr="006A4FD9" w14:paraId="4C94553C" w14:textId="77777777" w:rsidTr="000F7616">
        <w:trPr>
          <w:cantSplit/>
          <w:trHeight w:val="290"/>
          <w:tblHeader/>
        </w:trPr>
        <w:tc>
          <w:tcPr>
            <w:tcW w:w="0" w:type="auto"/>
            <w:shd w:val="clear" w:color="auto" w:fill="auto"/>
            <w:vAlign w:val="center"/>
            <w:hideMark/>
          </w:tcPr>
          <w:p w14:paraId="242F87F0" w14:textId="77777777" w:rsidR="00016CC3" w:rsidRPr="006A4FD9" w:rsidRDefault="00016CC3" w:rsidP="00F670C6">
            <w:pPr>
              <w:widowControl/>
              <w:autoSpaceDE/>
              <w:autoSpaceDN/>
              <w:jc w:val="both"/>
              <w:rPr>
                <w:rFonts w:asciiTheme="minorHAnsi" w:eastAsia="Times New Roman" w:hAnsiTheme="minorHAnsi"/>
                <w:color w:val="000000"/>
                <w:szCs w:val="24"/>
              </w:rPr>
            </w:pPr>
            <w:r w:rsidRPr="006A4FD9">
              <w:rPr>
                <w:rFonts w:asciiTheme="minorHAnsi" w:eastAsia="Times New Roman" w:hAnsiTheme="minorHAnsi"/>
                <w:color w:val="000000"/>
                <w:szCs w:val="24"/>
              </w:rPr>
              <w:t> </w:t>
            </w:r>
          </w:p>
        </w:tc>
        <w:tc>
          <w:tcPr>
            <w:tcW w:w="0" w:type="auto"/>
            <w:shd w:val="clear" w:color="auto" w:fill="D9E1F2"/>
            <w:vAlign w:val="center"/>
            <w:hideMark/>
          </w:tcPr>
          <w:p w14:paraId="4E7EBCEE" w14:textId="77777777" w:rsidR="00016CC3" w:rsidRPr="006A4FD9" w:rsidRDefault="00016CC3" w:rsidP="00875F03">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FY18</w:t>
            </w:r>
          </w:p>
        </w:tc>
        <w:tc>
          <w:tcPr>
            <w:tcW w:w="0" w:type="auto"/>
            <w:shd w:val="clear" w:color="auto" w:fill="D9E1F2"/>
            <w:vAlign w:val="center"/>
            <w:hideMark/>
          </w:tcPr>
          <w:p w14:paraId="6F22DFE2" w14:textId="77777777" w:rsidR="00016CC3" w:rsidRPr="006A4FD9" w:rsidRDefault="00016CC3" w:rsidP="00875F03">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FY19</w:t>
            </w:r>
          </w:p>
        </w:tc>
        <w:tc>
          <w:tcPr>
            <w:tcW w:w="0" w:type="auto"/>
            <w:shd w:val="clear" w:color="auto" w:fill="D9E1F2"/>
            <w:vAlign w:val="center"/>
            <w:hideMark/>
          </w:tcPr>
          <w:p w14:paraId="27F3D0BF" w14:textId="77777777" w:rsidR="00016CC3" w:rsidRPr="006A4FD9" w:rsidRDefault="00016CC3" w:rsidP="00875F03">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FY20</w:t>
            </w:r>
          </w:p>
        </w:tc>
        <w:tc>
          <w:tcPr>
            <w:tcW w:w="0" w:type="auto"/>
            <w:shd w:val="clear" w:color="auto" w:fill="D9E1F2"/>
            <w:vAlign w:val="center"/>
            <w:hideMark/>
          </w:tcPr>
          <w:p w14:paraId="4F9BFBBD" w14:textId="77777777" w:rsidR="00016CC3" w:rsidRPr="006A4FD9" w:rsidRDefault="00016CC3" w:rsidP="00875F03">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FY21</w:t>
            </w:r>
          </w:p>
        </w:tc>
        <w:tc>
          <w:tcPr>
            <w:tcW w:w="0" w:type="auto"/>
            <w:shd w:val="clear" w:color="auto" w:fill="D9E1F2"/>
            <w:vAlign w:val="center"/>
            <w:hideMark/>
          </w:tcPr>
          <w:p w14:paraId="2E155F06" w14:textId="77777777" w:rsidR="00016CC3" w:rsidRPr="006A4FD9" w:rsidRDefault="00016CC3" w:rsidP="00875F03">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FY22</w:t>
            </w:r>
          </w:p>
        </w:tc>
        <w:tc>
          <w:tcPr>
            <w:tcW w:w="0" w:type="auto"/>
            <w:shd w:val="clear" w:color="auto" w:fill="D9E1F2"/>
          </w:tcPr>
          <w:p w14:paraId="26228183" w14:textId="0A675FA0" w:rsidR="00016CC3" w:rsidRPr="006A4FD9" w:rsidRDefault="00016CC3" w:rsidP="00875F03">
            <w:pPr>
              <w:widowControl/>
              <w:autoSpaceDE/>
              <w:autoSpaceDN/>
              <w:jc w:val="center"/>
              <w:rPr>
                <w:rFonts w:asciiTheme="minorHAnsi" w:eastAsia="Times New Roman" w:hAnsiTheme="minorHAnsi"/>
                <w:b/>
                <w:bCs/>
                <w:color w:val="000000"/>
                <w:szCs w:val="24"/>
              </w:rPr>
            </w:pPr>
            <w:r>
              <w:rPr>
                <w:rFonts w:asciiTheme="minorHAnsi" w:eastAsia="Times New Roman" w:hAnsiTheme="minorHAnsi"/>
                <w:b/>
                <w:bCs/>
                <w:color w:val="000000"/>
                <w:szCs w:val="24"/>
              </w:rPr>
              <w:t>FY23</w:t>
            </w:r>
          </w:p>
        </w:tc>
      </w:tr>
      <w:tr w:rsidR="003D71DD" w:rsidRPr="006A4FD9" w14:paraId="207A2F71" w14:textId="77777777" w:rsidTr="000F7616">
        <w:trPr>
          <w:cantSplit/>
          <w:trHeight w:val="290"/>
        </w:trPr>
        <w:tc>
          <w:tcPr>
            <w:tcW w:w="0" w:type="auto"/>
            <w:shd w:val="clear" w:color="auto" w:fill="auto"/>
            <w:vAlign w:val="center"/>
            <w:hideMark/>
          </w:tcPr>
          <w:p w14:paraId="7196BEA1" w14:textId="77777777" w:rsidR="00016CC3" w:rsidRPr="006A4FD9" w:rsidRDefault="00016CC3" w:rsidP="00F670C6">
            <w:pPr>
              <w:widowControl/>
              <w:autoSpaceDE/>
              <w:autoSpaceDN/>
              <w:jc w:val="both"/>
              <w:rPr>
                <w:rFonts w:asciiTheme="minorHAnsi" w:eastAsia="Times New Roman" w:hAnsiTheme="minorHAnsi"/>
                <w:color w:val="000000"/>
                <w:szCs w:val="24"/>
              </w:rPr>
            </w:pPr>
            <w:r w:rsidRPr="006A4FD9">
              <w:rPr>
                <w:rFonts w:asciiTheme="minorHAnsi" w:eastAsia="Times New Roman" w:hAnsiTheme="minorHAnsi"/>
                <w:color w:val="000000"/>
                <w:szCs w:val="24"/>
              </w:rPr>
              <w:t>Medicare</w:t>
            </w:r>
          </w:p>
        </w:tc>
        <w:tc>
          <w:tcPr>
            <w:tcW w:w="0" w:type="auto"/>
            <w:shd w:val="clear" w:color="auto" w:fill="auto"/>
            <w:vAlign w:val="center"/>
            <w:hideMark/>
          </w:tcPr>
          <w:p w14:paraId="3F1C0C8A"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40.3%</w:t>
            </w:r>
          </w:p>
        </w:tc>
        <w:tc>
          <w:tcPr>
            <w:tcW w:w="0" w:type="auto"/>
            <w:shd w:val="clear" w:color="auto" w:fill="auto"/>
            <w:vAlign w:val="center"/>
            <w:hideMark/>
          </w:tcPr>
          <w:p w14:paraId="3219F342"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41.0%</w:t>
            </w:r>
          </w:p>
        </w:tc>
        <w:tc>
          <w:tcPr>
            <w:tcW w:w="0" w:type="auto"/>
            <w:shd w:val="clear" w:color="auto" w:fill="auto"/>
            <w:vAlign w:val="center"/>
            <w:hideMark/>
          </w:tcPr>
          <w:p w14:paraId="2895FEC0"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42.0%</w:t>
            </w:r>
          </w:p>
        </w:tc>
        <w:tc>
          <w:tcPr>
            <w:tcW w:w="0" w:type="auto"/>
            <w:shd w:val="clear" w:color="auto" w:fill="auto"/>
            <w:vAlign w:val="center"/>
            <w:hideMark/>
          </w:tcPr>
          <w:p w14:paraId="1D5AC213"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43.5%</w:t>
            </w:r>
          </w:p>
        </w:tc>
        <w:tc>
          <w:tcPr>
            <w:tcW w:w="0" w:type="auto"/>
            <w:shd w:val="clear" w:color="auto" w:fill="auto"/>
            <w:vAlign w:val="center"/>
            <w:hideMark/>
          </w:tcPr>
          <w:p w14:paraId="3DD420D4"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43.4%</w:t>
            </w:r>
          </w:p>
        </w:tc>
        <w:tc>
          <w:tcPr>
            <w:tcW w:w="0" w:type="auto"/>
          </w:tcPr>
          <w:p w14:paraId="6FBA1A10" w14:textId="6AD9F232" w:rsidR="00016CC3" w:rsidRPr="006A4FD9" w:rsidRDefault="00016CC3" w:rsidP="00875F03">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t>46.0%</w:t>
            </w:r>
          </w:p>
        </w:tc>
      </w:tr>
      <w:tr w:rsidR="003D71DD" w:rsidRPr="006A4FD9" w14:paraId="290DB6CB" w14:textId="77777777" w:rsidTr="000F7616">
        <w:trPr>
          <w:cantSplit/>
          <w:trHeight w:val="290"/>
        </w:trPr>
        <w:tc>
          <w:tcPr>
            <w:tcW w:w="0" w:type="auto"/>
            <w:shd w:val="clear" w:color="auto" w:fill="auto"/>
            <w:vAlign w:val="center"/>
            <w:hideMark/>
          </w:tcPr>
          <w:p w14:paraId="0A7ABB13" w14:textId="77777777" w:rsidR="00016CC3" w:rsidRPr="006A4FD9" w:rsidRDefault="00016CC3" w:rsidP="00F670C6">
            <w:pPr>
              <w:widowControl/>
              <w:autoSpaceDE/>
              <w:autoSpaceDN/>
              <w:jc w:val="both"/>
              <w:rPr>
                <w:rFonts w:asciiTheme="minorHAnsi" w:eastAsia="Times New Roman" w:hAnsiTheme="minorHAnsi"/>
                <w:color w:val="000000"/>
                <w:szCs w:val="24"/>
              </w:rPr>
            </w:pPr>
            <w:r w:rsidRPr="006A4FD9">
              <w:rPr>
                <w:rFonts w:asciiTheme="minorHAnsi" w:eastAsia="Times New Roman" w:hAnsiTheme="minorHAnsi"/>
                <w:color w:val="000000"/>
                <w:szCs w:val="24"/>
              </w:rPr>
              <w:t>Medicaid</w:t>
            </w:r>
          </w:p>
        </w:tc>
        <w:tc>
          <w:tcPr>
            <w:tcW w:w="0" w:type="auto"/>
            <w:shd w:val="clear" w:color="auto" w:fill="auto"/>
            <w:vAlign w:val="center"/>
            <w:hideMark/>
          </w:tcPr>
          <w:p w14:paraId="21678426"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themeColor="text1"/>
                <w:szCs w:val="24"/>
              </w:rPr>
              <w:t>6.3%</w:t>
            </w:r>
          </w:p>
        </w:tc>
        <w:tc>
          <w:tcPr>
            <w:tcW w:w="0" w:type="auto"/>
            <w:shd w:val="clear" w:color="auto" w:fill="auto"/>
            <w:vAlign w:val="center"/>
            <w:hideMark/>
          </w:tcPr>
          <w:p w14:paraId="1B455AC8"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6.0%</w:t>
            </w:r>
          </w:p>
        </w:tc>
        <w:tc>
          <w:tcPr>
            <w:tcW w:w="0" w:type="auto"/>
            <w:shd w:val="clear" w:color="auto" w:fill="auto"/>
            <w:vAlign w:val="center"/>
            <w:hideMark/>
          </w:tcPr>
          <w:p w14:paraId="4EB86E3E"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5.8%</w:t>
            </w:r>
          </w:p>
        </w:tc>
        <w:tc>
          <w:tcPr>
            <w:tcW w:w="0" w:type="auto"/>
            <w:shd w:val="clear" w:color="auto" w:fill="auto"/>
            <w:vAlign w:val="center"/>
            <w:hideMark/>
          </w:tcPr>
          <w:p w14:paraId="146A1439"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6.2%</w:t>
            </w:r>
          </w:p>
        </w:tc>
        <w:tc>
          <w:tcPr>
            <w:tcW w:w="0" w:type="auto"/>
            <w:shd w:val="clear" w:color="auto" w:fill="auto"/>
            <w:vAlign w:val="center"/>
            <w:hideMark/>
          </w:tcPr>
          <w:p w14:paraId="44967E10"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6.2%</w:t>
            </w:r>
          </w:p>
        </w:tc>
        <w:tc>
          <w:tcPr>
            <w:tcW w:w="0" w:type="auto"/>
          </w:tcPr>
          <w:p w14:paraId="3CE065C9" w14:textId="371F358E" w:rsidR="00016CC3" w:rsidRPr="006A4FD9" w:rsidRDefault="00016CC3" w:rsidP="00875F03">
            <w:pPr>
              <w:widowControl/>
              <w:autoSpaceDE/>
              <w:autoSpaceDN/>
              <w:jc w:val="center"/>
              <w:rPr>
                <w:rFonts w:asciiTheme="minorHAnsi" w:eastAsia="Times New Roman" w:hAnsiTheme="minorHAnsi"/>
                <w:color w:val="000000" w:themeColor="text1"/>
                <w:szCs w:val="24"/>
              </w:rPr>
            </w:pPr>
            <w:r>
              <w:rPr>
                <w:rFonts w:asciiTheme="minorHAnsi" w:eastAsia="Times New Roman" w:hAnsiTheme="minorHAnsi"/>
                <w:color w:val="000000" w:themeColor="text1"/>
                <w:szCs w:val="24"/>
              </w:rPr>
              <w:t>6.7%</w:t>
            </w:r>
          </w:p>
        </w:tc>
      </w:tr>
      <w:tr w:rsidR="003D71DD" w:rsidRPr="006A4FD9" w14:paraId="54D12DC6" w14:textId="77777777" w:rsidTr="000F7616">
        <w:trPr>
          <w:cantSplit/>
          <w:trHeight w:val="290"/>
        </w:trPr>
        <w:tc>
          <w:tcPr>
            <w:tcW w:w="0" w:type="auto"/>
            <w:shd w:val="clear" w:color="auto" w:fill="auto"/>
            <w:vAlign w:val="center"/>
            <w:hideMark/>
          </w:tcPr>
          <w:p w14:paraId="0E2A435F" w14:textId="77777777" w:rsidR="00016CC3" w:rsidRPr="006A4FD9" w:rsidRDefault="00016CC3" w:rsidP="00F670C6">
            <w:pPr>
              <w:widowControl/>
              <w:autoSpaceDE/>
              <w:autoSpaceDN/>
              <w:jc w:val="both"/>
              <w:rPr>
                <w:rFonts w:asciiTheme="minorHAnsi" w:eastAsia="Times New Roman" w:hAnsiTheme="minorHAnsi"/>
                <w:color w:val="000000"/>
                <w:szCs w:val="24"/>
              </w:rPr>
            </w:pPr>
            <w:r w:rsidRPr="006A4FD9">
              <w:rPr>
                <w:rFonts w:asciiTheme="minorHAnsi" w:eastAsia="Times New Roman" w:hAnsiTheme="minorHAnsi"/>
                <w:color w:val="000000"/>
                <w:szCs w:val="24"/>
              </w:rPr>
              <w:t>Blue Cross</w:t>
            </w:r>
          </w:p>
        </w:tc>
        <w:tc>
          <w:tcPr>
            <w:tcW w:w="0" w:type="auto"/>
            <w:shd w:val="clear" w:color="auto" w:fill="auto"/>
            <w:vAlign w:val="center"/>
            <w:hideMark/>
          </w:tcPr>
          <w:p w14:paraId="06673AC7"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23.5%</w:t>
            </w:r>
          </w:p>
        </w:tc>
        <w:tc>
          <w:tcPr>
            <w:tcW w:w="0" w:type="auto"/>
            <w:shd w:val="clear" w:color="auto" w:fill="auto"/>
            <w:vAlign w:val="center"/>
            <w:hideMark/>
          </w:tcPr>
          <w:p w14:paraId="41469EAA"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23.3%</w:t>
            </w:r>
          </w:p>
        </w:tc>
        <w:tc>
          <w:tcPr>
            <w:tcW w:w="0" w:type="auto"/>
            <w:shd w:val="clear" w:color="auto" w:fill="auto"/>
            <w:vAlign w:val="center"/>
            <w:hideMark/>
          </w:tcPr>
          <w:p w14:paraId="4D41A657"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23.8%</w:t>
            </w:r>
          </w:p>
        </w:tc>
        <w:tc>
          <w:tcPr>
            <w:tcW w:w="0" w:type="auto"/>
            <w:shd w:val="clear" w:color="auto" w:fill="auto"/>
            <w:vAlign w:val="center"/>
            <w:hideMark/>
          </w:tcPr>
          <w:p w14:paraId="6A97357D"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23.3%</w:t>
            </w:r>
          </w:p>
        </w:tc>
        <w:tc>
          <w:tcPr>
            <w:tcW w:w="0" w:type="auto"/>
            <w:shd w:val="clear" w:color="auto" w:fill="auto"/>
            <w:vAlign w:val="center"/>
            <w:hideMark/>
          </w:tcPr>
          <w:p w14:paraId="45EBED1A"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23.3%</w:t>
            </w:r>
          </w:p>
        </w:tc>
        <w:tc>
          <w:tcPr>
            <w:tcW w:w="0" w:type="auto"/>
          </w:tcPr>
          <w:p w14:paraId="2E2EB984" w14:textId="01EC8F8C" w:rsidR="00016CC3" w:rsidRPr="006A4FD9" w:rsidRDefault="00016CC3" w:rsidP="00875F03">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t>21.9%</w:t>
            </w:r>
          </w:p>
        </w:tc>
      </w:tr>
      <w:tr w:rsidR="003D71DD" w:rsidRPr="006A4FD9" w14:paraId="1782965E" w14:textId="77777777" w:rsidTr="000F7616">
        <w:trPr>
          <w:cantSplit/>
          <w:trHeight w:val="290"/>
        </w:trPr>
        <w:tc>
          <w:tcPr>
            <w:tcW w:w="0" w:type="auto"/>
            <w:shd w:val="clear" w:color="auto" w:fill="auto"/>
            <w:vAlign w:val="center"/>
            <w:hideMark/>
          </w:tcPr>
          <w:p w14:paraId="77D5F8B1" w14:textId="218B1911" w:rsidR="00016CC3" w:rsidRPr="006A4FD9" w:rsidRDefault="00016CC3" w:rsidP="00F670C6">
            <w:pPr>
              <w:widowControl/>
              <w:autoSpaceDE/>
              <w:autoSpaceDN/>
              <w:jc w:val="both"/>
              <w:rPr>
                <w:rFonts w:asciiTheme="minorHAnsi" w:eastAsia="Times New Roman" w:hAnsiTheme="minorHAnsi"/>
                <w:color w:val="000000"/>
                <w:szCs w:val="24"/>
              </w:rPr>
            </w:pPr>
            <w:r w:rsidRPr="006A4FD9">
              <w:rPr>
                <w:rFonts w:asciiTheme="minorHAnsi" w:eastAsia="Times New Roman" w:hAnsiTheme="minorHAnsi"/>
                <w:color w:val="000000"/>
                <w:szCs w:val="24"/>
              </w:rPr>
              <w:t>HMO,</w:t>
            </w:r>
            <w:r w:rsidR="003D71DD">
              <w:rPr>
                <w:rFonts w:asciiTheme="minorHAnsi" w:eastAsia="Times New Roman" w:hAnsiTheme="minorHAnsi"/>
                <w:color w:val="000000"/>
                <w:szCs w:val="24"/>
              </w:rPr>
              <w:t xml:space="preserve"> </w:t>
            </w:r>
            <w:r w:rsidRPr="006A4FD9">
              <w:rPr>
                <w:rFonts w:asciiTheme="minorHAnsi" w:eastAsia="Times New Roman" w:hAnsiTheme="minorHAnsi"/>
                <w:color w:val="000000"/>
                <w:szCs w:val="24"/>
              </w:rPr>
              <w:t>Commercial, Other</w:t>
            </w:r>
          </w:p>
        </w:tc>
        <w:tc>
          <w:tcPr>
            <w:tcW w:w="0" w:type="auto"/>
            <w:shd w:val="clear" w:color="auto" w:fill="auto"/>
            <w:vAlign w:val="center"/>
            <w:hideMark/>
          </w:tcPr>
          <w:p w14:paraId="66B2907D"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29.2%</w:t>
            </w:r>
          </w:p>
        </w:tc>
        <w:tc>
          <w:tcPr>
            <w:tcW w:w="0" w:type="auto"/>
            <w:shd w:val="clear" w:color="auto" w:fill="auto"/>
            <w:vAlign w:val="center"/>
            <w:hideMark/>
          </w:tcPr>
          <w:p w14:paraId="6B5E04B7"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28.9%</w:t>
            </w:r>
          </w:p>
        </w:tc>
        <w:tc>
          <w:tcPr>
            <w:tcW w:w="0" w:type="auto"/>
            <w:shd w:val="clear" w:color="auto" w:fill="auto"/>
            <w:vAlign w:val="center"/>
            <w:hideMark/>
          </w:tcPr>
          <w:p w14:paraId="10E7E39C"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28.1%</w:t>
            </w:r>
          </w:p>
        </w:tc>
        <w:tc>
          <w:tcPr>
            <w:tcW w:w="0" w:type="auto"/>
            <w:shd w:val="clear" w:color="auto" w:fill="auto"/>
            <w:vAlign w:val="center"/>
            <w:hideMark/>
          </w:tcPr>
          <w:p w14:paraId="2B13865B"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26.8%</w:t>
            </w:r>
          </w:p>
        </w:tc>
        <w:tc>
          <w:tcPr>
            <w:tcW w:w="0" w:type="auto"/>
            <w:shd w:val="clear" w:color="auto" w:fill="auto"/>
            <w:vAlign w:val="center"/>
            <w:hideMark/>
          </w:tcPr>
          <w:p w14:paraId="27160AC1"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26.9%</w:t>
            </w:r>
          </w:p>
        </w:tc>
        <w:tc>
          <w:tcPr>
            <w:tcW w:w="0" w:type="auto"/>
          </w:tcPr>
          <w:p w14:paraId="13307DF3" w14:textId="19C32300" w:rsidR="00016CC3" w:rsidRPr="006A4FD9" w:rsidRDefault="00016CC3" w:rsidP="00875F03">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t>25.2%</w:t>
            </w:r>
          </w:p>
        </w:tc>
      </w:tr>
      <w:tr w:rsidR="003D71DD" w:rsidRPr="006A4FD9" w14:paraId="20F70D8A" w14:textId="77777777" w:rsidTr="000F7616">
        <w:trPr>
          <w:cantSplit/>
          <w:trHeight w:val="290"/>
        </w:trPr>
        <w:tc>
          <w:tcPr>
            <w:tcW w:w="0" w:type="auto"/>
            <w:shd w:val="clear" w:color="auto" w:fill="auto"/>
            <w:vAlign w:val="center"/>
            <w:hideMark/>
          </w:tcPr>
          <w:p w14:paraId="07CF5B1C" w14:textId="77777777" w:rsidR="00016CC3" w:rsidRPr="006A4FD9" w:rsidRDefault="00016CC3" w:rsidP="00F670C6">
            <w:pPr>
              <w:widowControl/>
              <w:autoSpaceDE/>
              <w:autoSpaceDN/>
              <w:jc w:val="both"/>
              <w:rPr>
                <w:rFonts w:asciiTheme="minorHAnsi" w:eastAsia="Times New Roman" w:hAnsiTheme="minorHAnsi"/>
                <w:color w:val="000000"/>
                <w:szCs w:val="24"/>
              </w:rPr>
            </w:pPr>
            <w:r w:rsidRPr="006A4FD9">
              <w:rPr>
                <w:rFonts w:asciiTheme="minorHAnsi" w:eastAsia="Times New Roman" w:hAnsiTheme="minorHAnsi"/>
                <w:color w:val="000000"/>
                <w:szCs w:val="24"/>
              </w:rPr>
              <w:t>Self-Pay</w:t>
            </w:r>
          </w:p>
        </w:tc>
        <w:tc>
          <w:tcPr>
            <w:tcW w:w="0" w:type="auto"/>
            <w:shd w:val="clear" w:color="auto" w:fill="auto"/>
            <w:vAlign w:val="center"/>
            <w:hideMark/>
          </w:tcPr>
          <w:p w14:paraId="38E6F52C"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0.7%</w:t>
            </w:r>
          </w:p>
        </w:tc>
        <w:tc>
          <w:tcPr>
            <w:tcW w:w="0" w:type="auto"/>
            <w:shd w:val="clear" w:color="auto" w:fill="auto"/>
            <w:vAlign w:val="center"/>
            <w:hideMark/>
          </w:tcPr>
          <w:p w14:paraId="0F587513"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0.7%</w:t>
            </w:r>
          </w:p>
        </w:tc>
        <w:tc>
          <w:tcPr>
            <w:tcW w:w="0" w:type="auto"/>
            <w:shd w:val="clear" w:color="auto" w:fill="auto"/>
            <w:vAlign w:val="center"/>
            <w:hideMark/>
          </w:tcPr>
          <w:p w14:paraId="4F901672"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0.3%</w:t>
            </w:r>
          </w:p>
        </w:tc>
        <w:tc>
          <w:tcPr>
            <w:tcW w:w="0" w:type="auto"/>
            <w:shd w:val="clear" w:color="auto" w:fill="auto"/>
            <w:vAlign w:val="center"/>
            <w:hideMark/>
          </w:tcPr>
          <w:p w14:paraId="65B9E442"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0.2%</w:t>
            </w:r>
          </w:p>
        </w:tc>
        <w:tc>
          <w:tcPr>
            <w:tcW w:w="0" w:type="auto"/>
            <w:shd w:val="clear" w:color="auto" w:fill="auto"/>
            <w:vAlign w:val="center"/>
            <w:hideMark/>
          </w:tcPr>
          <w:p w14:paraId="2776B7CE" w14:textId="77777777" w:rsidR="00016CC3" w:rsidRPr="006A4FD9" w:rsidRDefault="00016CC3" w:rsidP="00875F03">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0.2%</w:t>
            </w:r>
          </w:p>
        </w:tc>
        <w:tc>
          <w:tcPr>
            <w:tcW w:w="0" w:type="auto"/>
          </w:tcPr>
          <w:p w14:paraId="6A845F6D" w14:textId="52D44C4C" w:rsidR="00016CC3" w:rsidRPr="006A4FD9" w:rsidRDefault="00016CC3" w:rsidP="00875F03">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t>0.2%</w:t>
            </w:r>
          </w:p>
        </w:tc>
      </w:tr>
      <w:tr w:rsidR="003D71DD" w:rsidRPr="006A4FD9" w14:paraId="24BE2C91" w14:textId="77777777" w:rsidTr="000F7616">
        <w:trPr>
          <w:cantSplit/>
          <w:trHeight w:val="290"/>
        </w:trPr>
        <w:tc>
          <w:tcPr>
            <w:tcW w:w="0" w:type="auto"/>
            <w:shd w:val="clear" w:color="auto" w:fill="auto"/>
            <w:vAlign w:val="center"/>
            <w:hideMark/>
          </w:tcPr>
          <w:p w14:paraId="40CF337C" w14:textId="77777777" w:rsidR="00016CC3" w:rsidRPr="006A4FD9" w:rsidRDefault="00016CC3" w:rsidP="00F670C6">
            <w:pPr>
              <w:widowControl/>
              <w:autoSpaceDE/>
              <w:autoSpaceDN/>
              <w:jc w:val="both"/>
              <w:rPr>
                <w:rFonts w:asciiTheme="minorHAnsi" w:eastAsia="Times New Roman" w:hAnsiTheme="minorHAnsi"/>
                <w:color w:val="000000"/>
                <w:szCs w:val="24"/>
              </w:rPr>
            </w:pPr>
            <w:r w:rsidRPr="006A4FD9">
              <w:rPr>
                <w:rFonts w:asciiTheme="minorHAnsi" w:eastAsia="Times New Roman" w:hAnsiTheme="minorHAnsi"/>
                <w:color w:val="000000"/>
                <w:szCs w:val="24"/>
              </w:rPr>
              <w:t xml:space="preserve">Total </w:t>
            </w:r>
          </w:p>
        </w:tc>
        <w:tc>
          <w:tcPr>
            <w:tcW w:w="0" w:type="auto"/>
            <w:shd w:val="clear" w:color="auto" w:fill="auto"/>
            <w:vAlign w:val="center"/>
            <w:hideMark/>
          </w:tcPr>
          <w:p w14:paraId="67F6F968" w14:textId="77777777" w:rsidR="00016CC3" w:rsidRPr="006A4FD9" w:rsidRDefault="00016CC3" w:rsidP="00E83B49">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vAlign w:val="center"/>
            <w:hideMark/>
          </w:tcPr>
          <w:p w14:paraId="08CAF110" w14:textId="77777777" w:rsidR="00016CC3" w:rsidRPr="006A4FD9" w:rsidRDefault="00016CC3" w:rsidP="00E83B49">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vAlign w:val="center"/>
            <w:hideMark/>
          </w:tcPr>
          <w:p w14:paraId="6C8EA3F7" w14:textId="77777777" w:rsidR="00016CC3" w:rsidRPr="006A4FD9" w:rsidRDefault="00016CC3" w:rsidP="00E83B49">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vAlign w:val="center"/>
            <w:hideMark/>
          </w:tcPr>
          <w:p w14:paraId="37351A91" w14:textId="77777777" w:rsidR="00016CC3" w:rsidRPr="006A4FD9" w:rsidRDefault="00016CC3" w:rsidP="00E83B49">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vAlign w:val="center"/>
            <w:hideMark/>
          </w:tcPr>
          <w:p w14:paraId="0B48EC71" w14:textId="77777777" w:rsidR="00016CC3" w:rsidRPr="006A4FD9" w:rsidRDefault="00016CC3" w:rsidP="00E83B49">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tcPr>
          <w:p w14:paraId="07951AEC" w14:textId="255C08B3" w:rsidR="00016CC3" w:rsidRPr="006A4FD9" w:rsidRDefault="00016CC3" w:rsidP="00E83B49">
            <w:pPr>
              <w:widowControl/>
              <w:autoSpaceDE/>
              <w:autoSpaceDN/>
              <w:jc w:val="center"/>
              <w:rPr>
                <w:rFonts w:asciiTheme="minorHAnsi" w:eastAsia="Times New Roman" w:hAnsiTheme="minorHAnsi"/>
                <w:color w:val="000000"/>
                <w:szCs w:val="24"/>
              </w:rPr>
            </w:pPr>
            <w:r>
              <w:rPr>
                <w:rFonts w:asciiTheme="minorHAnsi" w:eastAsia="Times New Roman" w:hAnsiTheme="minorHAnsi"/>
                <w:color w:val="000000"/>
                <w:szCs w:val="24"/>
              </w:rPr>
              <w:fldChar w:fldCharType="begin"/>
            </w:r>
            <w:r>
              <w:rPr>
                <w:rFonts w:asciiTheme="minorHAnsi" w:eastAsia="Times New Roman" w:hAnsiTheme="minorHAnsi"/>
                <w:color w:val="000000"/>
                <w:szCs w:val="24"/>
              </w:rPr>
              <w:instrText xml:space="preserve"> =SUM(ABOVE)*100 \# "0.00%" </w:instrText>
            </w:r>
            <w:r>
              <w:rPr>
                <w:rFonts w:asciiTheme="minorHAnsi" w:eastAsia="Times New Roman" w:hAnsiTheme="minorHAnsi"/>
                <w:color w:val="000000"/>
                <w:szCs w:val="24"/>
              </w:rPr>
              <w:fldChar w:fldCharType="separate"/>
            </w:r>
            <w:r>
              <w:rPr>
                <w:rFonts w:asciiTheme="minorHAnsi" w:eastAsia="Times New Roman" w:hAnsiTheme="minorHAnsi"/>
                <w:noProof/>
                <w:color w:val="000000"/>
                <w:szCs w:val="24"/>
              </w:rPr>
              <w:t>100%</w:t>
            </w:r>
            <w:r>
              <w:rPr>
                <w:rFonts w:asciiTheme="minorHAnsi" w:eastAsia="Times New Roman" w:hAnsiTheme="minorHAnsi"/>
                <w:color w:val="000000"/>
                <w:szCs w:val="24"/>
              </w:rPr>
              <w:fldChar w:fldCharType="end"/>
            </w:r>
          </w:p>
        </w:tc>
      </w:tr>
    </w:tbl>
    <w:p w14:paraId="59F4CE58" w14:textId="77777777" w:rsidR="00684BF6" w:rsidRDefault="00684BF6" w:rsidP="00684BF6">
      <w:pPr>
        <w:rPr>
          <w:b/>
          <w:bCs/>
        </w:rPr>
      </w:pPr>
    </w:p>
    <w:p w14:paraId="1F9CEAF9" w14:textId="13710006" w:rsidR="00684BF6" w:rsidRPr="0004069E" w:rsidRDefault="00684BF6" w:rsidP="00684BF6">
      <w:r w:rsidRPr="0004069E">
        <w:t xml:space="preserve">Table </w:t>
      </w:r>
      <w:r>
        <w:t>8</w:t>
      </w:r>
      <w:r w:rsidRPr="0004069E">
        <w:t xml:space="preserve"> shows the payer mix for </w:t>
      </w:r>
      <w:r w:rsidR="003A41F9">
        <w:t>u</w:t>
      </w:r>
      <w:r w:rsidRPr="0004069E">
        <w:t xml:space="preserve">nique </w:t>
      </w:r>
      <w:r w:rsidR="003A41F9">
        <w:t>i</w:t>
      </w:r>
      <w:r w:rsidRPr="0004069E">
        <w:t xml:space="preserve">npatients within Dana-Farber-licensed beds only. </w:t>
      </w:r>
      <w:r w:rsidR="00EA7292">
        <w:t>The Applicant states that p</w:t>
      </w:r>
      <w:r w:rsidRPr="0004069E">
        <w:t xml:space="preserve">ayor mix data are not available for BWH-licensed beds. </w:t>
      </w:r>
    </w:p>
    <w:p w14:paraId="61EF269A" w14:textId="77777777" w:rsidR="00684BF6" w:rsidRDefault="00684BF6" w:rsidP="00684BF6">
      <w:pPr>
        <w:rPr>
          <w:b/>
          <w:bCs/>
        </w:rPr>
      </w:pPr>
    </w:p>
    <w:p w14:paraId="2EA8BB1D" w14:textId="1B4AA3AE" w:rsidR="00684BF6" w:rsidRPr="007F46F5" w:rsidRDefault="00684BF6" w:rsidP="00684BF6">
      <w:pPr>
        <w:rPr>
          <w:b/>
          <w:bCs/>
        </w:rPr>
      </w:pPr>
      <w:r w:rsidRPr="00206C59">
        <w:rPr>
          <w:b/>
          <w:bCs/>
          <w:u w:val="single"/>
        </w:rPr>
        <w:t xml:space="preserve">Table </w:t>
      </w:r>
      <w:r>
        <w:rPr>
          <w:b/>
          <w:bCs/>
          <w:u w:val="single"/>
        </w:rPr>
        <w:t>8</w:t>
      </w:r>
      <w:r>
        <w:rPr>
          <w:b/>
          <w:bCs/>
        </w:rPr>
        <w:t xml:space="preserve">: </w:t>
      </w:r>
      <w:r w:rsidR="006A4FD9">
        <w:rPr>
          <w:b/>
          <w:bCs/>
        </w:rPr>
        <w:t xml:space="preserve">Dana-Farber </w:t>
      </w:r>
      <w:r w:rsidRPr="00E43E76">
        <w:rPr>
          <w:b/>
          <w:bCs/>
        </w:rPr>
        <w:t>Payor Mix (Gross Revenues)</w:t>
      </w:r>
      <w:r w:rsidR="00B47563">
        <w:rPr>
          <w:b/>
          <w:bCs/>
        </w:rPr>
        <w:t>,</w:t>
      </w:r>
      <w:r>
        <w:rPr>
          <w:b/>
          <w:bCs/>
        </w:rPr>
        <w:t xml:space="preserve"> Inpatients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804"/>
        <w:gridCol w:w="804"/>
        <w:gridCol w:w="804"/>
        <w:gridCol w:w="804"/>
        <w:gridCol w:w="804"/>
        <w:gridCol w:w="804"/>
      </w:tblGrid>
      <w:tr w:rsidR="0053300D" w:rsidRPr="006A4FD9" w14:paraId="3B450270" w14:textId="77777777" w:rsidTr="000F7616">
        <w:trPr>
          <w:cantSplit/>
          <w:trHeight w:val="290"/>
          <w:tblHeader/>
        </w:trPr>
        <w:tc>
          <w:tcPr>
            <w:tcW w:w="0" w:type="auto"/>
            <w:shd w:val="clear" w:color="auto" w:fill="auto"/>
            <w:noWrap/>
            <w:vAlign w:val="bottom"/>
            <w:hideMark/>
          </w:tcPr>
          <w:p w14:paraId="3D3E05E2" w14:textId="4194897C" w:rsidR="0053300D" w:rsidRPr="006A4FD9" w:rsidRDefault="0053300D" w:rsidP="0053300D">
            <w:pPr>
              <w:widowControl/>
              <w:autoSpaceDE/>
              <w:autoSpaceDN/>
              <w:rPr>
                <w:rFonts w:asciiTheme="minorHAnsi" w:eastAsia="Times New Roman" w:hAnsiTheme="minorHAnsi"/>
                <w:color w:val="000000"/>
                <w:szCs w:val="24"/>
              </w:rPr>
            </w:pPr>
          </w:p>
        </w:tc>
        <w:tc>
          <w:tcPr>
            <w:tcW w:w="0" w:type="auto"/>
            <w:shd w:val="clear" w:color="auto" w:fill="DBE5F1" w:themeFill="accent1" w:themeFillTint="33"/>
            <w:noWrap/>
            <w:vAlign w:val="bottom"/>
            <w:hideMark/>
          </w:tcPr>
          <w:p w14:paraId="0F748E1D" w14:textId="77777777" w:rsidR="0053300D" w:rsidRPr="006A4FD9" w:rsidRDefault="0053300D" w:rsidP="00471DEE">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FY18</w:t>
            </w:r>
          </w:p>
        </w:tc>
        <w:tc>
          <w:tcPr>
            <w:tcW w:w="0" w:type="auto"/>
            <w:shd w:val="clear" w:color="auto" w:fill="DBE5F1" w:themeFill="accent1" w:themeFillTint="33"/>
            <w:noWrap/>
            <w:vAlign w:val="bottom"/>
            <w:hideMark/>
          </w:tcPr>
          <w:p w14:paraId="057CAE4E" w14:textId="77777777" w:rsidR="0053300D" w:rsidRPr="006A4FD9" w:rsidRDefault="0053300D" w:rsidP="00471DEE">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FY19</w:t>
            </w:r>
          </w:p>
        </w:tc>
        <w:tc>
          <w:tcPr>
            <w:tcW w:w="0" w:type="auto"/>
            <w:shd w:val="clear" w:color="auto" w:fill="DBE5F1" w:themeFill="accent1" w:themeFillTint="33"/>
            <w:noWrap/>
            <w:vAlign w:val="bottom"/>
            <w:hideMark/>
          </w:tcPr>
          <w:p w14:paraId="1B37898E" w14:textId="77777777" w:rsidR="0053300D" w:rsidRPr="006A4FD9" w:rsidRDefault="0053300D" w:rsidP="00471DEE">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FY20</w:t>
            </w:r>
          </w:p>
        </w:tc>
        <w:tc>
          <w:tcPr>
            <w:tcW w:w="0" w:type="auto"/>
            <w:shd w:val="clear" w:color="auto" w:fill="DBE5F1" w:themeFill="accent1" w:themeFillTint="33"/>
            <w:noWrap/>
            <w:vAlign w:val="bottom"/>
            <w:hideMark/>
          </w:tcPr>
          <w:p w14:paraId="3CA4CE4C" w14:textId="77777777" w:rsidR="0053300D" w:rsidRPr="006A4FD9" w:rsidRDefault="0053300D" w:rsidP="00471DEE">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FY21</w:t>
            </w:r>
          </w:p>
        </w:tc>
        <w:tc>
          <w:tcPr>
            <w:tcW w:w="0" w:type="auto"/>
            <w:shd w:val="clear" w:color="auto" w:fill="DBE5F1" w:themeFill="accent1" w:themeFillTint="33"/>
            <w:noWrap/>
            <w:vAlign w:val="bottom"/>
            <w:hideMark/>
          </w:tcPr>
          <w:p w14:paraId="198B1EEA" w14:textId="77777777" w:rsidR="0053300D" w:rsidRPr="006A4FD9" w:rsidRDefault="0053300D" w:rsidP="00471DEE">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FY22</w:t>
            </w:r>
          </w:p>
        </w:tc>
        <w:tc>
          <w:tcPr>
            <w:tcW w:w="0" w:type="auto"/>
            <w:shd w:val="clear" w:color="auto" w:fill="DBE5F1" w:themeFill="accent1" w:themeFillTint="33"/>
            <w:noWrap/>
            <w:vAlign w:val="bottom"/>
            <w:hideMark/>
          </w:tcPr>
          <w:p w14:paraId="092DC0AA" w14:textId="77777777" w:rsidR="0053300D" w:rsidRPr="006A4FD9" w:rsidRDefault="0053300D" w:rsidP="00471DEE">
            <w:pPr>
              <w:widowControl/>
              <w:autoSpaceDE/>
              <w:autoSpaceDN/>
              <w:jc w:val="center"/>
              <w:rPr>
                <w:rFonts w:asciiTheme="minorHAnsi" w:eastAsia="Times New Roman" w:hAnsiTheme="minorHAnsi"/>
                <w:b/>
                <w:bCs/>
                <w:color w:val="000000"/>
                <w:szCs w:val="24"/>
              </w:rPr>
            </w:pPr>
            <w:r w:rsidRPr="006A4FD9">
              <w:rPr>
                <w:rFonts w:asciiTheme="minorHAnsi" w:eastAsia="Times New Roman" w:hAnsiTheme="minorHAnsi"/>
                <w:b/>
                <w:bCs/>
                <w:color w:val="000000"/>
                <w:szCs w:val="24"/>
              </w:rPr>
              <w:t>FY23</w:t>
            </w:r>
          </w:p>
        </w:tc>
      </w:tr>
      <w:tr w:rsidR="0053300D" w:rsidRPr="006A4FD9" w14:paraId="776309D5" w14:textId="77777777" w:rsidTr="000F7616">
        <w:trPr>
          <w:cantSplit/>
          <w:trHeight w:val="310"/>
        </w:trPr>
        <w:tc>
          <w:tcPr>
            <w:tcW w:w="0" w:type="auto"/>
            <w:shd w:val="clear" w:color="auto" w:fill="auto"/>
            <w:noWrap/>
            <w:vAlign w:val="bottom"/>
            <w:hideMark/>
          </w:tcPr>
          <w:p w14:paraId="617B63DE" w14:textId="77777777" w:rsidR="0053300D" w:rsidRPr="006A4FD9" w:rsidRDefault="0053300D" w:rsidP="0053300D">
            <w:pPr>
              <w:widowControl/>
              <w:autoSpaceDE/>
              <w:autoSpaceDN/>
              <w:rPr>
                <w:rFonts w:asciiTheme="minorHAnsi" w:eastAsia="Times New Roman" w:hAnsiTheme="minorHAnsi"/>
                <w:color w:val="000000"/>
                <w:szCs w:val="24"/>
              </w:rPr>
            </w:pPr>
            <w:r w:rsidRPr="006A4FD9">
              <w:rPr>
                <w:rFonts w:asciiTheme="minorHAnsi" w:eastAsia="Times New Roman" w:hAnsiTheme="minorHAnsi"/>
                <w:color w:val="000000"/>
                <w:spacing w:val="-2"/>
                <w:szCs w:val="24"/>
              </w:rPr>
              <w:t>Commercial</w:t>
            </w:r>
          </w:p>
        </w:tc>
        <w:tc>
          <w:tcPr>
            <w:tcW w:w="0" w:type="auto"/>
            <w:shd w:val="clear" w:color="auto" w:fill="auto"/>
            <w:noWrap/>
            <w:vAlign w:val="bottom"/>
            <w:hideMark/>
          </w:tcPr>
          <w:p w14:paraId="55B32C0A"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49.1%</w:t>
            </w:r>
          </w:p>
        </w:tc>
        <w:tc>
          <w:tcPr>
            <w:tcW w:w="0" w:type="auto"/>
            <w:shd w:val="clear" w:color="auto" w:fill="auto"/>
            <w:noWrap/>
            <w:vAlign w:val="bottom"/>
            <w:hideMark/>
          </w:tcPr>
          <w:p w14:paraId="55AD6727"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46.1%</w:t>
            </w:r>
          </w:p>
        </w:tc>
        <w:tc>
          <w:tcPr>
            <w:tcW w:w="0" w:type="auto"/>
            <w:shd w:val="clear" w:color="auto" w:fill="auto"/>
            <w:noWrap/>
            <w:vAlign w:val="bottom"/>
            <w:hideMark/>
          </w:tcPr>
          <w:p w14:paraId="785B361B"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42.8%</w:t>
            </w:r>
          </w:p>
        </w:tc>
        <w:tc>
          <w:tcPr>
            <w:tcW w:w="0" w:type="auto"/>
            <w:shd w:val="clear" w:color="auto" w:fill="auto"/>
            <w:vAlign w:val="center"/>
            <w:hideMark/>
          </w:tcPr>
          <w:p w14:paraId="5E379C13"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38.6%</w:t>
            </w:r>
          </w:p>
        </w:tc>
        <w:tc>
          <w:tcPr>
            <w:tcW w:w="0" w:type="auto"/>
            <w:shd w:val="clear" w:color="auto" w:fill="auto"/>
            <w:vAlign w:val="center"/>
            <w:hideMark/>
          </w:tcPr>
          <w:p w14:paraId="166B5EE5"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39.4%</w:t>
            </w:r>
          </w:p>
        </w:tc>
        <w:tc>
          <w:tcPr>
            <w:tcW w:w="0" w:type="auto"/>
            <w:shd w:val="clear" w:color="auto" w:fill="auto"/>
            <w:vAlign w:val="center"/>
            <w:hideMark/>
          </w:tcPr>
          <w:p w14:paraId="30243070"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39.9%</w:t>
            </w:r>
          </w:p>
        </w:tc>
      </w:tr>
      <w:tr w:rsidR="0053300D" w:rsidRPr="006A4FD9" w14:paraId="50FBB316" w14:textId="77777777" w:rsidTr="000F7616">
        <w:trPr>
          <w:cantSplit/>
          <w:trHeight w:val="310"/>
        </w:trPr>
        <w:tc>
          <w:tcPr>
            <w:tcW w:w="0" w:type="auto"/>
            <w:shd w:val="clear" w:color="auto" w:fill="auto"/>
            <w:noWrap/>
            <w:vAlign w:val="bottom"/>
            <w:hideMark/>
          </w:tcPr>
          <w:p w14:paraId="2D7D25B8" w14:textId="77777777" w:rsidR="0053300D" w:rsidRPr="006A4FD9" w:rsidRDefault="0053300D" w:rsidP="0053300D">
            <w:pPr>
              <w:widowControl/>
              <w:autoSpaceDE/>
              <w:autoSpaceDN/>
              <w:rPr>
                <w:rFonts w:asciiTheme="minorHAnsi" w:eastAsia="Times New Roman" w:hAnsiTheme="minorHAnsi"/>
                <w:color w:val="000000"/>
                <w:szCs w:val="24"/>
              </w:rPr>
            </w:pPr>
            <w:r w:rsidRPr="006A4FD9">
              <w:rPr>
                <w:rFonts w:asciiTheme="minorHAnsi" w:eastAsia="Times New Roman" w:hAnsiTheme="minorHAnsi"/>
                <w:color w:val="000000"/>
                <w:szCs w:val="24"/>
              </w:rPr>
              <w:t>Commercial Medicare</w:t>
            </w:r>
          </w:p>
        </w:tc>
        <w:tc>
          <w:tcPr>
            <w:tcW w:w="0" w:type="auto"/>
            <w:shd w:val="clear" w:color="auto" w:fill="auto"/>
            <w:noWrap/>
            <w:vAlign w:val="bottom"/>
            <w:hideMark/>
          </w:tcPr>
          <w:p w14:paraId="351CC8B4"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6.5%</w:t>
            </w:r>
          </w:p>
        </w:tc>
        <w:tc>
          <w:tcPr>
            <w:tcW w:w="0" w:type="auto"/>
            <w:shd w:val="clear" w:color="auto" w:fill="auto"/>
            <w:noWrap/>
            <w:vAlign w:val="bottom"/>
            <w:hideMark/>
          </w:tcPr>
          <w:p w14:paraId="2C4C7875"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7.6%</w:t>
            </w:r>
          </w:p>
        </w:tc>
        <w:tc>
          <w:tcPr>
            <w:tcW w:w="0" w:type="auto"/>
            <w:shd w:val="clear" w:color="auto" w:fill="auto"/>
            <w:noWrap/>
            <w:vAlign w:val="bottom"/>
            <w:hideMark/>
          </w:tcPr>
          <w:p w14:paraId="0CB5FCE5"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9.4%</w:t>
            </w:r>
          </w:p>
        </w:tc>
        <w:tc>
          <w:tcPr>
            <w:tcW w:w="0" w:type="auto"/>
            <w:shd w:val="clear" w:color="auto" w:fill="auto"/>
            <w:vAlign w:val="center"/>
            <w:hideMark/>
          </w:tcPr>
          <w:p w14:paraId="3CB38F3E"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12.2%</w:t>
            </w:r>
          </w:p>
        </w:tc>
        <w:tc>
          <w:tcPr>
            <w:tcW w:w="0" w:type="auto"/>
            <w:shd w:val="clear" w:color="auto" w:fill="auto"/>
            <w:vAlign w:val="center"/>
            <w:hideMark/>
          </w:tcPr>
          <w:p w14:paraId="4F8B2440"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9.7%</w:t>
            </w:r>
          </w:p>
        </w:tc>
        <w:tc>
          <w:tcPr>
            <w:tcW w:w="0" w:type="auto"/>
            <w:shd w:val="clear" w:color="auto" w:fill="auto"/>
            <w:vAlign w:val="center"/>
            <w:hideMark/>
          </w:tcPr>
          <w:p w14:paraId="27FA8637"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11.6%</w:t>
            </w:r>
          </w:p>
        </w:tc>
      </w:tr>
      <w:tr w:rsidR="0053300D" w:rsidRPr="006A4FD9" w14:paraId="3494F40A" w14:textId="77777777" w:rsidTr="000F7616">
        <w:trPr>
          <w:cantSplit/>
          <w:trHeight w:val="310"/>
        </w:trPr>
        <w:tc>
          <w:tcPr>
            <w:tcW w:w="0" w:type="auto"/>
            <w:shd w:val="clear" w:color="auto" w:fill="auto"/>
            <w:noWrap/>
            <w:vAlign w:val="bottom"/>
            <w:hideMark/>
          </w:tcPr>
          <w:p w14:paraId="63123B4A" w14:textId="77777777" w:rsidR="0053300D" w:rsidRPr="006A4FD9" w:rsidRDefault="0053300D" w:rsidP="0053300D">
            <w:pPr>
              <w:widowControl/>
              <w:autoSpaceDE/>
              <w:autoSpaceDN/>
              <w:rPr>
                <w:rFonts w:asciiTheme="minorHAnsi" w:eastAsia="Times New Roman" w:hAnsiTheme="minorHAnsi"/>
                <w:color w:val="000000"/>
                <w:szCs w:val="24"/>
              </w:rPr>
            </w:pPr>
            <w:r w:rsidRPr="006A4FD9">
              <w:rPr>
                <w:rFonts w:asciiTheme="minorHAnsi" w:eastAsia="Times New Roman" w:hAnsiTheme="minorHAnsi"/>
                <w:color w:val="000000"/>
                <w:szCs w:val="24"/>
              </w:rPr>
              <w:t>Managed Medicaid</w:t>
            </w:r>
          </w:p>
        </w:tc>
        <w:tc>
          <w:tcPr>
            <w:tcW w:w="0" w:type="auto"/>
            <w:shd w:val="clear" w:color="auto" w:fill="auto"/>
            <w:noWrap/>
            <w:vAlign w:val="bottom"/>
            <w:hideMark/>
          </w:tcPr>
          <w:p w14:paraId="4D798017"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5.8%</w:t>
            </w:r>
          </w:p>
        </w:tc>
        <w:tc>
          <w:tcPr>
            <w:tcW w:w="0" w:type="auto"/>
            <w:shd w:val="clear" w:color="auto" w:fill="auto"/>
            <w:noWrap/>
            <w:vAlign w:val="bottom"/>
            <w:hideMark/>
          </w:tcPr>
          <w:p w14:paraId="4933D603"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4.8%</w:t>
            </w:r>
          </w:p>
        </w:tc>
        <w:tc>
          <w:tcPr>
            <w:tcW w:w="0" w:type="auto"/>
            <w:shd w:val="clear" w:color="auto" w:fill="auto"/>
            <w:noWrap/>
            <w:vAlign w:val="bottom"/>
            <w:hideMark/>
          </w:tcPr>
          <w:p w14:paraId="64A5FAE4"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5.5%</w:t>
            </w:r>
          </w:p>
        </w:tc>
        <w:tc>
          <w:tcPr>
            <w:tcW w:w="0" w:type="auto"/>
            <w:shd w:val="clear" w:color="auto" w:fill="auto"/>
            <w:vAlign w:val="center"/>
            <w:hideMark/>
          </w:tcPr>
          <w:p w14:paraId="4E96F9CF"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7.2%</w:t>
            </w:r>
          </w:p>
        </w:tc>
        <w:tc>
          <w:tcPr>
            <w:tcW w:w="0" w:type="auto"/>
            <w:shd w:val="clear" w:color="auto" w:fill="auto"/>
            <w:vAlign w:val="center"/>
            <w:hideMark/>
          </w:tcPr>
          <w:p w14:paraId="10FA5324"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7.9%</w:t>
            </w:r>
          </w:p>
        </w:tc>
        <w:tc>
          <w:tcPr>
            <w:tcW w:w="0" w:type="auto"/>
            <w:shd w:val="clear" w:color="auto" w:fill="auto"/>
            <w:vAlign w:val="center"/>
            <w:hideMark/>
          </w:tcPr>
          <w:p w14:paraId="6E5456DB"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7.2%</w:t>
            </w:r>
          </w:p>
        </w:tc>
      </w:tr>
      <w:tr w:rsidR="0053300D" w:rsidRPr="006A4FD9" w14:paraId="71ACC1C9" w14:textId="77777777" w:rsidTr="000F7616">
        <w:trPr>
          <w:cantSplit/>
          <w:trHeight w:val="310"/>
        </w:trPr>
        <w:tc>
          <w:tcPr>
            <w:tcW w:w="0" w:type="auto"/>
            <w:shd w:val="clear" w:color="auto" w:fill="auto"/>
            <w:noWrap/>
            <w:vAlign w:val="bottom"/>
            <w:hideMark/>
          </w:tcPr>
          <w:p w14:paraId="5162ED70" w14:textId="77777777" w:rsidR="0053300D" w:rsidRPr="006A4FD9" w:rsidRDefault="0053300D" w:rsidP="0053300D">
            <w:pPr>
              <w:widowControl/>
              <w:autoSpaceDE/>
              <w:autoSpaceDN/>
              <w:rPr>
                <w:rFonts w:asciiTheme="minorHAnsi" w:eastAsia="Times New Roman" w:hAnsiTheme="minorHAnsi"/>
                <w:color w:val="000000"/>
                <w:szCs w:val="24"/>
              </w:rPr>
            </w:pPr>
            <w:r w:rsidRPr="006A4FD9">
              <w:rPr>
                <w:rFonts w:asciiTheme="minorHAnsi" w:eastAsia="Times New Roman" w:hAnsiTheme="minorHAnsi"/>
                <w:color w:val="000000"/>
                <w:spacing w:val="-2"/>
                <w:szCs w:val="24"/>
              </w:rPr>
              <w:t>MassHealth</w:t>
            </w:r>
          </w:p>
        </w:tc>
        <w:tc>
          <w:tcPr>
            <w:tcW w:w="0" w:type="auto"/>
            <w:shd w:val="clear" w:color="auto" w:fill="auto"/>
            <w:noWrap/>
            <w:vAlign w:val="bottom"/>
            <w:hideMark/>
          </w:tcPr>
          <w:p w14:paraId="5B3BB84E"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3.5%</w:t>
            </w:r>
          </w:p>
        </w:tc>
        <w:tc>
          <w:tcPr>
            <w:tcW w:w="0" w:type="auto"/>
            <w:shd w:val="clear" w:color="auto" w:fill="auto"/>
            <w:noWrap/>
            <w:vAlign w:val="bottom"/>
            <w:hideMark/>
          </w:tcPr>
          <w:p w14:paraId="1D1A6147"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1.2%</w:t>
            </w:r>
          </w:p>
        </w:tc>
        <w:tc>
          <w:tcPr>
            <w:tcW w:w="0" w:type="auto"/>
            <w:shd w:val="clear" w:color="auto" w:fill="auto"/>
            <w:noWrap/>
            <w:vAlign w:val="bottom"/>
            <w:hideMark/>
          </w:tcPr>
          <w:p w14:paraId="1812AB93"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1.2%</w:t>
            </w:r>
          </w:p>
        </w:tc>
        <w:tc>
          <w:tcPr>
            <w:tcW w:w="0" w:type="auto"/>
            <w:shd w:val="clear" w:color="auto" w:fill="auto"/>
            <w:vAlign w:val="center"/>
            <w:hideMark/>
          </w:tcPr>
          <w:p w14:paraId="1F4CE485"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1.8%</w:t>
            </w:r>
          </w:p>
        </w:tc>
        <w:tc>
          <w:tcPr>
            <w:tcW w:w="0" w:type="auto"/>
            <w:shd w:val="clear" w:color="auto" w:fill="auto"/>
            <w:vAlign w:val="center"/>
            <w:hideMark/>
          </w:tcPr>
          <w:p w14:paraId="63E78C0B"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1.3%</w:t>
            </w:r>
          </w:p>
        </w:tc>
        <w:tc>
          <w:tcPr>
            <w:tcW w:w="0" w:type="auto"/>
            <w:shd w:val="clear" w:color="auto" w:fill="auto"/>
            <w:vAlign w:val="center"/>
            <w:hideMark/>
          </w:tcPr>
          <w:p w14:paraId="44F47802"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1.3%</w:t>
            </w:r>
          </w:p>
        </w:tc>
      </w:tr>
      <w:tr w:rsidR="0053300D" w:rsidRPr="006A4FD9" w14:paraId="11E35F06" w14:textId="77777777" w:rsidTr="000F7616">
        <w:trPr>
          <w:cantSplit/>
          <w:trHeight w:val="310"/>
        </w:trPr>
        <w:tc>
          <w:tcPr>
            <w:tcW w:w="0" w:type="auto"/>
            <w:shd w:val="clear" w:color="auto" w:fill="auto"/>
            <w:noWrap/>
            <w:vAlign w:val="bottom"/>
            <w:hideMark/>
          </w:tcPr>
          <w:p w14:paraId="0B932CCA" w14:textId="77777777" w:rsidR="0053300D" w:rsidRPr="006A4FD9" w:rsidRDefault="0053300D" w:rsidP="0053300D">
            <w:pPr>
              <w:widowControl/>
              <w:autoSpaceDE/>
              <w:autoSpaceDN/>
              <w:rPr>
                <w:rFonts w:asciiTheme="minorHAnsi" w:eastAsia="Times New Roman" w:hAnsiTheme="minorHAnsi"/>
                <w:color w:val="000000"/>
                <w:szCs w:val="24"/>
              </w:rPr>
            </w:pPr>
            <w:r w:rsidRPr="006A4FD9">
              <w:rPr>
                <w:rFonts w:asciiTheme="minorHAnsi" w:eastAsia="Times New Roman" w:hAnsiTheme="minorHAnsi"/>
                <w:color w:val="000000"/>
                <w:szCs w:val="24"/>
              </w:rPr>
              <w:t>Medicare FFS</w:t>
            </w:r>
          </w:p>
        </w:tc>
        <w:tc>
          <w:tcPr>
            <w:tcW w:w="0" w:type="auto"/>
            <w:shd w:val="clear" w:color="auto" w:fill="auto"/>
            <w:noWrap/>
            <w:vAlign w:val="bottom"/>
            <w:hideMark/>
          </w:tcPr>
          <w:p w14:paraId="282A0319"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32.4%</w:t>
            </w:r>
          </w:p>
        </w:tc>
        <w:tc>
          <w:tcPr>
            <w:tcW w:w="0" w:type="auto"/>
            <w:shd w:val="clear" w:color="auto" w:fill="auto"/>
            <w:noWrap/>
            <w:vAlign w:val="bottom"/>
            <w:hideMark/>
          </w:tcPr>
          <w:p w14:paraId="6EC59505"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37.1%</w:t>
            </w:r>
          </w:p>
        </w:tc>
        <w:tc>
          <w:tcPr>
            <w:tcW w:w="0" w:type="auto"/>
            <w:shd w:val="clear" w:color="auto" w:fill="auto"/>
            <w:noWrap/>
            <w:vAlign w:val="bottom"/>
            <w:hideMark/>
          </w:tcPr>
          <w:p w14:paraId="2CF2D0D6"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37.6%</w:t>
            </w:r>
          </w:p>
        </w:tc>
        <w:tc>
          <w:tcPr>
            <w:tcW w:w="0" w:type="auto"/>
            <w:shd w:val="clear" w:color="auto" w:fill="auto"/>
            <w:vAlign w:val="center"/>
            <w:hideMark/>
          </w:tcPr>
          <w:p w14:paraId="7A426A7F"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38.4%</w:t>
            </w:r>
          </w:p>
        </w:tc>
        <w:tc>
          <w:tcPr>
            <w:tcW w:w="0" w:type="auto"/>
            <w:shd w:val="clear" w:color="auto" w:fill="auto"/>
            <w:vAlign w:val="center"/>
            <w:hideMark/>
          </w:tcPr>
          <w:p w14:paraId="60FC7249"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2"/>
                <w:szCs w:val="24"/>
              </w:rPr>
              <w:t>39.2%</w:t>
            </w:r>
          </w:p>
        </w:tc>
        <w:tc>
          <w:tcPr>
            <w:tcW w:w="0" w:type="auto"/>
            <w:shd w:val="clear" w:color="auto" w:fill="auto"/>
            <w:vAlign w:val="center"/>
            <w:hideMark/>
          </w:tcPr>
          <w:p w14:paraId="4FB946F1"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37.2%</w:t>
            </w:r>
          </w:p>
        </w:tc>
      </w:tr>
      <w:tr w:rsidR="0053300D" w:rsidRPr="006A4FD9" w14:paraId="571E3BE7" w14:textId="77777777" w:rsidTr="000F7616">
        <w:trPr>
          <w:cantSplit/>
          <w:trHeight w:val="310"/>
        </w:trPr>
        <w:tc>
          <w:tcPr>
            <w:tcW w:w="0" w:type="auto"/>
            <w:shd w:val="clear" w:color="auto" w:fill="auto"/>
            <w:noWrap/>
            <w:vAlign w:val="bottom"/>
            <w:hideMark/>
          </w:tcPr>
          <w:p w14:paraId="5AC129FE" w14:textId="16DB1665" w:rsidR="0053300D" w:rsidRPr="006A4FD9" w:rsidRDefault="0053300D" w:rsidP="0053300D">
            <w:pPr>
              <w:widowControl/>
              <w:autoSpaceDE/>
              <w:autoSpaceDN/>
              <w:rPr>
                <w:rFonts w:asciiTheme="minorHAnsi" w:eastAsia="Times New Roman" w:hAnsiTheme="minorHAnsi"/>
                <w:color w:val="000000"/>
                <w:szCs w:val="24"/>
              </w:rPr>
            </w:pPr>
            <w:r w:rsidRPr="006A4FD9">
              <w:rPr>
                <w:rFonts w:asciiTheme="minorHAnsi" w:eastAsia="Times New Roman" w:hAnsiTheme="minorHAnsi"/>
                <w:color w:val="000000"/>
                <w:szCs w:val="24"/>
              </w:rPr>
              <w:t>Other</w:t>
            </w:r>
            <w:r w:rsidR="00176E0F" w:rsidRPr="006A4FD9">
              <w:rPr>
                <w:rStyle w:val="FootnoteReference"/>
                <w:rFonts w:asciiTheme="minorHAnsi" w:eastAsia="Times New Roman" w:hAnsiTheme="minorHAnsi"/>
                <w:color w:val="000000"/>
                <w:szCs w:val="24"/>
              </w:rPr>
              <w:footnoteReference w:id="21"/>
            </w:r>
            <w:r w:rsidRPr="006A4FD9">
              <w:rPr>
                <w:rFonts w:asciiTheme="minorHAnsi" w:eastAsia="Times New Roman" w:hAnsiTheme="minorHAnsi"/>
                <w:color w:val="000000"/>
                <w:szCs w:val="24"/>
              </w:rPr>
              <w:t xml:space="preserve"> </w:t>
            </w:r>
          </w:p>
        </w:tc>
        <w:tc>
          <w:tcPr>
            <w:tcW w:w="0" w:type="auto"/>
            <w:shd w:val="clear" w:color="auto" w:fill="auto"/>
            <w:noWrap/>
            <w:vAlign w:val="bottom"/>
            <w:hideMark/>
          </w:tcPr>
          <w:p w14:paraId="3F74D3AF"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2.7%</w:t>
            </w:r>
          </w:p>
        </w:tc>
        <w:tc>
          <w:tcPr>
            <w:tcW w:w="0" w:type="auto"/>
            <w:shd w:val="clear" w:color="auto" w:fill="auto"/>
            <w:noWrap/>
            <w:vAlign w:val="bottom"/>
            <w:hideMark/>
          </w:tcPr>
          <w:p w14:paraId="7FE9B551"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3.1%</w:t>
            </w:r>
          </w:p>
        </w:tc>
        <w:tc>
          <w:tcPr>
            <w:tcW w:w="0" w:type="auto"/>
            <w:shd w:val="clear" w:color="auto" w:fill="auto"/>
            <w:noWrap/>
            <w:vAlign w:val="bottom"/>
            <w:hideMark/>
          </w:tcPr>
          <w:p w14:paraId="43DDCEF9"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3.4%</w:t>
            </w:r>
          </w:p>
        </w:tc>
        <w:tc>
          <w:tcPr>
            <w:tcW w:w="0" w:type="auto"/>
            <w:shd w:val="clear" w:color="auto" w:fill="auto"/>
            <w:vAlign w:val="center"/>
            <w:hideMark/>
          </w:tcPr>
          <w:p w14:paraId="2F5A0BB0"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1.8%</w:t>
            </w:r>
          </w:p>
        </w:tc>
        <w:tc>
          <w:tcPr>
            <w:tcW w:w="0" w:type="auto"/>
            <w:shd w:val="clear" w:color="auto" w:fill="auto"/>
            <w:vAlign w:val="center"/>
            <w:hideMark/>
          </w:tcPr>
          <w:p w14:paraId="2C7F21A0"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2.6%</w:t>
            </w:r>
          </w:p>
        </w:tc>
        <w:tc>
          <w:tcPr>
            <w:tcW w:w="0" w:type="auto"/>
            <w:shd w:val="clear" w:color="auto" w:fill="auto"/>
            <w:vAlign w:val="center"/>
            <w:hideMark/>
          </w:tcPr>
          <w:p w14:paraId="2439C3EE"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pacing w:val="-4"/>
                <w:szCs w:val="24"/>
              </w:rPr>
              <w:t>2.8%</w:t>
            </w:r>
          </w:p>
        </w:tc>
      </w:tr>
      <w:tr w:rsidR="0053300D" w:rsidRPr="006A4FD9" w14:paraId="05E9CA4E" w14:textId="77777777" w:rsidTr="000F7616">
        <w:trPr>
          <w:cantSplit/>
          <w:trHeight w:val="290"/>
        </w:trPr>
        <w:tc>
          <w:tcPr>
            <w:tcW w:w="0" w:type="auto"/>
            <w:shd w:val="clear" w:color="auto" w:fill="auto"/>
            <w:noWrap/>
            <w:vAlign w:val="bottom"/>
            <w:hideMark/>
          </w:tcPr>
          <w:p w14:paraId="3DED00D5" w14:textId="77777777" w:rsidR="0053300D" w:rsidRPr="006A4FD9" w:rsidRDefault="0053300D" w:rsidP="0053300D">
            <w:pPr>
              <w:widowControl/>
              <w:autoSpaceDE/>
              <w:autoSpaceDN/>
              <w:rPr>
                <w:rFonts w:asciiTheme="minorHAnsi" w:eastAsia="Times New Roman" w:hAnsiTheme="minorHAnsi"/>
                <w:color w:val="000000"/>
                <w:szCs w:val="24"/>
              </w:rPr>
            </w:pPr>
            <w:r w:rsidRPr="006A4FD9">
              <w:rPr>
                <w:rFonts w:asciiTheme="minorHAnsi" w:eastAsia="Times New Roman" w:hAnsiTheme="minorHAnsi"/>
                <w:color w:val="000000"/>
                <w:szCs w:val="24"/>
              </w:rPr>
              <w:t xml:space="preserve">Total </w:t>
            </w:r>
          </w:p>
        </w:tc>
        <w:tc>
          <w:tcPr>
            <w:tcW w:w="0" w:type="auto"/>
            <w:shd w:val="clear" w:color="auto" w:fill="auto"/>
            <w:noWrap/>
            <w:vAlign w:val="bottom"/>
            <w:hideMark/>
          </w:tcPr>
          <w:p w14:paraId="4845C525"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noWrap/>
            <w:vAlign w:val="bottom"/>
            <w:hideMark/>
          </w:tcPr>
          <w:p w14:paraId="37A8E725"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noWrap/>
            <w:vAlign w:val="bottom"/>
            <w:hideMark/>
          </w:tcPr>
          <w:p w14:paraId="65B853F3"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noWrap/>
            <w:vAlign w:val="bottom"/>
            <w:hideMark/>
          </w:tcPr>
          <w:p w14:paraId="6B79857D"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noWrap/>
            <w:vAlign w:val="bottom"/>
            <w:hideMark/>
          </w:tcPr>
          <w:p w14:paraId="3003020D"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c>
          <w:tcPr>
            <w:tcW w:w="0" w:type="auto"/>
            <w:shd w:val="clear" w:color="auto" w:fill="auto"/>
            <w:noWrap/>
            <w:vAlign w:val="bottom"/>
            <w:hideMark/>
          </w:tcPr>
          <w:p w14:paraId="7E726717" w14:textId="77777777" w:rsidR="0053300D" w:rsidRPr="006A4FD9" w:rsidRDefault="0053300D" w:rsidP="00471DEE">
            <w:pPr>
              <w:widowControl/>
              <w:autoSpaceDE/>
              <w:autoSpaceDN/>
              <w:jc w:val="center"/>
              <w:rPr>
                <w:rFonts w:asciiTheme="minorHAnsi" w:eastAsia="Times New Roman" w:hAnsiTheme="minorHAnsi"/>
                <w:color w:val="000000"/>
                <w:szCs w:val="24"/>
              </w:rPr>
            </w:pPr>
            <w:r w:rsidRPr="006A4FD9">
              <w:rPr>
                <w:rFonts w:asciiTheme="minorHAnsi" w:eastAsia="Times New Roman" w:hAnsiTheme="minorHAnsi"/>
                <w:color w:val="000000"/>
                <w:szCs w:val="24"/>
              </w:rPr>
              <w:t>100%</w:t>
            </w:r>
          </w:p>
        </w:tc>
      </w:tr>
    </w:tbl>
    <w:p w14:paraId="73C9619A" w14:textId="77777777" w:rsidR="00684BF6" w:rsidRDefault="00684BF6" w:rsidP="00A87D38">
      <w:pPr>
        <w:rPr>
          <w:b/>
          <w:bCs/>
        </w:rPr>
      </w:pPr>
    </w:p>
    <w:p w14:paraId="4DCEC9EA" w14:textId="711A98FA" w:rsidR="00B447F3" w:rsidRPr="003436F0" w:rsidRDefault="00F06B37" w:rsidP="008917DC">
      <w:pPr>
        <w:pStyle w:val="Heading1"/>
        <w:spacing w:before="268"/>
        <w:ind w:left="0"/>
        <w:rPr>
          <w:rFonts w:asciiTheme="minorHAnsi" w:hAnsiTheme="minorHAnsi"/>
        </w:rPr>
      </w:pPr>
      <w:bookmarkStart w:id="8" w:name="_Toc190780582"/>
      <w:r>
        <w:rPr>
          <w:rFonts w:asciiTheme="minorHAnsi" w:hAnsiTheme="minorHAnsi"/>
          <w:color w:val="42558C"/>
        </w:rPr>
        <w:t>F</w:t>
      </w:r>
      <w:r w:rsidR="00A4110F" w:rsidRPr="003436F0">
        <w:rPr>
          <w:rFonts w:asciiTheme="minorHAnsi" w:hAnsiTheme="minorHAnsi"/>
          <w:color w:val="42558C"/>
        </w:rPr>
        <w:t>actor 1:</w:t>
      </w:r>
      <w:r w:rsidR="00E22936">
        <w:rPr>
          <w:rFonts w:asciiTheme="minorHAnsi" w:hAnsiTheme="minorHAnsi"/>
          <w:color w:val="42558C"/>
        </w:rPr>
        <w:t xml:space="preserve"> </w:t>
      </w:r>
      <w:r w:rsidR="008C5957">
        <w:rPr>
          <w:rFonts w:asciiTheme="minorHAnsi" w:hAnsiTheme="minorHAnsi"/>
          <w:color w:val="42558C"/>
        </w:rPr>
        <w:t>a</w:t>
      </w:r>
      <w:r w:rsidR="00E22936">
        <w:rPr>
          <w:rFonts w:asciiTheme="minorHAnsi" w:hAnsiTheme="minorHAnsi"/>
          <w:color w:val="42558C"/>
        </w:rPr>
        <w:t>)</w:t>
      </w:r>
      <w:r w:rsidR="00A4110F" w:rsidRPr="003436F0">
        <w:rPr>
          <w:rFonts w:asciiTheme="minorHAnsi" w:hAnsiTheme="minorHAnsi"/>
          <w:color w:val="42558C"/>
        </w:rPr>
        <w:t xml:space="preserve"> Patient Panel Need</w:t>
      </w:r>
      <w:bookmarkEnd w:id="8"/>
    </w:p>
    <w:p w14:paraId="46C548D8" w14:textId="272FF2CA" w:rsidR="00172906" w:rsidRDefault="00DE729D" w:rsidP="00932E5D">
      <w:pPr>
        <w:rPr>
          <w:rFonts w:asciiTheme="minorHAnsi" w:hAnsiTheme="minorHAnsi"/>
          <w:szCs w:val="24"/>
        </w:rPr>
      </w:pPr>
      <w:r w:rsidRPr="00DE729D">
        <w:rPr>
          <w:rFonts w:asciiTheme="minorHAnsi" w:hAnsiTheme="minorHAnsi"/>
          <w:szCs w:val="24"/>
        </w:rPr>
        <w:t xml:space="preserve">In this section, staff assesses if the Applicant has sufficiently addressed Patient Panel need for the Proposed Project. </w:t>
      </w:r>
    </w:p>
    <w:p w14:paraId="732C568E" w14:textId="77777777" w:rsidR="0087110D" w:rsidRDefault="0087110D" w:rsidP="00932E5D">
      <w:pPr>
        <w:rPr>
          <w:rFonts w:asciiTheme="minorHAnsi" w:hAnsiTheme="minorHAnsi"/>
          <w:szCs w:val="24"/>
        </w:rPr>
      </w:pPr>
    </w:p>
    <w:p w14:paraId="618D3B82" w14:textId="30265EF2" w:rsidR="0087110D" w:rsidRPr="007870DA" w:rsidRDefault="007870DA" w:rsidP="00BA2054">
      <w:pPr>
        <w:rPr>
          <w:rFonts w:asciiTheme="minorHAnsi" w:hAnsiTheme="minorHAnsi"/>
          <w:b/>
          <w:bCs/>
          <w:szCs w:val="24"/>
        </w:rPr>
      </w:pPr>
      <w:r w:rsidRPr="007870DA">
        <w:rPr>
          <w:rFonts w:asciiTheme="minorHAnsi" w:hAnsiTheme="minorHAnsi"/>
          <w:b/>
          <w:bCs/>
          <w:szCs w:val="24"/>
        </w:rPr>
        <w:lastRenderedPageBreak/>
        <w:t>BACKGROUND</w:t>
      </w:r>
    </w:p>
    <w:p w14:paraId="0F821CD2" w14:textId="7671DC07" w:rsidR="00F15826" w:rsidRDefault="00273170" w:rsidP="00BA2054">
      <w:r>
        <w:t>As noted above, the Applicant has 30 licensed M/S beds and provides inpatient care through a clinical affiliation with BWH.</w:t>
      </w:r>
      <w:r w:rsidRPr="00686C70">
        <w:t xml:space="preserve"> </w:t>
      </w:r>
      <w:r w:rsidR="007204ED" w:rsidRPr="007204ED">
        <w:t xml:space="preserve">The Applicant provides care </w:t>
      </w:r>
      <w:r w:rsidR="00B856A7">
        <w:t xml:space="preserve">to patients </w:t>
      </w:r>
      <w:r w:rsidR="007204ED" w:rsidRPr="007204ED">
        <w:t xml:space="preserve">in its own licensed beds </w:t>
      </w:r>
      <w:r w:rsidR="00B856A7">
        <w:t>and</w:t>
      </w:r>
      <w:r w:rsidR="007204ED" w:rsidRPr="007204ED">
        <w:t xml:space="preserve"> to patients in certain BWH-licensed beds, which are dispersed across multiple locations within BWH.</w:t>
      </w:r>
      <w:r w:rsidR="009A4B52">
        <w:t xml:space="preserve"> </w:t>
      </w:r>
      <w:r w:rsidR="009A4B52" w:rsidDel="00BE7C85">
        <w:t>The</w:t>
      </w:r>
      <w:r w:rsidR="009A4B52">
        <w:t xml:space="preserve"> following section </w:t>
      </w:r>
      <w:r w:rsidR="00D2105D">
        <w:t>of th</w:t>
      </w:r>
      <w:r w:rsidR="00D77DD4">
        <w:t>is</w:t>
      </w:r>
      <w:r w:rsidR="00D2105D">
        <w:t xml:space="preserve"> report </w:t>
      </w:r>
      <w:r w:rsidR="009A4B52">
        <w:t>provide</w:t>
      </w:r>
      <w:r w:rsidR="007A21D4">
        <w:t>s</w:t>
      </w:r>
      <w:r w:rsidR="009A4B52">
        <w:t xml:space="preserve"> additional information</w:t>
      </w:r>
      <w:r w:rsidR="004D7A33">
        <w:t xml:space="preserve"> and context</w:t>
      </w:r>
      <w:r w:rsidR="009A4B52">
        <w:t xml:space="preserve"> about </w:t>
      </w:r>
      <w:r w:rsidR="004D7A33">
        <w:t xml:space="preserve">the </w:t>
      </w:r>
      <w:r w:rsidR="009A4B52">
        <w:t>delivery of care</w:t>
      </w:r>
      <w:r w:rsidR="00B5142F">
        <w:t xml:space="preserve"> to patients</w:t>
      </w:r>
      <w:r w:rsidR="00D2105D">
        <w:t xml:space="preserve"> with cancer</w:t>
      </w:r>
      <w:r w:rsidR="00B5142F">
        <w:t xml:space="preserve"> </w:t>
      </w:r>
      <w:r w:rsidR="007A21D4">
        <w:t xml:space="preserve">who are </w:t>
      </w:r>
      <w:r w:rsidR="00B5142F">
        <w:t>under the care of the Applicant</w:t>
      </w:r>
      <w:r w:rsidR="00F43B2B">
        <w:t xml:space="preserve">, as described by the Applicant. </w:t>
      </w:r>
      <w:r w:rsidR="009A4B52">
        <w:t xml:space="preserve"> </w:t>
      </w:r>
    </w:p>
    <w:p w14:paraId="2C646031" w14:textId="1EC9E1E8" w:rsidR="007204ED" w:rsidRDefault="007204ED" w:rsidP="00BA2054"/>
    <w:p w14:paraId="57387E7A" w14:textId="77777777" w:rsidR="000C2044" w:rsidRDefault="007A3742" w:rsidP="00BA2054">
      <w:r w:rsidRPr="34CE0AE4">
        <w:rPr>
          <w:u w:val="single"/>
        </w:rPr>
        <w:t>Patient Journey</w:t>
      </w:r>
      <w:r>
        <w:t xml:space="preserve">: </w:t>
      </w:r>
      <w:r w:rsidR="008D1476" w:rsidRPr="008D1476">
        <w:t>The Applicant states that it provides a continuum of cancer care by a multidisciplinary oncology care team of providers and departments.</w:t>
      </w:r>
      <w:r>
        <w:t xml:space="preserve"> </w:t>
      </w:r>
      <w:r w:rsidR="00557807">
        <w:t xml:space="preserve">The Applicant states that most patients </w:t>
      </w:r>
      <w:r w:rsidR="00FC0999">
        <w:t xml:space="preserve">that </w:t>
      </w:r>
      <w:r w:rsidR="00557807">
        <w:t xml:space="preserve">come to Dana-Farber </w:t>
      </w:r>
      <w:r w:rsidR="00FC0999">
        <w:t xml:space="preserve">do so </w:t>
      </w:r>
      <w:r w:rsidR="00557807">
        <w:t xml:space="preserve">through the ambulatory setting, but can end up in the hospital for some aspect of their care. </w:t>
      </w:r>
      <w:r w:rsidR="00B8084B">
        <w:t>The</w:t>
      </w:r>
      <w:r w:rsidR="00AF65E2">
        <w:t xml:space="preserve"> Applicant describes the</w:t>
      </w:r>
      <w:r w:rsidR="00B8084B">
        <w:t xml:space="preserve"> medical oncologist </w:t>
      </w:r>
      <w:r w:rsidR="00AF65E2">
        <w:t>as</w:t>
      </w:r>
      <w:r w:rsidR="00B8084B">
        <w:t xml:space="preserve"> the </w:t>
      </w:r>
      <w:r w:rsidR="00AF65E2">
        <w:t>“</w:t>
      </w:r>
      <w:r w:rsidR="00B8084B">
        <w:t>central piece</w:t>
      </w:r>
      <w:r w:rsidR="00AF65E2">
        <w:t>”</w:t>
      </w:r>
      <w:r w:rsidR="00B8084B">
        <w:t xml:space="preserve"> of the </w:t>
      </w:r>
      <w:r w:rsidR="00AF65E2">
        <w:t xml:space="preserve">patient’s </w:t>
      </w:r>
      <w:r w:rsidR="00B8084B">
        <w:t>care journey</w:t>
      </w:r>
      <w:r w:rsidR="00FD78C0">
        <w:t xml:space="preserve">, </w:t>
      </w:r>
      <w:r w:rsidR="00B57703">
        <w:t xml:space="preserve">and </w:t>
      </w:r>
      <w:r w:rsidR="000F1046">
        <w:t xml:space="preserve">the </w:t>
      </w:r>
      <w:r w:rsidR="00D15E8B">
        <w:t>coordinat</w:t>
      </w:r>
      <w:r w:rsidR="000F1046">
        <w:t>or of</w:t>
      </w:r>
      <w:r w:rsidR="00D15E8B">
        <w:t xml:space="preserve"> </w:t>
      </w:r>
      <w:r w:rsidR="00233125">
        <w:t>the</w:t>
      </w:r>
      <w:r w:rsidR="00B57703">
        <w:t xml:space="preserve"> patient’s </w:t>
      </w:r>
      <w:r w:rsidR="00D15E8B">
        <w:t xml:space="preserve">care </w:t>
      </w:r>
      <w:r w:rsidR="00B8084B">
        <w:t xml:space="preserve">through their entire care journey. </w:t>
      </w:r>
      <w:r w:rsidR="00EE1A55">
        <w:t xml:space="preserve">The Applicant states that nearly all </w:t>
      </w:r>
      <w:r w:rsidR="00EB0C09">
        <w:t>patients with cancer</w:t>
      </w:r>
      <w:r w:rsidR="00EE1A55">
        <w:t xml:space="preserve"> presenting at the BWH ED have been previously seen by Dana-Farber in the outpatient setting</w:t>
      </w:r>
      <w:r w:rsidR="10E9EC52">
        <w:t xml:space="preserve"> and</w:t>
      </w:r>
      <w:r w:rsidR="00EE1A55">
        <w:t xml:space="preserve"> were already established under Dana-Farber</w:t>
      </w:r>
      <w:r w:rsidR="00233125">
        <w:t>’s</w:t>
      </w:r>
      <w:r w:rsidR="00EE1A55">
        <w:t xml:space="preserve"> care. Additionally, </w:t>
      </w:r>
      <w:r w:rsidR="00D103BB">
        <w:t xml:space="preserve">Dana-Farber is the medical oncology provider for these patients outside of the hospital. </w:t>
      </w:r>
    </w:p>
    <w:p w14:paraId="49DA46FC" w14:textId="77777777" w:rsidR="000C2044" w:rsidRDefault="000C2044" w:rsidP="00BA2054"/>
    <w:p w14:paraId="1A55D039" w14:textId="2D58FC78" w:rsidR="007A3742" w:rsidRPr="00076ADA" w:rsidRDefault="00C06E23" w:rsidP="00BA2054">
      <w:r>
        <w:t>The Applicant</w:t>
      </w:r>
      <w:r w:rsidR="004439A4">
        <w:t xml:space="preserve"> states that it</w:t>
      </w:r>
      <w:r>
        <w:t xml:space="preserve"> </w:t>
      </w:r>
      <w:r w:rsidR="00EC2945">
        <w:t>was unable</w:t>
      </w:r>
      <w:r w:rsidR="00AF656B">
        <w:t xml:space="preserve"> </w:t>
      </w:r>
      <w:r w:rsidR="0061329C">
        <w:t xml:space="preserve">to </w:t>
      </w:r>
      <w:r w:rsidR="00AF656B">
        <w:t xml:space="preserve">disclose proprietary BWH ED data, but </w:t>
      </w:r>
      <w:r w:rsidR="002B4D3C">
        <w:t xml:space="preserve">did </w:t>
      </w:r>
      <w:r w:rsidR="00AF656B">
        <w:t xml:space="preserve">provide </w:t>
      </w:r>
      <w:r w:rsidR="00EC2945">
        <w:t>information regarding admissions</w:t>
      </w:r>
      <w:r w:rsidR="00C40D11">
        <w:t xml:space="preserve"> in its </w:t>
      </w:r>
      <w:r w:rsidR="000E08BC">
        <w:t xml:space="preserve">own </w:t>
      </w:r>
      <w:r w:rsidR="00C40D11">
        <w:t>licensed beds</w:t>
      </w:r>
      <w:r w:rsidR="00EC2945">
        <w:t xml:space="preserve"> to demonstrate the </w:t>
      </w:r>
      <w:r w:rsidR="00C737FA">
        <w:t xml:space="preserve">number of </w:t>
      </w:r>
      <w:r w:rsidR="0017032D">
        <w:t>in</w:t>
      </w:r>
      <w:r w:rsidR="00603D3F">
        <w:t xml:space="preserve">patients </w:t>
      </w:r>
      <w:r w:rsidR="006328DC">
        <w:t xml:space="preserve">whose care was established under Dana-Farber. </w:t>
      </w:r>
      <w:r w:rsidR="006C294D">
        <w:t>The Applicant states that from FY21 through FY23, 93% of patients in the Applicant’s licensed beds had a prior encounter with the Applicant</w:t>
      </w:r>
      <w:r w:rsidR="00811FFB">
        <w:t xml:space="preserve"> and t</w:t>
      </w:r>
      <w:r w:rsidR="00811FFB" w:rsidRPr="00811FFB">
        <w:t xml:space="preserve">he Applicant expects, based on its clinical experience, that </w:t>
      </w:r>
      <w:r w:rsidR="00D93F1B">
        <w:t>a similar share of its patients in BWH licensed beds have had a prior encounter with the Applicant.</w:t>
      </w:r>
      <w:r w:rsidR="006C294D">
        <w:t xml:space="preserve"> </w:t>
      </w:r>
      <w:r w:rsidR="00C40D11">
        <w:t>The</w:t>
      </w:r>
      <w:r>
        <w:t xml:space="preserve"> Applicant</w:t>
      </w:r>
      <w:r w:rsidR="00C40D11">
        <w:t xml:space="preserve"> states further that</w:t>
      </w:r>
      <w:r w:rsidR="008A0400">
        <w:t xml:space="preserve"> its</w:t>
      </w:r>
      <w:r>
        <w:t xml:space="preserve"> medical oncologists often recommend that their current patients present at the BWH ED if they experience a cancer-related medical emergency, which the Applicant states will often result in an inpatient admission. </w:t>
      </w:r>
      <w:r w:rsidR="00A35075">
        <w:t>As such</w:t>
      </w:r>
      <w:r w:rsidR="00584DC7">
        <w:t xml:space="preserve">, the Applicant expects that </w:t>
      </w:r>
      <w:r w:rsidR="00D6610D">
        <w:t xml:space="preserve">the subset of its patients admitted through the BWH </w:t>
      </w:r>
      <w:r w:rsidR="00D557A4">
        <w:t>ED</w:t>
      </w:r>
      <w:r w:rsidR="00D6610D">
        <w:t xml:space="preserve"> will have had prior encounters with the Applicant at similar rates</w:t>
      </w:r>
      <w:r w:rsidR="00146ED2">
        <w:t xml:space="preserve"> as</w:t>
      </w:r>
      <w:r w:rsidR="00D6610D">
        <w:t xml:space="preserve"> </w:t>
      </w:r>
      <w:r w:rsidR="00A51880">
        <w:t>its</w:t>
      </w:r>
      <w:r w:rsidR="00D6610D">
        <w:t xml:space="preserve"> overall </w:t>
      </w:r>
      <w:r w:rsidR="001575E6">
        <w:t xml:space="preserve">patient </w:t>
      </w:r>
      <w:r w:rsidR="00D6610D">
        <w:t xml:space="preserve">population. </w:t>
      </w:r>
    </w:p>
    <w:p w14:paraId="43330E4A" w14:textId="77777777" w:rsidR="00F15826" w:rsidRDefault="00F15826" w:rsidP="00BA2054">
      <w:pPr>
        <w:rPr>
          <w:rFonts w:asciiTheme="minorHAnsi" w:hAnsiTheme="minorHAnsi"/>
          <w:szCs w:val="24"/>
        </w:rPr>
      </w:pPr>
    </w:p>
    <w:p w14:paraId="510BD4AD" w14:textId="2BDB0741" w:rsidR="001E1222" w:rsidRDefault="5B878BCB" w:rsidP="09B908E4">
      <w:pPr>
        <w:rPr>
          <w:rFonts w:asciiTheme="minorHAnsi" w:hAnsiTheme="minorHAnsi"/>
        </w:rPr>
      </w:pPr>
      <w:r w:rsidRPr="09B908E4">
        <w:rPr>
          <w:rFonts w:asciiTheme="minorHAnsi" w:hAnsiTheme="minorHAnsi"/>
          <w:u w:val="single"/>
        </w:rPr>
        <w:t>Staffing</w:t>
      </w:r>
      <w:r w:rsidRPr="09B908E4">
        <w:rPr>
          <w:rFonts w:asciiTheme="minorHAnsi" w:hAnsiTheme="minorHAnsi"/>
          <w:b/>
          <w:bCs/>
        </w:rPr>
        <w:t>:</w:t>
      </w:r>
      <w:r w:rsidR="00BD4D21" w:rsidRPr="09B908E4">
        <w:rPr>
          <w:rFonts w:asciiTheme="minorHAnsi" w:hAnsiTheme="minorHAnsi"/>
          <w:b/>
        </w:rPr>
        <w:t xml:space="preserve"> </w:t>
      </w:r>
      <w:r w:rsidR="00107098">
        <w:rPr>
          <w:rFonts w:asciiTheme="minorHAnsi" w:hAnsiTheme="minorHAnsi"/>
        </w:rPr>
        <w:t xml:space="preserve">The Applicant states that the inpatient medical oncology management structure implemented across Dana-Farber and BWH-licensed beds includes the following key personnel, all of whom are employed by Dana-Farber: the Medical Director and Associate Medical Director for Inpatient Medical Oncology, the Director of Inpatient Clinical Operations, Safety </w:t>
      </w:r>
      <w:r w:rsidR="00263BD1">
        <w:rPr>
          <w:rFonts w:asciiTheme="minorHAnsi" w:hAnsiTheme="minorHAnsi"/>
        </w:rPr>
        <w:t>and</w:t>
      </w:r>
      <w:r w:rsidR="00107098">
        <w:rPr>
          <w:rFonts w:asciiTheme="minorHAnsi" w:hAnsiTheme="minorHAnsi"/>
        </w:rPr>
        <w:t xml:space="preserve"> Quality, the Medical Director for Physicians Assistants, and the Medical Director for Hospitalists. </w:t>
      </w:r>
      <w:r w:rsidR="000B2BDC">
        <w:rPr>
          <w:rFonts w:asciiTheme="minorHAnsi" w:hAnsiTheme="minorHAnsi"/>
        </w:rPr>
        <w:t>The Applicant states that patients are assigned to a</w:t>
      </w:r>
      <w:r w:rsidR="004E2DBD">
        <w:rPr>
          <w:rFonts w:asciiTheme="minorHAnsi" w:hAnsiTheme="minorHAnsi"/>
        </w:rPr>
        <w:t>n inpatient team based on their disease type</w:t>
      </w:r>
      <w:r w:rsidR="00483A68">
        <w:rPr>
          <w:rFonts w:asciiTheme="minorHAnsi" w:hAnsiTheme="minorHAnsi"/>
        </w:rPr>
        <w:t xml:space="preserve"> or modality of treatment, and their care is overseen by </w:t>
      </w:r>
      <w:r w:rsidR="00640CC2">
        <w:rPr>
          <w:rFonts w:asciiTheme="minorHAnsi" w:hAnsiTheme="minorHAnsi"/>
        </w:rPr>
        <w:t xml:space="preserve">attendings with expertise in their specific </w:t>
      </w:r>
      <w:r w:rsidR="0056119B">
        <w:rPr>
          <w:rFonts w:asciiTheme="minorHAnsi" w:hAnsiTheme="minorHAnsi"/>
        </w:rPr>
        <w:t xml:space="preserve">disease. </w:t>
      </w:r>
    </w:p>
    <w:p w14:paraId="44B924BD" w14:textId="77777777" w:rsidR="001E1222" w:rsidRDefault="001E1222" w:rsidP="09B908E4">
      <w:pPr>
        <w:rPr>
          <w:rFonts w:asciiTheme="minorHAnsi" w:hAnsiTheme="minorHAnsi"/>
        </w:rPr>
      </w:pPr>
    </w:p>
    <w:p w14:paraId="680ECB8E" w14:textId="4DEAD34E" w:rsidR="00F15826" w:rsidRDefault="104B4794" w:rsidP="09B908E4">
      <w:pPr>
        <w:rPr>
          <w:rFonts w:asciiTheme="minorHAnsi" w:hAnsiTheme="minorHAnsi"/>
        </w:rPr>
      </w:pPr>
      <w:r w:rsidRPr="09B908E4">
        <w:rPr>
          <w:rFonts w:asciiTheme="minorHAnsi" w:hAnsiTheme="minorHAnsi"/>
        </w:rPr>
        <w:t>The Applicant</w:t>
      </w:r>
      <w:r w:rsidR="2D69A7E4" w:rsidRPr="09B908E4">
        <w:rPr>
          <w:rFonts w:asciiTheme="minorHAnsi" w:hAnsiTheme="minorHAnsi"/>
        </w:rPr>
        <w:t xml:space="preserve"> </w:t>
      </w:r>
      <w:r w:rsidR="00255531" w:rsidRPr="09B908E4">
        <w:rPr>
          <w:rFonts w:asciiTheme="minorHAnsi" w:hAnsiTheme="minorHAnsi"/>
        </w:rPr>
        <w:t>states,</w:t>
      </w:r>
      <w:r w:rsidR="2D69A7E4" w:rsidRPr="09B908E4">
        <w:rPr>
          <w:rFonts w:asciiTheme="minorHAnsi" w:hAnsiTheme="minorHAnsi"/>
        </w:rPr>
        <w:t xml:space="preserve"> “medical oncology serves as the </w:t>
      </w:r>
      <w:r w:rsidR="3B765C46" w:rsidRPr="09B908E4">
        <w:rPr>
          <w:rFonts w:asciiTheme="minorHAnsi" w:hAnsiTheme="minorHAnsi"/>
        </w:rPr>
        <w:t>nucleus of the patient’s cancer treatment</w:t>
      </w:r>
      <w:r w:rsidR="00083207">
        <w:rPr>
          <w:rFonts w:asciiTheme="minorHAnsi" w:hAnsiTheme="minorHAnsi"/>
        </w:rPr>
        <w:t>,</w:t>
      </w:r>
      <w:r w:rsidR="3B765C46" w:rsidRPr="09B908E4">
        <w:rPr>
          <w:rFonts w:asciiTheme="minorHAnsi" w:hAnsiTheme="minorHAnsi"/>
        </w:rPr>
        <w:t xml:space="preserve">” </w:t>
      </w:r>
      <w:r w:rsidR="00083207">
        <w:rPr>
          <w:rFonts w:asciiTheme="minorHAnsi" w:hAnsiTheme="minorHAnsi"/>
        </w:rPr>
        <w:t xml:space="preserve">and </w:t>
      </w:r>
      <w:r w:rsidR="6AAF3030" w:rsidRPr="09B908E4">
        <w:rPr>
          <w:rFonts w:asciiTheme="minorHAnsi" w:hAnsiTheme="minorHAnsi"/>
        </w:rPr>
        <w:t xml:space="preserve">Dana-Farber employed medical oncologists and hospitalists direct the care of patients in Dana-Farber licensed beds and in BWH licensed beds. </w:t>
      </w:r>
      <w:r w:rsidR="342ABC41" w:rsidRPr="09B908E4">
        <w:rPr>
          <w:rFonts w:asciiTheme="minorHAnsi" w:hAnsiTheme="minorHAnsi"/>
        </w:rPr>
        <w:t>Patients are treated in the first bed available to them, regardless of licensee</w:t>
      </w:r>
      <w:r w:rsidR="5BACEDEF" w:rsidRPr="09B908E4">
        <w:rPr>
          <w:rFonts w:asciiTheme="minorHAnsi" w:hAnsiTheme="minorHAnsi"/>
        </w:rPr>
        <w:t>.</w:t>
      </w:r>
      <w:r w:rsidR="717102F9" w:rsidRPr="09B908E4">
        <w:rPr>
          <w:rFonts w:asciiTheme="minorHAnsi" w:hAnsiTheme="minorHAnsi"/>
        </w:rPr>
        <w:t xml:space="preserve"> </w:t>
      </w:r>
      <w:r w:rsidR="1EFBDAE2" w:rsidRPr="09B908E4">
        <w:rPr>
          <w:rFonts w:asciiTheme="minorHAnsi" w:hAnsiTheme="minorHAnsi"/>
        </w:rPr>
        <w:t xml:space="preserve">The </w:t>
      </w:r>
      <w:r w:rsidR="00CB2DE8">
        <w:rPr>
          <w:rFonts w:asciiTheme="minorHAnsi" w:hAnsiTheme="minorHAnsi"/>
        </w:rPr>
        <w:t xml:space="preserve">Applicant affirms that </w:t>
      </w:r>
      <w:r w:rsidR="1EFBDAE2" w:rsidRPr="09B908E4">
        <w:rPr>
          <w:rFonts w:asciiTheme="minorHAnsi" w:hAnsiTheme="minorHAnsi"/>
        </w:rPr>
        <w:t xml:space="preserve">care and consultations of inpatients are </w:t>
      </w:r>
      <w:r w:rsidR="1EFBDAE2" w:rsidRPr="09B908E4">
        <w:rPr>
          <w:rFonts w:asciiTheme="minorHAnsi" w:hAnsiTheme="minorHAnsi"/>
        </w:rPr>
        <w:lastRenderedPageBreak/>
        <w:t>immediately overseen by Dana-Farber employed physicians</w:t>
      </w:r>
      <w:r w:rsidR="5FBCA413" w:rsidRPr="09B908E4">
        <w:rPr>
          <w:rFonts w:asciiTheme="minorHAnsi" w:hAnsiTheme="minorHAnsi"/>
        </w:rPr>
        <w:t>; a</w:t>
      </w:r>
      <w:r w:rsidR="6AAF3030" w:rsidRPr="09B908E4">
        <w:rPr>
          <w:rFonts w:asciiTheme="minorHAnsi" w:hAnsiTheme="minorHAnsi"/>
        </w:rPr>
        <w:t>ll primary attending physicians are Dana-Farber employees</w:t>
      </w:r>
      <w:r w:rsidR="5FBCA413" w:rsidRPr="09B908E4">
        <w:rPr>
          <w:rFonts w:asciiTheme="minorHAnsi" w:hAnsiTheme="minorHAnsi"/>
        </w:rPr>
        <w:t xml:space="preserve"> and Dana-Farber employs every physician assistant providing care to these </w:t>
      </w:r>
      <w:r w:rsidR="768A0C60" w:rsidRPr="09B908E4">
        <w:rPr>
          <w:rFonts w:asciiTheme="minorHAnsi" w:hAnsiTheme="minorHAnsi"/>
        </w:rPr>
        <w:t>in</w:t>
      </w:r>
      <w:r w:rsidR="5FBCA413" w:rsidRPr="09B908E4">
        <w:rPr>
          <w:rFonts w:asciiTheme="minorHAnsi" w:hAnsiTheme="minorHAnsi"/>
        </w:rPr>
        <w:t>patients.</w:t>
      </w:r>
      <w:r w:rsidR="6AAF3030" w:rsidRPr="09B908E4">
        <w:rPr>
          <w:rFonts w:asciiTheme="minorHAnsi" w:hAnsiTheme="minorHAnsi"/>
        </w:rPr>
        <w:t xml:space="preserve"> </w:t>
      </w:r>
      <w:r w:rsidR="009800C1">
        <w:rPr>
          <w:rFonts w:asciiTheme="minorHAnsi" w:hAnsiTheme="minorHAnsi"/>
        </w:rPr>
        <w:t xml:space="preserve">BWH physicians provide surgical and other non-oncology services to Dana-Farber patients when needed. </w:t>
      </w:r>
      <w:r w:rsidR="00E15CA0">
        <w:rPr>
          <w:rFonts w:asciiTheme="minorHAnsi" w:hAnsiTheme="minorHAnsi"/>
        </w:rPr>
        <w:t xml:space="preserve">The Applicant </w:t>
      </w:r>
      <w:r w:rsidR="00255531">
        <w:rPr>
          <w:rFonts w:asciiTheme="minorHAnsi" w:hAnsiTheme="minorHAnsi"/>
        </w:rPr>
        <w:t>explained</w:t>
      </w:r>
      <w:r w:rsidR="00E15CA0">
        <w:rPr>
          <w:rFonts w:asciiTheme="minorHAnsi" w:hAnsiTheme="minorHAnsi"/>
        </w:rPr>
        <w:t xml:space="preserve"> that </w:t>
      </w:r>
      <w:r w:rsidR="6AAF3030" w:rsidRPr="09B908E4">
        <w:rPr>
          <w:rFonts w:asciiTheme="minorHAnsi" w:hAnsiTheme="minorHAnsi"/>
        </w:rPr>
        <w:t xml:space="preserve">BWH does not employ any medical oncologists or medical oncology advanced practice </w:t>
      </w:r>
      <w:r w:rsidR="3631C95D" w:rsidRPr="09B908E4">
        <w:rPr>
          <w:rFonts w:asciiTheme="minorHAnsi" w:hAnsiTheme="minorHAnsi"/>
        </w:rPr>
        <w:t>providers of its own</w:t>
      </w:r>
      <w:r w:rsidR="1595C1BF" w:rsidRPr="09B908E4">
        <w:rPr>
          <w:rFonts w:asciiTheme="minorHAnsi" w:hAnsiTheme="minorHAnsi"/>
        </w:rPr>
        <w:t xml:space="preserve"> and </w:t>
      </w:r>
      <w:r w:rsidR="00255531">
        <w:rPr>
          <w:rFonts w:asciiTheme="minorHAnsi" w:hAnsiTheme="minorHAnsi"/>
        </w:rPr>
        <w:t xml:space="preserve">that </w:t>
      </w:r>
      <w:r w:rsidR="1595C1BF" w:rsidRPr="09B908E4">
        <w:rPr>
          <w:rFonts w:asciiTheme="minorHAnsi" w:hAnsiTheme="minorHAnsi"/>
        </w:rPr>
        <w:t>the only BWH employees that are part of a patient’s clinical care team are individuals without specialties in medical oncology and those being trained by Dana-Farber medical oncologists</w:t>
      </w:r>
      <w:r w:rsidR="0009223C">
        <w:rPr>
          <w:rFonts w:asciiTheme="minorHAnsi" w:hAnsiTheme="minorHAnsi"/>
        </w:rPr>
        <w:t xml:space="preserve"> who are</w:t>
      </w:r>
      <w:r w:rsidR="00BA551A">
        <w:rPr>
          <w:rFonts w:asciiTheme="minorHAnsi" w:hAnsiTheme="minorHAnsi"/>
        </w:rPr>
        <w:t xml:space="preserve"> </w:t>
      </w:r>
      <w:r w:rsidR="1595C1BF" w:rsidRPr="09B908E4">
        <w:rPr>
          <w:rFonts w:asciiTheme="minorHAnsi" w:hAnsiTheme="minorHAnsi"/>
        </w:rPr>
        <w:t xml:space="preserve">members of the BWH house staff which includes </w:t>
      </w:r>
      <w:r w:rsidR="00787854">
        <w:rPr>
          <w:rFonts w:asciiTheme="minorHAnsi" w:hAnsiTheme="minorHAnsi"/>
        </w:rPr>
        <w:t>interns, residents and fellows</w:t>
      </w:r>
      <w:r w:rsidR="1595C1BF" w:rsidRPr="09B908E4">
        <w:rPr>
          <w:rFonts w:asciiTheme="minorHAnsi" w:hAnsiTheme="minorHAnsi"/>
        </w:rPr>
        <w:t>.</w:t>
      </w:r>
    </w:p>
    <w:p w14:paraId="52FD3FD5" w14:textId="77777777" w:rsidR="00B27497" w:rsidRDefault="00B27497" w:rsidP="09B908E4">
      <w:pPr>
        <w:rPr>
          <w:rFonts w:asciiTheme="minorHAnsi" w:hAnsiTheme="minorHAnsi"/>
        </w:rPr>
      </w:pPr>
    </w:p>
    <w:p w14:paraId="6F364318" w14:textId="4434F6FE" w:rsidR="002C1312" w:rsidRPr="008730C7" w:rsidRDefault="002C1312" w:rsidP="00BA2054">
      <w:pPr>
        <w:rPr>
          <w:rFonts w:asciiTheme="minorHAnsi" w:hAnsiTheme="minorHAnsi"/>
          <w:szCs w:val="24"/>
        </w:rPr>
      </w:pPr>
      <w:r w:rsidRPr="008730C7">
        <w:rPr>
          <w:rFonts w:asciiTheme="minorHAnsi" w:hAnsiTheme="minorHAnsi"/>
          <w:szCs w:val="24"/>
        </w:rPr>
        <w:t xml:space="preserve">Dr. Craig Bunnell, Dana-Farber Cancer Institute Chief Medical Officer, provided comments </w:t>
      </w:r>
      <w:r w:rsidR="00065369">
        <w:rPr>
          <w:rFonts w:asciiTheme="minorHAnsi" w:hAnsiTheme="minorHAnsi"/>
          <w:szCs w:val="24"/>
        </w:rPr>
        <w:t xml:space="preserve">to the Department </w:t>
      </w:r>
      <w:r w:rsidRPr="008730C7">
        <w:rPr>
          <w:rFonts w:asciiTheme="minorHAnsi" w:hAnsiTheme="minorHAnsi"/>
          <w:szCs w:val="24"/>
        </w:rPr>
        <w:t>explaining the current staffing of patients</w:t>
      </w:r>
      <w:r w:rsidR="0017032D">
        <w:rPr>
          <w:rFonts w:asciiTheme="minorHAnsi" w:hAnsiTheme="minorHAnsi"/>
          <w:szCs w:val="24"/>
        </w:rPr>
        <w:t xml:space="preserve"> with cancer</w:t>
      </w:r>
      <w:r w:rsidRPr="008730C7">
        <w:rPr>
          <w:rFonts w:asciiTheme="minorHAnsi" w:hAnsiTheme="minorHAnsi"/>
          <w:szCs w:val="24"/>
        </w:rPr>
        <w:t xml:space="preserve"> in Dana-Farber licensed beds and BWH licensed beds. Dr. Bunnell states, “An important final point is that currently all the oncology patients cared for in beds at the Brigham are Dana-Farber patients, cared for by Dana-Farber medical oncologists who also provide oversight of Dana-Farber-employed advanced practice providers. There are no Brigham medical oncologists. The only Brigham-employed clinicians on the oncology teams are the interns and residents who are being trained by, and have oversight by, Dana-Farber medical oncologists. These are our--Dana-Farber--patients.”</w:t>
      </w:r>
    </w:p>
    <w:p w14:paraId="21352A1A" w14:textId="77777777" w:rsidR="00F15826" w:rsidRDefault="00F15826" w:rsidP="00BA2054">
      <w:pPr>
        <w:rPr>
          <w:rFonts w:asciiTheme="minorHAnsi" w:hAnsiTheme="minorHAnsi"/>
          <w:szCs w:val="24"/>
        </w:rPr>
      </w:pPr>
    </w:p>
    <w:p w14:paraId="29236620" w14:textId="452DEF79" w:rsidR="00BE1AA8" w:rsidRDefault="448BEEFE" w:rsidP="09B908E4">
      <w:pPr>
        <w:rPr>
          <w:rFonts w:asciiTheme="minorHAnsi" w:hAnsiTheme="minorHAnsi"/>
        </w:rPr>
      </w:pPr>
      <w:r w:rsidRPr="09B908E4">
        <w:rPr>
          <w:rFonts w:asciiTheme="minorHAnsi" w:hAnsiTheme="minorHAnsi"/>
          <w:u w:val="single"/>
        </w:rPr>
        <w:t xml:space="preserve">Inpatient Bed </w:t>
      </w:r>
      <w:r w:rsidR="41A6FE69" w:rsidRPr="09B908E4">
        <w:rPr>
          <w:rFonts w:asciiTheme="minorHAnsi" w:hAnsiTheme="minorHAnsi"/>
          <w:u w:val="single"/>
        </w:rPr>
        <w:t>Utilization</w:t>
      </w:r>
      <w:r w:rsidRPr="09B908E4">
        <w:rPr>
          <w:rFonts w:asciiTheme="minorHAnsi" w:hAnsiTheme="minorHAnsi"/>
        </w:rPr>
        <w:t>:</w:t>
      </w:r>
      <w:r w:rsidR="6FA39284" w:rsidRPr="09B908E4">
        <w:rPr>
          <w:rFonts w:asciiTheme="minorHAnsi" w:hAnsiTheme="minorHAnsi"/>
        </w:rPr>
        <w:t xml:space="preserve"> As noted above, 30 beds are Dana-Farber licensed beds</w:t>
      </w:r>
      <w:r w:rsidR="00071063">
        <w:rPr>
          <w:rFonts w:asciiTheme="minorHAnsi" w:hAnsiTheme="minorHAnsi"/>
        </w:rPr>
        <w:t xml:space="preserve"> located at BWH in space leased to Dana-Farber</w:t>
      </w:r>
      <w:r w:rsidR="6FA39284" w:rsidRPr="09B908E4">
        <w:rPr>
          <w:rFonts w:asciiTheme="minorHAnsi" w:hAnsiTheme="minorHAnsi"/>
        </w:rPr>
        <w:t xml:space="preserve">, and the remaining beds </w:t>
      </w:r>
      <w:r w:rsidR="00CC2F8B">
        <w:rPr>
          <w:rFonts w:asciiTheme="minorHAnsi" w:hAnsiTheme="minorHAnsi"/>
        </w:rPr>
        <w:t xml:space="preserve">are </w:t>
      </w:r>
      <w:r w:rsidR="026D9353" w:rsidRPr="09B908E4">
        <w:rPr>
          <w:rFonts w:asciiTheme="minorHAnsi" w:hAnsiTheme="minorHAnsi"/>
        </w:rPr>
        <w:t>licensed to</w:t>
      </w:r>
      <w:r w:rsidR="6FA39284" w:rsidRPr="09B908E4">
        <w:rPr>
          <w:rFonts w:asciiTheme="minorHAnsi" w:hAnsiTheme="minorHAnsi"/>
        </w:rPr>
        <w:t xml:space="preserve"> </w:t>
      </w:r>
      <w:r w:rsidR="607694A9" w:rsidRPr="09B908E4">
        <w:rPr>
          <w:rFonts w:asciiTheme="minorHAnsi" w:hAnsiTheme="minorHAnsi"/>
        </w:rPr>
        <w:t>BWH</w:t>
      </w:r>
      <w:r w:rsidR="40E23872" w:rsidRPr="09B908E4">
        <w:rPr>
          <w:rFonts w:asciiTheme="minorHAnsi" w:hAnsiTheme="minorHAnsi"/>
        </w:rPr>
        <w:t xml:space="preserve"> </w:t>
      </w:r>
      <w:r w:rsidR="00CC2F8B">
        <w:rPr>
          <w:rFonts w:asciiTheme="minorHAnsi" w:hAnsiTheme="minorHAnsi"/>
        </w:rPr>
        <w:t>for</w:t>
      </w:r>
      <w:r w:rsidR="00CC2F8B" w:rsidRPr="09B908E4">
        <w:rPr>
          <w:rFonts w:asciiTheme="minorHAnsi" w:hAnsiTheme="minorHAnsi"/>
        </w:rPr>
        <w:t xml:space="preserve"> </w:t>
      </w:r>
      <w:r w:rsidR="40E23872" w:rsidRPr="09B908E4">
        <w:rPr>
          <w:rFonts w:asciiTheme="minorHAnsi" w:hAnsiTheme="minorHAnsi"/>
        </w:rPr>
        <w:t>which the Applicant provides professional medical oncology services</w:t>
      </w:r>
      <w:r w:rsidR="6FA39284" w:rsidRPr="09B908E4">
        <w:rPr>
          <w:rFonts w:asciiTheme="minorHAnsi" w:hAnsiTheme="minorHAnsi"/>
        </w:rPr>
        <w:t xml:space="preserve">. </w:t>
      </w:r>
      <w:r w:rsidR="00BE29B5">
        <w:rPr>
          <w:rFonts w:asciiTheme="minorHAnsi" w:hAnsiTheme="minorHAnsi"/>
        </w:rPr>
        <w:t xml:space="preserve">The Applicant states </w:t>
      </w:r>
      <w:r w:rsidR="001228E5">
        <w:rPr>
          <w:rFonts w:asciiTheme="minorHAnsi" w:hAnsiTheme="minorHAnsi"/>
        </w:rPr>
        <w:t xml:space="preserve">it </w:t>
      </w:r>
      <w:r w:rsidR="00E25CC1">
        <w:rPr>
          <w:rFonts w:asciiTheme="minorHAnsi" w:hAnsiTheme="minorHAnsi"/>
        </w:rPr>
        <w:t>identifies</w:t>
      </w:r>
      <w:r w:rsidR="0031253F">
        <w:rPr>
          <w:rFonts w:asciiTheme="minorHAnsi" w:hAnsiTheme="minorHAnsi"/>
        </w:rPr>
        <w:t xml:space="preserve"> Dana-Farber</w:t>
      </w:r>
      <w:r w:rsidR="008A640F">
        <w:rPr>
          <w:rFonts w:asciiTheme="minorHAnsi" w:hAnsiTheme="minorHAnsi"/>
        </w:rPr>
        <w:t xml:space="preserve"> </w:t>
      </w:r>
      <w:r w:rsidR="00BE29B5">
        <w:rPr>
          <w:rFonts w:asciiTheme="minorHAnsi" w:hAnsiTheme="minorHAnsi"/>
        </w:rPr>
        <w:t xml:space="preserve">patients </w:t>
      </w:r>
      <w:r w:rsidR="007222C4">
        <w:rPr>
          <w:rFonts w:asciiTheme="minorHAnsi" w:hAnsiTheme="minorHAnsi"/>
        </w:rPr>
        <w:t>admitted to</w:t>
      </w:r>
      <w:r w:rsidR="00BE29B5">
        <w:rPr>
          <w:rFonts w:asciiTheme="minorHAnsi" w:hAnsiTheme="minorHAnsi"/>
        </w:rPr>
        <w:t xml:space="preserve"> BWH-licensed beds </w:t>
      </w:r>
      <w:r w:rsidR="008A640F">
        <w:rPr>
          <w:rFonts w:asciiTheme="minorHAnsi" w:hAnsiTheme="minorHAnsi"/>
        </w:rPr>
        <w:t xml:space="preserve">based on </w:t>
      </w:r>
      <w:r w:rsidR="006C7B0A">
        <w:rPr>
          <w:rFonts w:asciiTheme="minorHAnsi" w:hAnsiTheme="minorHAnsi"/>
        </w:rPr>
        <w:t>an</w:t>
      </w:r>
      <w:r w:rsidR="008A640F">
        <w:rPr>
          <w:rFonts w:asciiTheme="minorHAnsi" w:hAnsiTheme="minorHAnsi"/>
        </w:rPr>
        <w:t xml:space="preserve"> analysis of patients</w:t>
      </w:r>
      <w:r w:rsidR="00672680">
        <w:rPr>
          <w:rFonts w:asciiTheme="minorHAnsi" w:hAnsiTheme="minorHAnsi"/>
        </w:rPr>
        <w:t xml:space="preserve"> where Dana-Farber serves as the attending physician. The Applicant states that this information</w:t>
      </w:r>
      <w:r w:rsidR="002463F8">
        <w:rPr>
          <w:rFonts w:asciiTheme="minorHAnsi" w:hAnsiTheme="minorHAnsi"/>
        </w:rPr>
        <w:t xml:space="preserve"> is reflected in the medical record and claims data. The Applicant </w:t>
      </w:r>
      <w:r w:rsidR="00291A3D">
        <w:rPr>
          <w:rFonts w:asciiTheme="minorHAnsi" w:hAnsiTheme="minorHAnsi"/>
        </w:rPr>
        <w:t>analyzed</w:t>
      </w:r>
      <w:r w:rsidR="00DB3DEB">
        <w:rPr>
          <w:rFonts w:asciiTheme="minorHAnsi" w:hAnsiTheme="minorHAnsi"/>
        </w:rPr>
        <w:t xml:space="preserve"> health care claims submitted by Dana-Farber clinicians for services provided to inpatient oncology patients, for which a </w:t>
      </w:r>
      <w:r w:rsidR="002463F8">
        <w:rPr>
          <w:rFonts w:asciiTheme="minorHAnsi" w:hAnsiTheme="minorHAnsi"/>
        </w:rPr>
        <w:t xml:space="preserve">Dana-Farber </w:t>
      </w:r>
      <w:r w:rsidR="00DB3DEB">
        <w:rPr>
          <w:rFonts w:asciiTheme="minorHAnsi" w:hAnsiTheme="minorHAnsi"/>
        </w:rPr>
        <w:t xml:space="preserve">medical oncologist </w:t>
      </w:r>
      <w:r w:rsidR="002463F8">
        <w:rPr>
          <w:rFonts w:asciiTheme="minorHAnsi" w:hAnsiTheme="minorHAnsi"/>
        </w:rPr>
        <w:t>served as the attendin</w:t>
      </w:r>
      <w:r w:rsidR="00DE690A">
        <w:rPr>
          <w:rFonts w:asciiTheme="minorHAnsi" w:hAnsiTheme="minorHAnsi"/>
        </w:rPr>
        <w:t>g</w:t>
      </w:r>
      <w:r w:rsidR="00DB3DEB">
        <w:rPr>
          <w:rFonts w:asciiTheme="minorHAnsi" w:hAnsiTheme="minorHAnsi"/>
        </w:rPr>
        <w:t xml:space="preserve"> physician</w:t>
      </w:r>
      <w:r w:rsidR="002463F8">
        <w:rPr>
          <w:rFonts w:asciiTheme="minorHAnsi" w:hAnsiTheme="minorHAnsi"/>
        </w:rPr>
        <w:t>,</w:t>
      </w:r>
      <w:r w:rsidR="007562EC">
        <w:rPr>
          <w:rFonts w:asciiTheme="minorHAnsi" w:hAnsiTheme="minorHAnsi"/>
        </w:rPr>
        <w:t xml:space="preserve"> and determined that</w:t>
      </w:r>
      <w:r w:rsidR="002463F8">
        <w:rPr>
          <w:rFonts w:asciiTheme="minorHAnsi" w:hAnsiTheme="minorHAnsi"/>
        </w:rPr>
        <w:t xml:space="preserve"> </w:t>
      </w:r>
      <w:r w:rsidR="00DB3DEB">
        <w:rPr>
          <w:rFonts w:asciiTheme="minorHAnsi" w:hAnsiTheme="minorHAnsi"/>
        </w:rPr>
        <w:t xml:space="preserve">Dana-Farber served as the attending, </w:t>
      </w:r>
      <w:r w:rsidR="002463F8">
        <w:rPr>
          <w:rFonts w:asciiTheme="minorHAnsi" w:hAnsiTheme="minorHAnsi"/>
        </w:rPr>
        <w:t xml:space="preserve">directed the care, and treated an average of 211 distinct inpatient oncology patients each day for the period between October 2025 and January 2025. </w:t>
      </w:r>
      <w:r w:rsidR="00137115">
        <w:rPr>
          <w:rFonts w:asciiTheme="minorHAnsi" w:hAnsiTheme="minorHAnsi"/>
        </w:rPr>
        <w:t xml:space="preserve"> </w:t>
      </w:r>
    </w:p>
    <w:p w14:paraId="4E7388BC" w14:textId="77777777" w:rsidR="00BE1AA8" w:rsidRDefault="00BE1AA8" w:rsidP="09B908E4">
      <w:pPr>
        <w:rPr>
          <w:rFonts w:asciiTheme="minorHAnsi" w:hAnsiTheme="minorHAnsi"/>
        </w:rPr>
      </w:pPr>
    </w:p>
    <w:p w14:paraId="141851B3" w14:textId="2C31249F" w:rsidR="005829DB" w:rsidRDefault="2644606C" w:rsidP="09B908E4">
      <w:pPr>
        <w:rPr>
          <w:rFonts w:asciiTheme="minorHAnsi" w:hAnsiTheme="minorHAnsi"/>
        </w:rPr>
      </w:pPr>
      <w:r w:rsidRPr="09B908E4">
        <w:rPr>
          <w:rFonts w:asciiTheme="minorHAnsi" w:hAnsiTheme="minorHAnsi"/>
        </w:rPr>
        <w:t xml:space="preserve">The Applicant </w:t>
      </w:r>
      <w:r w:rsidR="00101EEC">
        <w:rPr>
          <w:rFonts w:asciiTheme="minorHAnsi" w:hAnsiTheme="minorHAnsi"/>
        </w:rPr>
        <w:t>states that</w:t>
      </w:r>
      <w:r w:rsidR="39C64CAB" w:rsidRPr="09B908E4">
        <w:rPr>
          <w:rFonts w:asciiTheme="minorHAnsi" w:hAnsiTheme="minorHAnsi"/>
        </w:rPr>
        <w:t xml:space="preserve"> </w:t>
      </w:r>
      <w:r w:rsidRPr="09B908E4">
        <w:rPr>
          <w:rFonts w:asciiTheme="minorHAnsi" w:hAnsiTheme="minorHAnsi"/>
        </w:rPr>
        <w:t xml:space="preserve">these patients are Dana-Farber patients </w:t>
      </w:r>
      <w:r w:rsidR="00101EEC" w:rsidRPr="00101EEC">
        <w:rPr>
          <w:rFonts w:asciiTheme="minorHAnsi" w:hAnsiTheme="minorHAnsi"/>
        </w:rPr>
        <w:t>regardless of licensee</w:t>
      </w:r>
      <w:r w:rsidR="00E47827">
        <w:rPr>
          <w:rFonts w:asciiTheme="minorHAnsi" w:hAnsiTheme="minorHAnsi"/>
        </w:rPr>
        <w:t xml:space="preserve"> because </w:t>
      </w:r>
      <w:r w:rsidRPr="09B908E4">
        <w:rPr>
          <w:rFonts w:asciiTheme="minorHAnsi" w:hAnsiTheme="minorHAnsi"/>
        </w:rPr>
        <w:t>all</w:t>
      </w:r>
      <w:r w:rsidR="00E47827">
        <w:rPr>
          <w:rFonts w:asciiTheme="minorHAnsi" w:hAnsiTheme="minorHAnsi"/>
        </w:rPr>
        <w:t xml:space="preserve"> of these patients</w:t>
      </w:r>
      <w:r w:rsidRPr="09B908E4">
        <w:rPr>
          <w:rFonts w:asciiTheme="minorHAnsi" w:hAnsiTheme="minorHAnsi"/>
        </w:rPr>
        <w:t xml:space="preserve"> have Dana-Farber medical record numbers, during their inpatient stay</w:t>
      </w:r>
      <w:r w:rsidR="0031506E">
        <w:rPr>
          <w:rFonts w:asciiTheme="minorHAnsi" w:hAnsiTheme="minorHAnsi"/>
        </w:rPr>
        <w:t>, which the Applicant states underscores an existing treatment relationship between Dana-Farber and patients admitted to BWH-licensed beds. The Applicant states that the medical records</w:t>
      </w:r>
      <w:r w:rsidR="004F2EFB">
        <w:rPr>
          <w:rFonts w:asciiTheme="minorHAnsi" w:hAnsiTheme="minorHAnsi"/>
        </w:rPr>
        <w:t xml:space="preserve"> reflect the fact that Dana-Farber employed medical oncologists and hospitalists are the patients’ attending of record, </w:t>
      </w:r>
      <w:r w:rsidR="00522DB4">
        <w:rPr>
          <w:rFonts w:asciiTheme="minorHAnsi" w:hAnsiTheme="minorHAnsi"/>
        </w:rPr>
        <w:t>that Dana-Farber medical oncologists direct the care of these patients during their inpatient admission, and that i</w:t>
      </w:r>
      <w:r w:rsidR="007604F3">
        <w:rPr>
          <w:rFonts w:asciiTheme="minorHAnsi" w:hAnsiTheme="minorHAnsi"/>
        </w:rPr>
        <w:t>n</w:t>
      </w:r>
      <w:r w:rsidR="00522DB4">
        <w:rPr>
          <w:rFonts w:asciiTheme="minorHAnsi" w:hAnsiTheme="minorHAnsi"/>
        </w:rPr>
        <w:t xml:space="preserve"> almost all cases, a Dana-Farber medical oncologist has a previously existing treatment relationship with </w:t>
      </w:r>
      <w:r w:rsidR="000E0217">
        <w:rPr>
          <w:rFonts w:asciiTheme="minorHAnsi" w:hAnsiTheme="minorHAnsi"/>
        </w:rPr>
        <w:t>the patient</w:t>
      </w:r>
      <w:r w:rsidR="00522DB4">
        <w:rPr>
          <w:rFonts w:asciiTheme="minorHAnsi" w:hAnsiTheme="minorHAnsi"/>
        </w:rPr>
        <w:t>.</w:t>
      </w:r>
      <w:r w:rsidR="005829DB">
        <w:rPr>
          <w:rFonts w:asciiTheme="minorHAnsi" w:hAnsiTheme="minorHAnsi"/>
        </w:rPr>
        <w:t xml:space="preserve"> The Applicant states that in the instance when a Dana-Farber clinician serves as an attending for a patient requiring certain services from BWH, the Applicant considers the patient to be a Dana-Farber patient because a Dana-Farber clinician directs the patient’s inpatient care. The Applicant states that patients with a BWH attending physician for whom Dana-Farber physicians provide consultations are not assigned to Dana-Farber. </w:t>
      </w:r>
    </w:p>
    <w:p w14:paraId="3EC645C6" w14:textId="77777777" w:rsidR="007E0D1E" w:rsidRDefault="007E0D1E" w:rsidP="00BA2054">
      <w:pPr>
        <w:rPr>
          <w:rFonts w:asciiTheme="minorHAnsi" w:hAnsiTheme="minorHAnsi"/>
          <w:szCs w:val="24"/>
        </w:rPr>
      </w:pPr>
    </w:p>
    <w:p w14:paraId="659CD695" w14:textId="71A119B2" w:rsidR="00802217" w:rsidRDefault="1F74299D" w:rsidP="09B908E4">
      <w:pPr>
        <w:rPr>
          <w:rFonts w:asciiTheme="minorHAnsi" w:hAnsiTheme="minorHAnsi"/>
        </w:rPr>
      </w:pPr>
      <w:r w:rsidRPr="09B908E4">
        <w:rPr>
          <w:rFonts w:asciiTheme="minorHAnsi" w:hAnsiTheme="minorHAnsi"/>
          <w:u w:val="single"/>
        </w:rPr>
        <w:lastRenderedPageBreak/>
        <w:t xml:space="preserve">Community </w:t>
      </w:r>
      <w:r w:rsidR="463E0CFE" w:rsidRPr="09B908E4">
        <w:rPr>
          <w:rFonts w:asciiTheme="minorHAnsi" w:hAnsiTheme="minorHAnsi"/>
          <w:u w:val="single"/>
        </w:rPr>
        <w:t>Providers and Hospitals</w:t>
      </w:r>
      <w:r w:rsidR="463E0CFE" w:rsidRPr="09B908E4">
        <w:rPr>
          <w:rFonts w:asciiTheme="minorHAnsi" w:hAnsiTheme="minorHAnsi"/>
          <w:b/>
          <w:bCs/>
        </w:rPr>
        <w:t>:</w:t>
      </w:r>
      <w:r w:rsidR="259303AC" w:rsidRPr="09B908E4">
        <w:rPr>
          <w:rFonts w:asciiTheme="minorHAnsi" w:hAnsiTheme="minorHAnsi"/>
          <w:b/>
          <w:bCs/>
        </w:rPr>
        <w:t xml:space="preserve"> </w:t>
      </w:r>
      <w:r w:rsidR="6FCCD8FF" w:rsidRPr="09B908E4">
        <w:rPr>
          <w:rFonts w:asciiTheme="minorHAnsi" w:hAnsiTheme="minorHAnsi"/>
        </w:rPr>
        <w:t>The Applicant states that</w:t>
      </w:r>
      <w:r w:rsidR="6FCCD8FF" w:rsidRPr="09B908E4">
        <w:rPr>
          <w:rFonts w:asciiTheme="minorHAnsi" w:hAnsiTheme="minorHAnsi"/>
          <w:b/>
          <w:bCs/>
        </w:rPr>
        <w:t xml:space="preserve"> </w:t>
      </w:r>
      <w:r w:rsidR="259303AC" w:rsidRPr="09B908E4">
        <w:rPr>
          <w:rFonts w:asciiTheme="minorHAnsi" w:hAnsiTheme="minorHAnsi"/>
        </w:rPr>
        <w:t xml:space="preserve">Dana-Farber </w:t>
      </w:r>
      <w:r w:rsidR="305AE7F9" w:rsidRPr="09B908E4">
        <w:rPr>
          <w:rFonts w:asciiTheme="minorHAnsi" w:hAnsiTheme="minorHAnsi"/>
        </w:rPr>
        <w:t xml:space="preserve">collaborates to have patients receive </w:t>
      </w:r>
      <w:r w:rsidR="008C60E1">
        <w:rPr>
          <w:rFonts w:asciiTheme="minorHAnsi" w:hAnsiTheme="minorHAnsi"/>
        </w:rPr>
        <w:t xml:space="preserve">inpatient </w:t>
      </w:r>
      <w:r w:rsidR="305AE7F9" w:rsidRPr="09B908E4">
        <w:rPr>
          <w:rFonts w:asciiTheme="minorHAnsi" w:hAnsiTheme="minorHAnsi"/>
        </w:rPr>
        <w:t xml:space="preserve">care in their local hospitals, and as such, </w:t>
      </w:r>
      <w:r w:rsidR="259303AC" w:rsidRPr="09B908E4">
        <w:rPr>
          <w:rFonts w:asciiTheme="minorHAnsi" w:hAnsiTheme="minorHAnsi"/>
        </w:rPr>
        <w:t xml:space="preserve">refers patients back to their community </w:t>
      </w:r>
      <w:r w:rsidR="30DCD567" w:rsidRPr="09B908E4">
        <w:rPr>
          <w:rFonts w:asciiTheme="minorHAnsi" w:hAnsiTheme="minorHAnsi"/>
        </w:rPr>
        <w:t xml:space="preserve">physicians </w:t>
      </w:r>
      <w:r w:rsidR="259303AC" w:rsidRPr="09B908E4">
        <w:rPr>
          <w:rFonts w:asciiTheme="minorHAnsi" w:hAnsiTheme="minorHAnsi"/>
        </w:rPr>
        <w:t>once the</w:t>
      </w:r>
      <w:r w:rsidR="30DCD567" w:rsidRPr="09B908E4">
        <w:rPr>
          <w:rFonts w:asciiTheme="minorHAnsi" w:hAnsiTheme="minorHAnsi"/>
        </w:rPr>
        <w:t xml:space="preserve"> specialized </w:t>
      </w:r>
      <w:r w:rsidR="259303AC" w:rsidRPr="09B908E4">
        <w:rPr>
          <w:rFonts w:asciiTheme="minorHAnsi" w:hAnsiTheme="minorHAnsi"/>
        </w:rPr>
        <w:t xml:space="preserve">care </w:t>
      </w:r>
      <w:r w:rsidR="30DCD567" w:rsidRPr="09B908E4">
        <w:rPr>
          <w:rFonts w:asciiTheme="minorHAnsi" w:hAnsiTheme="minorHAnsi"/>
        </w:rPr>
        <w:t xml:space="preserve">they need </w:t>
      </w:r>
      <w:r w:rsidR="000465D9">
        <w:rPr>
          <w:rFonts w:asciiTheme="minorHAnsi" w:hAnsiTheme="minorHAnsi"/>
        </w:rPr>
        <w:t xml:space="preserve">at Dana-Farber </w:t>
      </w:r>
      <w:r w:rsidR="259303AC" w:rsidRPr="09B908E4">
        <w:rPr>
          <w:rFonts w:asciiTheme="minorHAnsi" w:hAnsiTheme="minorHAnsi"/>
        </w:rPr>
        <w:t>i</w:t>
      </w:r>
      <w:r w:rsidR="30DCD567" w:rsidRPr="09B908E4">
        <w:rPr>
          <w:rFonts w:asciiTheme="minorHAnsi" w:hAnsiTheme="minorHAnsi"/>
        </w:rPr>
        <w:t>s</w:t>
      </w:r>
      <w:r w:rsidR="259303AC" w:rsidRPr="09B908E4">
        <w:rPr>
          <w:rFonts w:asciiTheme="minorHAnsi" w:hAnsiTheme="minorHAnsi"/>
        </w:rPr>
        <w:t xml:space="preserve"> complete.</w:t>
      </w:r>
      <w:r w:rsidR="78685113" w:rsidRPr="09B908E4">
        <w:rPr>
          <w:rFonts w:asciiTheme="minorHAnsi" w:hAnsiTheme="minorHAnsi"/>
        </w:rPr>
        <w:t xml:space="preserve"> </w:t>
      </w:r>
      <w:r w:rsidR="77815C84" w:rsidRPr="09B908E4">
        <w:rPr>
          <w:rFonts w:asciiTheme="minorHAnsi" w:hAnsiTheme="minorHAnsi"/>
        </w:rPr>
        <w:t>The Applicant</w:t>
      </w:r>
      <w:r w:rsidR="00000142">
        <w:rPr>
          <w:rFonts w:asciiTheme="minorHAnsi" w:hAnsiTheme="minorHAnsi"/>
        </w:rPr>
        <w:t xml:space="preserve"> states that it</w:t>
      </w:r>
      <w:r w:rsidR="77815C84" w:rsidRPr="09B908E4">
        <w:rPr>
          <w:rFonts w:asciiTheme="minorHAnsi" w:hAnsiTheme="minorHAnsi"/>
        </w:rPr>
        <w:t xml:space="preserve"> links </w:t>
      </w:r>
      <w:r w:rsidR="00CD5BC5">
        <w:rPr>
          <w:rFonts w:asciiTheme="minorHAnsi" w:hAnsiTheme="minorHAnsi"/>
        </w:rPr>
        <w:t>patients with cancer</w:t>
      </w:r>
      <w:r w:rsidR="5E827DEE" w:rsidRPr="09B908E4">
        <w:rPr>
          <w:rFonts w:asciiTheme="minorHAnsi" w:hAnsiTheme="minorHAnsi"/>
        </w:rPr>
        <w:t xml:space="preserve"> with referring physicians and other specialists for follow-up care</w:t>
      </w:r>
      <w:r w:rsidR="1245AA52" w:rsidRPr="09B908E4">
        <w:rPr>
          <w:rFonts w:asciiTheme="minorHAnsi" w:hAnsiTheme="minorHAnsi"/>
        </w:rPr>
        <w:t xml:space="preserve">, working with physicians’ groups and community medical groups throughout the Commonwealth. </w:t>
      </w:r>
      <w:r w:rsidR="00D40A72">
        <w:rPr>
          <w:rFonts w:asciiTheme="minorHAnsi" w:hAnsiTheme="minorHAnsi"/>
        </w:rPr>
        <w:t xml:space="preserve">The Applicant </w:t>
      </w:r>
      <w:r w:rsidR="4ADE22F4" w:rsidRPr="09B908E4">
        <w:rPr>
          <w:rFonts w:asciiTheme="minorHAnsi" w:hAnsiTheme="minorHAnsi"/>
        </w:rPr>
        <w:t xml:space="preserve">partners with </w:t>
      </w:r>
      <w:r w:rsidR="16F94B7D" w:rsidRPr="09B908E4">
        <w:rPr>
          <w:rFonts w:asciiTheme="minorHAnsi" w:hAnsiTheme="minorHAnsi"/>
        </w:rPr>
        <w:t xml:space="preserve">community health centers in a co-location model </w:t>
      </w:r>
      <w:r w:rsidR="54D3AFC4" w:rsidRPr="09B908E4">
        <w:rPr>
          <w:rFonts w:asciiTheme="minorHAnsi" w:hAnsiTheme="minorHAnsi"/>
        </w:rPr>
        <w:t>that the Applicant states is focused on keeping care local</w:t>
      </w:r>
      <w:r w:rsidR="094F1A7D" w:rsidRPr="09B908E4">
        <w:rPr>
          <w:rFonts w:asciiTheme="minorHAnsi" w:hAnsiTheme="minorHAnsi"/>
        </w:rPr>
        <w:t xml:space="preserve">. </w:t>
      </w:r>
    </w:p>
    <w:p w14:paraId="7476FD80" w14:textId="77777777" w:rsidR="00493A02" w:rsidRDefault="00493A02" w:rsidP="00BA2054">
      <w:pPr>
        <w:rPr>
          <w:rFonts w:asciiTheme="minorHAnsi" w:hAnsiTheme="minorHAnsi"/>
          <w:szCs w:val="24"/>
        </w:rPr>
      </w:pPr>
    </w:p>
    <w:p w14:paraId="4F595CCA" w14:textId="1AB37DD8" w:rsidR="006A4518" w:rsidRPr="00493A02" w:rsidRDefault="006A4518" w:rsidP="00BA2054">
      <w:pPr>
        <w:rPr>
          <w:rFonts w:asciiTheme="minorHAnsi" w:hAnsiTheme="minorHAnsi"/>
          <w:szCs w:val="24"/>
        </w:rPr>
      </w:pPr>
      <w:r w:rsidRPr="00493A02">
        <w:rPr>
          <w:rFonts w:asciiTheme="minorHAnsi" w:hAnsiTheme="minorHAnsi"/>
          <w:szCs w:val="24"/>
        </w:rPr>
        <w:t xml:space="preserve">The Department received comment from several elected officials and community health centers describing Dana-Farber’s relationship with community providers, and efforts to keep care local. </w:t>
      </w:r>
      <w:r w:rsidR="00683110" w:rsidRPr="00493A02">
        <w:rPr>
          <w:rFonts w:asciiTheme="minorHAnsi" w:hAnsiTheme="minorHAnsi"/>
          <w:szCs w:val="24"/>
        </w:rPr>
        <w:t xml:space="preserve">A joint comment from </w:t>
      </w:r>
      <w:r w:rsidR="00F01BC4">
        <w:rPr>
          <w:rFonts w:asciiTheme="minorHAnsi" w:hAnsiTheme="minorHAnsi"/>
          <w:szCs w:val="24"/>
        </w:rPr>
        <w:t xml:space="preserve">members of </w:t>
      </w:r>
      <w:r w:rsidR="00683110" w:rsidRPr="00493A02">
        <w:rPr>
          <w:rFonts w:asciiTheme="minorHAnsi" w:hAnsiTheme="minorHAnsi"/>
          <w:szCs w:val="24"/>
        </w:rPr>
        <w:t xml:space="preserve">the </w:t>
      </w:r>
      <w:r w:rsidR="006B7FA0" w:rsidRPr="00493A02">
        <w:rPr>
          <w:rFonts w:asciiTheme="minorHAnsi" w:hAnsiTheme="minorHAnsi"/>
          <w:szCs w:val="24"/>
        </w:rPr>
        <w:t xml:space="preserve">House of Representatives </w:t>
      </w:r>
      <w:r w:rsidR="00D07A44" w:rsidRPr="00493A02">
        <w:rPr>
          <w:rFonts w:asciiTheme="minorHAnsi" w:hAnsiTheme="minorHAnsi"/>
          <w:szCs w:val="24"/>
        </w:rPr>
        <w:t>states</w:t>
      </w:r>
      <w:r w:rsidR="00D86F59">
        <w:rPr>
          <w:rFonts w:asciiTheme="minorHAnsi" w:hAnsiTheme="minorHAnsi"/>
          <w:szCs w:val="24"/>
        </w:rPr>
        <w:t>,</w:t>
      </w:r>
      <w:r w:rsidR="00D07A44" w:rsidRPr="00493A02">
        <w:rPr>
          <w:rFonts w:asciiTheme="minorHAnsi" w:hAnsiTheme="minorHAnsi"/>
          <w:szCs w:val="24"/>
        </w:rPr>
        <w:t xml:space="preserve"> “Dana-Farber also partners with </w:t>
      </w:r>
      <w:r w:rsidR="00B56AB9">
        <w:rPr>
          <w:rFonts w:asciiTheme="minorHAnsi" w:hAnsiTheme="minorHAnsi"/>
          <w:szCs w:val="24"/>
        </w:rPr>
        <w:t xml:space="preserve">several </w:t>
      </w:r>
      <w:r w:rsidR="00D07A44" w:rsidRPr="00493A02">
        <w:rPr>
          <w:rFonts w:asciiTheme="minorHAnsi" w:hAnsiTheme="minorHAnsi"/>
          <w:szCs w:val="24"/>
        </w:rPr>
        <w:t>community hospitals</w:t>
      </w:r>
      <w:r w:rsidR="008254A4">
        <w:rPr>
          <w:rFonts w:asciiTheme="minorHAnsi" w:hAnsiTheme="minorHAnsi"/>
          <w:szCs w:val="24"/>
        </w:rPr>
        <w:t xml:space="preserve"> in the region</w:t>
      </w:r>
      <w:r w:rsidR="00D07A44" w:rsidRPr="00493A02">
        <w:rPr>
          <w:rFonts w:asciiTheme="minorHAnsi" w:hAnsiTheme="minorHAnsi"/>
          <w:szCs w:val="24"/>
        </w:rPr>
        <w:t xml:space="preserve"> including St. Elizabeth's in Brighton. Through this unique model, patients </w:t>
      </w:r>
      <w:r w:rsidR="0043063E">
        <w:rPr>
          <w:rFonts w:asciiTheme="minorHAnsi" w:hAnsiTheme="minorHAnsi"/>
          <w:szCs w:val="24"/>
        </w:rPr>
        <w:t>are able to</w:t>
      </w:r>
      <w:r w:rsidR="0043063E" w:rsidRPr="00493A02">
        <w:rPr>
          <w:rFonts w:asciiTheme="minorHAnsi" w:hAnsiTheme="minorHAnsi"/>
          <w:szCs w:val="24"/>
        </w:rPr>
        <w:t xml:space="preserve"> </w:t>
      </w:r>
      <w:r w:rsidR="00D07A44" w:rsidRPr="00493A02">
        <w:rPr>
          <w:rFonts w:asciiTheme="minorHAnsi" w:hAnsiTheme="minorHAnsi"/>
          <w:szCs w:val="24"/>
        </w:rPr>
        <w:t>receive some of their care at their local community hospital</w:t>
      </w:r>
      <w:r w:rsidR="00AA0F08">
        <w:rPr>
          <w:rFonts w:asciiTheme="minorHAnsi" w:hAnsiTheme="minorHAnsi"/>
          <w:szCs w:val="24"/>
        </w:rPr>
        <w:t xml:space="preserve"> - </w:t>
      </w:r>
      <w:r w:rsidR="00D07A44" w:rsidRPr="00493A02">
        <w:rPr>
          <w:rFonts w:asciiTheme="minorHAnsi" w:hAnsiTheme="minorHAnsi"/>
          <w:szCs w:val="24"/>
        </w:rPr>
        <w:t>making care more accessible, culturally competent, and personalized.</w:t>
      </w:r>
      <w:r w:rsidR="004B72C2" w:rsidRPr="004B72C2">
        <w:rPr>
          <w:rFonts w:asciiTheme="minorHAnsi" w:hAnsiTheme="minorHAnsi"/>
          <w:szCs w:val="24"/>
        </w:rPr>
        <w:t xml:space="preserve"> This new cancer center will allow them to continue these important programs</w:t>
      </w:r>
      <w:r w:rsidR="004B72C2">
        <w:rPr>
          <w:rFonts w:asciiTheme="minorHAnsi" w:hAnsiTheme="minorHAnsi"/>
          <w:szCs w:val="24"/>
        </w:rPr>
        <w:t xml:space="preserve"> </w:t>
      </w:r>
      <w:r w:rsidR="004B72C2" w:rsidRPr="004B72C2">
        <w:rPr>
          <w:rFonts w:asciiTheme="minorHAnsi" w:hAnsiTheme="minorHAnsi"/>
          <w:szCs w:val="24"/>
        </w:rPr>
        <w:t>for patients in our communities.</w:t>
      </w:r>
      <w:r w:rsidR="00D07A44" w:rsidRPr="00493A02">
        <w:rPr>
          <w:rFonts w:asciiTheme="minorHAnsi" w:hAnsiTheme="minorHAnsi"/>
          <w:szCs w:val="24"/>
        </w:rPr>
        <w:t>”</w:t>
      </w:r>
      <w:r w:rsidR="006B7FA0">
        <w:rPr>
          <w:rStyle w:val="FootnoteReference"/>
          <w:rFonts w:asciiTheme="minorHAnsi" w:hAnsiTheme="minorHAnsi"/>
          <w:szCs w:val="24"/>
        </w:rPr>
        <w:footnoteReference w:id="22"/>
      </w:r>
    </w:p>
    <w:p w14:paraId="4CEC55FF" w14:textId="77777777" w:rsidR="00D07A44" w:rsidRDefault="00D07A44" w:rsidP="004B72C2">
      <w:pPr>
        <w:rPr>
          <w:rFonts w:asciiTheme="minorHAnsi" w:hAnsiTheme="minorHAnsi"/>
          <w:szCs w:val="24"/>
        </w:rPr>
      </w:pPr>
    </w:p>
    <w:p w14:paraId="74952633" w14:textId="743F5B7F" w:rsidR="00994E45" w:rsidRDefault="5DE325A8" w:rsidP="09B908E4">
      <w:pPr>
        <w:rPr>
          <w:rFonts w:asciiTheme="minorHAnsi" w:hAnsiTheme="minorHAnsi"/>
        </w:rPr>
      </w:pPr>
      <w:r w:rsidRPr="09B908E4">
        <w:rPr>
          <w:rFonts w:asciiTheme="minorHAnsi" w:hAnsiTheme="minorHAnsi"/>
          <w:u w:val="single"/>
        </w:rPr>
        <w:t>Specialization</w:t>
      </w:r>
      <w:r w:rsidRPr="09B908E4">
        <w:rPr>
          <w:rFonts w:asciiTheme="minorHAnsi" w:hAnsiTheme="minorHAnsi"/>
        </w:rPr>
        <w:t>:</w:t>
      </w:r>
      <w:r w:rsidRPr="09B908E4">
        <w:rPr>
          <w:rFonts w:asciiTheme="minorHAnsi" w:hAnsiTheme="minorHAnsi"/>
          <w:b/>
          <w:bCs/>
        </w:rPr>
        <w:t xml:space="preserve"> </w:t>
      </w:r>
      <w:r w:rsidR="2CC9A530" w:rsidRPr="09B908E4">
        <w:rPr>
          <w:rFonts w:asciiTheme="minorHAnsi" w:hAnsiTheme="minorHAnsi"/>
        </w:rPr>
        <w:t>The Applicant states that cancer care has become more sophisticated and complex and that Dana-Farber is at the forefront of providing these services in the Commonwealth and internationally. The Applicant states further that complex and novel therapies like induction therapy for acute leukemia patients, CAR</w:t>
      </w:r>
      <w:r w:rsidR="00EB35D2">
        <w:rPr>
          <w:rFonts w:asciiTheme="minorHAnsi" w:hAnsiTheme="minorHAnsi"/>
        </w:rPr>
        <w:t xml:space="preserve"> </w:t>
      </w:r>
      <w:r w:rsidR="2CC9A530" w:rsidRPr="09B908E4">
        <w:rPr>
          <w:rFonts w:asciiTheme="minorHAnsi" w:hAnsiTheme="minorHAnsi"/>
        </w:rPr>
        <w:t>T</w:t>
      </w:r>
      <w:r w:rsidR="00EB35D2">
        <w:rPr>
          <w:rFonts w:asciiTheme="minorHAnsi" w:hAnsiTheme="minorHAnsi"/>
        </w:rPr>
        <w:t>-</w:t>
      </w:r>
      <w:r w:rsidR="2CC9A530" w:rsidRPr="09B908E4">
        <w:rPr>
          <w:rFonts w:asciiTheme="minorHAnsi" w:hAnsiTheme="minorHAnsi"/>
        </w:rPr>
        <w:t xml:space="preserve">cell therapy, bi-specific T-cell engager therapy and stem cell transplantation are expanding in their </w:t>
      </w:r>
      <w:r w:rsidR="00D00D94">
        <w:rPr>
          <w:rFonts w:asciiTheme="minorHAnsi" w:hAnsiTheme="minorHAnsi"/>
        </w:rPr>
        <w:t>prevalence</w:t>
      </w:r>
      <w:r w:rsidR="2CC9A530" w:rsidRPr="09B908E4">
        <w:rPr>
          <w:rFonts w:asciiTheme="minorHAnsi" w:hAnsiTheme="minorHAnsi"/>
        </w:rPr>
        <w:t xml:space="preserve">. </w:t>
      </w:r>
      <w:r w:rsidR="2EFB428F" w:rsidRPr="09B908E4">
        <w:rPr>
          <w:rFonts w:asciiTheme="minorHAnsi" w:hAnsiTheme="minorHAnsi"/>
        </w:rPr>
        <w:t>The</w:t>
      </w:r>
      <w:r w:rsidR="00D41314">
        <w:rPr>
          <w:rFonts w:asciiTheme="minorHAnsi" w:hAnsiTheme="minorHAnsi"/>
        </w:rPr>
        <w:t xml:space="preserve"> Applicant states that the</w:t>
      </w:r>
      <w:r w:rsidR="2EFB428F" w:rsidRPr="09B908E4">
        <w:rPr>
          <w:rFonts w:asciiTheme="minorHAnsi" w:hAnsiTheme="minorHAnsi"/>
        </w:rPr>
        <w:t xml:space="preserve"> </w:t>
      </w:r>
      <w:r w:rsidR="54760227" w:rsidRPr="09B908E4">
        <w:rPr>
          <w:rFonts w:asciiTheme="minorHAnsi" w:hAnsiTheme="minorHAnsi"/>
        </w:rPr>
        <w:t xml:space="preserve">number of </w:t>
      </w:r>
      <w:r w:rsidR="2EFB428F" w:rsidRPr="09B908E4">
        <w:rPr>
          <w:rFonts w:asciiTheme="minorHAnsi" w:hAnsiTheme="minorHAnsi"/>
        </w:rPr>
        <w:t>indications for CAR</w:t>
      </w:r>
      <w:r w:rsidR="00EB35D2">
        <w:rPr>
          <w:rFonts w:asciiTheme="minorHAnsi" w:hAnsiTheme="minorHAnsi"/>
        </w:rPr>
        <w:t xml:space="preserve"> </w:t>
      </w:r>
      <w:r w:rsidR="2EFB428F" w:rsidRPr="09B908E4">
        <w:rPr>
          <w:rFonts w:asciiTheme="minorHAnsi" w:hAnsiTheme="minorHAnsi"/>
        </w:rPr>
        <w:t>T</w:t>
      </w:r>
      <w:r w:rsidR="00EB35D2">
        <w:rPr>
          <w:rFonts w:asciiTheme="minorHAnsi" w:hAnsiTheme="minorHAnsi"/>
        </w:rPr>
        <w:t>-</w:t>
      </w:r>
      <w:r w:rsidR="2EFB428F" w:rsidRPr="09B908E4">
        <w:rPr>
          <w:rFonts w:asciiTheme="minorHAnsi" w:hAnsiTheme="minorHAnsi"/>
        </w:rPr>
        <w:t xml:space="preserve">cell </w:t>
      </w:r>
      <w:r w:rsidR="135B53BE" w:rsidRPr="09B908E4">
        <w:rPr>
          <w:rFonts w:asciiTheme="minorHAnsi" w:hAnsiTheme="minorHAnsi"/>
        </w:rPr>
        <w:t xml:space="preserve">therapy </w:t>
      </w:r>
      <w:r w:rsidR="093E600C" w:rsidRPr="09B908E4">
        <w:rPr>
          <w:rFonts w:asciiTheme="minorHAnsi" w:hAnsiTheme="minorHAnsi"/>
        </w:rPr>
        <w:t xml:space="preserve">and </w:t>
      </w:r>
      <w:r w:rsidR="201883F9" w:rsidRPr="09B908E4">
        <w:rPr>
          <w:rFonts w:asciiTheme="minorHAnsi" w:hAnsiTheme="minorHAnsi"/>
        </w:rPr>
        <w:t>b</w:t>
      </w:r>
      <w:r w:rsidR="093E600C" w:rsidRPr="09B908E4">
        <w:rPr>
          <w:rFonts w:asciiTheme="minorHAnsi" w:hAnsiTheme="minorHAnsi"/>
        </w:rPr>
        <w:t>i-specific</w:t>
      </w:r>
      <w:r w:rsidR="135B53BE" w:rsidRPr="09B908E4">
        <w:rPr>
          <w:rFonts w:asciiTheme="minorHAnsi" w:hAnsiTheme="minorHAnsi"/>
        </w:rPr>
        <w:t xml:space="preserve"> T-cell engager therapy</w:t>
      </w:r>
      <w:r w:rsidR="093E600C" w:rsidRPr="09B908E4">
        <w:rPr>
          <w:rFonts w:asciiTheme="minorHAnsi" w:hAnsiTheme="minorHAnsi"/>
        </w:rPr>
        <w:t xml:space="preserve"> </w:t>
      </w:r>
      <w:r w:rsidR="2EFB428F" w:rsidRPr="09B908E4">
        <w:rPr>
          <w:rFonts w:asciiTheme="minorHAnsi" w:hAnsiTheme="minorHAnsi"/>
        </w:rPr>
        <w:t>is increasing</w:t>
      </w:r>
      <w:r w:rsidR="67C14102" w:rsidRPr="09B908E4">
        <w:rPr>
          <w:rFonts w:asciiTheme="minorHAnsi" w:hAnsiTheme="minorHAnsi"/>
        </w:rPr>
        <w:t xml:space="preserve">, </w:t>
      </w:r>
      <w:r w:rsidR="4BA888B9" w:rsidRPr="09B908E4">
        <w:rPr>
          <w:rFonts w:asciiTheme="minorHAnsi" w:hAnsiTheme="minorHAnsi"/>
        </w:rPr>
        <w:t xml:space="preserve">which in turn increases </w:t>
      </w:r>
      <w:r w:rsidR="00E506F5">
        <w:rPr>
          <w:rFonts w:asciiTheme="minorHAnsi" w:hAnsiTheme="minorHAnsi"/>
        </w:rPr>
        <w:t xml:space="preserve">the </w:t>
      </w:r>
      <w:r w:rsidR="007E4728">
        <w:rPr>
          <w:rFonts w:asciiTheme="minorHAnsi" w:hAnsiTheme="minorHAnsi"/>
        </w:rPr>
        <w:t xml:space="preserve">prevalence </w:t>
      </w:r>
      <w:r w:rsidR="00E506F5">
        <w:rPr>
          <w:rFonts w:asciiTheme="minorHAnsi" w:hAnsiTheme="minorHAnsi"/>
        </w:rPr>
        <w:t xml:space="preserve">of these therapies and the </w:t>
      </w:r>
      <w:r w:rsidR="4BA888B9" w:rsidRPr="09B908E4">
        <w:rPr>
          <w:rFonts w:asciiTheme="minorHAnsi" w:hAnsiTheme="minorHAnsi"/>
        </w:rPr>
        <w:t>need for inpatient beds</w:t>
      </w:r>
      <w:r w:rsidR="4D6617DC" w:rsidRPr="09B908E4">
        <w:rPr>
          <w:rFonts w:asciiTheme="minorHAnsi" w:hAnsiTheme="minorHAnsi"/>
        </w:rPr>
        <w:t xml:space="preserve"> to manage</w:t>
      </w:r>
      <w:r w:rsidR="5C0564A9" w:rsidRPr="09B908E4">
        <w:rPr>
          <w:rFonts w:asciiTheme="minorHAnsi" w:hAnsiTheme="minorHAnsi"/>
        </w:rPr>
        <w:t xml:space="preserve"> side effects</w:t>
      </w:r>
      <w:r w:rsidR="6267DDA0" w:rsidRPr="09B908E4">
        <w:rPr>
          <w:rFonts w:asciiTheme="minorHAnsi" w:hAnsiTheme="minorHAnsi"/>
        </w:rPr>
        <w:t xml:space="preserve"> </w:t>
      </w:r>
      <w:r w:rsidR="4D6617DC" w:rsidRPr="09B908E4">
        <w:rPr>
          <w:rFonts w:asciiTheme="minorHAnsi" w:hAnsiTheme="minorHAnsi"/>
        </w:rPr>
        <w:t>by clinician</w:t>
      </w:r>
      <w:r w:rsidR="4B5071D4" w:rsidRPr="09B908E4">
        <w:rPr>
          <w:rFonts w:asciiTheme="minorHAnsi" w:hAnsiTheme="minorHAnsi"/>
        </w:rPr>
        <w:t>s</w:t>
      </w:r>
      <w:r w:rsidR="4D6617DC" w:rsidRPr="09B908E4">
        <w:rPr>
          <w:rFonts w:asciiTheme="minorHAnsi" w:hAnsiTheme="minorHAnsi"/>
        </w:rPr>
        <w:t xml:space="preserve"> that are </w:t>
      </w:r>
      <w:r w:rsidR="6267DDA0" w:rsidRPr="09B908E4">
        <w:rPr>
          <w:rFonts w:asciiTheme="minorHAnsi" w:hAnsiTheme="minorHAnsi"/>
        </w:rPr>
        <w:t>t</w:t>
      </w:r>
      <w:r w:rsidR="4D6617DC" w:rsidRPr="09B908E4">
        <w:rPr>
          <w:rFonts w:asciiTheme="minorHAnsi" w:hAnsiTheme="minorHAnsi"/>
        </w:rPr>
        <w:t xml:space="preserve">rained to </w:t>
      </w:r>
      <w:r w:rsidR="6267DDA0" w:rsidRPr="09B908E4">
        <w:rPr>
          <w:rFonts w:asciiTheme="minorHAnsi" w:hAnsiTheme="minorHAnsi"/>
        </w:rPr>
        <w:t>manage them</w:t>
      </w:r>
      <w:r w:rsidR="4304D849" w:rsidRPr="09B908E4">
        <w:rPr>
          <w:rFonts w:asciiTheme="minorHAnsi" w:hAnsiTheme="minorHAnsi"/>
        </w:rPr>
        <w:t>.</w:t>
      </w:r>
    </w:p>
    <w:p w14:paraId="7140C9F1" w14:textId="77777777" w:rsidR="002631E6" w:rsidRDefault="002631E6" w:rsidP="00BA2054">
      <w:pPr>
        <w:rPr>
          <w:rFonts w:asciiTheme="minorHAnsi" w:hAnsiTheme="minorHAnsi"/>
          <w:szCs w:val="24"/>
        </w:rPr>
      </w:pPr>
    </w:p>
    <w:p w14:paraId="1DB8511C" w14:textId="3DA617F0" w:rsidR="00030E83" w:rsidRPr="00D0750C" w:rsidRDefault="00030E83" w:rsidP="00BA2054">
      <w:r>
        <w:t xml:space="preserve">The Applicant states that patients with numerous types of cancers seek its services, as </w:t>
      </w:r>
      <w:r w:rsidR="00F01BC4">
        <w:t>evidenced by</w:t>
      </w:r>
      <w:r>
        <w:t xml:space="preserve"> its historical utilization. </w:t>
      </w:r>
      <w:r w:rsidRPr="00D0750C">
        <w:t xml:space="preserve">Table </w:t>
      </w:r>
      <w:r w:rsidR="00AE6D41">
        <w:t>9</w:t>
      </w:r>
      <w:r w:rsidRPr="00D0750C">
        <w:t xml:space="preserve"> shows inpatient utilization by disease center. Inpatient utilization includes patients seen in the Applicant’s licensed beds, and patients the Applicant </w:t>
      </w:r>
      <w:r>
        <w:t>care</w:t>
      </w:r>
      <w:r w:rsidR="00AB27B5">
        <w:t>d</w:t>
      </w:r>
      <w:r>
        <w:t xml:space="preserve"> for </w:t>
      </w:r>
      <w:r w:rsidRPr="00D0750C">
        <w:t xml:space="preserve">in certain BWH-licensed beds. </w:t>
      </w:r>
    </w:p>
    <w:p w14:paraId="430C501A" w14:textId="77777777" w:rsidR="00030E83" w:rsidRDefault="00030E83" w:rsidP="00BA2054">
      <w:pPr>
        <w:rPr>
          <w:b/>
          <w:bCs/>
        </w:rPr>
      </w:pPr>
    </w:p>
    <w:p w14:paraId="4A69C060" w14:textId="7434E14E" w:rsidR="00030E83" w:rsidRDefault="00030E83" w:rsidP="00030E83">
      <w:pPr>
        <w:rPr>
          <w:rFonts w:asciiTheme="minorHAnsi" w:hAnsiTheme="minorHAnsi"/>
          <w:b/>
          <w:bCs/>
          <w:szCs w:val="24"/>
        </w:rPr>
      </w:pPr>
      <w:r w:rsidRPr="00D947D0">
        <w:rPr>
          <w:rFonts w:asciiTheme="minorHAnsi" w:hAnsiTheme="minorHAnsi"/>
          <w:b/>
          <w:bCs/>
          <w:szCs w:val="24"/>
          <w:u w:val="single"/>
        </w:rPr>
        <w:t xml:space="preserve">Table </w:t>
      </w:r>
      <w:r w:rsidR="00AE6D41">
        <w:rPr>
          <w:rFonts w:asciiTheme="minorHAnsi" w:hAnsiTheme="minorHAnsi"/>
          <w:b/>
          <w:bCs/>
          <w:szCs w:val="24"/>
          <w:u w:val="single"/>
        </w:rPr>
        <w:t>9</w:t>
      </w:r>
      <w:r w:rsidRPr="00D947D0">
        <w:rPr>
          <w:rFonts w:asciiTheme="minorHAnsi" w:hAnsiTheme="minorHAnsi"/>
          <w:b/>
          <w:bCs/>
          <w:szCs w:val="24"/>
        </w:rPr>
        <w:t>: Inpatient Utilization by Disease Center</w:t>
      </w:r>
      <w:r w:rsidRPr="00D947D0">
        <w:rPr>
          <w:rStyle w:val="FootnoteReference"/>
          <w:rFonts w:asciiTheme="minorHAnsi" w:hAnsiTheme="minorHAnsi"/>
          <w:b/>
          <w:bCs/>
          <w:szCs w:val="24"/>
        </w:rPr>
        <w:footnoteReference w:id="2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814"/>
        <w:gridCol w:w="814"/>
        <w:gridCol w:w="814"/>
        <w:gridCol w:w="814"/>
        <w:gridCol w:w="814"/>
        <w:gridCol w:w="814"/>
      </w:tblGrid>
      <w:tr w:rsidR="00060383" w:rsidRPr="00E83B49" w14:paraId="190C0079" w14:textId="77777777" w:rsidTr="00CD7A9D">
        <w:trPr>
          <w:cantSplit/>
          <w:trHeight w:val="290"/>
          <w:tblHeader/>
        </w:trPr>
        <w:tc>
          <w:tcPr>
            <w:tcW w:w="0" w:type="auto"/>
            <w:shd w:val="clear" w:color="auto" w:fill="auto"/>
            <w:noWrap/>
            <w:vAlign w:val="bottom"/>
            <w:hideMark/>
          </w:tcPr>
          <w:p w14:paraId="5BB4ACE4"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lastRenderedPageBreak/>
              <w:t> </w:t>
            </w:r>
          </w:p>
        </w:tc>
        <w:tc>
          <w:tcPr>
            <w:tcW w:w="0" w:type="auto"/>
            <w:shd w:val="clear" w:color="auto" w:fill="DBE5F1" w:themeFill="accent1" w:themeFillTint="33"/>
            <w:noWrap/>
            <w:vAlign w:val="bottom"/>
            <w:hideMark/>
          </w:tcPr>
          <w:p w14:paraId="3D599B91" w14:textId="77777777" w:rsidR="00FC4EFD" w:rsidRPr="00E83B49" w:rsidRDefault="00FC4EFD" w:rsidP="00E83B49">
            <w:pPr>
              <w:widowControl/>
              <w:autoSpaceDE/>
              <w:autoSpaceDN/>
              <w:jc w:val="center"/>
              <w:rPr>
                <w:rFonts w:asciiTheme="minorHAnsi" w:eastAsia="Times New Roman" w:hAnsiTheme="minorHAnsi"/>
                <w:b/>
                <w:bCs/>
                <w:color w:val="000000"/>
                <w:szCs w:val="24"/>
              </w:rPr>
            </w:pPr>
            <w:r w:rsidRPr="00E83B49">
              <w:rPr>
                <w:rFonts w:asciiTheme="minorHAnsi" w:eastAsia="Times New Roman" w:hAnsiTheme="minorHAnsi"/>
                <w:b/>
                <w:bCs/>
                <w:color w:val="000000"/>
                <w:szCs w:val="24"/>
              </w:rPr>
              <w:t>FY18</w:t>
            </w:r>
          </w:p>
        </w:tc>
        <w:tc>
          <w:tcPr>
            <w:tcW w:w="0" w:type="auto"/>
            <w:shd w:val="clear" w:color="auto" w:fill="DBE5F1" w:themeFill="accent1" w:themeFillTint="33"/>
            <w:noWrap/>
            <w:vAlign w:val="bottom"/>
            <w:hideMark/>
          </w:tcPr>
          <w:p w14:paraId="31B1E35E" w14:textId="77777777" w:rsidR="00FC4EFD" w:rsidRPr="00E83B49" w:rsidRDefault="00FC4EFD" w:rsidP="00E83B49">
            <w:pPr>
              <w:widowControl/>
              <w:autoSpaceDE/>
              <w:autoSpaceDN/>
              <w:jc w:val="center"/>
              <w:rPr>
                <w:rFonts w:asciiTheme="minorHAnsi" w:eastAsia="Times New Roman" w:hAnsiTheme="minorHAnsi"/>
                <w:b/>
                <w:bCs/>
                <w:color w:val="000000"/>
                <w:szCs w:val="24"/>
              </w:rPr>
            </w:pPr>
            <w:r w:rsidRPr="00E83B49">
              <w:rPr>
                <w:rFonts w:asciiTheme="minorHAnsi" w:eastAsia="Times New Roman" w:hAnsiTheme="minorHAnsi"/>
                <w:b/>
                <w:bCs/>
                <w:color w:val="000000"/>
                <w:szCs w:val="24"/>
              </w:rPr>
              <w:t>FY19</w:t>
            </w:r>
          </w:p>
        </w:tc>
        <w:tc>
          <w:tcPr>
            <w:tcW w:w="0" w:type="auto"/>
            <w:shd w:val="clear" w:color="auto" w:fill="DBE5F1" w:themeFill="accent1" w:themeFillTint="33"/>
            <w:noWrap/>
            <w:vAlign w:val="bottom"/>
            <w:hideMark/>
          </w:tcPr>
          <w:p w14:paraId="106C50E3" w14:textId="77777777" w:rsidR="00FC4EFD" w:rsidRPr="00E83B49" w:rsidRDefault="00FC4EFD" w:rsidP="00E83B49">
            <w:pPr>
              <w:widowControl/>
              <w:autoSpaceDE/>
              <w:autoSpaceDN/>
              <w:jc w:val="center"/>
              <w:rPr>
                <w:rFonts w:asciiTheme="minorHAnsi" w:eastAsia="Times New Roman" w:hAnsiTheme="minorHAnsi"/>
                <w:b/>
                <w:bCs/>
                <w:color w:val="000000"/>
                <w:szCs w:val="24"/>
              </w:rPr>
            </w:pPr>
            <w:r w:rsidRPr="00E83B49">
              <w:rPr>
                <w:rFonts w:asciiTheme="minorHAnsi" w:eastAsia="Times New Roman" w:hAnsiTheme="minorHAnsi"/>
                <w:b/>
                <w:bCs/>
                <w:color w:val="000000"/>
                <w:szCs w:val="24"/>
              </w:rPr>
              <w:t>FY20</w:t>
            </w:r>
          </w:p>
        </w:tc>
        <w:tc>
          <w:tcPr>
            <w:tcW w:w="0" w:type="auto"/>
            <w:shd w:val="clear" w:color="auto" w:fill="DBE5F1" w:themeFill="accent1" w:themeFillTint="33"/>
            <w:noWrap/>
            <w:vAlign w:val="bottom"/>
            <w:hideMark/>
          </w:tcPr>
          <w:p w14:paraId="2667CFBC" w14:textId="77777777" w:rsidR="00FC4EFD" w:rsidRPr="00E83B49" w:rsidRDefault="00FC4EFD" w:rsidP="00E83B49">
            <w:pPr>
              <w:widowControl/>
              <w:autoSpaceDE/>
              <w:autoSpaceDN/>
              <w:jc w:val="center"/>
              <w:rPr>
                <w:rFonts w:asciiTheme="minorHAnsi" w:eastAsia="Times New Roman" w:hAnsiTheme="minorHAnsi"/>
                <w:b/>
                <w:bCs/>
                <w:color w:val="000000"/>
                <w:szCs w:val="24"/>
              </w:rPr>
            </w:pPr>
            <w:r w:rsidRPr="00E83B49">
              <w:rPr>
                <w:rFonts w:asciiTheme="minorHAnsi" w:eastAsia="Times New Roman" w:hAnsiTheme="minorHAnsi"/>
                <w:b/>
                <w:bCs/>
                <w:color w:val="000000"/>
                <w:szCs w:val="24"/>
              </w:rPr>
              <w:t>FY21</w:t>
            </w:r>
          </w:p>
        </w:tc>
        <w:tc>
          <w:tcPr>
            <w:tcW w:w="0" w:type="auto"/>
            <w:shd w:val="clear" w:color="auto" w:fill="DBE5F1" w:themeFill="accent1" w:themeFillTint="33"/>
            <w:noWrap/>
            <w:vAlign w:val="bottom"/>
            <w:hideMark/>
          </w:tcPr>
          <w:p w14:paraId="77992CC5" w14:textId="77777777" w:rsidR="00FC4EFD" w:rsidRPr="00E83B49" w:rsidRDefault="00FC4EFD" w:rsidP="00E83B49">
            <w:pPr>
              <w:widowControl/>
              <w:autoSpaceDE/>
              <w:autoSpaceDN/>
              <w:jc w:val="center"/>
              <w:rPr>
                <w:rFonts w:asciiTheme="minorHAnsi" w:eastAsia="Times New Roman" w:hAnsiTheme="minorHAnsi"/>
                <w:b/>
                <w:bCs/>
                <w:color w:val="000000"/>
                <w:szCs w:val="24"/>
              </w:rPr>
            </w:pPr>
            <w:r w:rsidRPr="00E83B49">
              <w:rPr>
                <w:rFonts w:asciiTheme="minorHAnsi" w:eastAsia="Times New Roman" w:hAnsiTheme="minorHAnsi"/>
                <w:b/>
                <w:bCs/>
                <w:color w:val="000000"/>
                <w:szCs w:val="24"/>
              </w:rPr>
              <w:t>FY22</w:t>
            </w:r>
          </w:p>
        </w:tc>
        <w:tc>
          <w:tcPr>
            <w:tcW w:w="0" w:type="auto"/>
            <w:shd w:val="clear" w:color="auto" w:fill="DBE5F1" w:themeFill="accent1" w:themeFillTint="33"/>
            <w:noWrap/>
            <w:vAlign w:val="bottom"/>
            <w:hideMark/>
          </w:tcPr>
          <w:p w14:paraId="4A577ABA" w14:textId="77777777" w:rsidR="00FC4EFD" w:rsidRPr="00E83B49" w:rsidRDefault="00FC4EFD" w:rsidP="00E83B49">
            <w:pPr>
              <w:widowControl/>
              <w:autoSpaceDE/>
              <w:autoSpaceDN/>
              <w:jc w:val="center"/>
              <w:rPr>
                <w:rFonts w:asciiTheme="minorHAnsi" w:eastAsia="Times New Roman" w:hAnsiTheme="minorHAnsi"/>
                <w:b/>
                <w:bCs/>
                <w:color w:val="000000"/>
                <w:szCs w:val="24"/>
              </w:rPr>
            </w:pPr>
            <w:r w:rsidRPr="00E83B49">
              <w:rPr>
                <w:rFonts w:asciiTheme="minorHAnsi" w:eastAsia="Times New Roman" w:hAnsiTheme="minorHAnsi"/>
                <w:b/>
                <w:bCs/>
                <w:color w:val="000000"/>
                <w:szCs w:val="24"/>
              </w:rPr>
              <w:t>FY23</w:t>
            </w:r>
          </w:p>
        </w:tc>
      </w:tr>
      <w:tr w:rsidR="00FC4EFD" w:rsidRPr="00E83B49" w14:paraId="6A2ABDE1" w14:textId="77777777" w:rsidTr="00CD7A9D">
        <w:trPr>
          <w:cantSplit/>
          <w:trHeight w:val="290"/>
        </w:trPr>
        <w:tc>
          <w:tcPr>
            <w:tcW w:w="0" w:type="auto"/>
            <w:shd w:val="clear" w:color="auto" w:fill="auto"/>
            <w:noWrap/>
            <w:vAlign w:val="bottom"/>
            <w:hideMark/>
          </w:tcPr>
          <w:p w14:paraId="7C7ADFB2" w14:textId="34DE7E89"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Total (unique patients)</w:t>
            </w:r>
            <w:r w:rsidR="00504EAB" w:rsidRPr="00E83B49">
              <w:rPr>
                <w:rStyle w:val="FootnoteReference"/>
                <w:rFonts w:asciiTheme="minorHAnsi" w:eastAsia="Times New Roman" w:hAnsiTheme="minorHAnsi"/>
                <w:color w:val="000000"/>
                <w:szCs w:val="24"/>
              </w:rPr>
              <w:footnoteReference w:id="24"/>
            </w:r>
            <w:r w:rsidRPr="00E83B49">
              <w:rPr>
                <w:rFonts w:asciiTheme="minorHAnsi" w:eastAsia="Times New Roman" w:hAnsiTheme="minorHAnsi"/>
                <w:color w:val="000000"/>
                <w:szCs w:val="24"/>
              </w:rPr>
              <w:t xml:space="preserve"> </w:t>
            </w:r>
          </w:p>
        </w:tc>
        <w:tc>
          <w:tcPr>
            <w:tcW w:w="0" w:type="auto"/>
            <w:shd w:val="clear" w:color="auto" w:fill="auto"/>
            <w:noWrap/>
            <w:vAlign w:val="bottom"/>
            <w:hideMark/>
          </w:tcPr>
          <w:p w14:paraId="10E4A348" w14:textId="3AD6CB1B"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pacing w:val="-2"/>
                <w:szCs w:val="24"/>
              </w:rPr>
              <w:t>4</w:t>
            </w:r>
            <w:r w:rsidR="006A2D1C" w:rsidRPr="00E83B49">
              <w:rPr>
                <w:rFonts w:asciiTheme="minorHAnsi" w:eastAsia="Times New Roman" w:hAnsiTheme="minorHAnsi"/>
                <w:color w:val="000000"/>
                <w:spacing w:val="-2"/>
                <w:szCs w:val="24"/>
              </w:rPr>
              <w:t>,</w:t>
            </w:r>
            <w:r w:rsidRPr="00E83B49">
              <w:rPr>
                <w:rFonts w:asciiTheme="minorHAnsi" w:eastAsia="Times New Roman" w:hAnsiTheme="minorHAnsi"/>
                <w:color w:val="000000"/>
                <w:spacing w:val="-2"/>
                <w:szCs w:val="24"/>
              </w:rPr>
              <w:t>523</w:t>
            </w:r>
          </w:p>
        </w:tc>
        <w:tc>
          <w:tcPr>
            <w:tcW w:w="0" w:type="auto"/>
            <w:shd w:val="clear" w:color="auto" w:fill="auto"/>
            <w:noWrap/>
            <w:vAlign w:val="bottom"/>
            <w:hideMark/>
          </w:tcPr>
          <w:p w14:paraId="2E58BF20" w14:textId="5D3AAA91"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pacing w:val="-2"/>
                <w:szCs w:val="24"/>
              </w:rPr>
              <w:t>4</w:t>
            </w:r>
            <w:r w:rsidR="006A2D1C" w:rsidRPr="00E83B49">
              <w:rPr>
                <w:rFonts w:asciiTheme="minorHAnsi" w:eastAsia="Times New Roman" w:hAnsiTheme="minorHAnsi"/>
                <w:color w:val="000000"/>
                <w:spacing w:val="-2"/>
                <w:szCs w:val="24"/>
              </w:rPr>
              <w:t>,</w:t>
            </w:r>
            <w:r w:rsidRPr="00E83B49">
              <w:rPr>
                <w:rFonts w:asciiTheme="minorHAnsi" w:eastAsia="Times New Roman" w:hAnsiTheme="minorHAnsi"/>
                <w:color w:val="000000"/>
                <w:spacing w:val="-2"/>
                <w:szCs w:val="24"/>
              </w:rPr>
              <w:t>815</w:t>
            </w:r>
          </w:p>
        </w:tc>
        <w:tc>
          <w:tcPr>
            <w:tcW w:w="0" w:type="auto"/>
            <w:shd w:val="clear" w:color="auto" w:fill="auto"/>
            <w:noWrap/>
            <w:vAlign w:val="bottom"/>
            <w:hideMark/>
          </w:tcPr>
          <w:p w14:paraId="1DA8EA6C" w14:textId="2EAE5BC3"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w:t>
            </w:r>
            <w:r w:rsidR="006A2D1C" w:rsidRPr="00E83B49">
              <w:rPr>
                <w:rFonts w:asciiTheme="minorHAnsi" w:eastAsia="Times New Roman" w:hAnsiTheme="minorHAnsi"/>
                <w:color w:val="000000"/>
                <w:szCs w:val="24"/>
              </w:rPr>
              <w:t>,</w:t>
            </w:r>
            <w:r w:rsidRPr="00E83B49">
              <w:rPr>
                <w:rFonts w:asciiTheme="minorHAnsi" w:eastAsia="Times New Roman" w:hAnsiTheme="minorHAnsi"/>
                <w:color w:val="000000"/>
                <w:szCs w:val="24"/>
              </w:rPr>
              <w:t>501</w:t>
            </w:r>
          </w:p>
        </w:tc>
        <w:tc>
          <w:tcPr>
            <w:tcW w:w="0" w:type="auto"/>
            <w:shd w:val="clear" w:color="auto" w:fill="auto"/>
            <w:noWrap/>
            <w:vAlign w:val="bottom"/>
            <w:hideMark/>
          </w:tcPr>
          <w:p w14:paraId="7435E2C2" w14:textId="72030E92"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w:t>
            </w:r>
            <w:r w:rsidR="006A2D1C" w:rsidRPr="00E83B49">
              <w:rPr>
                <w:rFonts w:asciiTheme="minorHAnsi" w:eastAsia="Times New Roman" w:hAnsiTheme="minorHAnsi"/>
                <w:color w:val="000000"/>
                <w:szCs w:val="24"/>
              </w:rPr>
              <w:t>,</w:t>
            </w:r>
            <w:r w:rsidRPr="00E83B49">
              <w:rPr>
                <w:rFonts w:asciiTheme="minorHAnsi" w:eastAsia="Times New Roman" w:hAnsiTheme="minorHAnsi"/>
                <w:color w:val="000000"/>
                <w:szCs w:val="24"/>
              </w:rPr>
              <w:t>783</w:t>
            </w:r>
          </w:p>
        </w:tc>
        <w:tc>
          <w:tcPr>
            <w:tcW w:w="0" w:type="auto"/>
            <w:shd w:val="clear" w:color="auto" w:fill="auto"/>
            <w:noWrap/>
            <w:vAlign w:val="bottom"/>
            <w:hideMark/>
          </w:tcPr>
          <w:p w14:paraId="52492F27" w14:textId="7A52E2DC"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w:t>
            </w:r>
            <w:r w:rsidR="006A2D1C" w:rsidRPr="00E83B49">
              <w:rPr>
                <w:rFonts w:asciiTheme="minorHAnsi" w:eastAsia="Times New Roman" w:hAnsiTheme="minorHAnsi"/>
                <w:color w:val="000000"/>
                <w:szCs w:val="24"/>
              </w:rPr>
              <w:t>,</w:t>
            </w:r>
            <w:r w:rsidRPr="00E83B49">
              <w:rPr>
                <w:rFonts w:asciiTheme="minorHAnsi" w:eastAsia="Times New Roman" w:hAnsiTheme="minorHAnsi"/>
                <w:color w:val="000000"/>
                <w:szCs w:val="24"/>
              </w:rPr>
              <w:t>887</w:t>
            </w:r>
          </w:p>
        </w:tc>
        <w:tc>
          <w:tcPr>
            <w:tcW w:w="0" w:type="auto"/>
            <w:shd w:val="clear" w:color="auto" w:fill="auto"/>
            <w:noWrap/>
            <w:vAlign w:val="bottom"/>
            <w:hideMark/>
          </w:tcPr>
          <w:p w14:paraId="5CA2BC9D" w14:textId="58D5FA72"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w:t>
            </w:r>
            <w:r w:rsidR="006A2D1C" w:rsidRPr="00E83B49">
              <w:rPr>
                <w:rFonts w:asciiTheme="minorHAnsi" w:eastAsia="Times New Roman" w:hAnsiTheme="minorHAnsi"/>
                <w:color w:val="000000"/>
                <w:szCs w:val="24"/>
              </w:rPr>
              <w:t>,</w:t>
            </w:r>
            <w:r w:rsidRPr="00E83B49">
              <w:rPr>
                <w:rFonts w:asciiTheme="minorHAnsi" w:eastAsia="Times New Roman" w:hAnsiTheme="minorHAnsi"/>
                <w:color w:val="000000"/>
                <w:szCs w:val="24"/>
              </w:rPr>
              <w:t>999</w:t>
            </w:r>
          </w:p>
        </w:tc>
      </w:tr>
      <w:tr w:rsidR="00FC4EFD" w:rsidRPr="00E83B49" w14:paraId="08FE4169" w14:textId="77777777" w:rsidTr="00CD7A9D">
        <w:trPr>
          <w:cantSplit/>
          <w:trHeight w:val="290"/>
        </w:trPr>
        <w:tc>
          <w:tcPr>
            <w:tcW w:w="0" w:type="auto"/>
            <w:shd w:val="clear" w:color="auto" w:fill="auto"/>
            <w:noWrap/>
            <w:vAlign w:val="bottom"/>
            <w:hideMark/>
          </w:tcPr>
          <w:p w14:paraId="04C361B2" w14:textId="6B5B6D1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Hematologic Malignancies</w:t>
            </w:r>
            <w:r w:rsidR="00DC2FB8" w:rsidRPr="00E83B49">
              <w:rPr>
                <w:rStyle w:val="FootnoteReference"/>
                <w:rFonts w:asciiTheme="minorHAnsi" w:eastAsia="Times New Roman" w:hAnsiTheme="minorHAnsi"/>
                <w:color w:val="000000"/>
                <w:szCs w:val="24"/>
              </w:rPr>
              <w:footnoteReference w:id="25"/>
            </w:r>
          </w:p>
        </w:tc>
        <w:tc>
          <w:tcPr>
            <w:tcW w:w="0" w:type="auto"/>
            <w:shd w:val="clear" w:color="auto" w:fill="auto"/>
            <w:noWrap/>
            <w:vAlign w:val="bottom"/>
            <w:hideMark/>
          </w:tcPr>
          <w:p w14:paraId="56878DEE"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33.0%</w:t>
            </w:r>
          </w:p>
        </w:tc>
        <w:tc>
          <w:tcPr>
            <w:tcW w:w="0" w:type="auto"/>
            <w:shd w:val="clear" w:color="auto" w:fill="auto"/>
            <w:noWrap/>
            <w:vAlign w:val="bottom"/>
            <w:hideMark/>
          </w:tcPr>
          <w:p w14:paraId="295CBA01"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32.9%</w:t>
            </w:r>
          </w:p>
        </w:tc>
        <w:tc>
          <w:tcPr>
            <w:tcW w:w="0" w:type="auto"/>
            <w:shd w:val="clear" w:color="auto" w:fill="auto"/>
            <w:noWrap/>
            <w:vAlign w:val="bottom"/>
            <w:hideMark/>
          </w:tcPr>
          <w:p w14:paraId="65588A55"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27.6%</w:t>
            </w:r>
          </w:p>
        </w:tc>
        <w:tc>
          <w:tcPr>
            <w:tcW w:w="0" w:type="auto"/>
            <w:shd w:val="clear" w:color="auto" w:fill="auto"/>
            <w:noWrap/>
            <w:vAlign w:val="bottom"/>
            <w:hideMark/>
          </w:tcPr>
          <w:p w14:paraId="10BFD425"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26.3%</w:t>
            </w:r>
          </w:p>
        </w:tc>
        <w:tc>
          <w:tcPr>
            <w:tcW w:w="0" w:type="auto"/>
            <w:shd w:val="clear" w:color="auto" w:fill="auto"/>
            <w:noWrap/>
            <w:vAlign w:val="bottom"/>
            <w:hideMark/>
          </w:tcPr>
          <w:p w14:paraId="2A3A4D2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27.5%</w:t>
            </w:r>
          </w:p>
        </w:tc>
        <w:tc>
          <w:tcPr>
            <w:tcW w:w="0" w:type="auto"/>
            <w:shd w:val="clear" w:color="auto" w:fill="auto"/>
            <w:noWrap/>
            <w:vAlign w:val="bottom"/>
            <w:hideMark/>
          </w:tcPr>
          <w:p w14:paraId="19AFD154"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32.1%</w:t>
            </w:r>
          </w:p>
        </w:tc>
      </w:tr>
      <w:tr w:rsidR="00FC4EFD" w:rsidRPr="00E83B49" w14:paraId="35B1476F" w14:textId="77777777" w:rsidTr="00CD7A9D">
        <w:trPr>
          <w:cantSplit/>
          <w:trHeight w:val="290"/>
        </w:trPr>
        <w:tc>
          <w:tcPr>
            <w:tcW w:w="0" w:type="auto"/>
            <w:shd w:val="clear" w:color="auto" w:fill="auto"/>
            <w:noWrap/>
            <w:vAlign w:val="bottom"/>
            <w:hideMark/>
          </w:tcPr>
          <w:p w14:paraId="1D200DF9"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Gastrointestinal Oncology</w:t>
            </w:r>
          </w:p>
        </w:tc>
        <w:tc>
          <w:tcPr>
            <w:tcW w:w="0" w:type="auto"/>
            <w:shd w:val="clear" w:color="auto" w:fill="auto"/>
            <w:noWrap/>
            <w:vAlign w:val="bottom"/>
            <w:hideMark/>
          </w:tcPr>
          <w:p w14:paraId="71C4BF1A"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15.4%</w:t>
            </w:r>
          </w:p>
        </w:tc>
        <w:tc>
          <w:tcPr>
            <w:tcW w:w="0" w:type="auto"/>
            <w:shd w:val="clear" w:color="auto" w:fill="auto"/>
            <w:noWrap/>
            <w:vAlign w:val="bottom"/>
            <w:hideMark/>
          </w:tcPr>
          <w:p w14:paraId="23E44AB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15.1%</w:t>
            </w:r>
          </w:p>
        </w:tc>
        <w:tc>
          <w:tcPr>
            <w:tcW w:w="0" w:type="auto"/>
            <w:shd w:val="clear" w:color="auto" w:fill="auto"/>
            <w:noWrap/>
            <w:vAlign w:val="bottom"/>
            <w:hideMark/>
          </w:tcPr>
          <w:p w14:paraId="0814566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13.4%</w:t>
            </w:r>
          </w:p>
        </w:tc>
        <w:tc>
          <w:tcPr>
            <w:tcW w:w="0" w:type="auto"/>
            <w:shd w:val="clear" w:color="auto" w:fill="auto"/>
            <w:noWrap/>
            <w:vAlign w:val="bottom"/>
            <w:hideMark/>
          </w:tcPr>
          <w:p w14:paraId="0F449A06"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13.3%</w:t>
            </w:r>
          </w:p>
        </w:tc>
        <w:tc>
          <w:tcPr>
            <w:tcW w:w="0" w:type="auto"/>
            <w:shd w:val="clear" w:color="auto" w:fill="auto"/>
            <w:noWrap/>
            <w:vAlign w:val="bottom"/>
            <w:hideMark/>
          </w:tcPr>
          <w:p w14:paraId="55D58669"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13.6%</w:t>
            </w:r>
          </w:p>
        </w:tc>
        <w:tc>
          <w:tcPr>
            <w:tcW w:w="0" w:type="auto"/>
            <w:shd w:val="clear" w:color="auto" w:fill="auto"/>
            <w:noWrap/>
            <w:vAlign w:val="bottom"/>
            <w:hideMark/>
          </w:tcPr>
          <w:p w14:paraId="7B9246C1"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15.6%</w:t>
            </w:r>
          </w:p>
        </w:tc>
      </w:tr>
      <w:tr w:rsidR="00FC4EFD" w:rsidRPr="00E83B49" w14:paraId="6C5BE70C" w14:textId="77777777" w:rsidTr="00CD7A9D">
        <w:trPr>
          <w:cantSplit/>
          <w:trHeight w:val="290"/>
        </w:trPr>
        <w:tc>
          <w:tcPr>
            <w:tcW w:w="0" w:type="auto"/>
            <w:shd w:val="clear" w:color="auto" w:fill="auto"/>
            <w:noWrap/>
            <w:vAlign w:val="bottom"/>
            <w:hideMark/>
          </w:tcPr>
          <w:p w14:paraId="6D0E47C3"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Thoracic Oncology Program</w:t>
            </w:r>
          </w:p>
        </w:tc>
        <w:tc>
          <w:tcPr>
            <w:tcW w:w="0" w:type="auto"/>
            <w:shd w:val="clear" w:color="auto" w:fill="auto"/>
            <w:noWrap/>
            <w:vAlign w:val="bottom"/>
            <w:hideMark/>
          </w:tcPr>
          <w:p w14:paraId="57E3E6E5"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8.9%</w:t>
            </w:r>
          </w:p>
        </w:tc>
        <w:tc>
          <w:tcPr>
            <w:tcW w:w="0" w:type="auto"/>
            <w:shd w:val="clear" w:color="auto" w:fill="auto"/>
            <w:noWrap/>
            <w:vAlign w:val="bottom"/>
            <w:hideMark/>
          </w:tcPr>
          <w:p w14:paraId="5D1DBE20"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9.0%</w:t>
            </w:r>
          </w:p>
        </w:tc>
        <w:tc>
          <w:tcPr>
            <w:tcW w:w="0" w:type="auto"/>
            <w:shd w:val="clear" w:color="auto" w:fill="auto"/>
            <w:noWrap/>
            <w:vAlign w:val="bottom"/>
            <w:hideMark/>
          </w:tcPr>
          <w:p w14:paraId="5913B0C8"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7.8%</w:t>
            </w:r>
          </w:p>
        </w:tc>
        <w:tc>
          <w:tcPr>
            <w:tcW w:w="0" w:type="auto"/>
            <w:shd w:val="clear" w:color="auto" w:fill="auto"/>
            <w:noWrap/>
            <w:vAlign w:val="bottom"/>
            <w:hideMark/>
          </w:tcPr>
          <w:p w14:paraId="6371DCB8"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8.0%</w:t>
            </w:r>
          </w:p>
        </w:tc>
        <w:tc>
          <w:tcPr>
            <w:tcW w:w="0" w:type="auto"/>
            <w:shd w:val="clear" w:color="auto" w:fill="auto"/>
            <w:noWrap/>
            <w:vAlign w:val="bottom"/>
            <w:hideMark/>
          </w:tcPr>
          <w:p w14:paraId="222D668C"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8.4%</w:t>
            </w:r>
          </w:p>
        </w:tc>
        <w:tc>
          <w:tcPr>
            <w:tcW w:w="0" w:type="auto"/>
            <w:shd w:val="clear" w:color="auto" w:fill="auto"/>
            <w:noWrap/>
            <w:vAlign w:val="bottom"/>
            <w:hideMark/>
          </w:tcPr>
          <w:p w14:paraId="42C3CB52"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8.0%</w:t>
            </w:r>
          </w:p>
        </w:tc>
      </w:tr>
      <w:tr w:rsidR="00FC4EFD" w:rsidRPr="00E83B49" w14:paraId="7C82D9E7" w14:textId="77777777" w:rsidTr="00CD7A9D">
        <w:trPr>
          <w:cantSplit/>
          <w:trHeight w:val="290"/>
        </w:trPr>
        <w:tc>
          <w:tcPr>
            <w:tcW w:w="0" w:type="auto"/>
            <w:shd w:val="clear" w:color="auto" w:fill="auto"/>
            <w:noWrap/>
            <w:vAlign w:val="bottom"/>
            <w:hideMark/>
          </w:tcPr>
          <w:p w14:paraId="1CBBA488"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Breast Oncology Center</w:t>
            </w:r>
          </w:p>
        </w:tc>
        <w:tc>
          <w:tcPr>
            <w:tcW w:w="0" w:type="auto"/>
            <w:shd w:val="clear" w:color="auto" w:fill="auto"/>
            <w:noWrap/>
            <w:vAlign w:val="bottom"/>
            <w:hideMark/>
          </w:tcPr>
          <w:p w14:paraId="65A3C1E8"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7.7%</w:t>
            </w:r>
          </w:p>
        </w:tc>
        <w:tc>
          <w:tcPr>
            <w:tcW w:w="0" w:type="auto"/>
            <w:shd w:val="clear" w:color="auto" w:fill="auto"/>
            <w:noWrap/>
            <w:vAlign w:val="bottom"/>
            <w:hideMark/>
          </w:tcPr>
          <w:p w14:paraId="5652CC94"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7.3%</w:t>
            </w:r>
          </w:p>
        </w:tc>
        <w:tc>
          <w:tcPr>
            <w:tcW w:w="0" w:type="auto"/>
            <w:shd w:val="clear" w:color="auto" w:fill="auto"/>
            <w:noWrap/>
            <w:vAlign w:val="bottom"/>
            <w:hideMark/>
          </w:tcPr>
          <w:p w14:paraId="417F27CD"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5.8%</w:t>
            </w:r>
          </w:p>
        </w:tc>
        <w:tc>
          <w:tcPr>
            <w:tcW w:w="0" w:type="auto"/>
            <w:shd w:val="clear" w:color="auto" w:fill="auto"/>
            <w:noWrap/>
            <w:vAlign w:val="bottom"/>
            <w:hideMark/>
          </w:tcPr>
          <w:p w14:paraId="4626BBBD"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5.3%</w:t>
            </w:r>
          </w:p>
        </w:tc>
        <w:tc>
          <w:tcPr>
            <w:tcW w:w="0" w:type="auto"/>
            <w:shd w:val="clear" w:color="auto" w:fill="auto"/>
            <w:noWrap/>
            <w:vAlign w:val="bottom"/>
            <w:hideMark/>
          </w:tcPr>
          <w:p w14:paraId="56FD1A73"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6.4%</w:t>
            </w:r>
          </w:p>
        </w:tc>
        <w:tc>
          <w:tcPr>
            <w:tcW w:w="0" w:type="auto"/>
            <w:shd w:val="clear" w:color="auto" w:fill="auto"/>
            <w:noWrap/>
            <w:vAlign w:val="bottom"/>
            <w:hideMark/>
          </w:tcPr>
          <w:p w14:paraId="46EC90FB"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7.7%</w:t>
            </w:r>
          </w:p>
        </w:tc>
      </w:tr>
      <w:tr w:rsidR="00FC4EFD" w:rsidRPr="00E83B49" w14:paraId="58FDFDE8" w14:textId="77777777" w:rsidTr="00CD7A9D">
        <w:trPr>
          <w:cantSplit/>
          <w:trHeight w:val="290"/>
        </w:trPr>
        <w:tc>
          <w:tcPr>
            <w:tcW w:w="0" w:type="auto"/>
            <w:shd w:val="clear" w:color="auto" w:fill="auto"/>
            <w:noWrap/>
            <w:vAlign w:val="bottom"/>
            <w:hideMark/>
          </w:tcPr>
          <w:p w14:paraId="42EE6243"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Genitourinary Oncology</w:t>
            </w:r>
          </w:p>
        </w:tc>
        <w:tc>
          <w:tcPr>
            <w:tcW w:w="0" w:type="auto"/>
            <w:shd w:val="clear" w:color="auto" w:fill="auto"/>
            <w:noWrap/>
            <w:vAlign w:val="bottom"/>
            <w:hideMark/>
          </w:tcPr>
          <w:p w14:paraId="4E3C7B2E"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6.1%</w:t>
            </w:r>
          </w:p>
        </w:tc>
        <w:tc>
          <w:tcPr>
            <w:tcW w:w="0" w:type="auto"/>
            <w:shd w:val="clear" w:color="auto" w:fill="auto"/>
            <w:noWrap/>
            <w:vAlign w:val="bottom"/>
            <w:hideMark/>
          </w:tcPr>
          <w:p w14:paraId="014E818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7.3%</w:t>
            </w:r>
          </w:p>
        </w:tc>
        <w:tc>
          <w:tcPr>
            <w:tcW w:w="0" w:type="auto"/>
            <w:shd w:val="clear" w:color="auto" w:fill="auto"/>
            <w:noWrap/>
            <w:vAlign w:val="bottom"/>
            <w:hideMark/>
          </w:tcPr>
          <w:p w14:paraId="3BCD095D"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5.5%</w:t>
            </w:r>
          </w:p>
        </w:tc>
        <w:tc>
          <w:tcPr>
            <w:tcW w:w="0" w:type="auto"/>
            <w:shd w:val="clear" w:color="auto" w:fill="auto"/>
            <w:noWrap/>
            <w:vAlign w:val="bottom"/>
            <w:hideMark/>
          </w:tcPr>
          <w:p w14:paraId="43ED1A64"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6.3%</w:t>
            </w:r>
          </w:p>
        </w:tc>
        <w:tc>
          <w:tcPr>
            <w:tcW w:w="0" w:type="auto"/>
            <w:shd w:val="clear" w:color="auto" w:fill="auto"/>
            <w:noWrap/>
            <w:vAlign w:val="bottom"/>
            <w:hideMark/>
          </w:tcPr>
          <w:p w14:paraId="7A1A38F4"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6.4%</w:t>
            </w:r>
          </w:p>
        </w:tc>
        <w:tc>
          <w:tcPr>
            <w:tcW w:w="0" w:type="auto"/>
            <w:shd w:val="clear" w:color="auto" w:fill="auto"/>
            <w:noWrap/>
            <w:vAlign w:val="bottom"/>
            <w:hideMark/>
          </w:tcPr>
          <w:p w14:paraId="5B07E58B"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7.9%</w:t>
            </w:r>
          </w:p>
        </w:tc>
      </w:tr>
      <w:tr w:rsidR="00FC4EFD" w:rsidRPr="00E83B49" w14:paraId="7D190705" w14:textId="77777777" w:rsidTr="00CD7A9D">
        <w:trPr>
          <w:cantSplit/>
          <w:trHeight w:val="290"/>
        </w:trPr>
        <w:tc>
          <w:tcPr>
            <w:tcW w:w="0" w:type="auto"/>
            <w:shd w:val="clear" w:color="auto" w:fill="auto"/>
            <w:noWrap/>
            <w:vAlign w:val="bottom"/>
            <w:hideMark/>
          </w:tcPr>
          <w:p w14:paraId="23028327"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Gynecology Oncology</w:t>
            </w:r>
          </w:p>
        </w:tc>
        <w:tc>
          <w:tcPr>
            <w:tcW w:w="0" w:type="auto"/>
            <w:shd w:val="clear" w:color="auto" w:fill="auto"/>
            <w:noWrap/>
            <w:vAlign w:val="bottom"/>
            <w:hideMark/>
          </w:tcPr>
          <w:p w14:paraId="326E28CA"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5.1%</w:t>
            </w:r>
          </w:p>
        </w:tc>
        <w:tc>
          <w:tcPr>
            <w:tcW w:w="0" w:type="auto"/>
            <w:shd w:val="clear" w:color="auto" w:fill="auto"/>
            <w:noWrap/>
            <w:vAlign w:val="bottom"/>
            <w:hideMark/>
          </w:tcPr>
          <w:p w14:paraId="471F9B02"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5.4%</w:t>
            </w:r>
          </w:p>
        </w:tc>
        <w:tc>
          <w:tcPr>
            <w:tcW w:w="0" w:type="auto"/>
            <w:shd w:val="clear" w:color="auto" w:fill="auto"/>
            <w:noWrap/>
            <w:vAlign w:val="bottom"/>
            <w:hideMark/>
          </w:tcPr>
          <w:p w14:paraId="228A7C76"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4.8%</w:t>
            </w:r>
          </w:p>
        </w:tc>
        <w:tc>
          <w:tcPr>
            <w:tcW w:w="0" w:type="auto"/>
            <w:shd w:val="clear" w:color="auto" w:fill="auto"/>
            <w:noWrap/>
            <w:vAlign w:val="bottom"/>
            <w:hideMark/>
          </w:tcPr>
          <w:p w14:paraId="35D58173"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5.0%</w:t>
            </w:r>
          </w:p>
        </w:tc>
        <w:tc>
          <w:tcPr>
            <w:tcW w:w="0" w:type="auto"/>
            <w:shd w:val="clear" w:color="auto" w:fill="auto"/>
            <w:noWrap/>
            <w:vAlign w:val="bottom"/>
            <w:hideMark/>
          </w:tcPr>
          <w:p w14:paraId="5AD3F6A9"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5.7%</w:t>
            </w:r>
          </w:p>
        </w:tc>
        <w:tc>
          <w:tcPr>
            <w:tcW w:w="0" w:type="auto"/>
            <w:shd w:val="clear" w:color="auto" w:fill="auto"/>
            <w:noWrap/>
            <w:vAlign w:val="bottom"/>
            <w:hideMark/>
          </w:tcPr>
          <w:p w14:paraId="10AAA217"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5.0%</w:t>
            </w:r>
          </w:p>
        </w:tc>
      </w:tr>
      <w:tr w:rsidR="00FC4EFD" w:rsidRPr="00E83B49" w14:paraId="07AC0E49" w14:textId="77777777" w:rsidTr="00CD7A9D">
        <w:trPr>
          <w:cantSplit/>
          <w:trHeight w:val="290"/>
        </w:trPr>
        <w:tc>
          <w:tcPr>
            <w:tcW w:w="0" w:type="auto"/>
            <w:shd w:val="clear" w:color="auto" w:fill="auto"/>
            <w:noWrap/>
            <w:vAlign w:val="bottom"/>
            <w:hideMark/>
          </w:tcPr>
          <w:p w14:paraId="442F53A3"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Neuro-Oncology Center</w:t>
            </w:r>
          </w:p>
        </w:tc>
        <w:tc>
          <w:tcPr>
            <w:tcW w:w="0" w:type="auto"/>
            <w:shd w:val="clear" w:color="auto" w:fill="auto"/>
            <w:noWrap/>
            <w:vAlign w:val="bottom"/>
            <w:hideMark/>
          </w:tcPr>
          <w:p w14:paraId="66A861C3"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3.8%</w:t>
            </w:r>
          </w:p>
        </w:tc>
        <w:tc>
          <w:tcPr>
            <w:tcW w:w="0" w:type="auto"/>
            <w:shd w:val="clear" w:color="auto" w:fill="auto"/>
            <w:noWrap/>
            <w:vAlign w:val="bottom"/>
            <w:hideMark/>
          </w:tcPr>
          <w:p w14:paraId="64BB75F7"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4.0%</w:t>
            </w:r>
          </w:p>
        </w:tc>
        <w:tc>
          <w:tcPr>
            <w:tcW w:w="0" w:type="auto"/>
            <w:shd w:val="clear" w:color="auto" w:fill="auto"/>
            <w:noWrap/>
            <w:vAlign w:val="bottom"/>
            <w:hideMark/>
          </w:tcPr>
          <w:p w14:paraId="06A975CD"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3.1%</w:t>
            </w:r>
          </w:p>
        </w:tc>
        <w:tc>
          <w:tcPr>
            <w:tcW w:w="0" w:type="auto"/>
            <w:shd w:val="clear" w:color="auto" w:fill="auto"/>
            <w:noWrap/>
            <w:vAlign w:val="bottom"/>
            <w:hideMark/>
          </w:tcPr>
          <w:p w14:paraId="2E18F09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3.1%</w:t>
            </w:r>
          </w:p>
        </w:tc>
        <w:tc>
          <w:tcPr>
            <w:tcW w:w="0" w:type="auto"/>
            <w:shd w:val="clear" w:color="auto" w:fill="auto"/>
            <w:noWrap/>
            <w:vAlign w:val="bottom"/>
            <w:hideMark/>
          </w:tcPr>
          <w:p w14:paraId="0DD3D19E"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2.8%</w:t>
            </w:r>
          </w:p>
        </w:tc>
        <w:tc>
          <w:tcPr>
            <w:tcW w:w="0" w:type="auto"/>
            <w:shd w:val="clear" w:color="auto" w:fill="auto"/>
            <w:noWrap/>
            <w:vAlign w:val="bottom"/>
            <w:hideMark/>
          </w:tcPr>
          <w:p w14:paraId="121D4350"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4.3%</w:t>
            </w:r>
          </w:p>
        </w:tc>
      </w:tr>
      <w:tr w:rsidR="00FC4EFD" w:rsidRPr="00E83B49" w14:paraId="1C41D64C" w14:textId="77777777" w:rsidTr="00CD7A9D">
        <w:trPr>
          <w:cantSplit/>
          <w:trHeight w:val="290"/>
        </w:trPr>
        <w:tc>
          <w:tcPr>
            <w:tcW w:w="0" w:type="auto"/>
            <w:shd w:val="clear" w:color="auto" w:fill="auto"/>
            <w:noWrap/>
            <w:vAlign w:val="bottom"/>
            <w:hideMark/>
          </w:tcPr>
          <w:p w14:paraId="6EACBF2A"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Head and Neck Oncology</w:t>
            </w:r>
          </w:p>
        </w:tc>
        <w:tc>
          <w:tcPr>
            <w:tcW w:w="0" w:type="auto"/>
            <w:shd w:val="clear" w:color="auto" w:fill="auto"/>
            <w:noWrap/>
            <w:vAlign w:val="bottom"/>
            <w:hideMark/>
          </w:tcPr>
          <w:p w14:paraId="742E9462"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4.0%</w:t>
            </w:r>
          </w:p>
        </w:tc>
        <w:tc>
          <w:tcPr>
            <w:tcW w:w="0" w:type="auto"/>
            <w:shd w:val="clear" w:color="auto" w:fill="auto"/>
            <w:noWrap/>
            <w:vAlign w:val="bottom"/>
            <w:hideMark/>
          </w:tcPr>
          <w:p w14:paraId="39FF639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3.4%</w:t>
            </w:r>
          </w:p>
        </w:tc>
        <w:tc>
          <w:tcPr>
            <w:tcW w:w="0" w:type="auto"/>
            <w:shd w:val="clear" w:color="auto" w:fill="auto"/>
            <w:noWrap/>
            <w:vAlign w:val="bottom"/>
            <w:hideMark/>
          </w:tcPr>
          <w:p w14:paraId="159D9385"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2.4%</w:t>
            </w:r>
          </w:p>
        </w:tc>
        <w:tc>
          <w:tcPr>
            <w:tcW w:w="0" w:type="auto"/>
            <w:shd w:val="clear" w:color="auto" w:fill="auto"/>
            <w:noWrap/>
            <w:vAlign w:val="bottom"/>
            <w:hideMark/>
          </w:tcPr>
          <w:p w14:paraId="5931171A"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2.8%</w:t>
            </w:r>
          </w:p>
        </w:tc>
        <w:tc>
          <w:tcPr>
            <w:tcW w:w="0" w:type="auto"/>
            <w:shd w:val="clear" w:color="auto" w:fill="auto"/>
            <w:noWrap/>
            <w:vAlign w:val="bottom"/>
            <w:hideMark/>
          </w:tcPr>
          <w:p w14:paraId="4B502CB7"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3.1%</w:t>
            </w:r>
          </w:p>
        </w:tc>
        <w:tc>
          <w:tcPr>
            <w:tcW w:w="0" w:type="auto"/>
            <w:shd w:val="clear" w:color="auto" w:fill="auto"/>
            <w:noWrap/>
            <w:vAlign w:val="bottom"/>
            <w:hideMark/>
          </w:tcPr>
          <w:p w14:paraId="5DD05460"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3.2%</w:t>
            </w:r>
          </w:p>
        </w:tc>
      </w:tr>
      <w:tr w:rsidR="00FC4EFD" w:rsidRPr="00E83B49" w14:paraId="3F20E54A" w14:textId="77777777" w:rsidTr="00CD7A9D">
        <w:trPr>
          <w:cantSplit/>
          <w:trHeight w:val="290"/>
        </w:trPr>
        <w:tc>
          <w:tcPr>
            <w:tcW w:w="0" w:type="auto"/>
            <w:shd w:val="clear" w:color="auto" w:fill="auto"/>
            <w:noWrap/>
            <w:vAlign w:val="bottom"/>
            <w:hideMark/>
          </w:tcPr>
          <w:p w14:paraId="24C6D8E9"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Sarcoma and Bone Oncology</w:t>
            </w:r>
          </w:p>
        </w:tc>
        <w:tc>
          <w:tcPr>
            <w:tcW w:w="0" w:type="auto"/>
            <w:shd w:val="clear" w:color="auto" w:fill="auto"/>
            <w:noWrap/>
            <w:vAlign w:val="bottom"/>
            <w:hideMark/>
          </w:tcPr>
          <w:p w14:paraId="7B7C1811"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3.7%</w:t>
            </w:r>
          </w:p>
        </w:tc>
        <w:tc>
          <w:tcPr>
            <w:tcW w:w="0" w:type="auto"/>
            <w:shd w:val="clear" w:color="auto" w:fill="auto"/>
            <w:noWrap/>
            <w:vAlign w:val="bottom"/>
            <w:hideMark/>
          </w:tcPr>
          <w:p w14:paraId="62B43192"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4.0%</w:t>
            </w:r>
          </w:p>
        </w:tc>
        <w:tc>
          <w:tcPr>
            <w:tcW w:w="0" w:type="auto"/>
            <w:shd w:val="clear" w:color="auto" w:fill="auto"/>
            <w:noWrap/>
            <w:vAlign w:val="bottom"/>
            <w:hideMark/>
          </w:tcPr>
          <w:p w14:paraId="35DE8F5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1.8%</w:t>
            </w:r>
          </w:p>
        </w:tc>
        <w:tc>
          <w:tcPr>
            <w:tcW w:w="0" w:type="auto"/>
            <w:shd w:val="clear" w:color="auto" w:fill="auto"/>
            <w:noWrap/>
            <w:vAlign w:val="bottom"/>
            <w:hideMark/>
          </w:tcPr>
          <w:p w14:paraId="362F077A"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2.4%</w:t>
            </w:r>
          </w:p>
        </w:tc>
        <w:tc>
          <w:tcPr>
            <w:tcW w:w="0" w:type="auto"/>
            <w:shd w:val="clear" w:color="auto" w:fill="auto"/>
            <w:noWrap/>
            <w:vAlign w:val="bottom"/>
            <w:hideMark/>
          </w:tcPr>
          <w:p w14:paraId="453EB69A"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2.7%</w:t>
            </w:r>
          </w:p>
        </w:tc>
        <w:tc>
          <w:tcPr>
            <w:tcW w:w="0" w:type="auto"/>
            <w:shd w:val="clear" w:color="auto" w:fill="auto"/>
            <w:noWrap/>
            <w:vAlign w:val="bottom"/>
            <w:hideMark/>
          </w:tcPr>
          <w:p w14:paraId="11EFFF46"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2.6%</w:t>
            </w:r>
          </w:p>
        </w:tc>
      </w:tr>
      <w:tr w:rsidR="00FC4EFD" w:rsidRPr="00E83B49" w14:paraId="74BA4D55" w14:textId="77777777" w:rsidTr="00CD7A9D">
        <w:trPr>
          <w:cantSplit/>
          <w:trHeight w:val="290"/>
        </w:trPr>
        <w:tc>
          <w:tcPr>
            <w:tcW w:w="0" w:type="auto"/>
            <w:shd w:val="clear" w:color="auto" w:fill="auto"/>
            <w:noWrap/>
            <w:vAlign w:val="bottom"/>
            <w:hideMark/>
          </w:tcPr>
          <w:p w14:paraId="6C091EF2"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Melanoma Center</w:t>
            </w:r>
          </w:p>
        </w:tc>
        <w:tc>
          <w:tcPr>
            <w:tcW w:w="0" w:type="auto"/>
            <w:shd w:val="clear" w:color="auto" w:fill="auto"/>
            <w:noWrap/>
            <w:vAlign w:val="bottom"/>
            <w:hideMark/>
          </w:tcPr>
          <w:p w14:paraId="34F52CAA"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1.9%</w:t>
            </w:r>
          </w:p>
        </w:tc>
        <w:tc>
          <w:tcPr>
            <w:tcW w:w="0" w:type="auto"/>
            <w:shd w:val="clear" w:color="auto" w:fill="auto"/>
            <w:noWrap/>
            <w:vAlign w:val="bottom"/>
            <w:hideMark/>
          </w:tcPr>
          <w:p w14:paraId="3CBF4E40"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2.2%</w:t>
            </w:r>
          </w:p>
        </w:tc>
        <w:tc>
          <w:tcPr>
            <w:tcW w:w="0" w:type="auto"/>
            <w:shd w:val="clear" w:color="auto" w:fill="auto"/>
            <w:noWrap/>
            <w:vAlign w:val="bottom"/>
            <w:hideMark/>
          </w:tcPr>
          <w:p w14:paraId="1229B496"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1.7%</w:t>
            </w:r>
          </w:p>
        </w:tc>
        <w:tc>
          <w:tcPr>
            <w:tcW w:w="0" w:type="auto"/>
            <w:shd w:val="clear" w:color="auto" w:fill="auto"/>
            <w:noWrap/>
            <w:vAlign w:val="bottom"/>
            <w:hideMark/>
          </w:tcPr>
          <w:p w14:paraId="65018EF8"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1.8%</w:t>
            </w:r>
          </w:p>
        </w:tc>
        <w:tc>
          <w:tcPr>
            <w:tcW w:w="0" w:type="auto"/>
            <w:shd w:val="clear" w:color="auto" w:fill="auto"/>
            <w:noWrap/>
            <w:vAlign w:val="bottom"/>
            <w:hideMark/>
          </w:tcPr>
          <w:p w14:paraId="07D6ADF1"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1.9%</w:t>
            </w:r>
          </w:p>
        </w:tc>
        <w:tc>
          <w:tcPr>
            <w:tcW w:w="0" w:type="auto"/>
            <w:shd w:val="clear" w:color="auto" w:fill="auto"/>
            <w:noWrap/>
            <w:vAlign w:val="bottom"/>
            <w:hideMark/>
          </w:tcPr>
          <w:p w14:paraId="51DBB4F7"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2.7%</w:t>
            </w:r>
          </w:p>
        </w:tc>
      </w:tr>
      <w:tr w:rsidR="00FC4EFD" w:rsidRPr="00E83B49" w14:paraId="6450DFA8" w14:textId="77777777" w:rsidTr="00CD7A9D">
        <w:trPr>
          <w:cantSplit/>
          <w:trHeight w:val="290"/>
        </w:trPr>
        <w:tc>
          <w:tcPr>
            <w:tcW w:w="0" w:type="auto"/>
            <w:shd w:val="clear" w:color="auto" w:fill="auto"/>
            <w:noWrap/>
            <w:vAlign w:val="bottom"/>
            <w:hideMark/>
          </w:tcPr>
          <w:p w14:paraId="2A359B69" w14:textId="77777777" w:rsidR="00FC4EFD" w:rsidRPr="00E83B49" w:rsidRDefault="00FC4EFD" w:rsidP="00FC4EFD">
            <w:pPr>
              <w:widowControl/>
              <w:autoSpaceDE/>
              <w:autoSpaceDN/>
              <w:rPr>
                <w:rFonts w:asciiTheme="minorHAnsi" w:eastAsia="Times New Roman" w:hAnsiTheme="minorHAnsi"/>
                <w:color w:val="000000"/>
                <w:szCs w:val="24"/>
              </w:rPr>
            </w:pPr>
            <w:r w:rsidRPr="00E83B49">
              <w:rPr>
                <w:rFonts w:asciiTheme="minorHAnsi" w:eastAsia="Times New Roman" w:hAnsiTheme="minorHAnsi"/>
                <w:color w:val="000000"/>
                <w:szCs w:val="24"/>
              </w:rPr>
              <w:t>Cutaneous Oncology Center</w:t>
            </w:r>
          </w:p>
        </w:tc>
        <w:tc>
          <w:tcPr>
            <w:tcW w:w="0" w:type="auto"/>
            <w:shd w:val="clear" w:color="auto" w:fill="auto"/>
            <w:noWrap/>
            <w:vAlign w:val="bottom"/>
            <w:hideMark/>
          </w:tcPr>
          <w:p w14:paraId="6597C36A"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0.4%</w:t>
            </w:r>
          </w:p>
        </w:tc>
        <w:tc>
          <w:tcPr>
            <w:tcW w:w="0" w:type="auto"/>
            <w:shd w:val="clear" w:color="auto" w:fill="auto"/>
            <w:noWrap/>
            <w:vAlign w:val="bottom"/>
            <w:hideMark/>
          </w:tcPr>
          <w:p w14:paraId="0A30A329"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0.5%</w:t>
            </w:r>
          </w:p>
        </w:tc>
        <w:tc>
          <w:tcPr>
            <w:tcW w:w="0" w:type="auto"/>
            <w:shd w:val="clear" w:color="auto" w:fill="auto"/>
            <w:noWrap/>
            <w:vAlign w:val="bottom"/>
            <w:hideMark/>
          </w:tcPr>
          <w:p w14:paraId="06F013B8"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0.5%</w:t>
            </w:r>
          </w:p>
        </w:tc>
        <w:tc>
          <w:tcPr>
            <w:tcW w:w="0" w:type="auto"/>
            <w:shd w:val="clear" w:color="auto" w:fill="auto"/>
            <w:noWrap/>
            <w:vAlign w:val="bottom"/>
            <w:hideMark/>
          </w:tcPr>
          <w:p w14:paraId="433139A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0.5%</w:t>
            </w:r>
          </w:p>
        </w:tc>
        <w:tc>
          <w:tcPr>
            <w:tcW w:w="0" w:type="auto"/>
            <w:shd w:val="clear" w:color="auto" w:fill="auto"/>
            <w:noWrap/>
            <w:vAlign w:val="bottom"/>
            <w:hideMark/>
          </w:tcPr>
          <w:p w14:paraId="527EBF1F"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0.5%</w:t>
            </w:r>
          </w:p>
        </w:tc>
        <w:tc>
          <w:tcPr>
            <w:tcW w:w="0" w:type="auto"/>
            <w:shd w:val="clear" w:color="auto" w:fill="auto"/>
            <w:noWrap/>
            <w:vAlign w:val="bottom"/>
            <w:hideMark/>
          </w:tcPr>
          <w:p w14:paraId="6376EC37" w14:textId="77777777" w:rsidR="00FC4EFD" w:rsidRPr="00E83B49" w:rsidRDefault="00FC4EFD" w:rsidP="00E83B49">
            <w:pPr>
              <w:widowControl/>
              <w:autoSpaceDE/>
              <w:autoSpaceDN/>
              <w:jc w:val="center"/>
              <w:rPr>
                <w:rFonts w:asciiTheme="minorHAnsi" w:eastAsia="Times New Roman" w:hAnsiTheme="minorHAnsi"/>
                <w:color w:val="000000"/>
                <w:szCs w:val="24"/>
              </w:rPr>
            </w:pPr>
            <w:r w:rsidRPr="00E83B49">
              <w:rPr>
                <w:rFonts w:asciiTheme="minorHAnsi" w:eastAsia="Times New Roman" w:hAnsiTheme="minorHAnsi"/>
                <w:color w:val="000000"/>
                <w:szCs w:val="24"/>
              </w:rPr>
              <w:t>0.8%</w:t>
            </w:r>
          </w:p>
        </w:tc>
      </w:tr>
    </w:tbl>
    <w:p w14:paraId="20C23A3C" w14:textId="77777777" w:rsidR="00C8040F" w:rsidRPr="00D947D0" w:rsidRDefault="00C8040F" w:rsidP="00030E83">
      <w:pPr>
        <w:rPr>
          <w:rFonts w:asciiTheme="minorHAnsi" w:hAnsiTheme="minorHAnsi"/>
          <w:b/>
          <w:bCs/>
          <w:szCs w:val="24"/>
        </w:rPr>
      </w:pPr>
    </w:p>
    <w:p w14:paraId="04C9F079" w14:textId="30F8A09C" w:rsidR="00211A7B" w:rsidRPr="00211A7B" w:rsidRDefault="007870DA" w:rsidP="00F7419E">
      <w:pPr>
        <w:rPr>
          <w:rFonts w:asciiTheme="minorHAnsi" w:hAnsiTheme="minorHAnsi"/>
          <w:b/>
          <w:bCs/>
          <w:szCs w:val="24"/>
        </w:rPr>
      </w:pPr>
      <w:r>
        <w:rPr>
          <w:rFonts w:asciiTheme="minorHAnsi" w:hAnsiTheme="minorHAnsi"/>
          <w:b/>
          <w:bCs/>
          <w:szCs w:val="24"/>
        </w:rPr>
        <w:t>PATIENT PANEL NEED</w:t>
      </w:r>
    </w:p>
    <w:p w14:paraId="6870A3F9" w14:textId="6B974A2D" w:rsidR="00F7419E" w:rsidRDefault="00F7419E" w:rsidP="00BA2054">
      <w:pPr>
        <w:rPr>
          <w:rFonts w:asciiTheme="minorHAnsi" w:hAnsiTheme="minorHAnsi"/>
          <w:szCs w:val="24"/>
        </w:rPr>
      </w:pPr>
      <w:r w:rsidRPr="00F7419E">
        <w:rPr>
          <w:rFonts w:asciiTheme="minorHAnsi" w:hAnsiTheme="minorHAnsi"/>
          <w:szCs w:val="24"/>
        </w:rPr>
        <w:t>The Applicant affirms that it is experiencing increasing need for inpatient beds</w:t>
      </w:r>
      <w:r w:rsidR="004A3531">
        <w:rPr>
          <w:rFonts w:asciiTheme="minorHAnsi" w:hAnsiTheme="minorHAnsi"/>
          <w:szCs w:val="24"/>
        </w:rPr>
        <w:t xml:space="preserve"> and imaging and radiation </w:t>
      </w:r>
      <w:r w:rsidR="00EC5FC6">
        <w:rPr>
          <w:rFonts w:asciiTheme="minorHAnsi" w:hAnsiTheme="minorHAnsi"/>
          <w:szCs w:val="24"/>
        </w:rPr>
        <w:t>oncology</w:t>
      </w:r>
      <w:r w:rsidR="00161148">
        <w:rPr>
          <w:rFonts w:asciiTheme="minorHAnsi" w:hAnsiTheme="minorHAnsi"/>
          <w:szCs w:val="24"/>
        </w:rPr>
        <w:t xml:space="preserve"> </w:t>
      </w:r>
      <w:r w:rsidR="004A3531">
        <w:rPr>
          <w:rFonts w:asciiTheme="minorHAnsi" w:hAnsiTheme="minorHAnsi"/>
          <w:szCs w:val="24"/>
        </w:rPr>
        <w:t>equipment</w:t>
      </w:r>
      <w:r w:rsidR="00351AD9">
        <w:rPr>
          <w:rFonts w:asciiTheme="minorHAnsi" w:hAnsiTheme="minorHAnsi"/>
          <w:szCs w:val="24"/>
        </w:rPr>
        <w:t xml:space="preserve"> dedicated to the treatment of adult patients with cancer</w:t>
      </w:r>
      <w:r w:rsidRPr="00F7419E">
        <w:rPr>
          <w:rFonts w:asciiTheme="minorHAnsi" w:hAnsiTheme="minorHAnsi"/>
          <w:szCs w:val="24"/>
        </w:rPr>
        <w:t>. The Applicant states that its need for additional inpatient beds</w:t>
      </w:r>
      <w:r w:rsidR="00476337">
        <w:rPr>
          <w:rFonts w:asciiTheme="minorHAnsi" w:hAnsiTheme="minorHAnsi"/>
          <w:szCs w:val="24"/>
        </w:rPr>
        <w:t xml:space="preserve">, imaging, and radiation </w:t>
      </w:r>
      <w:r w:rsidR="00730EAE">
        <w:rPr>
          <w:rFonts w:asciiTheme="minorHAnsi" w:hAnsiTheme="minorHAnsi"/>
          <w:szCs w:val="24"/>
        </w:rPr>
        <w:t xml:space="preserve">oncology </w:t>
      </w:r>
      <w:r w:rsidR="0010433E">
        <w:rPr>
          <w:rFonts w:asciiTheme="minorHAnsi" w:hAnsiTheme="minorHAnsi"/>
          <w:szCs w:val="24"/>
        </w:rPr>
        <w:t>capacity</w:t>
      </w:r>
      <w:r w:rsidR="00476337">
        <w:rPr>
          <w:rFonts w:asciiTheme="minorHAnsi" w:hAnsiTheme="minorHAnsi"/>
          <w:szCs w:val="24"/>
        </w:rPr>
        <w:t xml:space="preserve"> </w:t>
      </w:r>
      <w:r w:rsidRPr="00F7419E">
        <w:rPr>
          <w:rFonts w:asciiTheme="minorHAnsi" w:hAnsiTheme="minorHAnsi"/>
          <w:szCs w:val="24"/>
        </w:rPr>
        <w:t>is a result of both increasing patient volume and patient acuity. The following section</w:t>
      </w:r>
      <w:r w:rsidR="00D77DD4">
        <w:rPr>
          <w:rFonts w:asciiTheme="minorHAnsi" w:hAnsiTheme="minorHAnsi"/>
          <w:szCs w:val="24"/>
        </w:rPr>
        <w:t>s of this report</w:t>
      </w:r>
      <w:r w:rsidRPr="00F7419E">
        <w:rPr>
          <w:rFonts w:asciiTheme="minorHAnsi" w:hAnsiTheme="minorHAnsi"/>
          <w:szCs w:val="24"/>
        </w:rPr>
        <w:t xml:space="preserve"> will discuss the numerous drivers of increasing need for additional inpatient</w:t>
      </w:r>
      <w:r w:rsidR="00476337">
        <w:rPr>
          <w:rFonts w:asciiTheme="minorHAnsi" w:hAnsiTheme="minorHAnsi"/>
          <w:szCs w:val="24"/>
        </w:rPr>
        <w:t xml:space="preserve">, imaging, and radiation </w:t>
      </w:r>
      <w:r w:rsidR="00730EAE">
        <w:rPr>
          <w:rFonts w:asciiTheme="minorHAnsi" w:hAnsiTheme="minorHAnsi"/>
          <w:szCs w:val="24"/>
        </w:rPr>
        <w:t xml:space="preserve">oncology </w:t>
      </w:r>
      <w:r w:rsidRPr="00F7419E">
        <w:rPr>
          <w:rFonts w:asciiTheme="minorHAnsi" w:hAnsiTheme="minorHAnsi"/>
          <w:szCs w:val="24"/>
        </w:rPr>
        <w:t>capacity, as presented by the Applicant.</w:t>
      </w:r>
    </w:p>
    <w:p w14:paraId="3261BD80" w14:textId="77777777" w:rsidR="00CD55EB" w:rsidRDefault="00CD55EB" w:rsidP="00BA2054">
      <w:pPr>
        <w:rPr>
          <w:rFonts w:asciiTheme="minorHAnsi" w:hAnsiTheme="minorHAnsi"/>
          <w:szCs w:val="24"/>
        </w:rPr>
      </w:pPr>
    </w:p>
    <w:p w14:paraId="7D6A8B7C" w14:textId="005492ED" w:rsidR="0069437E" w:rsidRPr="001E568B" w:rsidRDefault="003929C3" w:rsidP="00BA2054">
      <w:pPr>
        <w:rPr>
          <w:rFonts w:asciiTheme="minorHAnsi" w:hAnsiTheme="minorHAnsi"/>
          <w:i/>
          <w:iCs/>
          <w:szCs w:val="24"/>
          <w:u w:val="single"/>
        </w:rPr>
      </w:pPr>
      <w:r>
        <w:rPr>
          <w:rFonts w:asciiTheme="minorHAnsi" w:hAnsiTheme="minorHAnsi"/>
          <w:i/>
          <w:iCs/>
          <w:szCs w:val="24"/>
          <w:u w:val="single"/>
        </w:rPr>
        <w:t>Population Estimates/Projections</w:t>
      </w:r>
      <w:r w:rsidR="009A0573">
        <w:rPr>
          <w:rFonts w:asciiTheme="minorHAnsi" w:hAnsiTheme="minorHAnsi"/>
          <w:i/>
          <w:iCs/>
          <w:szCs w:val="24"/>
          <w:u w:val="single"/>
        </w:rPr>
        <w:t xml:space="preserve"> and </w:t>
      </w:r>
      <w:r w:rsidR="009A0573" w:rsidRPr="009A0573">
        <w:rPr>
          <w:rFonts w:asciiTheme="minorHAnsi" w:hAnsiTheme="minorHAnsi"/>
          <w:i/>
          <w:iCs/>
          <w:szCs w:val="24"/>
          <w:u w:val="single"/>
        </w:rPr>
        <w:t>Cancer Prevalence Nationally and in Massachusetts</w:t>
      </w:r>
    </w:p>
    <w:p w14:paraId="2855BD11" w14:textId="2D85C877" w:rsidR="00CB4EA0" w:rsidRDefault="003929C3" w:rsidP="00BA2054">
      <w:pPr>
        <w:rPr>
          <w:rFonts w:asciiTheme="minorHAnsi" w:hAnsiTheme="minorHAnsi"/>
          <w:szCs w:val="24"/>
        </w:rPr>
      </w:pPr>
      <w:r>
        <w:rPr>
          <w:rFonts w:asciiTheme="minorHAnsi" w:hAnsiTheme="minorHAnsi"/>
          <w:szCs w:val="24"/>
        </w:rPr>
        <w:t xml:space="preserve">The Applicant </w:t>
      </w:r>
      <w:r w:rsidR="00D0750C">
        <w:rPr>
          <w:rFonts w:asciiTheme="minorHAnsi" w:hAnsiTheme="minorHAnsi"/>
          <w:szCs w:val="24"/>
        </w:rPr>
        <w:t xml:space="preserve">states that projected </w:t>
      </w:r>
      <w:r w:rsidR="00FE1D81">
        <w:rPr>
          <w:rFonts w:asciiTheme="minorHAnsi" w:hAnsiTheme="minorHAnsi"/>
          <w:szCs w:val="24"/>
        </w:rPr>
        <w:t>national and state demographic changes</w:t>
      </w:r>
      <w:r w:rsidR="00D0750C">
        <w:rPr>
          <w:rFonts w:asciiTheme="minorHAnsi" w:hAnsiTheme="minorHAnsi"/>
          <w:szCs w:val="24"/>
        </w:rPr>
        <w:t xml:space="preserve"> will drive need</w:t>
      </w:r>
      <w:r>
        <w:rPr>
          <w:rFonts w:asciiTheme="minorHAnsi" w:hAnsiTheme="minorHAnsi"/>
          <w:szCs w:val="24"/>
        </w:rPr>
        <w:t xml:space="preserve"> </w:t>
      </w:r>
      <w:r w:rsidR="00D0750C">
        <w:rPr>
          <w:rFonts w:asciiTheme="minorHAnsi" w:hAnsiTheme="minorHAnsi"/>
          <w:szCs w:val="24"/>
        </w:rPr>
        <w:t>for</w:t>
      </w:r>
      <w:r w:rsidR="00985C87">
        <w:rPr>
          <w:rFonts w:asciiTheme="minorHAnsi" w:hAnsiTheme="minorHAnsi"/>
          <w:szCs w:val="24"/>
        </w:rPr>
        <w:t xml:space="preserve"> the </w:t>
      </w:r>
      <w:r w:rsidR="00D0750C">
        <w:rPr>
          <w:rFonts w:asciiTheme="minorHAnsi" w:hAnsiTheme="minorHAnsi"/>
          <w:szCs w:val="24"/>
        </w:rPr>
        <w:t xml:space="preserve"> specialized inpatient cancer care</w:t>
      </w:r>
      <w:r w:rsidR="00985C87">
        <w:rPr>
          <w:rFonts w:asciiTheme="minorHAnsi" w:hAnsiTheme="minorHAnsi"/>
          <w:szCs w:val="24"/>
        </w:rPr>
        <w:t xml:space="preserve"> </w:t>
      </w:r>
      <w:r w:rsidR="00AC5CF7">
        <w:rPr>
          <w:rFonts w:asciiTheme="minorHAnsi" w:hAnsiTheme="minorHAnsi"/>
          <w:szCs w:val="24"/>
        </w:rPr>
        <w:t xml:space="preserve">that Dana-Farber </w:t>
      </w:r>
      <w:r w:rsidR="00985C87">
        <w:rPr>
          <w:rFonts w:asciiTheme="minorHAnsi" w:hAnsiTheme="minorHAnsi"/>
          <w:szCs w:val="24"/>
        </w:rPr>
        <w:t>provides</w:t>
      </w:r>
      <w:r w:rsidR="00362DBF">
        <w:rPr>
          <w:rFonts w:asciiTheme="minorHAnsi" w:hAnsiTheme="minorHAnsi"/>
          <w:szCs w:val="24"/>
        </w:rPr>
        <w:t xml:space="preserve">, </w:t>
      </w:r>
      <w:r w:rsidR="00FD2838">
        <w:rPr>
          <w:rFonts w:asciiTheme="minorHAnsi" w:hAnsiTheme="minorHAnsi"/>
          <w:szCs w:val="24"/>
        </w:rPr>
        <w:t>cit</w:t>
      </w:r>
      <w:r w:rsidR="00362DBF">
        <w:rPr>
          <w:rFonts w:asciiTheme="minorHAnsi" w:hAnsiTheme="minorHAnsi"/>
          <w:szCs w:val="24"/>
        </w:rPr>
        <w:t>ing</w:t>
      </w:r>
      <w:r w:rsidR="00FD2838">
        <w:rPr>
          <w:rFonts w:asciiTheme="minorHAnsi" w:hAnsiTheme="minorHAnsi"/>
          <w:szCs w:val="24"/>
        </w:rPr>
        <w:t xml:space="preserve"> studies and reports</w:t>
      </w:r>
      <w:r w:rsidR="005917EB">
        <w:rPr>
          <w:rFonts w:asciiTheme="minorHAnsi" w:hAnsiTheme="minorHAnsi"/>
          <w:szCs w:val="24"/>
        </w:rPr>
        <w:t xml:space="preserve"> on the projected increases</w:t>
      </w:r>
      <w:r w:rsidR="00B25696">
        <w:rPr>
          <w:rFonts w:asciiTheme="minorHAnsi" w:hAnsiTheme="minorHAnsi"/>
          <w:szCs w:val="24"/>
        </w:rPr>
        <w:t>.</w:t>
      </w:r>
      <w:r w:rsidR="00D0750C">
        <w:rPr>
          <w:rFonts w:asciiTheme="minorHAnsi" w:hAnsiTheme="minorHAnsi"/>
          <w:szCs w:val="24"/>
        </w:rPr>
        <w:t xml:space="preserve"> </w:t>
      </w:r>
      <w:r w:rsidR="002009A3">
        <w:rPr>
          <w:rFonts w:asciiTheme="minorHAnsi" w:hAnsiTheme="minorHAnsi"/>
          <w:szCs w:val="24"/>
        </w:rPr>
        <w:t>The Applicant referenced</w:t>
      </w:r>
      <w:r w:rsidR="00BF3731">
        <w:rPr>
          <w:rFonts w:asciiTheme="minorHAnsi" w:hAnsiTheme="minorHAnsi"/>
          <w:szCs w:val="24"/>
        </w:rPr>
        <w:t xml:space="preserve"> </w:t>
      </w:r>
      <w:r w:rsidR="00BE79D6">
        <w:rPr>
          <w:rFonts w:asciiTheme="minorHAnsi" w:hAnsiTheme="minorHAnsi"/>
          <w:szCs w:val="24"/>
        </w:rPr>
        <w:t>a report from the Population Reference Bureau,</w:t>
      </w:r>
      <w:r w:rsidR="004B14FE">
        <w:rPr>
          <w:rFonts w:asciiTheme="minorHAnsi" w:hAnsiTheme="minorHAnsi"/>
          <w:szCs w:val="24"/>
        </w:rPr>
        <w:t xml:space="preserve"> which stated</w:t>
      </w:r>
      <w:r w:rsidR="00BE79D6">
        <w:rPr>
          <w:rFonts w:asciiTheme="minorHAnsi" w:hAnsiTheme="minorHAnsi"/>
          <w:szCs w:val="24"/>
        </w:rPr>
        <w:t xml:space="preserve"> </w:t>
      </w:r>
      <w:r w:rsidR="005917EB">
        <w:rPr>
          <w:rFonts w:asciiTheme="minorHAnsi" w:hAnsiTheme="minorHAnsi"/>
          <w:szCs w:val="24"/>
        </w:rPr>
        <w:t xml:space="preserve">that </w:t>
      </w:r>
      <w:r w:rsidR="00BE79D6">
        <w:rPr>
          <w:rFonts w:asciiTheme="minorHAnsi" w:hAnsiTheme="minorHAnsi"/>
          <w:szCs w:val="24"/>
        </w:rPr>
        <w:t>t</w:t>
      </w:r>
      <w:r w:rsidR="00FE1D81" w:rsidRPr="00FD2EB8">
        <w:rPr>
          <w:rFonts w:asciiTheme="minorHAnsi" w:hAnsiTheme="minorHAnsi"/>
          <w:szCs w:val="24"/>
        </w:rPr>
        <w:t xml:space="preserve">he </w:t>
      </w:r>
      <w:r w:rsidR="00980E57" w:rsidRPr="00FD2EB8">
        <w:rPr>
          <w:rFonts w:asciiTheme="minorHAnsi" w:hAnsiTheme="minorHAnsi"/>
          <w:szCs w:val="24"/>
        </w:rPr>
        <w:t xml:space="preserve">number of adults aged 65 and older </w:t>
      </w:r>
      <w:r w:rsidR="00FE1D81" w:rsidRPr="00FD2EB8">
        <w:rPr>
          <w:rFonts w:asciiTheme="minorHAnsi" w:hAnsiTheme="minorHAnsi"/>
          <w:szCs w:val="24"/>
        </w:rPr>
        <w:t xml:space="preserve">in the United States </w:t>
      </w:r>
      <w:r w:rsidR="00980E57" w:rsidRPr="00FD2EB8">
        <w:rPr>
          <w:rFonts w:asciiTheme="minorHAnsi" w:hAnsiTheme="minorHAnsi"/>
          <w:szCs w:val="24"/>
        </w:rPr>
        <w:t>is projected to increase by 69%, from 56.0 million to 94.7 million between 2020 and 2060.</w:t>
      </w:r>
      <w:r w:rsidR="00980E57">
        <w:rPr>
          <w:rStyle w:val="EndnoteReference"/>
          <w:rFonts w:asciiTheme="minorHAnsi" w:hAnsiTheme="minorHAnsi"/>
          <w:szCs w:val="24"/>
        </w:rPr>
        <w:endnoteReference w:id="6"/>
      </w:r>
      <w:r w:rsidR="00980E57" w:rsidRPr="00FD2EB8">
        <w:rPr>
          <w:rFonts w:asciiTheme="minorHAnsi" w:hAnsiTheme="minorHAnsi"/>
          <w:szCs w:val="24"/>
        </w:rPr>
        <w:t xml:space="preserve"> </w:t>
      </w:r>
      <w:r w:rsidR="004B14FE">
        <w:rPr>
          <w:rFonts w:asciiTheme="minorHAnsi" w:hAnsiTheme="minorHAnsi"/>
          <w:szCs w:val="24"/>
        </w:rPr>
        <w:t xml:space="preserve">The Applicant </w:t>
      </w:r>
      <w:r w:rsidR="00AC5CF7">
        <w:rPr>
          <w:rFonts w:asciiTheme="minorHAnsi" w:hAnsiTheme="minorHAnsi"/>
          <w:szCs w:val="24"/>
        </w:rPr>
        <w:t xml:space="preserve">examined </w:t>
      </w:r>
      <w:r w:rsidR="004B14FE">
        <w:rPr>
          <w:rFonts w:asciiTheme="minorHAnsi" w:hAnsiTheme="minorHAnsi"/>
          <w:szCs w:val="24"/>
        </w:rPr>
        <w:t>p</w:t>
      </w:r>
      <w:r w:rsidR="009B4503">
        <w:rPr>
          <w:rFonts w:asciiTheme="minorHAnsi" w:hAnsiTheme="minorHAnsi"/>
          <w:szCs w:val="24"/>
        </w:rPr>
        <w:t xml:space="preserve">opulation projection data from the </w:t>
      </w:r>
      <w:r w:rsidR="009B4503" w:rsidRPr="009B4503">
        <w:rPr>
          <w:rFonts w:asciiTheme="minorHAnsi" w:hAnsiTheme="minorHAnsi"/>
          <w:szCs w:val="24"/>
        </w:rPr>
        <w:t>UMass Donahue Institute</w:t>
      </w:r>
      <w:r w:rsidR="009B4503">
        <w:rPr>
          <w:rFonts w:asciiTheme="minorHAnsi" w:hAnsiTheme="minorHAnsi"/>
          <w:szCs w:val="24"/>
        </w:rPr>
        <w:t xml:space="preserve"> </w:t>
      </w:r>
      <w:r w:rsidR="004B14FE">
        <w:rPr>
          <w:rFonts w:asciiTheme="minorHAnsi" w:hAnsiTheme="minorHAnsi"/>
          <w:szCs w:val="24"/>
        </w:rPr>
        <w:t xml:space="preserve">which </w:t>
      </w:r>
      <w:r w:rsidR="009B4503">
        <w:rPr>
          <w:rFonts w:asciiTheme="minorHAnsi" w:hAnsiTheme="minorHAnsi"/>
          <w:szCs w:val="24"/>
        </w:rPr>
        <w:t>show that t</w:t>
      </w:r>
      <w:r w:rsidR="00BB340C" w:rsidRPr="00FD2EB8">
        <w:rPr>
          <w:rFonts w:asciiTheme="minorHAnsi" w:hAnsiTheme="minorHAnsi"/>
          <w:szCs w:val="24"/>
        </w:rPr>
        <w:t>he</w:t>
      </w:r>
      <w:r w:rsidR="00CB4EA0" w:rsidRPr="00FD2EB8">
        <w:rPr>
          <w:rFonts w:asciiTheme="minorHAnsi" w:hAnsiTheme="minorHAnsi"/>
          <w:szCs w:val="24"/>
        </w:rPr>
        <w:t xml:space="preserve"> age 65 and over population in Massachusetts is projected to increase by </w:t>
      </w:r>
      <w:r w:rsidR="009A359B" w:rsidRPr="00FD2EB8">
        <w:rPr>
          <w:rFonts w:asciiTheme="minorHAnsi" w:hAnsiTheme="minorHAnsi"/>
          <w:szCs w:val="24"/>
        </w:rPr>
        <w:t>7</w:t>
      </w:r>
      <w:r w:rsidR="002C17EE" w:rsidRPr="00FD2EB8">
        <w:rPr>
          <w:rFonts w:asciiTheme="minorHAnsi" w:hAnsiTheme="minorHAnsi"/>
          <w:szCs w:val="24"/>
        </w:rPr>
        <w:t>6</w:t>
      </w:r>
      <w:r w:rsidR="00CB4EA0" w:rsidRPr="00FD2EB8">
        <w:rPr>
          <w:rFonts w:asciiTheme="minorHAnsi" w:hAnsiTheme="minorHAnsi"/>
          <w:szCs w:val="24"/>
        </w:rPr>
        <w:t>% between 2010 and 20</w:t>
      </w:r>
      <w:r w:rsidR="002C17EE" w:rsidRPr="00FD2EB8">
        <w:rPr>
          <w:rFonts w:asciiTheme="minorHAnsi" w:hAnsiTheme="minorHAnsi"/>
          <w:szCs w:val="24"/>
        </w:rPr>
        <w:t>5</w:t>
      </w:r>
      <w:r w:rsidR="00CB4EA0" w:rsidRPr="00FD2EB8">
        <w:rPr>
          <w:rFonts w:asciiTheme="minorHAnsi" w:hAnsiTheme="minorHAnsi"/>
          <w:szCs w:val="24"/>
        </w:rPr>
        <w:t>0.</w:t>
      </w:r>
      <w:r w:rsidR="00CB4EA0">
        <w:rPr>
          <w:rStyle w:val="EndnoteReference"/>
          <w:rFonts w:asciiTheme="minorHAnsi" w:hAnsiTheme="minorHAnsi"/>
          <w:szCs w:val="24"/>
        </w:rPr>
        <w:endnoteReference w:id="7"/>
      </w:r>
      <w:r w:rsidR="00CB4EA0" w:rsidRPr="00FD2EB8">
        <w:rPr>
          <w:rFonts w:asciiTheme="minorHAnsi" w:hAnsiTheme="minorHAnsi"/>
          <w:szCs w:val="24"/>
          <w:vertAlign w:val="superscript"/>
        </w:rPr>
        <w:t>,</w:t>
      </w:r>
      <w:r w:rsidR="00CB4EA0">
        <w:rPr>
          <w:rStyle w:val="FootnoteReference"/>
          <w:rFonts w:asciiTheme="minorHAnsi" w:hAnsiTheme="minorHAnsi"/>
          <w:szCs w:val="24"/>
        </w:rPr>
        <w:footnoteReference w:id="26"/>
      </w:r>
      <w:r w:rsidR="00A449C8" w:rsidRPr="00FD2EB8">
        <w:rPr>
          <w:rFonts w:asciiTheme="minorHAnsi" w:hAnsiTheme="minorHAnsi"/>
          <w:szCs w:val="24"/>
        </w:rPr>
        <w:t xml:space="preserve"> </w:t>
      </w:r>
      <w:r w:rsidR="00CB4EA0" w:rsidRPr="00FD2EB8">
        <w:rPr>
          <w:rFonts w:asciiTheme="minorHAnsi" w:hAnsiTheme="minorHAnsi"/>
          <w:szCs w:val="24"/>
        </w:rPr>
        <w:t>The age 56 and o</w:t>
      </w:r>
      <w:r w:rsidR="00B04BCD">
        <w:rPr>
          <w:rFonts w:asciiTheme="minorHAnsi" w:hAnsiTheme="minorHAnsi"/>
          <w:szCs w:val="24"/>
        </w:rPr>
        <w:t>lder</w:t>
      </w:r>
      <w:r w:rsidR="00CB4EA0" w:rsidRPr="00FD2EB8">
        <w:rPr>
          <w:rFonts w:asciiTheme="minorHAnsi" w:hAnsiTheme="minorHAnsi"/>
          <w:szCs w:val="24"/>
        </w:rPr>
        <w:t xml:space="preserve"> population within</w:t>
      </w:r>
      <w:r w:rsidR="00FE1D81" w:rsidRPr="00FD2EB8">
        <w:rPr>
          <w:rFonts w:asciiTheme="minorHAnsi" w:hAnsiTheme="minorHAnsi"/>
          <w:szCs w:val="24"/>
        </w:rPr>
        <w:t xml:space="preserve"> the Applicant’s Patient Panel increase</w:t>
      </w:r>
      <w:r w:rsidR="00DC21BF" w:rsidRPr="00FD2EB8">
        <w:rPr>
          <w:rFonts w:asciiTheme="minorHAnsi" w:hAnsiTheme="minorHAnsi"/>
          <w:szCs w:val="24"/>
        </w:rPr>
        <w:t>d</w:t>
      </w:r>
      <w:r w:rsidR="00CB4EA0" w:rsidRPr="00FD2EB8">
        <w:rPr>
          <w:rFonts w:asciiTheme="minorHAnsi" w:hAnsiTheme="minorHAnsi"/>
          <w:szCs w:val="24"/>
        </w:rPr>
        <w:t xml:space="preserve"> </w:t>
      </w:r>
      <w:r w:rsidR="00C83291">
        <w:rPr>
          <w:rFonts w:asciiTheme="minorHAnsi" w:hAnsiTheme="minorHAnsi"/>
          <w:szCs w:val="24"/>
        </w:rPr>
        <w:t>31</w:t>
      </w:r>
      <w:r w:rsidR="003414FA" w:rsidRPr="00FD2EB8">
        <w:rPr>
          <w:rFonts w:asciiTheme="minorHAnsi" w:hAnsiTheme="minorHAnsi"/>
          <w:szCs w:val="24"/>
        </w:rPr>
        <w:t xml:space="preserve">% </w:t>
      </w:r>
      <w:r w:rsidR="00CB4EA0" w:rsidRPr="00FD2EB8">
        <w:rPr>
          <w:rFonts w:asciiTheme="minorHAnsi" w:hAnsiTheme="minorHAnsi"/>
          <w:szCs w:val="24"/>
        </w:rPr>
        <w:t>between FY20 and FY2</w:t>
      </w:r>
      <w:r w:rsidR="00161893">
        <w:rPr>
          <w:rFonts w:asciiTheme="minorHAnsi" w:hAnsiTheme="minorHAnsi"/>
          <w:szCs w:val="24"/>
        </w:rPr>
        <w:t>3</w:t>
      </w:r>
      <w:r w:rsidR="00FE1D81" w:rsidRPr="00FD2EB8">
        <w:rPr>
          <w:rFonts w:asciiTheme="minorHAnsi" w:hAnsiTheme="minorHAnsi"/>
          <w:szCs w:val="24"/>
        </w:rPr>
        <w:t>, which t</w:t>
      </w:r>
      <w:r w:rsidR="00980E57" w:rsidRPr="00FD2EB8">
        <w:rPr>
          <w:rFonts w:asciiTheme="minorHAnsi" w:hAnsiTheme="minorHAnsi"/>
          <w:szCs w:val="24"/>
        </w:rPr>
        <w:t xml:space="preserve">he Applicant attributes to national and state demographic changes. </w:t>
      </w:r>
      <w:r w:rsidR="00CB4EA0" w:rsidRPr="00FD2EB8">
        <w:rPr>
          <w:rFonts w:asciiTheme="minorHAnsi" w:hAnsiTheme="minorHAnsi"/>
          <w:szCs w:val="24"/>
        </w:rPr>
        <w:t xml:space="preserve"> </w:t>
      </w:r>
    </w:p>
    <w:p w14:paraId="570D8B88" w14:textId="77777777" w:rsidR="005A27BA" w:rsidRPr="00FD2EB8" w:rsidRDefault="005A27BA" w:rsidP="00BA2054">
      <w:pPr>
        <w:rPr>
          <w:rFonts w:asciiTheme="minorHAnsi" w:hAnsiTheme="minorHAnsi"/>
          <w:szCs w:val="24"/>
        </w:rPr>
      </w:pPr>
    </w:p>
    <w:p w14:paraId="75B23505" w14:textId="3ED3C11A" w:rsidR="00C73A68" w:rsidRPr="003C6F98" w:rsidRDefault="001E62F3" w:rsidP="00BA2054">
      <w:pPr>
        <w:rPr>
          <w:rFonts w:asciiTheme="minorHAnsi" w:hAnsiTheme="minorHAnsi"/>
        </w:rPr>
      </w:pPr>
      <w:r w:rsidRPr="5220C0C8">
        <w:rPr>
          <w:rFonts w:asciiTheme="minorHAnsi" w:hAnsiTheme="minorHAnsi"/>
        </w:rPr>
        <w:lastRenderedPageBreak/>
        <w:t>The National Cancer Institute states that a</w:t>
      </w:r>
      <w:r w:rsidR="00CA62F2" w:rsidRPr="5220C0C8">
        <w:rPr>
          <w:rFonts w:asciiTheme="minorHAnsi" w:hAnsiTheme="minorHAnsi"/>
        </w:rPr>
        <w:t>dvancing a</w:t>
      </w:r>
      <w:r w:rsidR="002748BC" w:rsidRPr="5220C0C8">
        <w:rPr>
          <w:rFonts w:asciiTheme="minorHAnsi" w:hAnsiTheme="minorHAnsi"/>
        </w:rPr>
        <w:t>ge is the primary risk factor for cancer</w:t>
      </w:r>
      <w:r w:rsidR="004F5BCD" w:rsidRPr="5220C0C8">
        <w:rPr>
          <w:rFonts w:asciiTheme="minorHAnsi" w:hAnsiTheme="minorHAnsi"/>
        </w:rPr>
        <w:t xml:space="preserve"> overall</w:t>
      </w:r>
      <w:r w:rsidR="00DA36D0" w:rsidRPr="5220C0C8">
        <w:rPr>
          <w:rFonts w:asciiTheme="minorHAnsi" w:hAnsiTheme="minorHAnsi"/>
        </w:rPr>
        <w:t xml:space="preserve"> and for many individual </w:t>
      </w:r>
      <w:r w:rsidR="00CD7F93" w:rsidRPr="5220C0C8">
        <w:rPr>
          <w:rFonts w:asciiTheme="minorHAnsi" w:hAnsiTheme="minorHAnsi"/>
        </w:rPr>
        <w:t xml:space="preserve">types of </w:t>
      </w:r>
      <w:r w:rsidR="00DA36D0" w:rsidRPr="5220C0C8">
        <w:rPr>
          <w:rFonts w:asciiTheme="minorHAnsi" w:hAnsiTheme="minorHAnsi"/>
        </w:rPr>
        <w:t>cancer</w:t>
      </w:r>
      <w:r w:rsidR="0016781E" w:rsidRPr="5220C0C8">
        <w:rPr>
          <w:rFonts w:asciiTheme="minorHAnsi" w:hAnsiTheme="minorHAnsi"/>
        </w:rPr>
        <w:t>.</w:t>
      </w:r>
      <w:r w:rsidR="002748BC" w:rsidRPr="002748BC">
        <w:rPr>
          <w:vertAlign w:val="superscript"/>
        </w:rPr>
        <w:endnoteReference w:id="8"/>
      </w:r>
      <w:r w:rsidR="004F16B1" w:rsidRPr="5220C0C8">
        <w:rPr>
          <w:rFonts w:asciiTheme="minorHAnsi" w:hAnsiTheme="minorHAnsi"/>
        </w:rPr>
        <w:t xml:space="preserve"> </w:t>
      </w:r>
      <w:r w:rsidR="00312084" w:rsidRPr="5220C0C8">
        <w:rPr>
          <w:rFonts w:asciiTheme="minorHAnsi" w:hAnsiTheme="minorHAnsi"/>
        </w:rPr>
        <w:t xml:space="preserve">The </w:t>
      </w:r>
      <w:r w:rsidR="004F16B1" w:rsidRPr="5220C0C8">
        <w:rPr>
          <w:rFonts w:asciiTheme="minorHAnsi" w:hAnsiTheme="minorHAnsi"/>
        </w:rPr>
        <w:t xml:space="preserve">American Cancer Society’s </w:t>
      </w:r>
      <w:r w:rsidR="00312084" w:rsidRPr="5220C0C8">
        <w:rPr>
          <w:rFonts w:asciiTheme="minorHAnsi" w:hAnsiTheme="minorHAnsi"/>
        </w:rPr>
        <w:t xml:space="preserve">2024 </w:t>
      </w:r>
      <w:r w:rsidR="00EF41E8" w:rsidRPr="5220C0C8">
        <w:rPr>
          <w:rFonts w:asciiTheme="minorHAnsi" w:hAnsiTheme="minorHAnsi"/>
        </w:rPr>
        <w:t>A</w:t>
      </w:r>
      <w:r w:rsidR="004F16B1" w:rsidRPr="5220C0C8">
        <w:rPr>
          <w:rFonts w:asciiTheme="minorHAnsi" w:hAnsiTheme="minorHAnsi"/>
        </w:rPr>
        <w:t>nnual</w:t>
      </w:r>
      <w:r w:rsidR="00627523" w:rsidRPr="5220C0C8">
        <w:rPr>
          <w:rFonts w:asciiTheme="minorHAnsi" w:hAnsiTheme="minorHAnsi"/>
        </w:rPr>
        <w:t xml:space="preserve"> </w:t>
      </w:r>
      <w:r w:rsidR="00EF41E8" w:rsidRPr="5220C0C8">
        <w:rPr>
          <w:rFonts w:asciiTheme="minorHAnsi" w:hAnsiTheme="minorHAnsi"/>
        </w:rPr>
        <w:t>R</w:t>
      </w:r>
      <w:r w:rsidR="00627523" w:rsidRPr="5220C0C8">
        <w:rPr>
          <w:rFonts w:asciiTheme="minorHAnsi" w:hAnsiTheme="minorHAnsi"/>
        </w:rPr>
        <w:t>eport</w:t>
      </w:r>
      <w:r w:rsidR="00EF41E8" w:rsidRPr="5220C0C8">
        <w:rPr>
          <w:rFonts w:asciiTheme="minorHAnsi" w:hAnsiTheme="minorHAnsi"/>
        </w:rPr>
        <w:t xml:space="preserve"> </w:t>
      </w:r>
      <w:r w:rsidR="004F16B1" w:rsidRPr="5220C0C8">
        <w:rPr>
          <w:rFonts w:asciiTheme="minorHAnsi" w:hAnsiTheme="minorHAnsi"/>
        </w:rPr>
        <w:t>states that 88% of people diagnosed with cancer in the U</w:t>
      </w:r>
      <w:r w:rsidR="00C05F0D" w:rsidRPr="5220C0C8">
        <w:rPr>
          <w:rFonts w:asciiTheme="minorHAnsi" w:hAnsiTheme="minorHAnsi"/>
        </w:rPr>
        <w:t>nited States</w:t>
      </w:r>
      <w:r w:rsidR="004F16B1" w:rsidRPr="5220C0C8">
        <w:rPr>
          <w:rFonts w:asciiTheme="minorHAnsi" w:hAnsiTheme="minorHAnsi"/>
        </w:rPr>
        <w:t xml:space="preserve"> are 50 years of age or older, and 57% are </w:t>
      </w:r>
      <w:r w:rsidR="009038F8" w:rsidRPr="5220C0C8">
        <w:rPr>
          <w:rFonts w:asciiTheme="minorHAnsi" w:hAnsiTheme="minorHAnsi"/>
        </w:rPr>
        <w:t xml:space="preserve">aged </w:t>
      </w:r>
      <w:r w:rsidR="004F16B1" w:rsidRPr="5220C0C8">
        <w:rPr>
          <w:rFonts w:asciiTheme="minorHAnsi" w:hAnsiTheme="minorHAnsi"/>
        </w:rPr>
        <w:t>65 or older.</w:t>
      </w:r>
      <w:r w:rsidR="00EF41E8" w:rsidRPr="5220C0C8">
        <w:rPr>
          <w:rStyle w:val="EndnoteReference"/>
          <w:rFonts w:asciiTheme="minorHAnsi" w:hAnsiTheme="minorHAnsi"/>
        </w:rPr>
        <w:endnoteReference w:id="9"/>
      </w:r>
      <w:r w:rsidR="004F16B1" w:rsidRPr="5220C0C8">
        <w:rPr>
          <w:rFonts w:asciiTheme="minorHAnsi" w:hAnsiTheme="minorHAnsi"/>
        </w:rPr>
        <w:t xml:space="preserve"> </w:t>
      </w:r>
      <w:r w:rsidR="0029607D" w:rsidRPr="5220C0C8">
        <w:rPr>
          <w:rFonts w:asciiTheme="minorHAnsi" w:hAnsiTheme="minorHAnsi"/>
        </w:rPr>
        <w:t>The Applicant cited a</w:t>
      </w:r>
      <w:r w:rsidR="002748BC" w:rsidRPr="5220C0C8">
        <w:rPr>
          <w:rFonts w:asciiTheme="minorHAnsi" w:hAnsiTheme="minorHAnsi"/>
        </w:rPr>
        <w:t xml:space="preserve"> study </w:t>
      </w:r>
      <w:r w:rsidR="0093742C" w:rsidRPr="5220C0C8">
        <w:rPr>
          <w:rFonts w:asciiTheme="minorHAnsi" w:hAnsiTheme="minorHAnsi"/>
        </w:rPr>
        <w:t xml:space="preserve">from the Centers for Disease Control and Prevention (CDC) </w:t>
      </w:r>
      <w:r w:rsidR="0029607D" w:rsidRPr="5220C0C8">
        <w:rPr>
          <w:rFonts w:asciiTheme="minorHAnsi" w:hAnsiTheme="minorHAnsi"/>
        </w:rPr>
        <w:t xml:space="preserve">which </w:t>
      </w:r>
      <w:r w:rsidR="0093742C" w:rsidRPr="5220C0C8">
        <w:rPr>
          <w:rFonts w:asciiTheme="minorHAnsi" w:hAnsiTheme="minorHAnsi"/>
        </w:rPr>
        <w:t>predict</w:t>
      </w:r>
      <w:r w:rsidR="0029607D" w:rsidRPr="5220C0C8">
        <w:rPr>
          <w:rFonts w:asciiTheme="minorHAnsi" w:hAnsiTheme="minorHAnsi"/>
        </w:rPr>
        <w:t>ed</w:t>
      </w:r>
      <w:r w:rsidR="0093742C" w:rsidRPr="5220C0C8">
        <w:rPr>
          <w:rFonts w:asciiTheme="minorHAnsi" w:hAnsiTheme="minorHAnsi"/>
        </w:rPr>
        <w:t xml:space="preserve"> </w:t>
      </w:r>
      <w:r w:rsidR="00037193" w:rsidRPr="5220C0C8">
        <w:rPr>
          <w:rFonts w:asciiTheme="minorHAnsi" w:hAnsiTheme="minorHAnsi"/>
        </w:rPr>
        <w:t>that</w:t>
      </w:r>
      <w:r w:rsidR="00572628" w:rsidRPr="5220C0C8">
        <w:rPr>
          <w:rFonts w:asciiTheme="minorHAnsi" w:hAnsiTheme="minorHAnsi"/>
        </w:rPr>
        <w:t xml:space="preserve"> the total number of </w:t>
      </w:r>
      <w:r w:rsidR="00C05F0D" w:rsidRPr="5220C0C8">
        <w:rPr>
          <w:rFonts w:asciiTheme="minorHAnsi" w:hAnsiTheme="minorHAnsi"/>
        </w:rPr>
        <w:t xml:space="preserve">new </w:t>
      </w:r>
      <w:r w:rsidR="00572628" w:rsidRPr="5220C0C8">
        <w:rPr>
          <w:rFonts w:asciiTheme="minorHAnsi" w:hAnsiTheme="minorHAnsi"/>
        </w:rPr>
        <w:t xml:space="preserve">cancer cases (excluding nonmelanoma skin cancer) </w:t>
      </w:r>
      <w:r w:rsidR="00037193" w:rsidRPr="5220C0C8">
        <w:rPr>
          <w:rFonts w:asciiTheme="minorHAnsi" w:hAnsiTheme="minorHAnsi"/>
        </w:rPr>
        <w:t>will increase</w:t>
      </w:r>
      <w:r w:rsidR="00572628" w:rsidRPr="5220C0C8">
        <w:rPr>
          <w:rFonts w:asciiTheme="minorHAnsi" w:hAnsiTheme="minorHAnsi"/>
        </w:rPr>
        <w:t xml:space="preserve"> by </w:t>
      </w:r>
      <w:r w:rsidR="008D099E">
        <w:rPr>
          <w:rFonts w:asciiTheme="minorHAnsi" w:hAnsiTheme="minorHAnsi"/>
        </w:rPr>
        <w:t>approximately</w:t>
      </w:r>
      <w:r w:rsidR="008D099E" w:rsidRPr="5220C0C8">
        <w:rPr>
          <w:rFonts w:asciiTheme="minorHAnsi" w:hAnsiTheme="minorHAnsi"/>
        </w:rPr>
        <w:t xml:space="preserve"> </w:t>
      </w:r>
      <w:r w:rsidR="008D099E" w:rsidRPr="753C9CA5">
        <w:rPr>
          <w:rFonts w:asciiTheme="minorHAnsi" w:hAnsiTheme="minorHAnsi"/>
        </w:rPr>
        <w:t>49</w:t>
      </w:r>
      <w:r w:rsidR="00572628" w:rsidRPr="753C9CA5">
        <w:rPr>
          <w:rFonts w:asciiTheme="minorHAnsi" w:hAnsiTheme="minorHAnsi"/>
        </w:rPr>
        <w:t>%</w:t>
      </w:r>
      <w:r w:rsidR="00980E57" w:rsidRPr="753C9CA5">
        <w:rPr>
          <w:rFonts w:asciiTheme="minorHAnsi" w:hAnsiTheme="minorHAnsi"/>
        </w:rPr>
        <w:t xml:space="preserve"> </w:t>
      </w:r>
      <w:r w:rsidR="00980E57" w:rsidRPr="5220C0C8">
        <w:rPr>
          <w:rFonts w:asciiTheme="minorHAnsi" w:hAnsiTheme="minorHAnsi"/>
        </w:rPr>
        <w:t>between 2015 and 2050</w:t>
      </w:r>
      <w:r w:rsidR="00572628" w:rsidRPr="5220C0C8">
        <w:rPr>
          <w:rFonts w:asciiTheme="minorHAnsi" w:hAnsiTheme="minorHAnsi"/>
        </w:rPr>
        <w:t>, from 1,534,500 to 2,286,300</w:t>
      </w:r>
      <w:r w:rsidR="0093742C" w:rsidRPr="5220C0C8">
        <w:rPr>
          <w:rFonts w:asciiTheme="minorHAnsi" w:hAnsiTheme="minorHAnsi"/>
        </w:rPr>
        <w:t xml:space="preserve">, with </w:t>
      </w:r>
      <w:r w:rsidR="00572628" w:rsidRPr="5220C0C8">
        <w:rPr>
          <w:rFonts w:asciiTheme="minorHAnsi" w:hAnsiTheme="minorHAnsi"/>
        </w:rPr>
        <w:t xml:space="preserve">the largest percentage increases </w:t>
      </w:r>
      <w:r w:rsidR="00D647D4" w:rsidRPr="5220C0C8">
        <w:rPr>
          <w:rFonts w:asciiTheme="minorHAnsi" w:hAnsiTheme="minorHAnsi"/>
        </w:rPr>
        <w:t xml:space="preserve">projected to </w:t>
      </w:r>
      <w:r w:rsidR="00572628" w:rsidRPr="5220C0C8">
        <w:rPr>
          <w:rFonts w:asciiTheme="minorHAnsi" w:hAnsiTheme="minorHAnsi"/>
        </w:rPr>
        <w:t>occur among adults aged</w:t>
      </w:r>
      <w:r w:rsidR="00D647D4" w:rsidRPr="5220C0C8">
        <w:rPr>
          <w:rFonts w:asciiTheme="minorHAnsi" w:hAnsiTheme="minorHAnsi"/>
        </w:rPr>
        <w:t xml:space="preserve"> </w:t>
      </w:r>
      <w:r w:rsidR="00572628" w:rsidRPr="5220C0C8">
        <w:rPr>
          <w:rFonts w:asciiTheme="minorHAnsi" w:hAnsiTheme="minorHAnsi"/>
        </w:rPr>
        <w:t>75 years</w:t>
      </w:r>
      <w:r w:rsidR="00D647D4" w:rsidRPr="5220C0C8">
        <w:rPr>
          <w:rFonts w:asciiTheme="minorHAnsi" w:hAnsiTheme="minorHAnsi"/>
        </w:rPr>
        <w:t xml:space="preserve"> and older</w:t>
      </w:r>
      <w:r w:rsidR="00572628" w:rsidRPr="5220C0C8">
        <w:rPr>
          <w:rFonts w:asciiTheme="minorHAnsi" w:hAnsiTheme="minorHAnsi"/>
        </w:rPr>
        <w:t>.</w:t>
      </w:r>
      <w:r w:rsidR="00660D2D" w:rsidRPr="5220C0C8">
        <w:rPr>
          <w:rStyle w:val="EndnoteReference"/>
          <w:rFonts w:asciiTheme="minorHAnsi" w:hAnsiTheme="minorHAnsi"/>
        </w:rPr>
        <w:endnoteReference w:id="10"/>
      </w:r>
      <w:r w:rsidR="00572628" w:rsidRPr="5220C0C8">
        <w:rPr>
          <w:rFonts w:asciiTheme="minorHAnsi" w:hAnsiTheme="minorHAnsi"/>
        </w:rPr>
        <w:t> </w:t>
      </w:r>
      <w:r w:rsidR="0089604F" w:rsidRPr="5220C0C8">
        <w:rPr>
          <w:rFonts w:asciiTheme="minorHAnsi" w:hAnsiTheme="minorHAnsi"/>
        </w:rPr>
        <w:t xml:space="preserve">The study attributes the increase in </w:t>
      </w:r>
      <w:r w:rsidR="00C05F0D" w:rsidRPr="5220C0C8">
        <w:rPr>
          <w:rFonts w:asciiTheme="minorHAnsi" w:hAnsiTheme="minorHAnsi"/>
        </w:rPr>
        <w:t xml:space="preserve">new cancer cases </w:t>
      </w:r>
      <w:r w:rsidR="0089604F" w:rsidRPr="5220C0C8">
        <w:rPr>
          <w:rFonts w:asciiTheme="minorHAnsi" w:hAnsiTheme="minorHAnsi"/>
        </w:rPr>
        <w:t>to population growth and an aging population.</w:t>
      </w:r>
      <w:r w:rsidR="00F40FF8" w:rsidRPr="5220C0C8">
        <w:rPr>
          <w:rFonts w:asciiTheme="minorHAnsi" w:hAnsiTheme="minorHAnsi"/>
        </w:rPr>
        <w:t xml:space="preserve"> </w:t>
      </w:r>
    </w:p>
    <w:p w14:paraId="0A2EC1BA" w14:textId="77777777" w:rsidR="00BA6CC6" w:rsidRDefault="00BA6CC6" w:rsidP="00BA2054">
      <w:pPr>
        <w:rPr>
          <w:rFonts w:asciiTheme="minorHAnsi" w:hAnsiTheme="minorHAnsi"/>
          <w:szCs w:val="24"/>
        </w:rPr>
      </w:pPr>
    </w:p>
    <w:p w14:paraId="51E1F0F3" w14:textId="4BFA9204" w:rsidR="00BA6CC6" w:rsidRPr="00BA6CC6" w:rsidRDefault="00BA6CC6" w:rsidP="00BA2054">
      <w:pPr>
        <w:rPr>
          <w:rFonts w:asciiTheme="minorHAnsi" w:hAnsiTheme="minorHAnsi"/>
          <w:szCs w:val="24"/>
        </w:rPr>
      </w:pPr>
      <w:r w:rsidRPr="00BA6CC6">
        <w:rPr>
          <w:rFonts w:asciiTheme="minorHAnsi" w:hAnsiTheme="minorHAnsi"/>
          <w:szCs w:val="24"/>
        </w:rPr>
        <w:t>Cancer is the second most common cause of death in the United States overall, and the leading cause of death in people younger than 85 years of age.</w:t>
      </w:r>
      <w:r w:rsidRPr="00BA6CC6">
        <w:rPr>
          <w:rFonts w:asciiTheme="minorHAnsi" w:hAnsiTheme="minorHAnsi"/>
          <w:szCs w:val="24"/>
          <w:vertAlign w:val="superscript"/>
        </w:rPr>
        <w:endnoteReference w:id="11"/>
      </w:r>
      <w:r w:rsidRPr="00BA6CC6">
        <w:rPr>
          <w:rFonts w:asciiTheme="minorHAnsi" w:hAnsiTheme="minorHAnsi"/>
          <w:szCs w:val="24"/>
        </w:rPr>
        <w:t xml:space="preserve"> Cancer mortality has declined since 1991 </w:t>
      </w:r>
      <w:r w:rsidR="00E91DB3">
        <w:rPr>
          <w:rFonts w:asciiTheme="minorHAnsi" w:hAnsiTheme="minorHAnsi"/>
          <w:szCs w:val="24"/>
        </w:rPr>
        <w:t>which studies attribute to</w:t>
      </w:r>
      <w:r w:rsidRPr="00BA6CC6">
        <w:rPr>
          <w:rFonts w:asciiTheme="minorHAnsi" w:hAnsiTheme="minorHAnsi"/>
          <w:szCs w:val="24"/>
        </w:rPr>
        <w:t xml:space="preserve"> earlier detection and diagnosis, advancements in cancer treatment, and reductions in smoking; however, cancer incidence continues to increase in six of the top ten cancers as well as colorectal cancer (CRC) and cervical cancer in young adults.</w:t>
      </w:r>
      <w:r w:rsidRPr="00BA6CC6">
        <w:rPr>
          <w:rFonts w:asciiTheme="minorHAnsi" w:hAnsiTheme="minorHAnsi"/>
          <w:szCs w:val="24"/>
          <w:vertAlign w:val="superscript"/>
        </w:rPr>
        <w:endnoteReference w:id="12"/>
      </w:r>
    </w:p>
    <w:p w14:paraId="38E4903D" w14:textId="77777777" w:rsidR="00BA6CC6" w:rsidRDefault="00BA6CC6" w:rsidP="00BA2054">
      <w:pPr>
        <w:rPr>
          <w:rFonts w:asciiTheme="minorHAnsi" w:hAnsiTheme="minorHAnsi"/>
          <w:szCs w:val="24"/>
        </w:rPr>
      </w:pPr>
    </w:p>
    <w:p w14:paraId="08E561C1" w14:textId="6DFDC2A1" w:rsidR="00087C87" w:rsidRDefault="00C21F01" w:rsidP="00BA2054">
      <w:pPr>
        <w:rPr>
          <w:rFonts w:asciiTheme="minorHAnsi" w:hAnsiTheme="minorHAnsi"/>
        </w:rPr>
      </w:pPr>
      <w:r w:rsidRPr="34CE0AE4">
        <w:rPr>
          <w:rFonts w:asciiTheme="minorHAnsi" w:hAnsiTheme="minorHAnsi"/>
        </w:rPr>
        <w:t xml:space="preserve">The Applicant </w:t>
      </w:r>
      <w:r w:rsidR="00E25760" w:rsidRPr="34CE0AE4">
        <w:rPr>
          <w:rFonts w:asciiTheme="minorHAnsi" w:hAnsiTheme="minorHAnsi"/>
        </w:rPr>
        <w:t>provided data from the</w:t>
      </w:r>
      <w:r w:rsidRPr="34CE0AE4">
        <w:rPr>
          <w:rFonts w:asciiTheme="minorHAnsi" w:hAnsiTheme="minorHAnsi"/>
        </w:rPr>
        <w:t xml:space="preserve"> Massachusetts Cancer Registry (MCR) Incidence and Mortality Statewide Report 2015-2019</w:t>
      </w:r>
      <w:r w:rsidR="00005BC0" w:rsidRPr="34CE0AE4">
        <w:rPr>
          <w:rFonts w:asciiTheme="minorHAnsi" w:hAnsiTheme="minorHAnsi"/>
          <w:vertAlign w:val="superscript"/>
        </w:rPr>
        <w:footnoteReference w:id="27"/>
      </w:r>
      <w:r w:rsidRPr="34CE0AE4">
        <w:rPr>
          <w:rFonts w:asciiTheme="minorHAnsi" w:hAnsiTheme="minorHAnsi"/>
        </w:rPr>
        <w:t>, which summarizes cancer incidence (new cases) and mortality (deaths) for the Commonwealth of Massachusetts</w:t>
      </w:r>
      <w:r w:rsidR="002449DA" w:rsidRPr="34CE0AE4">
        <w:rPr>
          <w:rFonts w:asciiTheme="minorHAnsi" w:hAnsiTheme="minorHAnsi"/>
        </w:rPr>
        <w:t xml:space="preserve">, to show increasing need for the Applicant’s services </w:t>
      </w:r>
      <w:r w:rsidR="00E03A9D">
        <w:rPr>
          <w:rFonts w:asciiTheme="minorHAnsi" w:hAnsiTheme="minorHAnsi"/>
        </w:rPr>
        <w:t>i</w:t>
      </w:r>
      <w:r w:rsidR="002449DA" w:rsidRPr="34CE0AE4">
        <w:rPr>
          <w:rFonts w:asciiTheme="minorHAnsi" w:hAnsiTheme="minorHAnsi"/>
        </w:rPr>
        <w:t>n Massachusetts</w:t>
      </w:r>
      <w:r w:rsidR="00712999" w:rsidRPr="34CE0AE4">
        <w:rPr>
          <w:rFonts w:asciiTheme="minorHAnsi" w:hAnsiTheme="minorHAnsi"/>
        </w:rPr>
        <w:t xml:space="preserve">. </w:t>
      </w:r>
      <w:r w:rsidR="00ED2124">
        <w:rPr>
          <w:rFonts w:asciiTheme="minorHAnsi" w:hAnsiTheme="minorHAnsi"/>
        </w:rPr>
        <w:t xml:space="preserve">Staff </w:t>
      </w:r>
      <w:r w:rsidR="003F1F5B">
        <w:rPr>
          <w:rFonts w:asciiTheme="minorHAnsi" w:hAnsiTheme="minorHAnsi"/>
        </w:rPr>
        <w:t>updated the information provided with</w:t>
      </w:r>
      <w:r w:rsidR="00ED2124">
        <w:rPr>
          <w:rFonts w:asciiTheme="minorHAnsi" w:hAnsiTheme="minorHAnsi"/>
        </w:rPr>
        <w:t xml:space="preserve"> data from the 2016-2020</w:t>
      </w:r>
      <w:r w:rsidR="00F01BC4">
        <w:rPr>
          <w:rFonts w:asciiTheme="minorHAnsi" w:hAnsiTheme="minorHAnsi"/>
        </w:rPr>
        <w:t xml:space="preserve"> report</w:t>
      </w:r>
      <w:r w:rsidR="00ED2124">
        <w:rPr>
          <w:rFonts w:asciiTheme="minorHAnsi" w:hAnsiTheme="minorHAnsi"/>
        </w:rPr>
        <w:t xml:space="preserve">, the most recent report available since Application submission. </w:t>
      </w:r>
      <w:r w:rsidR="00087C87" w:rsidRPr="34CE0AE4">
        <w:rPr>
          <w:rFonts w:asciiTheme="minorHAnsi" w:hAnsiTheme="minorHAnsi"/>
        </w:rPr>
        <w:t>The MCR report states that cancer is the most common cause of death in Massachusetts.</w:t>
      </w:r>
      <w:r w:rsidR="00087C87" w:rsidRPr="34CE0AE4">
        <w:rPr>
          <w:rFonts w:asciiTheme="minorHAnsi" w:hAnsiTheme="minorHAnsi"/>
          <w:vertAlign w:val="superscript"/>
        </w:rPr>
        <w:endnoteReference w:id="13"/>
      </w:r>
      <w:r w:rsidR="00087C87" w:rsidRPr="34CE0AE4">
        <w:rPr>
          <w:rFonts w:asciiTheme="minorHAnsi" w:hAnsiTheme="minorHAnsi"/>
        </w:rPr>
        <w:t xml:space="preserve"> Between 201</w:t>
      </w:r>
      <w:r w:rsidR="00237F65">
        <w:rPr>
          <w:rFonts w:asciiTheme="minorHAnsi" w:hAnsiTheme="minorHAnsi"/>
        </w:rPr>
        <w:t>6</w:t>
      </w:r>
      <w:r w:rsidR="00087C87" w:rsidRPr="34CE0AE4">
        <w:rPr>
          <w:rFonts w:asciiTheme="minorHAnsi" w:hAnsiTheme="minorHAnsi"/>
        </w:rPr>
        <w:t xml:space="preserve"> and 20</w:t>
      </w:r>
      <w:r w:rsidR="00237F65">
        <w:rPr>
          <w:rFonts w:asciiTheme="minorHAnsi" w:hAnsiTheme="minorHAnsi"/>
        </w:rPr>
        <w:t>20</w:t>
      </w:r>
      <w:r w:rsidR="00087C87" w:rsidRPr="34CE0AE4">
        <w:rPr>
          <w:rFonts w:asciiTheme="minorHAnsi" w:hAnsiTheme="minorHAnsi"/>
        </w:rPr>
        <w:t xml:space="preserve">, there were </w:t>
      </w:r>
      <w:r w:rsidR="00BC6C70" w:rsidRPr="00BC6C70">
        <w:rPr>
          <w:rFonts w:asciiTheme="minorHAnsi" w:hAnsiTheme="minorHAnsi"/>
        </w:rPr>
        <w:t>196,399</w:t>
      </w:r>
      <w:r w:rsidR="00F01BC4">
        <w:rPr>
          <w:rFonts w:asciiTheme="minorHAnsi" w:hAnsiTheme="minorHAnsi"/>
        </w:rPr>
        <w:t xml:space="preserve"> </w:t>
      </w:r>
      <w:r w:rsidR="00087C87" w:rsidRPr="34CE0AE4">
        <w:rPr>
          <w:rFonts w:asciiTheme="minorHAnsi" w:hAnsiTheme="minorHAnsi"/>
        </w:rPr>
        <w:t xml:space="preserve">new cancer cases in Massachusetts, an average of </w:t>
      </w:r>
      <w:r w:rsidR="00BC6C70" w:rsidRPr="00BC6C70">
        <w:rPr>
          <w:rFonts w:asciiTheme="minorHAnsi" w:hAnsiTheme="minorHAnsi"/>
        </w:rPr>
        <w:t>39,280</w:t>
      </w:r>
      <w:r w:rsidR="00F01BC4">
        <w:rPr>
          <w:rFonts w:asciiTheme="minorHAnsi" w:hAnsiTheme="minorHAnsi"/>
        </w:rPr>
        <w:t xml:space="preserve"> </w:t>
      </w:r>
      <w:r w:rsidR="00087C87" w:rsidRPr="34CE0AE4">
        <w:rPr>
          <w:rFonts w:asciiTheme="minorHAnsi" w:hAnsiTheme="minorHAnsi"/>
        </w:rPr>
        <w:t>cases per year</w:t>
      </w:r>
      <w:r w:rsidR="00087C87" w:rsidRPr="34CE0AE4">
        <w:rPr>
          <w:rFonts w:asciiTheme="minorHAnsi" w:hAnsiTheme="minorHAnsi"/>
          <w:vertAlign w:val="superscript"/>
        </w:rPr>
        <w:footnoteReference w:id="28"/>
      </w:r>
      <w:r w:rsidR="00087C87" w:rsidRPr="34CE0AE4">
        <w:rPr>
          <w:rFonts w:asciiTheme="minorHAnsi" w:hAnsiTheme="minorHAnsi"/>
        </w:rPr>
        <w:t xml:space="preserve"> and, there were </w:t>
      </w:r>
      <w:r w:rsidR="00C84D15" w:rsidRPr="00C84D15">
        <w:rPr>
          <w:rFonts w:asciiTheme="minorHAnsi" w:hAnsiTheme="minorHAnsi"/>
        </w:rPr>
        <w:t>63,231</w:t>
      </w:r>
      <w:r w:rsidR="00F01BC4">
        <w:rPr>
          <w:rFonts w:asciiTheme="minorHAnsi" w:hAnsiTheme="minorHAnsi"/>
        </w:rPr>
        <w:t xml:space="preserve"> </w:t>
      </w:r>
      <w:r w:rsidR="00087C87" w:rsidRPr="34CE0AE4">
        <w:rPr>
          <w:rFonts w:asciiTheme="minorHAnsi" w:hAnsiTheme="minorHAnsi"/>
        </w:rPr>
        <w:t xml:space="preserve">cancer deaths in Massachusetts, an average of </w:t>
      </w:r>
      <w:r w:rsidR="00C84D15" w:rsidRPr="00C84D15">
        <w:rPr>
          <w:rFonts w:asciiTheme="minorHAnsi" w:hAnsiTheme="minorHAnsi"/>
        </w:rPr>
        <w:t>12,646</w:t>
      </w:r>
      <w:r w:rsidR="00087C87" w:rsidRPr="34CE0AE4">
        <w:rPr>
          <w:rFonts w:asciiTheme="minorHAnsi" w:hAnsiTheme="minorHAnsi"/>
        </w:rPr>
        <w:t xml:space="preserve"> deaths per year.</w:t>
      </w:r>
      <w:r w:rsidR="00087C87" w:rsidRPr="34CE0AE4">
        <w:rPr>
          <w:rFonts w:asciiTheme="minorHAnsi" w:hAnsiTheme="minorHAnsi"/>
          <w:vertAlign w:val="superscript"/>
        </w:rPr>
        <w:footnoteReference w:id="29"/>
      </w:r>
      <w:r w:rsidR="00087C87" w:rsidRPr="34CE0AE4">
        <w:rPr>
          <w:rFonts w:asciiTheme="minorHAnsi" w:hAnsiTheme="minorHAnsi"/>
        </w:rPr>
        <w:t xml:space="preserve"> </w:t>
      </w:r>
      <w:r w:rsidR="002449DA" w:rsidRPr="34CE0AE4">
        <w:rPr>
          <w:rFonts w:asciiTheme="minorHAnsi" w:hAnsiTheme="minorHAnsi"/>
        </w:rPr>
        <w:t>The Applicant also provided incidence data from the National Institutes of Health (NIH) for the period from 2015</w:t>
      </w:r>
      <w:r w:rsidR="00AA0DE2">
        <w:rPr>
          <w:rFonts w:asciiTheme="minorHAnsi" w:hAnsiTheme="minorHAnsi"/>
        </w:rPr>
        <w:t>-</w:t>
      </w:r>
      <w:r w:rsidR="002449DA" w:rsidRPr="34CE0AE4">
        <w:rPr>
          <w:rFonts w:asciiTheme="minorHAnsi" w:hAnsiTheme="minorHAnsi"/>
        </w:rPr>
        <w:t xml:space="preserve">2019. </w:t>
      </w:r>
      <w:r w:rsidR="009C3834">
        <w:rPr>
          <w:rFonts w:asciiTheme="minorHAnsi" w:hAnsiTheme="minorHAnsi"/>
        </w:rPr>
        <w:t>Staff have included the most recent data available from 201</w:t>
      </w:r>
      <w:r w:rsidR="00AF232B">
        <w:rPr>
          <w:rFonts w:asciiTheme="minorHAnsi" w:hAnsiTheme="minorHAnsi"/>
        </w:rPr>
        <w:t>7</w:t>
      </w:r>
      <w:r w:rsidR="009C3834">
        <w:rPr>
          <w:rFonts w:asciiTheme="minorHAnsi" w:hAnsiTheme="minorHAnsi"/>
        </w:rPr>
        <w:t>-202</w:t>
      </w:r>
      <w:r w:rsidR="00AF232B">
        <w:rPr>
          <w:rFonts w:asciiTheme="minorHAnsi" w:hAnsiTheme="minorHAnsi"/>
        </w:rPr>
        <w:t>1</w:t>
      </w:r>
      <w:r w:rsidR="009C3834">
        <w:rPr>
          <w:rFonts w:asciiTheme="minorHAnsi" w:hAnsiTheme="minorHAnsi"/>
        </w:rPr>
        <w:t xml:space="preserve">. </w:t>
      </w:r>
      <w:r w:rsidR="00BA08BC" w:rsidRPr="34CE0AE4">
        <w:rPr>
          <w:rFonts w:asciiTheme="minorHAnsi" w:hAnsiTheme="minorHAnsi"/>
        </w:rPr>
        <w:t>The age-adjusted c</w:t>
      </w:r>
      <w:r w:rsidR="00522F27" w:rsidRPr="34CE0AE4">
        <w:rPr>
          <w:rFonts w:asciiTheme="minorHAnsi" w:hAnsiTheme="minorHAnsi"/>
        </w:rPr>
        <w:t xml:space="preserve">ancer incidence rates in Massachusetts </w:t>
      </w:r>
      <w:r w:rsidR="00BA08BC" w:rsidRPr="34CE0AE4">
        <w:rPr>
          <w:rFonts w:asciiTheme="minorHAnsi" w:hAnsiTheme="minorHAnsi"/>
        </w:rPr>
        <w:t>for all cancer sites based on 201</w:t>
      </w:r>
      <w:r w:rsidR="00AF232B">
        <w:rPr>
          <w:rFonts w:asciiTheme="minorHAnsi" w:hAnsiTheme="minorHAnsi"/>
        </w:rPr>
        <w:t>7</w:t>
      </w:r>
      <w:r w:rsidR="00BA08BC" w:rsidRPr="34CE0AE4">
        <w:rPr>
          <w:rFonts w:asciiTheme="minorHAnsi" w:hAnsiTheme="minorHAnsi"/>
        </w:rPr>
        <w:t>-20</w:t>
      </w:r>
      <w:r w:rsidR="009C3834">
        <w:rPr>
          <w:rFonts w:asciiTheme="minorHAnsi" w:hAnsiTheme="minorHAnsi"/>
        </w:rPr>
        <w:t>2</w:t>
      </w:r>
      <w:r w:rsidR="00AF232B">
        <w:rPr>
          <w:rFonts w:asciiTheme="minorHAnsi" w:hAnsiTheme="minorHAnsi"/>
        </w:rPr>
        <w:t>1</w:t>
      </w:r>
      <w:r w:rsidR="00BA08BC" w:rsidRPr="34CE0AE4">
        <w:rPr>
          <w:rFonts w:asciiTheme="minorHAnsi" w:hAnsiTheme="minorHAnsi"/>
        </w:rPr>
        <w:t xml:space="preserve"> cancer cases is</w:t>
      </w:r>
      <w:r w:rsidR="00522F27" w:rsidRPr="34CE0AE4">
        <w:rPr>
          <w:rFonts w:asciiTheme="minorHAnsi" w:hAnsiTheme="minorHAnsi"/>
        </w:rPr>
        <w:t xml:space="preserve"> </w:t>
      </w:r>
      <w:r w:rsidR="009A79C7" w:rsidRPr="009A79C7">
        <w:rPr>
          <w:rFonts w:asciiTheme="minorHAnsi" w:hAnsiTheme="minorHAnsi"/>
        </w:rPr>
        <w:t>4</w:t>
      </w:r>
      <w:r w:rsidR="00430E56">
        <w:rPr>
          <w:rFonts w:asciiTheme="minorHAnsi" w:hAnsiTheme="minorHAnsi"/>
        </w:rPr>
        <w:t>33</w:t>
      </w:r>
      <w:r w:rsidR="009A79C7" w:rsidRPr="009A79C7">
        <w:rPr>
          <w:rFonts w:asciiTheme="minorHAnsi" w:hAnsiTheme="minorHAnsi"/>
        </w:rPr>
        <w:t>.</w:t>
      </w:r>
      <w:r w:rsidR="00430E56">
        <w:rPr>
          <w:rFonts w:asciiTheme="minorHAnsi" w:hAnsiTheme="minorHAnsi"/>
        </w:rPr>
        <w:t>2</w:t>
      </w:r>
      <w:r w:rsidR="00F01BC4">
        <w:rPr>
          <w:rFonts w:asciiTheme="minorHAnsi" w:hAnsiTheme="minorHAnsi"/>
        </w:rPr>
        <w:t xml:space="preserve"> </w:t>
      </w:r>
      <w:r w:rsidR="00C10D1E" w:rsidRPr="34CE0AE4">
        <w:rPr>
          <w:rFonts w:asciiTheme="minorHAnsi" w:hAnsiTheme="minorHAnsi"/>
        </w:rPr>
        <w:t>cases per 100,</w:t>
      </w:r>
      <w:r w:rsidR="00F01BC4">
        <w:rPr>
          <w:rFonts w:asciiTheme="minorHAnsi" w:hAnsiTheme="minorHAnsi"/>
        </w:rPr>
        <w:t>0</w:t>
      </w:r>
      <w:r w:rsidR="00C10D1E" w:rsidRPr="34CE0AE4">
        <w:rPr>
          <w:rFonts w:asciiTheme="minorHAnsi" w:hAnsiTheme="minorHAnsi"/>
        </w:rPr>
        <w:t>00</w:t>
      </w:r>
      <w:r w:rsidR="00BA08BC" w:rsidRPr="34CE0AE4">
        <w:rPr>
          <w:rFonts w:asciiTheme="minorHAnsi" w:hAnsiTheme="minorHAnsi"/>
        </w:rPr>
        <w:t xml:space="preserve">, </w:t>
      </w:r>
      <w:r w:rsidR="00C10D1E" w:rsidRPr="34CE0AE4">
        <w:rPr>
          <w:rFonts w:asciiTheme="minorHAnsi" w:hAnsiTheme="minorHAnsi"/>
        </w:rPr>
        <w:t xml:space="preserve">which is </w:t>
      </w:r>
      <w:r w:rsidR="00AF02C6">
        <w:rPr>
          <w:rFonts w:asciiTheme="minorHAnsi" w:hAnsiTheme="minorHAnsi"/>
        </w:rPr>
        <w:t>lower</w:t>
      </w:r>
      <w:r w:rsidR="00AF02C6" w:rsidRPr="34CE0AE4">
        <w:rPr>
          <w:rFonts w:asciiTheme="minorHAnsi" w:hAnsiTheme="minorHAnsi"/>
        </w:rPr>
        <w:t xml:space="preserve"> </w:t>
      </w:r>
      <w:r w:rsidR="00522F27" w:rsidRPr="34CE0AE4">
        <w:rPr>
          <w:rFonts w:asciiTheme="minorHAnsi" w:hAnsiTheme="minorHAnsi"/>
        </w:rPr>
        <w:t xml:space="preserve">than </w:t>
      </w:r>
      <w:r w:rsidR="00BA08BC" w:rsidRPr="34CE0AE4">
        <w:rPr>
          <w:rFonts w:asciiTheme="minorHAnsi" w:hAnsiTheme="minorHAnsi"/>
        </w:rPr>
        <w:t>U.S.</w:t>
      </w:r>
      <w:r w:rsidR="00522F27" w:rsidRPr="34CE0AE4">
        <w:rPr>
          <w:rFonts w:asciiTheme="minorHAnsi" w:hAnsiTheme="minorHAnsi"/>
        </w:rPr>
        <w:t xml:space="preserve"> rate</w:t>
      </w:r>
      <w:r w:rsidR="00BA08BC" w:rsidRPr="34CE0AE4">
        <w:rPr>
          <w:rFonts w:asciiTheme="minorHAnsi" w:hAnsiTheme="minorHAnsi"/>
        </w:rPr>
        <w:t xml:space="preserve"> of 4</w:t>
      </w:r>
      <w:r w:rsidR="00C722CA">
        <w:rPr>
          <w:rFonts w:asciiTheme="minorHAnsi" w:hAnsiTheme="minorHAnsi"/>
        </w:rPr>
        <w:t>4</w:t>
      </w:r>
      <w:r w:rsidR="00AF02C6">
        <w:rPr>
          <w:rFonts w:asciiTheme="minorHAnsi" w:hAnsiTheme="minorHAnsi"/>
        </w:rPr>
        <w:t>4</w:t>
      </w:r>
      <w:r w:rsidR="00BA08BC" w:rsidRPr="34CE0AE4">
        <w:rPr>
          <w:rFonts w:asciiTheme="minorHAnsi" w:hAnsiTheme="minorHAnsi"/>
        </w:rPr>
        <w:t>.</w:t>
      </w:r>
      <w:r w:rsidR="00AF02C6">
        <w:rPr>
          <w:rFonts w:asciiTheme="minorHAnsi" w:hAnsiTheme="minorHAnsi"/>
        </w:rPr>
        <w:t>4</w:t>
      </w:r>
      <w:r w:rsidR="00BA08BC" w:rsidRPr="34CE0AE4">
        <w:rPr>
          <w:rFonts w:asciiTheme="minorHAnsi" w:hAnsiTheme="minorHAnsi"/>
        </w:rPr>
        <w:t xml:space="preserve"> cases per 100,000.</w:t>
      </w:r>
      <w:r w:rsidR="00BA08BC" w:rsidRPr="34CE0AE4">
        <w:rPr>
          <w:rFonts w:asciiTheme="minorHAnsi" w:hAnsiTheme="minorHAnsi"/>
          <w:vertAlign w:val="superscript"/>
        </w:rPr>
        <w:endnoteReference w:id="14"/>
      </w:r>
      <w:r w:rsidR="00BA08BC" w:rsidRPr="34CE0AE4">
        <w:rPr>
          <w:rFonts w:asciiTheme="minorHAnsi" w:hAnsiTheme="minorHAnsi"/>
        </w:rPr>
        <w:t xml:space="preserve"> </w:t>
      </w:r>
    </w:p>
    <w:p w14:paraId="382AE389" w14:textId="77777777" w:rsidR="00087C87" w:rsidRDefault="00087C87" w:rsidP="00BA2054">
      <w:pPr>
        <w:rPr>
          <w:rFonts w:asciiTheme="minorHAnsi" w:hAnsiTheme="minorHAnsi"/>
          <w:szCs w:val="24"/>
        </w:rPr>
      </w:pPr>
    </w:p>
    <w:p w14:paraId="5EA6C0DE" w14:textId="106089BC" w:rsidR="001C15DB" w:rsidRDefault="00122D6A" w:rsidP="00BA2054">
      <w:pPr>
        <w:rPr>
          <w:rFonts w:asciiTheme="minorHAnsi" w:hAnsiTheme="minorHAnsi"/>
          <w:szCs w:val="24"/>
        </w:rPr>
      </w:pPr>
      <w:r>
        <w:rPr>
          <w:rFonts w:asciiTheme="minorHAnsi" w:hAnsiTheme="minorHAnsi"/>
          <w:szCs w:val="24"/>
        </w:rPr>
        <w:t xml:space="preserve">The Applicant states that increasing cancer incidence in younger populations will also contribute to need for the Proposed Project. Cancer normally arises in older adults aged 50 and older, however, </w:t>
      </w:r>
      <w:r w:rsidR="00985A54">
        <w:rPr>
          <w:rFonts w:asciiTheme="minorHAnsi" w:hAnsiTheme="minorHAnsi"/>
          <w:szCs w:val="24"/>
        </w:rPr>
        <w:t xml:space="preserve">numerous studies have </w:t>
      </w:r>
      <w:r w:rsidR="00AB5E68">
        <w:rPr>
          <w:rFonts w:asciiTheme="minorHAnsi" w:hAnsiTheme="minorHAnsi"/>
          <w:szCs w:val="24"/>
        </w:rPr>
        <w:t>reported</w:t>
      </w:r>
      <w:r>
        <w:rPr>
          <w:rFonts w:asciiTheme="minorHAnsi" w:hAnsiTheme="minorHAnsi"/>
          <w:szCs w:val="24"/>
        </w:rPr>
        <w:t xml:space="preserve"> an increase in the incidence of cancer of various organs in patients younger than 50 years old, also known as early-onset cancer.</w:t>
      </w:r>
      <w:r>
        <w:rPr>
          <w:rStyle w:val="EndnoteReference"/>
          <w:rFonts w:asciiTheme="minorHAnsi" w:hAnsiTheme="minorHAnsi"/>
          <w:szCs w:val="24"/>
        </w:rPr>
        <w:endnoteReference w:id="15"/>
      </w:r>
      <w:r>
        <w:rPr>
          <w:rFonts w:asciiTheme="minorHAnsi" w:hAnsiTheme="minorHAnsi"/>
          <w:szCs w:val="24"/>
        </w:rPr>
        <w:t xml:space="preserve"> </w:t>
      </w:r>
      <w:r w:rsidR="0072473C">
        <w:rPr>
          <w:rFonts w:asciiTheme="minorHAnsi" w:hAnsiTheme="minorHAnsi"/>
          <w:szCs w:val="24"/>
        </w:rPr>
        <w:t xml:space="preserve">The Applicant provided the example of </w:t>
      </w:r>
      <w:r w:rsidR="001C2AB5" w:rsidRPr="001C2AB5">
        <w:rPr>
          <w:rFonts w:asciiTheme="minorHAnsi" w:hAnsiTheme="minorHAnsi"/>
          <w:szCs w:val="24"/>
        </w:rPr>
        <w:t>CRC, once the fourth leading cause of cancer death among men and women younger than 50 years old, now the leading cause for men and second leading cause for women, due to increasing incidence of early-onset CRC.</w:t>
      </w:r>
      <w:r w:rsidR="001C2AB5" w:rsidRPr="001C2AB5">
        <w:rPr>
          <w:rFonts w:asciiTheme="minorHAnsi" w:hAnsiTheme="minorHAnsi"/>
          <w:szCs w:val="24"/>
          <w:vertAlign w:val="superscript"/>
        </w:rPr>
        <w:endnoteReference w:id="16"/>
      </w:r>
      <w:r w:rsidR="00B83131">
        <w:rPr>
          <w:rFonts w:asciiTheme="minorHAnsi" w:hAnsiTheme="minorHAnsi"/>
          <w:szCs w:val="24"/>
        </w:rPr>
        <w:t xml:space="preserve"> </w:t>
      </w:r>
    </w:p>
    <w:p w14:paraId="7FE7543E" w14:textId="77777777" w:rsidR="001C15DB" w:rsidRDefault="001C15DB" w:rsidP="00BA2054">
      <w:pPr>
        <w:rPr>
          <w:rFonts w:asciiTheme="minorHAnsi" w:hAnsiTheme="minorHAnsi"/>
          <w:szCs w:val="24"/>
        </w:rPr>
      </w:pPr>
    </w:p>
    <w:p w14:paraId="5B791A11" w14:textId="0DA55C50" w:rsidR="009B6B04" w:rsidRDefault="00D745AD" w:rsidP="00BA2054">
      <w:pPr>
        <w:rPr>
          <w:rFonts w:asciiTheme="minorHAnsi" w:hAnsiTheme="minorHAnsi"/>
          <w:szCs w:val="24"/>
        </w:rPr>
      </w:pPr>
      <w:r>
        <w:rPr>
          <w:rFonts w:asciiTheme="minorHAnsi" w:hAnsiTheme="minorHAnsi"/>
          <w:szCs w:val="24"/>
        </w:rPr>
        <w:lastRenderedPageBreak/>
        <w:t xml:space="preserve">The Applicant states that </w:t>
      </w:r>
      <w:r w:rsidR="002B4AB3">
        <w:rPr>
          <w:rFonts w:asciiTheme="minorHAnsi" w:hAnsiTheme="minorHAnsi"/>
          <w:szCs w:val="24"/>
        </w:rPr>
        <w:t xml:space="preserve">increasing incidence of cancer in young adults creates need for treatment, which </w:t>
      </w:r>
      <w:r w:rsidR="00B30030">
        <w:rPr>
          <w:rFonts w:asciiTheme="minorHAnsi" w:hAnsiTheme="minorHAnsi"/>
          <w:szCs w:val="24"/>
        </w:rPr>
        <w:t xml:space="preserve">in some cases will include hospitalization. </w:t>
      </w:r>
      <w:r w:rsidR="00D0199E">
        <w:rPr>
          <w:rFonts w:asciiTheme="minorHAnsi" w:hAnsiTheme="minorHAnsi"/>
          <w:szCs w:val="24"/>
        </w:rPr>
        <w:t xml:space="preserve">The Applicant states further that </w:t>
      </w:r>
      <w:r>
        <w:rPr>
          <w:rFonts w:asciiTheme="minorHAnsi" w:hAnsiTheme="minorHAnsi"/>
          <w:szCs w:val="24"/>
        </w:rPr>
        <w:t>y</w:t>
      </w:r>
      <w:r w:rsidR="0034010A" w:rsidRPr="0034010A">
        <w:rPr>
          <w:rFonts w:asciiTheme="minorHAnsi" w:hAnsiTheme="minorHAnsi"/>
          <w:szCs w:val="24"/>
        </w:rPr>
        <w:t>oung adults diagnosed with cancer are more likely to have aggressive types of cancers and are more likely to be diagnosed at an advanced stage</w:t>
      </w:r>
      <w:r w:rsidR="0034010A">
        <w:rPr>
          <w:rFonts w:asciiTheme="minorHAnsi" w:hAnsiTheme="minorHAnsi"/>
          <w:szCs w:val="24"/>
        </w:rPr>
        <w:t xml:space="preserve">, and therefore </w:t>
      </w:r>
      <w:r w:rsidR="00E104FB">
        <w:rPr>
          <w:rFonts w:asciiTheme="minorHAnsi" w:hAnsiTheme="minorHAnsi"/>
          <w:szCs w:val="24"/>
        </w:rPr>
        <w:t>have an increased need for advanced therapy</w:t>
      </w:r>
      <w:r w:rsidR="00F70966">
        <w:rPr>
          <w:rFonts w:asciiTheme="minorHAnsi" w:hAnsiTheme="minorHAnsi"/>
          <w:szCs w:val="24"/>
        </w:rPr>
        <w:t xml:space="preserve"> which increase</w:t>
      </w:r>
      <w:r w:rsidR="00AB5E68">
        <w:rPr>
          <w:rFonts w:asciiTheme="minorHAnsi" w:hAnsiTheme="minorHAnsi"/>
          <w:szCs w:val="24"/>
        </w:rPr>
        <w:t>s</w:t>
      </w:r>
      <w:r w:rsidR="00F70966">
        <w:rPr>
          <w:rFonts w:asciiTheme="minorHAnsi" w:hAnsiTheme="minorHAnsi"/>
          <w:szCs w:val="24"/>
        </w:rPr>
        <w:t xml:space="preserve"> risk of complications and potential for hospitalization</w:t>
      </w:r>
      <w:r w:rsidR="00FE1D81">
        <w:rPr>
          <w:rFonts w:asciiTheme="minorHAnsi" w:hAnsiTheme="minorHAnsi"/>
          <w:szCs w:val="24"/>
        </w:rPr>
        <w:t>. Additionally,</w:t>
      </w:r>
      <w:r w:rsidR="003C76AD">
        <w:rPr>
          <w:rFonts w:asciiTheme="minorHAnsi" w:hAnsiTheme="minorHAnsi"/>
          <w:szCs w:val="24"/>
        </w:rPr>
        <w:t xml:space="preserve"> younger patients receive more surgical interventions, which </w:t>
      </w:r>
      <w:r w:rsidR="00EE6D05">
        <w:rPr>
          <w:rFonts w:asciiTheme="minorHAnsi" w:hAnsiTheme="minorHAnsi"/>
          <w:szCs w:val="24"/>
        </w:rPr>
        <w:t xml:space="preserve">also </w:t>
      </w:r>
      <w:r w:rsidR="003C76AD">
        <w:rPr>
          <w:rFonts w:asciiTheme="minorHAnsi" w:hAnsiTheme="minorHAnsi"/>
          <w:szCs w:val="24"/>
        </w:rPr>
        <w:t xml:space="preserve">require </w:t>
      </w:r>
      <w:r w:rsidR="00EE6D05">
        <w:rPr>
          <w:rFonts w:asciiTheme="minorHAnsi" w:hAnsiTheme="minorHAnsi"/>
          <w:szCs w:val="24"/>
        </w:rPr>
        <w:t>i</w:t>
      </w:r>
      <w:r w:rsidR="003C76AD">
        <w:rPr>
          <w:rFonts w:asciiTheme="minorHAnsi" w:hAnsiTheme="minorHAnsi"/>
          <w:szCs w:val="24"/>
        </w:rPr>
        <w:t>npatient beds</w:t>
      </w:r>
      <w:r w:rsidR="00B23678">
        <w:rPr>
          <w:rFonts w:asciiTheme="minorHAnsi" w:hAnsiTheme="minorHAnsi"/>
          <w:szCs w:val="24"/>
        </w:rPr>
        <w:t xml:space="preserve"> and may have complications requiring hospitalization</w:t>
      </w:r>
      <w:r w:rsidR="003C76AD">
        <w:rPr>
          <w:rFonts w:asciiTheme="minorHAnsi" w:hAnsiTheme="minorHAnsi"/>
          <w:szCs w:val="24"/>
        </w:rPr>
        <w:t xml:space="preserve">. </w:t>
      </w:r>
      <w:r w:rsidR="009912F1">
        <w:rPr>
          <w:rFonts w:asciiTheme="minorHAnsi" w:hAnsiTheme="minorHAnsi"/>
          <w:szCs w:val="24"/>
        </w:rPr>
        <w:t>Th</w:t>
      </w:r>
      <w:r w:rsidR="004617E4">
        <w:rPr>
          <w:rFonts w:asciiTheme="minorHAnsi" w:hAnsiTheme="minorHAnsi"/>
          <w:szCs w:val="24"/>
        </w:rPr>
        <w:t xml:space="preserve">e Applicant states that </w:t>
      </w:r>
      <w:r w:rsidR="00A509BA">
        <w:rPr>
          <w:rFonts w:asciiTheme="minorHAnsi" w:hAnsiTheme="minorHAnsi"/>
          <w:szCs w:val="24"/>
        </w:rPr>
        <w:t xml:space="preserve">the increased likelihood of </w:t>
      </w:r>
      <w:r w:rsidR="004617E4">
        <w:rPr>
          <w:rFonts w:asciiTheme="minorHAnsi" w:hAnsiTheme="minorHAnsi"/>
          <w:szCs w:val="24"/>
        </w:rPr>
        <w:t xml:space="preserve">young patients </w:t>
      </w:r>
      <w:r w:rsidR="00A509BA">
        <w:rPr>
          <w:rFonts w:asciiTheme="minorHAnsi" w:hAnsiTheme="minorHAnsi"/>
          <w:szCs w:val="24"/>
        </w:rPr>
        <w:t>in</w:t>
      </w:r>
      <w:r w:rsidR="004617E4">
        <w:rPr>
          <w:rFonts w:asciiTheme="minorHAnsi" w:hAnsiTheme="minorHAnsi"/>
          <w:szCs w:val="24"/>
        </w:rPr>
        <w:t xml:space="preserve"> </w:t>
      </w:r>
      <w:r w:rsidR="00A509BA">
        <w:rPr>
          <w:rFonts w:asciiTheme="minorHAnsi" w:hAnsiTheme="minorHAnsi"/>
          <w:szCs w:val="24"/>
        </w:rPr>
        <w:t>clinical</w:t>
      </w:r>
      <w:r w:rsidR="004617E4">
        <w:rPr>
          <w:rFonts w:asciiTheme="minorHAnsi" w:hAnsiTheme="minorHAnsi"/>
          <w:szCs w:val="24"/>
        </w:rPr>
        <w:t xml:space="preserve"> trials, </w:t>
      </w:r>
      <w:r w:rsidR="00A509BA">
        <w:rPr>
          <w:rFonts w:asciiTheme="minorHAnsi" w:hAnsiTheme="minorHAnsi"/>
          <w:szCs w:val="24"/>
        </w:rPr>
        <w:t>and</w:t>
      </w:r>
      <w:r w:rsidR="004617E4">
        <w:rPr>
          <w:rFonts w:asciiTheme="minorHAnsi" w:hAnsiTheme="minorHAnsi"/>
          <w:szCs w:val="24"/>
        </w:rPr>
        <w:t xml:space="preserve"> </w:t>
      </w:r>
      <w:r w:rsidR="008B6672">
        <w:rPr>
          <w:rFonts w:asciiTheme="minorHAnsi" w:hAnsiTheme="minorHAnsi"/>
          <w:szCs w:val="24"/>
        </w:rPr>
        <w:t>patients with metastatic cancer living longe</w:t>
      </w:r>
      <w:r w:rsidR="00F01B45">
        <w:rPr>
          <w:rFonts w:asciiTheme="minorHAnsi" w:hAnsiTheme="minorHAnsi"/>
          <w:szCs w:val="24"/>
        </w:rPr>
        <w:t>r</w:t>
      </w:r>
      <w:r w:rsidR="004229FB">
        <w:rPr>
          <w:rFonts w:asciiTheme="minorHAnsi" w:hAnsiTheme="minorHAnsi"/>
          <w:szCs w:val="24"/>
        </w:rPr>
        <w:t xml:space="preserve">, </w:t>
      </w:r>
      <w:r w:rsidR="008B6672">
        <w:rPr>
          <w:rFonts w:asciiTheme="minorHAnsi" w:hAnsiTheme="minorHAnsi"/>
          <w:szCs w:val="24"/>
        </w:rPr>
        <w:t>will</w:t>
      </w:r>
      <w:r w:rsidR="005E2DB8">
        <w:rPr>
          <w:rFonts w:asciiTheme="minorHAnsi" w:hAnsiTheme="minorHAnsi"/>
          <w:szCs w:val="24"/>
        </w:rPr>
        <w:t xml:space="preserve"> further</w:t>
      </w:r>
      <w:r w:rsidR="008B6672">
        <w:rPr>
          <w:rFonts w:asciiTheme="minorHAnsi" w:hAnsiTheme="minorHAnsi"/>
          <w:szCs w:val="24"/>
        </w:rPr>
        <w:t xml:space="preserve"> contribute to </w:t>
      </w:r>
      <w:r w:rsidR="005E2DB8">
        <w:rPr>
          <w:rFonts w:asciiTheme="minorHAnsi" w:hAnsiTheme="minorHAnsi"/>
          <w:szCs w:val="24"/>
        </w:rPr>
        <w:t xml:space="preserve">increasing </w:t>
      </w:r>
      <w:r w:rsidR="008B6672">
        <w:rPr>
          <w:rFonts w:asciiTheme="minorHAnsi" w:hAnsiTheme="minorHAnsi"/>
          <w:szCs w:val="24"/>
        </w:rPr>
        <w:t xml:space="preserve">need for additional inpatient capacity. </w:t>
      </w:r>
    </w:p>
    <w:p w14:paraId="62199115" w14:textId="77777777" w:rsidR="00F231F3" w:rsidRDefault="00F231F3" w:rsidP="00BA2054">
      <w:pPr>
        <w:rPr>
          <w:rFonts w:asciiTheme="minorHAnsi" w:hAnsiTheme="minorHAnsi"/>
          <w:szCs w:val="24"/>
        </w:rPr>
      </w:pPr>
    </w:p>
    <w:p w14:paraId="0ABC1228" w14:textId="77777777" w:rsidR="00BC7E8E" w:rsidRDefault="00BC7E8E" w:rsidP="00BA2054">
      <w:pPr>
        <w:rPr>
          <w:rFonts w:asciiTheme="minorHAnsi" w:hAnsiTheme="minorHAnsi"/>
          <w:szCs w:val="24"/>
        </w:rPr>
      </w:pPr>
    </w:p>
    <w:p w14:paraId="478C841A" w14:textId="018691BC" w:rsidR="00C21F01" w:rsidRPr="001E568B" w:rsidRDefault="003C65A4" w:rsidP="00BA2054">
      <w:pPr>
        <w:rPr>
          <w:rFonts w:asciiTheme="minorHAnsi" w:hAnsiTheme="minorHAnsi"/>
          <w:i/>
          <w:iCs/>
          <w:szCs w:val="24"/>
          <w:u w:val="single"/>
        </w:rPr>
      </w:pPr>
      <w:r>
        <w:rPr>
          <w:rFonts w:asciiTheme="minorHAnsi" w:hAnsiTheme="minorHAnsi"/>
          <w:i/>
          <w:iCs/>
          <w:szCs w:val="24"/>
          <w:u w:val="single"/>
        </w:rPr>
        <w:t>Cancer Disparities</w:t>
      </w:r>
    </w:p>
    <w:p w14:paraId="46D8C007" w14:textId="186FC865" w:rsidR="00122D6A" w:rsidRDefault="026FC878" w:rsidP="67771AE9">
      <w:pPr>
        <w:rPr>
          <w:rFonts w:asciiTheme="minorHAnsi" w:hAnsiTheme="minorHAnsi"/>
          <w:vertAlign w:val="superscript"/>
        </w:rPr>
      </w:pPr>
      <w:r w:rsidRPr="67771AE9">
        <w:rPr>
          <w:rFonts w:asciiTheme="minorHAnsi" w:hAnsiTheme="minorHAnsi"/>
        </w:rPr>
        <w:t>The Applicant</w:t>
      </w:r>
      <w:r w:rsidR="00FA1458">
        <w:rPr>
          <w:rFonts w:asciiTheme="minorHAnsi" w:hAnsiTheme="minorHAnsi"/>
        </w:rPr>
        <w:t xml:space="preserve"> cited its</w:t>
      </w:r>
      <w:r w:rsidR="17CC61B5" w:rsidRPr="67771AE9">
        <w:rPr>
          <w:rFonts w:asciiTheme="minorHAnsi" w:hAnsiTheme="minorHAnsi"/>
        </w:rPr>
        <w:t xml:space="preserve"> 2022 </w:t>
      </w:r>
      <w:r w:rsidR="001A5025">
        <w:rPr>
          <w:rFonts w:asciiTheme="minorHAnsi" w:hAnsiTheme="minorHAnsi"/>
        </w:rPr>
        <w:t xml:space="preserve">Cancer-Focused </w:t>
      </w:r>
      <w:r w:rsidRPr="67771AE9">
        <w:rPr>
          <w:rFonts w:asciiTheme="minorHAnsi" w:hAnsiTheme="minorHAnsi"/>
        </w:rPr>
        <w:t xml:space="preserve">Community Health Needs Assessment (CHNA) </w:t>
      </w:r>
      <w:r w:rsidR="00FA1458">
        <w:rPr>
          <w:rFonts w:asciiTheme="minorHAnsi" w:hAnsiTheme="minorHAnsi"/>
        </w:rPr>
        <w:t xml:space="preserve">which </w:t>
      </w:r>
      <w:r w:rsidR="17CC61B5" w:rsidRPr="67771AE9">
        <w:rPr>
          <w:rFonts w:asciiTheme="minorHAnsi" w:hAnsiTheme="minorHAnsi"/>
        </w:rPr>
        <w:t>documents</w:t>
      </w:r>
      <w:r w:rsidRPr="67771AE9">
        <w:rPr>
          <w:rFonts w:asciiTheme="minorHAnsi" w:hAnsiTheme="minorHAnsi"/>
        </w:rPr>
        <w:t xml:space="preserve"> disparities in cancer </w:t>
      </w:r>
      <w:r w:rsidR="7287AE2E" w:rsidRPr="67771AE9">
        <w:rPr>
          <w:rFonts w:asciiTheme="minorHAnsi" w:hAnsiTheme="minorHAnsi"/>
        </w:rPr>
        <w:t xml:space="preserve">incidence, </w:t>
      </w:r>
      <w:r w:rsidRPr="67771AE9">
        <w:rPr>
          <w:rFonts w:asciiTheme="minorHAnsi" w:hAnsiTheme="minorHAnsi"/>
        </w:rPr>
        <w:t>mortality and screening</w:t>
      </w:r>
      <w:r w:rsidR="54D1B674" w:rsidRPr="67771AE9">
        <w:rPr>
          <w:rFonts w:asciiTheme="minorHAnsi" w:hAnsiTheme="minorHAnsi"/>
        </w:rPr>
        <w:t xml:space="preserve"> rates.</w:t>
      </w:r>
      <w:r w:rsidR="000767BC" w:rsidRPr="67771AE9">
        <w:rPr>
          <w:rFonts w:asciiTheme="minorHAnsi" w:hAnsiTheme="minorHAnsi"/>
          <w:vertAlign w:val="superscript"/>
        </w:rPr>
        <w:footnoteReference w:id="30"/>
      </w:r>
      <w:r w:rsidR="7CD119C4" w:rsidRPr="67771AE9">
        <w:rPr>
          <w:rFonts w:asciiTheme="minorHAnsi" w:hAnsiTheme="minorHAnsi"/>
          <w:vertAlign w:val="superscript"/>
        </w:rPr>
        <w:t>,</w:t>
      </w:r>
      <w:r w:rsidR="00846C66" w:rsidRPr="67771AE9">
        <w:rPr>
          <w:rStyle w:val="EndnoteReference"/>
          <w:rFonts w:asciiTheme="minorHAnsi" w:hAnsiTheme="minorHAnsi"/>
        </w:rPr>
        <w:endnoteReference w:id="17"/>
      </w:r>
      <w:r w:rsidR="351F1F82" w:rsidRPr="67771AE9">
        <w:rPr>
          <w:rFonts w:asciiTheme="minorHAnsi" w:hAnsiTheme="minorHAnsi"/>
        </w:rPr>
        <w:t xml:space="preserve"> </w:t>
      </w:r>
      <w:r w:rsidRPr="67771AE9">
        <w:rPr>
          <w:rFonts w:asciiTheme="minorHAnsi" w:hAnsiTheme="minorHAnsi"/>
        </w:rPr>
        <w:t>The</w:t>
      </w:r>
      <w:r w:rsidR="005344E7">
        <w:rPr>
          <w:rFonts w:asciiTheme="minorHAnsi" w:hAnsiTheme="minorHAnsi"/>
        </w:rPr>
        <w:t xml:space="preserve"> Applicant states that the</w:t>
      </w:r>
      <w:r w:rsidRPr="67771AE9">
        <w:rPr>
          <w:rFonts w:asciiTheme="minorHAnsi" w:hAnsiTheme="minorHAnsi"/>
        </w:rPr>
        <w:t xml:space="preserve"> </w:t>
      </w:r>
      <w:r w:rsidR="008E31AE">
        <w:rPr>
          <w:rFonts w:asciiTheme="minorHAnsi" w:hAnsiTheme="minorHAnsi"/>
        </w:rPr>
        <w:t>C</w:t>
      </w:r>
      <w:r w:rsidR="000F78B8">
        <w:rPr>
          <w:rFonts w:asciiTheme="minorHAnsi" w:hAnsiTheme="minorHAnsi"/>
        </w:rPr>
        <w:t>a</w:t>
      </w:r>
      <w:r w:rsidR="008E31AE">
        <w:rPr>
          <w:rFonts w:asciiTheme="minorHAnsi" w:hAnsiTheme="minorHAnsi"/>
        </w:rPr>
        <w:t xml:space="preserve">ncer-Focused </w:t>
      </w:r>
      <w:r w:rsidRPr="67771AE9">
        <w:rPr>
          <w:rFonts w:asciiTheme="minorHAnsi" w:hAnsiTheme="minorHAnsi"/>
        </w:rPr>
        <w:t>CHNA shows that Black residents</w:t>
      </w:r>
      <w:r w:rsidR="17CC61B5" w:rsidRPr="67771AE9">
        <w:rPr>
          <w:rFonts w:asciiTheme="minorHAnsi" w:hAnsiTheme="minorHAnsi"/>
        </w:rPr>
        <w:t xml:space="preserve"> overall and Black males,</w:t>
      </w:r>
      <w:r w:rsidRPr="67771AE9">
        <w:rPr>
          <w:rFonts w:asciiTheme="minorHAnsi" w:hAnsiTheme="minorHAnsi"/>
        </w:rPr>
        <w:t xml:space="preserve"> in Boston </w:t>
      </w:r>
      <w:r w:rsidR="17CC61B5" w:rsidRPr="67771AE9">
        <w:rPr>
          <w:rFonts w:asciiTheme="minorHAnsi" w:hAnsiTheme="minorHAnsi"/>
        </w:rPr>
        <w:t>had statistically significant higher</w:t>
      </w:r>
      <w:r w:rsidRPr="67771AE9">
        <w:rPr>
          <w:rFonts w:asciiTheme="minorHAnsi" w:hAnsiTheme="minorHAnsi"/>
        </w:rPr>
        <w:t xml:space="preserve"> rates </w:t>
      </w:r>
      <w:r w:rsidR="685E8B28" w:rsidRPr="67771AE9">
        <w:rPr>
          <w:rFonts w:asciiTheme="minorHAnsi" w:hAnsiTheme="minorHAnsi"/>
        </w:rPr>
        <w:t xml:space="preserve">of cancer incidence and </w:t>
      </w:r>
      <w:r w:rsidR="0065506A">
        <w:rPr>
          <w:rFonts w:asciiTheme="minorHAnsi" w:hAnsiTheme="minorHAnsi"/>
        </w:rPr>
        <w:t xml:space="preserve">cancer </w:t>
      </w:r>
      <w:r w:rsidR="685E8B28" w:rsidRPr="67771AE9">
        <w:rPr>
          <w:rFonts w:asciiTheme="minorHAnsi" w:hAnsiTheme="minorHAnsi"/>
        </w:rPr>
        <w:t xml:space="preserve">mortality </w:t>
      </w:r>
      <w:r w:rsidR="17CC61B5" w:rsidRPr="67771AE9">
        <w:rPr>
          <w:rFonts w:asciiTheme="minorHAnsi" w:hAnsiTheme="minorHAnsi"/>
        </w:rPr>
        <w:t>compared to their</w:t>
      </w:r>
      <w:r w:rsidRPr="67771AE9">
        <w:rPr>
          <w:rFonts w:asciiTheme="minorHAnsi" w:hAnsiTheme="minorHAnsi"/>
        </w:rPr>
        <w:t xml:space="preserve"> White </w:t>
      </w:r>
      <w:r w:rsidR="17CC61B5" w:rsidRPr="67771AE9">
        <w:rPr>
          <w:rFonts w:asciiTheme="minorHAnsi" w:hAnsiTheme="minorHAnsi"/>
        </w:rPr>
        <w:t xml:space="preserve">counterparts. In addition, </w:t>
      </w:r>
      <w:r w:rsidRPr="67771AE9">
        <w:rPr>
          <w:rFonts w:asciiTheme="minorHAnsi" w:hAnsiTheme="minorHAnsi"/>
        </w:rPr>
        <w:t>there are disparities in cancer screening</w:t>
      </w:r>
      <w:r w:rsidR="17CC61B5" w:rsidRPr="67771AE9">
        <w:rPr>
          <w:rFonts w:asciiTheme="minorHAnsi" w:hAnsiTheme="minorHAnsi"/>
        </w:rPr>
        <w:t xml:space="preserve"> rates</w:t>
      </w:r>
      <w:r w:rsidR="00090332">
        <w:rPr>
          <w:rFonts w:asciiTheme="minorHAnsi" w:hAnsiTheme="minorHAnsi"/>
        </w:rPr>
        <w:t xml:space="preserve">: </w:t>
      </w:r>
      <w:r w:rsidRPr="67771AE9">
        <w:rPr>
          <w:rFonts w:asciiTheme="minorHAnsi" w:hAnsiTheme="minorHAnsi"/>
        </w:rPr>
        <w:t>certain groups, including Asian, Latino, Black, immigrant, low-income, and unemployed residents</w:t>
      </w:r>
      <w:r w:rsidR="00090332">
        <w:rPr>
          <w:rFonts w:asciiTheme="minorHAnsi" w:hAnsiTheme="minorHAnsi"/>
        </w:rPr>
        <w:t xml:space="preserve"> had lower screening rates</w:t>
      </w:r>
      <w:r w:rsidRPr="67771AE9">
        <w:rPr>
          <w:rFonts w:asciiTheme="minorHAnsi" w:hAnsiTheme="minorHAnsi"/>
        </w:rPr>
        <w:t>.</w:t>
      </w:r>
      <w:r w:rsidR="165E44EF" w:rsidRPr="67771AE9">
        <w:rPr>
          <w:rFonts w:asciiTheme="minorHAnsi" w:hAnsiTheme="minorHAnsi"/>
        </w:rPr>
        <w:t xml:space="preserve"> </w:t>
      </w:r>
      <w:r w:rsidR="03BFF833" w:rsidRPr="67771AE9">
        <w:rPr>
          <w:rFonts w:asciiTheme="minorHAnsi" w:hAnsiTheme="minorHAnsi"/>
        </w:rPr>
        <w:t xml:space="preserve">Studies have reported disparities in </w:t>
      </w:r>
      <w:r w:rsidR="7287AE2E" w:rsidRPr="67771AE9">
        <w:rPr>
          <w:rFonts w:asciiTheme="minorHAnsi" w:hAnsiTheme="minorHAnsi"/>
        </w:rPr>
        <w:t xml:space="preserve">incidence of </w:t>
      </w:r>
      <w:r w:rsidR="03BFF833" w:rsidRPr="67771AE9">
        <w:rPr>
          <w:rFonts w:asciiTheme="minorHAnsi" w:hAnsiTheme="minorHAnsi"/>
        </w:rPr>
        <w:t>early-onset cancer</w:t>
      </w:r>
      <w:r w:rsidR="00EB35D2">
        <w:rPr>
          <w:rFonts w:asciiTheme="minorHAnsi" w:hAnsiTheme="minorHAnsi"/>
        </w:rPr>
        <w:t xml:space="preserve"> in the United States</w:t>
      </w:r>
      <w:r w:rsidR="7287AE2E" w:rsidRPr="67771AE9">
        <w:rPr>
          <w:rFonts w:asciiTheme="minorHAnsi" w:hAnsiTheme="minorHAnsi"/>
        </w:rPr>
        <w:t>, as well as survival</w:t>
      </w:r>
      <w:r w:rsidR="00C82CF2">
        <w:rPr>
          <w:rFonts w:asciiTheme="minorHAnsi" w:hAnsiTheme="minorHAnsi"/>
        </w:rPr>
        <w:t>.</w:t>
      </w:r>
      <w:r w:rsidR="00333CF4" w:rsidRPr="67771AE9">
        <w:rPr>
          <w:rStyle w:val="EndnoteReference"/>
          <w:rFonts w:asciiTheme="minorHAnsi" w:hAnsiTheme="minorHAnsi"/>
        </w:rPr>
        <w:endnoteReference w:id="18"/>
      </w:r>
      <w:r w:rsidR="00C82CF2" w:rsidRPr="00C82CF2">
        <w:rPr>
          <w:rFonts w:asciiTheme="minorHAnsi" w:hAnsiTheme="minorHAnsi"/>
          <w:vertAlign w:val="superscript"/>
        </w:rPr>
        <w:t>,</w:t>
      </w:r>
      <w:r w:rsidR="00F916E5" w:rsidRPr="67771AE9">
        <w:rPr>
          <w:rStyle w:val="EndnoteReference"/>
          <w:rFonts w:asciiTheme="minorHAnsi" w:hAnsiTheme="minorHAnsi"/>
        </w:rPr>
        <w:endnoteReference w:id="19"/>
      </w:r>
    </w:p>
    <w:p w14:paraId="197EEA53" w14:textId="77777777" w:rsidR="00403A45" w:rsidRDefault="00403A45" w:rsidP="67771AE9">
      <w:pPr>
        <w:rPr>
          <w:rFonts w:asciiTheme="minorHAnsi" w:hAnsiTheme="minorHAnsi"/>
        </w:rPr>
      </w:pPr>
    </w:p>
    <w:p w14:paraId="43ECF638" w14:textId="06D2AD1B" w:rsidR="00B2793D" w:rsidRDefault="006D6F0C" w:rsidP="00BA2054">
      <w:pPr>
        <w:rPr>
          <w:rFonts w:asciiTheme="minorHAnsi" w:hAnsiTheme="minorHAnsi"/>
        </w:rPr>
      </w:pPr>
      <w:r w:rsidRPr="176AA54A">
        <w:rPr>
          <w:rFonts w:asciiTheme="minorHAnsi" w:hAnsiTheme="minorHAnsi"/>
        </w:rPr>
        <w:t>S</w:t>
      </w:r>
      <w:r w:rsidR="00B2793D" w:rsidRPr="176AA54A">
        <w:rPr>
          <w:rFonts w:asciiTheme="minorHAnsi" w:hAnsiTheme="minorHAnsi"/>
        </w:rPr>
        <w:t>ections Factor 1b and Factor 2 below, outline</w:t>
      </w:r>
      <w:r w:rsidRPr="176AA54A">
        <w:rPr>
          <w:rFonts w:asciiTheme="minorHAnsi" w:hAnsiTheme="minorHAnsi"/>
        </w:rPr>
        <w:t xml:space="preserve"> the Applicant’s</w:t>
      </w:r>
      <w:r w:rsidR="00B2793D" w:rsidRPr="176AA54A">
        <w:rPr>
          <w:rFonts w:asciiTheme="minorHAnsi" w:hAnsiTheme="minorHAnsi"/>
        </w:rPr>
        <w:t xml:space="preserve"> efforts to address health disparities </w:t>
      </w:r>
      <w:r w:rsidR="00C54DA2" w:rsidRPr="176AA54A">
        <w:rPr>
          <w:rFonts w:asciiTheme="minorHAnsi" w:hAnsiTheme="minorHAnsi"/>
        </w:rPr>
        <w:t>i</w:t>
      </w:r>
      <w:r w:rsidR="00B2793D" w:rsidRPr="176AA54A">
        <w:rPr>
          <w:rFonts w:asciiTheme="minorHAnsi" w:hAnsiTheme="minorHAnsi"/>
        </w:rPr>
        <w:t xml:space="preserve">n its Patient Panel and </w:t>
      </w:r>
      <w:r w:rsidR="00C54DA2" w:rsidRPr="176AA54A">
        <w:rPr>
          <w:rFonts w:asciiTheme="minorHAnsi" w:hAnsiTheme="minorHAnsi"/>
        </w:rPr>
        <w:t xml:space="preserve">in </w:t>
      </w:r>
      <w:r w:rsidR="00B2793D" w:rsidRPr="176AA54A">
        <w:rPr>
          <w:rFonts w:asciiTheme="minorHAnsi" w:hAnsiTheme="minorHAnsi"/>
        </w:rPr>
        <w:t xml:space="preserve">the communities in its service area. </w:t>
      </w:r>
    </w:p>
    <w:p w14:paraId="61BDA843" w14:textId="77777777" w:rsidR="00B2793D" w:rsidRDefault="00B2793D" w:rsidP="00BA2054">
      <w:pPr>
        <w:rPr>
          <w:rFonts w:asciiTheme="minorHAnsi" w:hAnsiTheme="minorHAnsi"/>
          <w:szCs w:val="24"/>
        </w:rPr>
      </w:pPr>
    </w:p>
    <w:p w14:paraId="44B07FCD" w14:textId="56E37719" w:rsidR="00B45CBA" w:rsidRPr="001E568B" w:rsidRDefault="00254E17" w:rsidP="00BA2054">
      <w:pPr>
        <w:rPr>
          <w:rFonts w:asciiTheme="minorHAnsi" w:hAnsiTheme="minorHAnsi"/>
          <w:i/>
          <w:iCs/>
          <w:szCs w:val="24"/>
          <w:u w:val="single"/>
        </w:rPr>
      </w:pPr>
      <w:r w:rsidRPr="001E568B">
        <w:rPr>
          <w:rFonts w:asciiTheme="minorHAnsi" w:hAnsiTheme="minorHAnsi"/>
          <w:i/>
          <w:iCs/>
          <w:szCs w:val="24"/>
          <w:u w:val="single"/>
        </w:rPr>
        <w:t xml:space="preserve">Cancer-Related </w:t>
      </w:r>
      <w:r w:rsidR="00B45CBA" w:rsidRPr="001E568B">
        <w:rPr>
          <w:rFonts w:asciiTheme="minorHAnsi" w:hAnsiTheme="minorHAnsi"/>
          <w:i/>
          <w:iCs/>
          <w:szCs w:val="24"/>
          <w:u w:val="single"/>
        </w:rPr>
        <w:t>Hospitalization</w:t>
      </w:r>
      <w:r w:rsidRPr="001E568B">
        <w:rPr>
          <w:rFonts w:asciiTheme="minorHAnsi" w:hAnsiTheme="minorHAnsi"/>
          <w:i/>
          <w:iCs/>
          <w:szCs w:val="24"/>
          <w:u w:val="single"/>
        </w:rPr>
        <w:t xml:space="preserve"> </w:t>
      </w:r>
    </w:p>
    <w:p w14:paraId="70CCDAB2" w14:textId="2363D53E" w:rsidR="00700F2C" w:rsidRDefault="008247F6" w:rsidP="00BA2054">
      <w:pPr>
        <w:rPr>
          <w:rFonts w:asciiTheme="minorHAnsi" w:hAnsiTheme="minorHAnsi"/>
          <w:szCs w:val="24"/>
        </w:rPr>
      </w:pPr>
      <w:r>
        <w:rPr>
          <w:rFonts w:asciiTheme="minorHAnsi" w:hAnsiTheme="minorHAnsi"/>
          <w:szCs w:val="24"/>
        </w:rPr>
        <w:t>Th</w:t>
      </w:r>
      <w:r w:rsidR="00814031">
        <w:rPr>
          <w:rFonts w:asciiTheme="minorHAnsi" w:hAnsiTheme="minorHAnsi"/>
          <w:szCs w:val="24"/>
        </w:rPr>
        <w:t xml:space="preserve">e advancement of cancer treatment over the years has allowed for many treatments to be administered in the outpatient </w:t>
      </w:r>
      <w:r w:rsidR="00090332">
        <w:rPr>
          <w:rFonts w:asciiTheme="minorHAnsi" w:hAnsiTheme="minorHAnsi"/>
          <w:szCs w:val="24"/>
        </w:rPr>
        <w:t>setting</w:t>
      </w:r>
      <w:r w:rsidR="00814031">
        <w:rPr>
          <w:rFonts w:asciiTheme="minorHAnsi" w:hAnsiTheme="minorHAnsi"/>
          <w:szCs w:val="24"/>
        </w:rPr>
        <w:t>.</w:t>
      </w:r>
      <w:r w:rsidR="005F0C0D">
        <w:rPr>
          <w:rStyle w:val="EndnoteReference"/>
          <w:rFonts w:asciiTheme="minorHAnsi" w:hAnsiTheme="minorHAnsi"/>
          <w:szCs w:val="24"/>
        </w:rPr>
        <w:endnoteReference w:id="20"/>
      </w:r>
      <w:r w:rsidR="00814031">
        <w:rPr>
          <w:rFonts w:asciiTheme="minorHAnsi" w:hAnsiTheme="minorHAnsi"/>
          <w:szCs w:val="24"/>
        </w:rPr>
        <w:t xml:space="preserve"> However, some patients still require treatment in the inpatient setting, or hospitaliz</w:t>
      </w:r>
      <w:r w:rsidR="008C2A9B">
        <w:rPr>
          <w:rFonts w:asciiTheme="minorHAnsi" w:hAnsiTheme="minorHAnsi"/>
          <w:szCs w:val="24"/>
        </w:rPr>
        <w:t>ation due to a number of factors including, treatment duration</w:t>
      </w:r>
      <w:r w:rsidR="00090332">
        <w:rPr>
          <w:rFonts w:asciiTheme="minorHAnsi" w:hAnsiTheme="minorHAnsi"/>
          <w:szCs w:val="24"/>
        </w:rPr>
        <w:t xml:space="preserve"> and</w:t>
      </w:r>
      <w:r w:rsidR="008C2A9B">
        <w:rPr>
          <w:rFonts w:asciiTheme="minorHAnsi" w:hAnsiTheme="minorHAnsi"/>
          <w:szCs w:val="24"/>
        </w:rPr>
        <w:t xml:space="preserve"> frequency</w:t>
      </w:r>
      <w:r w:rsidR="000234E4">
        <w:rPr>
          <w:rFonts w:asciiTheme="minorHAnsi" w:hAnsiTheme="minorHAnsi"/>
          <w:szCs w:val="24"/>
        </w:rPr>
        <w:t xml:space="preserve">, </w:t>
      </w:r>
      <w:r w:rsidR="008065FA">
        <w:rPr>
          <w:rFonts w:asciiTheme="minorHAnsi" w:hAnsiTheme="minorHAnsi"/>
          <w:szCs w:val="24"/>
        </w:rPr>
        <w:t xml:space="preserve">the level of </w:t>
      </w:r>
      <w:r w:rsidR="008C2A9B">
        <w:rPr>
          <w:rFonts w:asciiTheme="minorHAnsi" w:hAnsiTheme="minorHAnsi"/>
          <w:szCs w:val="24"/>
        </w:rPr>
        <w:t xml:space="preserve">supportive care </w:t>
      </w:r>
      <w:r w:rsidR="008065FA">
        <w:rPr>
          <w:rFonts w:asciiTheme="minorHAnsi" w:hAnsiTheme="minorHAnsi"/>
          <w:szCs w:val="24"/>
        </w:rPr>
        <w:t>that is required to administer treatment</w:t>
      </w:r>
      <w:r w:rsidR="00F619C8">
        <w:rPr>
          <w:rFonts w:asciiTheme="minorHAnsi" w:hAnsiTheme="minorHAnsi"/>
          <w:szCs w:val="24"/>
        </w:rPr>
        <w:t xml:space="preserve">, and </w:t>
      </w:r>
      <w:r w:rsidR="00090332">
        <w:rPr>
          <w:rFonts w:asciiTheme="minorHAnsi" w:hAnsiTheme="minorHAnsi"/>
          <w:szCs w:val="24"/>
        </w:rPr>
        <w:t>to</w:t>
      </w:r>
      <w:r w:rsidR="00F619C8">
        <w:rPr>
          <w:rFonts w:asciiTheme="minorHAnsi" w:hAnsiTheme="minorHAnsi"/>
          <w:szCs w:val="24"/>
        </w:rPr>
        <w:t xml:space="preserve"> manage</w:t>
      </w:r>
      <w:r w:rsidR="00090332">
        <w:rPr>
          <w:rFonts w:asciiTheme="minorHAnsi" w:hAnsiTheme="minorHAnsi"/>
          <w:szCs w:val="24"/>
        </w:rPr>
        <w:t xml:space="preserve"> </w:t>
      </w:r>
      <w:r w:rsidR="00F619C8">
        <w:rPr>
          <w:rFonts w:asciiTheme="minorHAnsi" w:hAnsiTheme="minorHAnsi"/>
          <w:szCs w:val="24"/>
        </w:rPr>
        <w:t>symptoms</w:t>
      </w:r>
      <w:r w:rsidR="00B06575">
        <w:rPr>
          <w:rFonts w:asciiTheme="minorHAnsi" w:hAnsiTheme="minorHAnsi"/>
          <w:szCs w:val="24"/>
        </w:rPr>
        <w:t xml:space="preserve"> and complications that may </w:t>
      </w:r>
      <w:r w:rsidR="00F82FDB">
        <w:rPr>
          <w:rFonts w:asciiTheme="minorHAnsi" w:hAnsiTheme="minorHAnsi"/>
          <w:szCs w:val="24"/>
        </w:rPr>
        <w:t>result</w:t>
      </w:r>
      <w:r w:rsidR="00B06575">
        <w:rPr>
          <w:rFonts w:asciiTheme="minorHAnsi" w:hAnsiTheme="minorHAnsi"/>
          <w:szCs w:val="24"/>
        </w:rPr>
        <w:t xml:space="preserve"> from treatment</w:t>
      </w:r>
      <w:r w:rsidR="00DA2D33">
        <w:rPr>
          <w:rFonts w:asciiTheme="minorHAnsi" w:hAnsiTheme="minorHAnsi"/>
          <w:szCs w:val="24"/>
        </w:rPr>
        <w:t>.</w:t>
      </w:r>
      <w:r w:rsidR="005F0C0D">
        <w:rPr>
          <w:rStyle w:val="EndnoteReference"/>
          <w:rFonts w:asciiTheme="minorHAnsi" w:hAnsiTheme="minorHAnsi"/>
          <w:szCs w:val="24"/>
        </w:rPr>
        <w:endnoteReference w:id="21"/>
      </w:r>
      <w:r w:rsidR="00DA2D33">
        <w:rPr>
          <w:rFonts w:asciiTheme="minorHAnsi" w:hAnsiTheme="minorHAnsi"/>
          <w:szCs w:val="24"/>
        </w:rPr>
        <w:t xml:space="preserve"> Inpatient stays can also include </w:t>
      </w:r>
      <w:r w:rsidR="00F619C8">
        <w:rPr>
          <w:rFonts w:asciiTheme="minorHAnsi" w:hAnsiTheme="minorHAnsi"/>
          <w:szCs w:val="24"/>
        </w:rPr>
        <w:t xml:space="preserve">patients who need </w:t>
      </w:r>
      <w:r w:rsidR="00DA2D33">
        <w:rPr>
          <w:rFonts w:asciiTheme="minorHAnsi" w:hAnsiTheme="minorHAnsi"/>
          <w:szCs w:val="24"/>
        </w:rPr>
        <w:t xml:space="preserve">palliative and hospice care. </w:t>
      </w:r>
      <w:r w:rsidR="00700F2C" w:rsidRPr="00700F2C">
        <w:rPr>
          <w:rFonts w:asciiTheme="minorHAnsi" w:hAnsiTheme="minorHAnsi"/>
          <w:szCs w:val="24"/>
        </w:rPr>
        <w:t xml:space="preserve">Advances allowing for earlier detection and innovative treatments as well </w:t>
      </w:r>
      <w:r w:rsidR="006D6F0C">
        <w:rPr>
          <w:rFonts w:asciiTheme="minorHAnsi" w:hAnsiTheme="minorHAnsi"/>
          <w:szCs w:val="24"/>
        </w:rPr>
        <w:t xml:space="preserve">as </w:t>
      </w:r>
      <w:r w:rsidR="00700F2C" w:rsidRPr="00700F2C">
        <w:rPr>
          <w:rFonts w:asciiTheme="minorHAnsi" w:hAnsiTheme="minorHAnsi"/>
          <w:szCs w:val="24"/>
        </w:rPr>
        <w:t>population increases and an increasing aging population</w:t>
      </w:r>
      <w:r w:rsidR="00090332" w:rsidRPr="00090332">
        <w:rPr>
          <w:rFonts w:asciiTheme="minorHAnsi" w:hAnsiTheme="minorHAnsi"/>
          <w:szCs w:val="24"/>
        </w:rPr>
        <w:t xml:space="preserve"> have increased the number of individuals living after a cancer diagnosis</w:t>
      </w:r>
      <w:r w:rsidR="00700F2C" w:rsidRPr="00700F2C">
        <w:rPr>
          <w:rFonts w:asciiTheme="minorHAnsi" w:hAnsiTheme="minorHAnsi"/>
          <w:szCs w:val="24"/>
        </w:rPr>
        <w:t>.</w:t>
      </w:r>
      <w:r w:rsidR="00700F2C" w:rsidRPr="00700F2C">
        <w:rPr>
          <w:rFonts w:asciiTheme="minorHAnsi" w:hAnsiTheme="minorHAnsi"/>
          <w:szCs w:val="24"/>
          <w:vertAlign w:val="superscript"/>
        </w:rPr>
        <w:endnoteReference w:id="22"/>
      </w:r>
      <w:r w:rsidR="00700F2C" w:rsidRPr="00700F2C">
        <w:rPr>
          <w:rFonts w:asciiTheme="minorHAnsi" w:hAnsiTheme="minorHAnsi"/>
          <w:szCs w:val="24"/>
          <w:vertAlign w:val="superscript"/>
        </w:rPr>
        <w:t>,</w:t>
      </w:r>
      <w:r w:rsidR="00700F2C" w:rsidRPr="00700F2C">
        <w:rPr>
          <w:rFonts w:asciiTheme="minorHAnsi" w:hAnsiTheme="minorHAnsi"/>
          <w:szCs w:val="24"/>
          <w:vertAlign w:val="superscript"/>
        </w:rPr>
        <w:endnoteReference w:id="23"/>
      </w:r>
      <w:r w:rsidR="002E67B3">
        <w:rPr>
          <w:rFonts w:asciiTheme="minorHAnsi" w:hAnsiTheme="minorHAnsi"/>
          <w:szCs w:val="24"/>
        </w:rPr>
        <w:t xml:space="preserve"> The Applicant states that i</w:t>
      </w:r>
      <w:r w:rsidR="00700F2C" w:rsidRPr="00700F2C">
        <w:rPr>
          <w:rFonts w:asciiTheme="minorHAnsi" w:hAnsiTheme="minorHAnsi"/>
          <w:szCs w:val="24"/>
        </w:rPr>
        <w:t xml:space="preserve">ndividuals are living longer with advanced or metastatic cancer due to advancements in treatment and </w:t>
      </w:r>
      <w:r w:rsidR="00090332">
        <w:rPr>
          <w:rFonts w:asciiTheme="minorHAnsi" w:hAnsiTheme="minorHAnsi"/>
          <w:szCs w:val="24"/>
        </w:rPr>
        <w:t xml:space="preserve">that these patients </w:t>
      </w:r>
      <w:r w:rsidR="00700F2C" w:rsidRPr="00700F2C">
        <w:rPr>
          <w:rFonts w:asciiTheme="minorHAnsi" w:hAnsiTheme="minorHAnsi"/>
          <w:szCs w:val="24"/>
        </w:rPr>
        <w:t xml:space="preserve">may require intermittent hospitalizations during the course of their illness. </w:t>
      </w:r>
    </w:p>
    <w:p w14:paraId="3BB67EED" w14:textId="77777777" w:rsidR="00534796" w:rsidRDefault="00534796" w:rsidP="00BA2054">
      <w:pPr>
        <w:rPr>
          <w:rFonts w:asciiTheme="minorHAnsi" w:hAnsiTheme="minorHAnsi"/>
          <w:szCs w:val="24"/>
        </w:rPr>
      </w:pPr>
    </w:p>
    <w:p w14:paraId="4858E058" w14:textId="225915EA" w:rsidR="00665FA3" w:rsidRDefault="403F154D" w:rsidP="67771AE9">
      <w:pPr>
        <w:rPr>
          <w:rFonts w:asciiTheme="minorHAnsi" w:hAnsiTheme="minorHAnsi"/>
        </w:rPr>
      </w:pPr>
      <w:r w:rsidRPr="0CE75BC0">
        <w:rPr>
          <w:rFonts w:asciiTheme="minorHAnsi" w:hAnsiTheme="minorHAnsi"/>
        </w:rPr>
        <w:t xml:space="preserve">Table </w:t>
      </w:r>
      <w:r w:rsidR="006C1F1B">
        <w:rPr>
          <w:rFonts w:asciiTheme="minorHAnsi" w:hAnsiTheme="minorHAnsi"/>
        </w:rPr>
        <w:t>10</w:t>
      </w:r>
      <w:r w:rsidRPr="0CE75BC0">
        <w:rPr>
          <w:rFonts w:asciiTheme="minorHAnsi" w:hAnsiTheme="minorHAnsi"/>
        </w:rPr>
        <w:t xml:space="preserve"> shows the Applicant’s inpatient discharge</w:t>
      </w:r>
      <w:r w:rsidR="3136382A" w:rsidRPr="0CE75BC0">
        <w:rPr>
          <w:rFonts w:asciiTheme="minorHAnsi" w:hAnsiTheme="minorHAnsi"/>
        </w:rPr>
        <w:t xml:space="preserve">s </w:t>
      </w:r>
      <w:r w:rsidR="04EF7DB8" w:rsidRPr="0CE75BC0">
        <w:rPr>
          <w:rFonts w:asciiTheme="minorHAnsi" w:hAnsiTheme="minorHAnsi"/>
        </w:rPr>
        <w:t>from FY18 to FY23</w:t>
      </w:r>
      <w:r w:rsidR="005D5750" w:rsidRPr="005D5750">
        <w:rPr>
          <w:rFonts w:asciiTheme="minorHAnsi" w:hAnsiTheme="minorHAnsi"/>
        </w:rPr>
        <w:t xml:space="preserve"> for </w:t>
      </w:r>
      <w:r w:rsidR="005D5750">
        <w:rPr>
          <w:rFonts w:asciiTheme="minorHAnsi" w:hAnsiTheme="minorHAnsi"/>
        </w:rPr>
        <w:t xml:space="preserve">patients in </w:t>
      </w:r>
      <w:r w:rsidR="005D5750" w:rsidRPr="005D5750">
        <w:rPr>
          <w:rFonts w:asciiTheme="minorHAnsi" w:hAnsiTheme="minorHAnsi"/>
        </w:rPr>
        <w:t>its 30 licensed beds</w:t>
      </w:r>
      <w:r w:rsidRPr="0CE75BC0">
        <w:rPr>
          <w:rFonts w:asciiTheme="minorHAnsi" w:hAnsiTheme="minorHAnsi"/>
        </w:rPr>
        <w:t xml:space="preserve">. </w:t>
      </w:r>
    </w:p>
    <w:p w14:paraId="5E745582" w14:textId="77777777" w:rsidR="007107DF" w:rsidRDefault="007107DF" w:rsidP="67771AE9">
      <w:pPr>
        <w:rPr>
          <w:rFonts w:asciiTheme="minorHAnsi" w:hAnsiTheme="minorHAnsi"/>
        </w:rPr>
      </w:pPr>
    </w:p>
    <w:p w14:paraId="6AE3AD41" w14:textId="4E72AA12" w:rsidR="00DD2814" w:rsidRPr="00665FA3" w:rsidRDefault="00665FA3" w:rsidP="00700F2C">
      <w:pPr>
        <w:rPr>
          <w:rFonts w:asciiTheme="minorHAnsi" w:hAnsiTheme="minorHAnsi"/>
          <w:b/>
          <w:bCs/>
          <w:szCs w:val="24"/>
        </w:rPr>
      </w:pPr>
      <w:r w:rsidRPr="00665FA3">
        <w:rPr>
          <w:rFonts w:asciiTheme="minorHAnsi" w:hAnsiTheme="minorHAnsi"/>
          <w:b/>
          <w:bCs/>
          <w:szCs w:val="24"/>
          <w:u w:val="single"/>
        </w:rPr>
        <w:lastRenderedPageBreak/>
        <w:t xml:space="preserve">Table </w:t>
      </w:r>
      <w:r w:rsidR="006C1F1B">
        <w:rPr>
          <w:rFonts w:asciiTheme="minorHAnsi" w:hAnsiTheme="minorHAnsi"/>
          <w:b/>
          <w:bCs/>
          <w:szCs w:val="24"/>
          <w:u w:val="single"/>
        </w:rPr>
        <w:t>10</w:t>
      </w:r>
      <w:r w:rsidRPr="00665FA3">
        <w:rPr>
          <w:rFonts w:asciiTheme="minorHAnsi" w:hAnsiTheme="minorHAnsi"/>
          <w:b/>
          <w:bCs/>
          <w:szCs w:val="24"/>
        </w:rPr>
        <w:t xml:space="preserve">: Dana-Farber Discharges </w:t>
      </w:r>
    </w:p>
    <w:tbl>
      <w:tblPr>
        <w:tblW w:w="0" w:type="auto"/>
        <w:tblLook w:val="04A0" w:firstRow="1" w:lastRow="0" w:firstColumn="1" w:lastColumn="0" w:noHBand="0" w:noVBand="1"/>
      </w:tblPr>
      <w:tblGrid>
        <w:gridCol w:w="1448"/>
        <w:gridCol w:w="763"/>
        <w:gridCol w:w="763"/>
        <w:gridCol w:w="763"/>
        <w:gridCol w:w="763"/>
        <w:gridCol w:w="763"/>
        <w:gridCol w:w="763"/>
        <w:gridCol w:w="1493"/>
      </w:tblGrid>
      <w:tr w:rsidR="00DD2814" w:rsidRPr="00465F07" w14:paraId="150B3891" w14:textId="77777777" w:rsidTr="73C5F927">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9F81C" w14:textId="77777777" w:rsidR="00DD2814" w:rsidRPr="00B32C00" w:rsidRDefault="00DD2814">
            <w:pPr>
              <w:widowControl/>
              <w:autoSpaceDE/>
              <w:autoSpaceDN/>
              <w:rPr>
                <w:rFonts w:eastAsia="Times New Roman" w:cs="Calibri"/>
                <w:color w:val="000000"/>
                <w:szCs w:val="24"/>
              </w:rPr>
            </w:pPr>
            <w:r w:rsidRPr="00B32C00">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FA0504C" w14:textId="77777777"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4352C7A" w14:textId="77777777"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66F83F5A" w14:textId="77777777"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5CA34346" w14:textId="77777777"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E58BDA0" w14:textId="77777777"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2D6FA43A" w14:textId="77777777"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tcPr>
          <w:p w14:paraId="2EFC1DB6" w14:textId="52151299"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 Change</w:t>
            </w:r>
          </w:p>
          <w:p w14:paraId="190CA463" w14:textId="77777777" w:rsidR="00DD2814" w:rsidRPr="001444D7" w:rsidRDefault="00DD2814">
            <w:pPr>
              <w:widowControl/>
              <w:autoSpaceDE/>
              <w:autoSpaceDN/>
              <w:jc w:val="center"/>
              <w:rPr>
                <w:rFonts w:eastAsia="Times New Roman" w:cs="Calibri"/>
                <w:b/>
                <w:bCs/>
                <w:color w:val="000000"/>
                <w:szCs w:val="24"/>
              </w:rPr>
            </w:pPr>
            <w:r w:rsidRPr="001444D7">
              <w:rPr>
                <w:rFonts w:eastAsia="Times New Roman" w:cs="Calibri"/>
                <w:b/>
                <w:bCs/>
                <w:color w:val="000000"/>
                <w:szCs w:val="24"/>
              </w:rPr>
              <w:t>FY18 to FY22</w:t>
            </w:r>
          </w:p>
        </w:tc>
      </w:tr>
      <w:tr w:rsidR="00DD2814" w:rsidRPr="00465F07" w14:paraId="4470F106" w14:textId="77777777" w:rsidTr="73C5F927">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85DAE8" w14:textId="584B43D7" w:rsidR="00DD2814" w:rsidRPr="00B32C00" w:rsidRDefault="00DD2814">
            <w:pPr>
              <w:widowControl/>
              <w:autoSpaceDE/>
              <w:autoSpaceDN/>
              <w:rPr>
                <w:rFonts w:eastAsia="Times New Roman" w:cs="Calibri"/>
                <w:b/>
                <w:bCs/>
                <w:color w:val="000000"/>
                <w:szCs w:val="24"/>
              </w:rPr>
            </w:pPr>
            <w:r w:rsidRPr="00B32C00">
              <w:rPr>
                <w:rFonts w:eastAsia="Times New Roman" w:cs="Calibri"/>
                <w:b/>
                <w:bCs/>
                <w:color w:val="000000"/>
                <w:szCs w:val="24"/>
              </w:rPr>
              <w:t>Discharges</w:t>
            </w:r>
            <w:r w:rsidR="005C5BD9">
              <w:rPr>
                <w:rStyle w:val="FootnoteReference"/>
                <w:rFonts w:eastAsia="Times New Roman" w:cs="Calibri"/>
                <w:b/>
                <w:bCs/>
                <w:color w:val="000000"/>
                <w:szCs w:val="24"/>
              </w:rPr>
              <w:footnoteReference w:id="31"/>
            </w:r>
          </w:p>
        </w:tc>
        <w:tc>
          <w:tcPr>
            <w:tcW w:w="0" w:type="auto"/>
            <w:tcBorders>
              <w:top w:val="nil"/>
              <w:left w:val="nil"/>
              <w:bottom w:val="single" w:sz="4" w:space="0" w:color="auto"/>
              <w:right w:val="single" w:sz="4" w:space="0" w:color="auto"/>
            </w:tcBorders>
            <w:shd w:val="clear" w:color="auto" w:fill="auto"/>
            <w:noWrap/>
            <w:vAlign w:val="bottom"/>
            <w:hideMark/>
          </w:tcPr>
          <w:p w14:paraId="2C2BD405" w14:textId="77777777" w:rsidR="00DD2814" w:rsidRPr="001444D7" w:rsidRDefault="00DD2814">
            <w:pPr>
              <w:widowControl/>
              <w:autoSpaceDE/>
              <w:autoSpaceDN/>
              <w:jc w:val="center"/>
              <w:rPr>
                <w:rFonts w:eastAsia="Times New Roman" w:cs="Calibri"/>
                <w:color w:val="000000"/>
                <w:szCs w:val="24"/>
              </w:rPr>
            </w:pPr>
            <w:r w:rsidRPr="001444D7">
              <w:rPr>
                <w:rFonts w:eastAsia="Times New Roman" w:cs="Calibri"/>
                <w:color w:val="000000"/>
                <w:szCs w:val="24"/>
              </w:rPr>
              <w:t>1,303</w:t>
            </w:r>
          </w:p>
        </w:tc>
        <w:tc>
          <w:tcPr>
            <w:tcW w:w="0" w:type="auto"/>
            <w:tcBorders>
              <w:top w:val="nil"/>
              <w:left w:val="nil"/>
              <w:bottom w:val="single" w:sz="4" w:space="0" w:color="auto"/>
              <w:right w:val="single" w:sz="4" w:space="0" w:color="auto"/>
            </w:tcBorders>
            <w:shd w:val="clear" w:color="auto" w:fill="auto"/>
            <w:noWrap/>
            <w:vAlign w:val="bottom"/>
            <w:hideMark/>
          </w:tcPr>
          <w:p w14:paraId="28718036" w14:textId="77777777" w:rsidR="00DD2814" w:rsidRPr="001444D7" w:rsidRDefault="00DD2814">
            <w:pPr>
              <w:widowControl/>
              <w:autoSpaceDE/>
              <w:autoSpaceDN/>
              <w:jc w:val="center"/>
              <w:rPr>
                <w:rFonts w:eastAsia="Times New Roman" w:cs="Calibri"/>
                <w:color w:val="000000"/>
                <w:szCs w:val="24"/>
              </w:rPr>
            </w:pPr>
            <w:r w:rsidRPr="001444D7">
              <w:rPr>
                <w:rFonts w:eastAsia="Times New Roman" w:cs="Calibri"/>
                <w:color w:val="000000"/>
                <w:szCs w:val="24"/>
              </w:rPr>
              <w:t>1,566</w:t>
            </w:r>
          </w:p>
        </w:tc>
        <w:tc>
          <w:tcPr>
            <w:tcW w:w="0" w:type="auto"/>
            <w:tcBorders>
              <w:top w:val="nil"/>
              <w:left w:val="nil"/>
              <w:bottom w:val="single" w:sz="4" w:space="0" w:color="auto"/>
              <w:right w:val="single" w:sz="4" w:space="0" w:color="auto"/>
            </w:tcBorders>
            <w:shd w:val="clear" w:color="auto" w:fill="auto"/>
            <w:noWrap/>
            <w:vAlign w:val="bottom"/>
            <w:hideMark/>
          </w:tcPr>
          <w:p w14:paraId="25505A88" w14:textId="77777777" w:rsidR="00DD2814" w:rsidRPr="001444D7" w:rsidRDefault="00DD2814">
            <w:pPr>
              <w:widowControl/>
              <w:autoSpaceDE/>
              <w:autoSpaceDN/>
              <w:jc w:val="center"/>
              <w:rPr>
                <w:rFonts w:eastAsia="Times New Roman" w:cs="Calibri"/>
                <w:color w:val="000000"/>
                <w:szCs w:val="24"/>
              </w:rPr>
            </w:pPr>
            <w:r w:rsidRPr="001444D7">
              <w:rPr>
                <w:rFonts w:eastAsia="Times New Roman" w:cs="Calibri"/>
                <w:color w:val="000000"/>
                <w:szCs w:val="24"/>
              </w:rPr>
              <w:t>1,420</w:t>
            </w:r>
          </w:p>
        </w:tc>
        <w:tc>
          <w:tcPr>
            <w:tcW w:w="0" w:type="auto"/>
            <w:tcBorders>
              <w:top w:val="nil"/>
              <w:left w:val="nil"/>
              <w:bottom w:val="single" w:sz="4" w:space="0" w:color="auto"/>
              <w:right w:val="single" w:sz="4" w:space="0" w:color="auto"/>
            </w:tcBorders>
            <w:shd w:val="clear" w:color="auto" w:fill="auto"/>
            <w:noWrap/>
            <w:vAlign w:val="bottom"/>
            <w:hideMark/>
          </w:tcPr>
          <w:p w14:paraId="16ADCEC1" w14:textId="77777777" w:rsidR="00DD2814" w:rsidRPr="001444D7" w:rsidRDefault="00DD2814">
            <w:pPr>
              <w:widowControl/>
              <w:autoSpaceDE/>
              <w:autoSpaceDN/>
              <w:jc w:val="center"/>
              <w:rPr>
                <w:rFonts w:eastAsia="Times New Roman" w:cs="Calibri"/>
                <w:color w:val="000000"/>
                <w:szCs w:val="24"/>
              </w:rPr>
            </w:pPr>
            <w:r w:rsidRPr="001444D7">
              <w:rPr>
                <w:rFonts w:eastAsia="Times New Roman" w:cs="Calibri"/>
                <w:color w:val="000000"/>
                <w:szCs w:val="24"/>
              </w:rPr>
              <w:t>1,436</w:t>
            </w:r>
          </w:p>
        </w:tc>
        <w:tc>
          <w:tcPr>
            <w:tcW w:w="0" w:type="auto"/>
            <w:tcBorders>
              <w:top w:val="nil"/>
              <w:left w:val="nil"/>
              <w:bottom w:val="single" w:sz="4" w:space="0" w:color="auto"/>
              <w:right w:val="single" w:sz="4" w:space="0" w:color="auto"/>
            </w:tcBorders>
            <w:shd w:val="clear" w:color="auto" w:fill="auto"/>
            <w:noWrap/>
            <w:vAlign w:val="bottom"/>
            <w:hideMark/>
          </w:tcPr>
          <w:p w14:paraId="24E17032" w14:textId="77777777" w:rsidR="00DD2814" w:rsidRPr="001444D7" w:rsidRDefault="00DD2814">
            <w:pPr>
              <w:widowControl/>
              <w:autoSpaceDE/>
              <w:autoSpaceDN/>
              <w:jc w:val="center"/>
              <w:rPr>
                <w:rFonts w:eastAsia="Times New Roman" w:cs="Calibri"/>
                <w:color w:val="000000"/>
                <w:szCs w:val="24"/>
              </w:rPr>
            </w:pPr>
            <w:r w:rsidRPr="001444D7">
              <w:rPr>
                <w:rFonts w:eastAsia="Times New Roman" w:cs="Calibri"/>
                <w:color w:val="000000"/>
                <w:szCs w:val="24"/>
              </w:rPr>
              <w:t>1,297</w:t>
            </w:r>
          </w:p>
        </w:tc>
        <w:tc>
          <w:tcPr>
            <w:tcW w:w="0" w:type="auto"/>
            <w:tcBorders>
              <w:top w:val="nil"/>
              <w:left w:val="nil"/>
              <w:bottom w:val="single" w:sz="4" w:space="0" w:color="auto"/>
              <w:right w:val="single" w:sz="4" w:space="0" w:color="auto"/>
            </w:tcBorders>
            <w:shd w:val="clear" w:color="auto" w:fill="auto"/>
            <w:noWrap/>
            <w:vAlign w:val="bottom"/>
            <w:hideMark/>
          </w:tcPr>
          <w:p w14:paraId="7799FCD6" w14:textId="77777777" w:rsidR="00DD2814" w:rsidRPr="001444D7" w:rsidRDefault="00DD2814">
            <w:pPr>
              <w:widowControl/>
              <w:autoSpaceDE/>
              <w:autoSpaceDN/>
              <w:jc w:val="center"/>
              <w:rPr>
                <w:rFonts w:eastAsia="Times New Roman" w:cs="Calibri"/>
                <w:color w:val="000000"/>
                <w:szCs w:val="24"/>
              </w:rPr>
            </w:pPr>
            <w:r w:rsidRPr="001444D7">
              <w:rPr>
                <w:rFonts w:eastAsia="Times New Roman" w:cs="Calibri"/>
                <w:color w:val="000000"/>
                <w:szCs w:val="24"/>
              </w:rPr>
              <w:t>1,300</w:t>
            </w:r>
          </w:p>
        </w:tc>
        <w:tc>
          <w:tcPr>
            <w:tcW w:w="0" w:type="auto"/>
            <w:tcBorders>
              <w:top w:val="nil"/>
              <w:left w:val="nil"/>
              <w:bottom w:val="single" w:sz="4" w:space="0" w:color="auto"/>
              <w:right w:val="single" w:sz="4" w:space="0" w:color="auto"/>
            </w:tcBorders>
          </w:tcPr>
          <w:p w14:paraId="6985934D" w14:textId="5BD7A2B9" w:rsidR="00DD2814" w:rsidRPr="00465F07" w:rsidRDefault="00DD2814" w:rsidP="73C5F927">
            <w:pPr>
              <w:widowControl/>
              <w:autoSpaceDE/>
              <w:autoSpaceDN/>
              <w:jc w:val="center"/>
              <w:rPr>
                <w:rFonts w:eastAsia="Times New Roman" w:cs="Calibri"/>
                <w:color w:val="000000"/>
              </w:rPr>
            </w:pPr>
            <w:r>
              <w:t>-0.</w:t>
            </w:r>
            <w:r w:rsidR="00E05E78">
              <w:t>2</w:t>
            </w:r>
            <w:r>
              <w:t>%</w:t>
            </w:r>
          </w:p>
        </w:tc>
      </w:tr>
    </w:tbl>
    <w:p w14:paraId="4ACF895D" w14:textId="77777777" w:rsidR="00F330CE" w:rsidRDefault="00F330CE" w:rsidP="00700F2C">
      <w:pPr>
        <w:rPr>
          <w:rFonts w:asciiTheme="minorHAnsi" w:hAnsiTheme="minorHAnsi"/>
          <w:szCs w:val="24"/>
        </w:rPr>
      </w:pPr>
    </w:p>
    <w:p w14:paraId="0359918E" w14:textId="268CD00A" w:rsidR="0010334C" w:rsidRDefault="00F979C3" w:rsidP="00700F2C">
      <w:pPr>
        <w:rPr>
          <w:rFonts w:asciiTheme="minorHAnsi" w:hAnsiTheme="minorHAnsi"/>
          <w:szCs w:val="24"/>
        </w:rPr>
      </w:pPr>
      <w:r>
        <w:rPr>
          <w:rFonts w:asciiTheme="minorHAnsi" w:hAnsiTheme="minorHAnsi"/>
          <w:szCs w:val="24"/>
        </w:rPr>
        <w:t xml:space="preserve">The Applicant provided a breakdown of inpatients by </w:t>
      </w:r>
      <w:r w:rsidR="00467B8C">
        <w:rPr>
          <w:rFonts w:asciiTheme="minorHAnsi" w:hAnsiTheme="minorHAnsi"/>
          <w:szCs w:val="24"/>
        </w:rPr>
        <w:t>zip code</w:t>
      </w:r>
      <w:r>
        <w:rPr>
          <w:rFonts w:asciiTheme="minorHAnsi" w:hAnsiTheme="minorHAnsi"/>
          <w:szCs w:val="24"/>
        </w:rPr>
        <w:t xml:space="preserve"> for </w:t>
      </w:r>
      <w:r w:rsidR="00467B8C">
        <w:rPr>
          <w:rFonts w:asciiTheme="minorHAnsi" w:hAnsiTheme="minorHAnsi"/>
          <w:szCs w:val="24"/>
        </w:rPr>
        <w:t xml:space="preserve">FY22, </w:t>
      </w:r>
      <w:r>
        <w:rPr>
          <w:rFonts w:asciiTheme="minorHAnsi" w:hAnsiTheme="minorHAnsi"/>
          <w:szCs w:val="24"/>
        </w:rPr>
        <w:t xml:space="preserve">the most recent year available. Table </w:t>
      </w:r>
      <w:r w:rsidR="00086BB9">
        <w:rPr>
          <w:rFonts w:asciiTheme="minorHAnsi" w:hAnsiTheme="minorHAnsi"/>
          <w:szCs w:val="24"/>
        </w:rPr>
        <w:t>11</w:t>
      </w:r>
      <w:r>
        <w:rPr>
          <w:rFonts w:asciiTheme="minorHAnsi" w:hAnsiTheme="minorHAnsi"/>
          <w:szCs w:val="24"/>
        </w:rPr>
        <w:t xml:space="preserve"> shows the top twenty zip codes by discharge count. </w:t>
      </w:r>
      <w:r w:rsidR="006427F3">
        <w:rPr>
          <w:rFonts w:asciiTheme="minorHAnsi" w:hAnsiTheme="minorHAnsi"/>
          <w:szCs w:val="24"/>
        </w:rPr>
        <w:t>Table</w:t>
      </w:r>
      <w:r w:rsidR="00CB6C20">
        <w:rPr>
          <w:rFonts w:asciiTheme="minorHAnsi" w:hAnsiTheme="minorHAnsi"/>
          <w:szCs w:val="24"/>
        </w:rPr>
        <w:t xml:space="preserve"> 11</w:t>
      </w:r>
      <w:r w:rsidR="006427F3">
        <w:rPr>
          <w:rFonts w:asciiTheme="minorHAnsi" w:hAnsiTheme="minorHAnsi"/>
          <w:szCs w:val="24"/>
        </w:rPr>
        <w:t xml:space="preserve"> i</w:t>
      </w:r>
      <w:r w:rsidR="006427F3" w:rsidRPr="006427F3">
        <w:rPr>
          <w:rFonts w:asciiTheme="minorHAnsi" w:hAnsiTheme="minorHAnsi"/>
          <w:szCs w:val="24"/>
        </w:rPr>
        <w:t>ncludes CHIA data for Dana-Farber and BWH.</w:t>
      </w:r>
      <w:r w:rsidR="006427F3">
        <w:rPr>
          <w:rFonts w:asciiTheme="minorHAnsi" w:hAnsiTheme="minorHAnsi"/>
          <w:szCs w:val="24"/>
        </w:rPr>
        <w:t xml:space="preserve"> </w:t>
      </w:r>
      <w:r w:rsidR="007479EC">
        <w:rPr>
          <w:rFonts w:asciiTheme="minorHAnsi" w:hAnsiTheme="minorHAnsi"/>
          <w:szCs w:val="24"/>
        </w:rPr>
        <w:t>The</w:t>
      </w:r>
      <w:r w:rsidR="003D74ED">
        <w:rPr>
          <w:rFonts w:asciiTheme="minorHAnsi" w:hAnsiTheme="minorHAnsi"/>
          <w:szCs w:val="24"/>
        </w:rPr>
        <w:t xml:space="preserve"> Applicant’s </w:t>
      </w:r>
      <w:r w:rsidR="006427F3">
        <w:rPr>
          <w:rFonts w:asciiTheme="minorHAnsi" w:hAnsiTheme="minorHAnsi"/>
          <w:szCs w:val="24"/>
        </w:rPr>
        <w:t>Responses to DoN Questions</w:t>
      </w:r>
      <w:r w:rsidR="00385F4F">
        <w:rPr>
          <w:rFonts w:asciiTheme="minorHAnsi" w:hAnsiTheme="minorHAnsi"/>
          <w:szCs w:val="24"/>
        </w:rPr>
        <w:t xml:space="preserve"> </w:t>
      </w:r>
      <w:r w:rsidR="006427F3">
        <w:rPr>
          <w:rFonts w:asciiTheme="minorHAnsi" w:hAnsiTheme="minorHAnsi"/>
          <w:szCs w:val="24"/>
        </w:rPr>
        <w:t xml:space="preserve">#2 </w:t>
      </w:r>
      <w:r w:rsidR="007479EC">
        <w:rPr>
          <w:rFonts w:asciiTheme="minorHAnsi" w:hAnsiTheme="minorHAnsi"/>
          <w:szCs w:val="24"/>
        </w:rPr>
        <w:t>contain</w:t>
      </w:r>
      <w:r w:rsidR="006427F3">
        <w:rPr>
          <w:rFonts w:asciiTheme="minorHAnsi" w:hAnsiTheme="minorHAnsi"/>
          <w:szCs w:val="24"/>
        </w:rPr>
        <w:t xml:space="preserve"> </w:t>
      </w:r>
      <w:r w:rsidR="009D1828">
        <w:rPr>
          <w:rFonts w:asciiTheme="minorHAnsi" w:hAnsiTheme="minorHAnsi"/>
          <w:szCs w:val="24"/>
        </w:rPr>
        <w:t>the</w:t>
      </w:r>
      <w:r w:rsidR="006427F3">
        <w:rPr>
          <w:rFonts w:asciiTheme="minorHAnsi" w:hAnsiTheme="minorHAnsi"/>
          <w:szCs w:val="24"/>
        </w:rPr>
        <w:t xml:space="preserve"> complete list of </w:t>
      </w:r>
      <w:r w:rsidR="00803385">
        <w:rPr>
          <w:rFonts w:asciiTheme="minorHAnsi" w:hAnsiTheme="minorHAnsi"/>
          <w:szCs w:val="24"/>
        </w:rPr>
        <w:t xml:space="preserve">zip codes. </w:t>
      </w:r>
    </w:p>
    <w:p w14:paraId="2EC7AE6F" w14:textId="77777777" w:rsidR="00D95C52" w:rsidRDefault="00D95C52" w:rsidP="00700F2C">
      <w:pPr>
        <w:rPr>
          <w:rFonts w:asciiTheme="minorHAnsi" w:hAnsiTheme="minorHAnsi"/>
          <w:szCs w:val="24"/>
        </w:rPr>
      </w:pPr>
    </w:p>
    <w:p w14:paraId="1959D924" w14:textId="71160177" w:rsidR="00F979C3" w:rsidRPr="003F3F2B" w:rsidRDefault="003F3F2B" w:rsidP="00700F2C">
      <w:pPr>
        <w:rPr>
          <w:rFonts w:asciiTheme="minorHAnsi" w:hAnsiTheme="minorHAnsi"/>
          <w:b/>
          <w:bCs/>
          <w:szCs w:val="24"/>
          <w:u w:val="single"/>
        </w:rPr>
      </w:pPr>
      <w:r w:rsidRPr="003F3F2B">
        <w:rPr>
          <w:rFonts w:asciiTheme="minorHAnsi" w:hAnsiTheme="minorHAnsi"/>
          <w:b/>
          <w:bCs/>
          <w:szCs w:val="24"/>
          <w:u w:val="single"/>
        </w:rPr>
        <w:t xml:space="preserve">Table </w:t>
      </w:r>
      <w:r w:rsidR="00086BB9">
        <w:rPr>
          <w:rFonts w:asciiTheme="minorHAnsi" w:hAnsiTheme="minorHAnsi"/>
          <w:b/>
          <w:bCs/>
          <w:szCs w:val="24"/>
          <w:u w:val="single"/>
        </w:rPr>
        <w:t>11</w:t>
      </w:r>
      <w:r w:rsidRPr="003F3F2B">
        <w:rPr>
          <w:rFonts w:asciiTheme="minorHAnsi" w:hAnsiTheme="minorHAnsi"/>
          <w:b/>
          <w:bCs/>
          <w:szCs w:val="24"/>
          <w:u w:val="single"/>
        </w:rPr>
        <w:t>:</w:t>
      </w:r>
      <w:r w:rsidRPr="003F3F2B">
        <w:rPr>
          <w:rFonts w:asciiTheme="minorHAnsi" w:hAnsiTheme="minorHAnsi"/>
          <w:b/>
          <w:bCs/>
          <w:szCs w:val="24"/>
        </w:rPr>
        <w:t xml:space="preserve"> </w:t>
      </w:r>
      <w:r w:rsidR="00EB35D2" w:rsidRPr="00086BB9">
        <w:rPr>
          <w:rFonts w:asciiTheme="minorHAnsi" w:hAnsiTheme="minorHAnsi"/>
          <w:b/>
          <w:bCs/>
          <w:szCs w:val="24"/>
        </w:rPr>
        <w:t xml:space="preserve">Dana-Farber </w:t>
      </w:r>
      <w:r w:rsidR="00E52C17" w:rsidRPr="00086BB9">
        <w:rPr>
          <w:rFonts w:asciiTheme="minorHAnsi" w:hAnsiTheme="minorHAnsi"/>
          <w:b/>
          <w:bCs/>
          <w:szCs w:val="24"/>
        </w:rPr>
        <w:t>Top 20 Zip codes by Discharge Count</w:t>
      </w:r>
      <w:r w:rsidR="00E52C17">
        <w:rPr>
          <w:rFonts w:asciiTheme="minorHAnsi" w:hAnsiTheme="minorHAnsi"/>
          <w:b/>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079"/>
        <w:gridCol w:w="2010"/>
        <w:gridCol w:w="1221"/>
        <w:gridCol w:w="736"/>
        <w:gridCol w:w="1968"/>
      </w:tblGrid>
      <w:tr w:rsidR="00325465" w:rsidRPr="001444D7" w14:paraId="3BB04672" w14:textId="77777777" w:rsidTr="00B0263F">
        <w:trPr>
          <w:trHeight w:val="290"/>
        </w:trPr>
        <w:tc>
          <w:tcPr>
            <w:tcW w:w="0" w:type="auto"/>
            <w:shd w:val="clear" w:color="auto" w:fill="auto"/>
            <w:noWrap/>
            <w:vAlign w:val="bottom"/>
            <w:hideMark/>
          </w:tcPr>
          <w:p w14:paraId="15683E75" w14:textId="77777777" w:rsidR="00325465" w:rsidRPr="001444D7" w:rsidRDefault="00325465" w:rsidP="00F979C3">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t> </w:t>
            </w:r>
          </w:p>
        </w:tc>
        <w:tc>
          <w:tcPr>
            <w:tcW w:w="0" w:type="auto"/>
            <w:shd w:val="clear" w:color="auto" w:fill="DBE5F1" w:themeFill="accent1" w:themeFillTint="33"/>
            <w:noWrap/>
            <w:vAlign w:val="center"/>
            <w:hideMark/>
          </w:tcPr>
          <w:p w14:paraId="5B30C427" w14:textId="300F593E" w:rsidR="00325465" w:rsidRPr="001444D7" w:rsidRDefault="00325465"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Zip Code</w:t>
            </w:r>
          </w:p>
        </w:tc>
        <w:tc>
          <w:tcPr>
            <w:tcW w:w="0" w:type="auto"/>
            <w:shd w:val="clear" w:color="auto" w:fill="DBE5F1" w:themeFill="accent1" w:themeFillTint="33"/>
            <w:noWrap/>
            <w:vAlign w:val="center"/>
            <w:hideMark/>
          </w:tcPr>
          <w:p w14:paraId="78E1E81A" w14:textId="77777777" w:rsidR="00325465" w:rsidRPr="001444D7" w:rsidRDefault="00325465"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City/Town</w:t>
            </w:r>
          </w:p>
        </w:tc>
        <w:tc>
          <w:tcPr>
            <w:tcW w:w="0" w:type="auto"/>
            <w:shd w:val="clear" w:color="auto" w:fill="DBE5F1" w:themeFill="accent1" w:themeFillTint="33"/>
          </w:tcPr>
          <w:p w14:paraId="09DF9B99" w14:textId="66207744" w:rsidR="00325465" w:rsidRPr="001444D7" w:rsidRDefault="00325465"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County</w:t>
            </w:r>
          </w:p>
        </w:tc>
        <w:tc>
          <w:tcPr>
            <w:tcW w:w="0" w:type="auto"/>
            <w:shd w:val="clear" w:color="auto" w:fill="DBE5F1" w:themeFill="accent1" w:themeFillTint="33"/>
            <w:vAlign w:val="center"/>
            <w:hideMark/>
          </w:tcPr>
          <w:p w14:paraId="0D9228C8" w14:textId="09CC9E3F" w:rsidR="00325465" w:rsidRPr="001444D7" w:rsidRDefault="00325465"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State</w:t>
            </w:r>
          </w:p>
        </w:tc>
        <w:tc>
          <w:tcPr>
            <w:tcW w:w="0" w:type="auto"/>
            <w:shd w:val="clear" w:color="auto" w:fill="DBE5F1" w:themeFill="accent1" w:themeFillTint="33"/>
            <w:vAlign w:val="center"/>
            <w:hideMark/>
          </w:tcPr>
          <w:p w14:paraId="3B333388" w14:textId="6B1EE129" w:rsidR="00325465" w:rsidRPr="001444D7" w:rsidRDefault="00325465"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Discharges (FY22)</w:t>
            </w:r>
          </w:p>
        </w:tc>
      </w:tr>
      <w:tr w:rsidR="00325465" w:rsidRPr="001444D7" w14:paraId="4DCB6CD8" w14:textId="77777777" w:rsidTr="00B0263F">
        <w:trPr>
          <w:trHeight w:val="290"/>
        </w:trPr>
        <w:tc>
          <w:tcPr>
            <w:tcW w:w="0" w:type="auto"/>
            <w:shd w:val="clear" w:color="auto" w:fill="auto"/>
            <w:noWrap/>
            <w:vAlign w:val="bottom"/>
            <w:hideMark/>
          </w:tcPr>
          <w:p w14:paraId="748B4EA4"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w:t>
            </w:r>
          </w:p>
        </w:tc>
        <w:tc>
          <w:tcPr>
            <w:tcW w:w="0" w:type="auto"/>
            <w:shd w:val="clear" w:color="auto" w:fill="auto"/>
            <w:noWrap/>
            <w:vAlign w:val="bottom"/>
            <w:hideMark/>
          </w:tcPr>
          <w:p w14:paraId="1F54D182"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02136</w:t>
            </w:r>
          </w:p>
        </w:tc>
        <w:tc>
          <w:tcPr>
            <w:tcW w:w="0" w:type="auto"/>
            <w:shd w:val="clear" w:color="auto" w:fill="auto"/>
            <w:noWrap/>
            <w:vAlign w:val="center"/>
            <w:hideMark/>
          </w:tcPr>
          <w:p w14:paraId="13F6194F" w14:textId="3F011CEA"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Hyde Park</w:t>
            </w:r>
          </w:p>
        </w:tc>
        <w:tc>
          <w:tcPr>
            <w:tcW w:w="0" w:type="auto"/>
          </w:tcPr>
          <w:p w14:paraId="5A048292" w14:textId="2DF7DE92" w:rsidR="00325465" w:rsidRPr="001444D7" w:rsidRDefault="00063926"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63359E33" w14:textId="289AE9B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1B02F4B4"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119</w:t>
            </w:r>
          </w:p>
        </w:tc>
      </w:tr>
      <w:tr w:rsidR="00325465" w:rsidRPr="001444D7" w14:paraId="23D5C637" w14:textId="77777777" w:rsidTr="00B0263F">
        <w:trPr>
          <w:trHeight w:val="290"/>
        </w:trPr>
        <w:tc>
          <w:tcPr>
            <w:tcW w:w="0" w:type="auto"/>
            <w:shd w:val="clear" w:color="auto" w:fill="auto"/>
            <w:noWrap/>
            <w:vAlign w:val="bottom"/>
            <w:hideMark/>
          </w:tcPr>
          <w:p w14:paraId="101B6DA4"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2</w:t>
            </w:r>
          </w:p>
        </w:tc>
        <w:tc>
          <w:tcPr>
            <w:tcW w:w="0" w:type="auto"/>
            <w:shd w:val="clear" w:color="auto" w:fill="auto"/>
            <w:noWrap/>
            <w:vAlign w:val="bottom"/>
            <w:hideMark/>
          </w:tcPr>
          <w:p w14:paraId="0749F7E3"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02131</w:t>
            </w:r>
          </w:p>
        </w:tc>
        <w:tc>
          <w:tcPr>
            <w:tcW w:w="0" w:type="auto"/>
            <w:shd w:val="clear" w:color="auto" w:fill="auto"/>
            <w:noWrap/>
            <w:vAlign w:val="center"/>
            <w:hideMark/>
          </w:tcPr>
          <w:p w14:paraId="3BB761A2" w14:textId="35CC523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Roslindale</w:t>
            </w:r>
          </w:p>
        </w:tc>
        <w:tc>
          <w:tcPr>
            <w:tcW w:w="0" w:type="auto"/>
          </w:tcPr>
          <w:p w14:paraId="29F12CA9" w14:textId="734FAD1E" w:rsidR="00325465" w:rsidRPr="001444D7" w:rsidRDefault="008E473B"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0529571A" w14:textId="39F5E8CF"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1DFF2C5B"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98</w:t>
            </w:r>
          </w:p>
        </w:tc>
      </w:tr>
      <w:tr w:rsidR="00325465" w:rsidRPr="001444D7" w14:paraId="6CFE02C3" w14:textId="77777777" w:rsidTr="00B0263F">
        <w:trPr>
          <w:trHeight w:val="290"/>
        </w:trPr>
        <w:tc>
          <w:tcPr>
            <w:tcW w:w="0" w:type="auto"/>
            <w:shd w:val="clear" w:color="auto" w:fill="auto"/>
            <w:noWrap/>
            <w:vAlign w:val="bottom"/>
            <w:hideMark/>
          </w:tcPr>
          <w:p w14:paraId="5B21FABB"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3</w:t>
            </w:r>
          </w:p>
        </w:tc>
        <w:tc>
          <w:tcPr>
            <w:tcW w:w="0" w:type="auto"/>
            <w:shd w:val="clear" w:color="auto" w:fill="auto"/>
            <w:noWrap/>
            <w:vAlign w:val="bottom"/>
            <w:hideMark/>
          </w:tcPr>
          <w:p w14:paraId="419CAE1A"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02124</w:t>
            </w:r>
          </w:p>
        </w:tc>
        <w:tc>
          <w:tcPr>
            <w:tcW w:w="0" w:type="auto"/>
            <w:shd w:val="clear" w:color="auto" w:fill="auto"/>
            <w:noWrap/>
            <w:vAlign w:val="center"/>
            <w:hideMark/>
          </w:tcPr>
          <w:p w14:paraId="32CFF0F1" w14:textId="7A7A9670"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Dorchester Center</w:t>
            </w:r>
          </w:p>
        </w:tc>
        <w:tc>
          <w:tcPr>
            <w:tcW w:w="0" w:type="auto"/>
          </w:tcPr>
          <w:p w14:paraId="2C494C9D" w14:textId="2D63B1E9" w:rsidR="00325465" w:rsidRPr="001444D7" w:rsidRDefault="008E473B"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6E5B0AB1" w14:textId="2AFC4E01"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35B60A88"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91</w:t>
            </w:r>
          </w:p>
        </w:tc>
      </w:tr>
      <w:tr w:rsidR="00325465" w:rsidRPr="001444D7" w14:paraId="40BB5E34" w14:textId="77777777" w:rsidTr="00B0263F">
        <w:trPr>
          <w:trHeight w:val="290"/>
        </w:trPr>
        <w:tc>
          <w:tcPr>
            <w:tcW w:w="0" w:type="auto"/>
            <w:shd w:val="clear" w:color="auto" w:fill="auto"/>
            <w:noWrap/>
            <w:vAlign w:val="bottom"/>
            <w:hideMark/>
          </w:tcPr>
          <w:p w14:paraId="67BCE6E7"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4</w:t>
            </w:r>
          </w:p>
        </w:tc>
        <w:tc>
          <w:tcPr>
            <w:tcW w:w="0" w:type="auto"/>
            <w:shd w:val="clear" w:color="auto" w:fill="auto"/>
            <w:noWrap/>
            <w:vAlign w:val="bottom"/>
            <w:hideMark/>
          </w:tcPr>
          <w:p w14:paraId="54F313B1" w14:textId="2B4A2ECB"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02132</w:t>
            </w:r>
          </w:p>
        </w:tc>
        <w:tc>
          <w:tcPr>
            <w:tcW w:w="0" w:type="auto"/>
            <w:shd w:val="clear" w:color="auto" w:fill="auto"/>
            <w:noWrap/>
            <w:vAlign w:val="center"/>
            <w:hideMark/>
          </w:tcPr>
          <w:p w14:paraId="0C475D19" w14:textId="4BEA4910"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West Roxbury</w:t>
            </w:r>
          </w:p>
        </w:tc>
        <w:tc>
          <w:tcPr>
            <w:tcW w:w="0" w:type="auto"/>
          </w:tcPr>
          <w:p w14:paraId="39F6EBEC" w14:textId="44683F5D" w:rsidR="00325465" w:rsidRPr="001444D7" w:rsidRDefault="008E473B"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28CB3BDC" w14:textId="55A870A9"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17C42E1B"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91</w:t>
            </w:r>
          </w:p>
        </w:tc>
      </w:tr>
      <w:tr w:rsidR="00325465" w:rsidRPr="001444D7" w14:paraId="417E8840" w14:textId="77777777" w:rsidTr="00B0263F">
        <w:trPr>
          <w:trHeight w:val="290"/>
        </w:trPr>
        <w:tc>
          <w:tcPr>
            <w:tcW w:w="0" w:type="auto"/>
            <w:shd w:val="clear" w:color="auto" w:fill="auto"/>
            <w:noWrap/>
            <w:vAlign w:val="bottom"/>
            <w:hideMark/>
          </w:tcPr>
          <w:p w14:paraId="6F19D4EB"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5</w:t>
            </w:r>
          </w:p>
        </w:tc>
        <w:tc>
          <w:tcPr>
            <w:tcW w:w="0" w:type="auto"/>
            <w:shd w:val="clear" w:color="auto" w:fill="auto"/>
            <w:noWrap/>
            <w:vAlign w:val="bottom"/>
            <w:hideMark/>
          </w:tcPr>
          <w:p w14:paraId="4D0A2804"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02130</w:t>
            </w:r>
          </w:p>
        </w:tc>
        <w:tc>
          <w:tcPr>
            <w:tcW w:w="0" w:type="auto"/>
            <w:shd w:val="clear" w:color="auto" w:fill="auto"/>
            <w:noWrap/>
            <w:vAlign w:val="center"/>
            <w:hideMark/>
          </w:tcPr>
          <w:p w14:paraId="19AE09FB" w14:textId="7601C6BF"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Jamaica Plain</w:t>
            </w:r>
          </w:p>
        </w:tc>
        <w:tc>
          <w:tcPr>
            <w:tcW w:w="0" w:type="auto"/>
          </w:tcPr>
          <w:p w14:paraId="3E86F501" w14:textId="428036B4" w:rsidR="00325465" w:rsidRPr="001444D7" w:rsidRDefault="00B73BFD"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44C1A492" w14:textId="03B7D58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53D34C54"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87</w:t>
            </w:r>
          </w:p>
        </w:tc>
      </w:tr>
      <w:tr w:rsidR="00325465" w:rsidRPr="001444D7" w14:paraId="7072E879" w14:textId="77777777" w:rsidTr="00B0263F">
        <w:trPr>
          <w:trHeight w:val="290"/>
        </w:trPr>
        <w:tc>
          <w:tcPr>
            <w:tcW w:w="0" w:type="auto"/>
            <w:shd w:val="clear" w:color="auto" w:fill="auto"/>
            <w:noWrap/>
            <w:vAlign w:val="bottom"/>
            <w:hideMark/>
          </w:tcPr>
          <w:p w14:paraId="2E3DE72D"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6</w:t>
            </w:r>
          </w:p>
        </w:tc>
        <w:tc>
          <w:tcPr>
            <w:tcW w:w="0" w:type="auto"/>
            <w:shd w:val="clear" w:color="auto" w:fill="auto"/>
            <w:noWrap/>
            <w:vAlign w:val="bottom"/>
            <w:hideMark/>
          </w:tcPr>
          <w:p w14:paraId="17DA80B8" w14:textId="57F1FC5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02026</w:t>
            </w:r>
          </w:p>
        </w:tc>
        <w:tc>
          <w:tcPr>
            <w:tcW w:w="0" w:type="auto"/>
            <w:shd w:val="clear" w:color="auto" w:fill="auto"/>
            <w:noWrap/>
            <w:vAlign w:val="center"/>
            <w:hideMark/>
          </w:tcPr>
          <w:p w14:paraId="3488BE61" w14:textId="3D3288B8"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Dedham</w:t>
            </w:r>
          </w:p>
        </w:tc>
        <w:tc>
          <w:tcPr>
            <w:tcW w:w="0" w:type="auto"/>
          </w:tcPr>
          <w:p w14:paraId="01F2778A" w14:textId="4D5237AF" w:rsidR="00325465" w:rsidRPr="001444D7" w:rsidRDefault="00B73BFD"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Norfolk</w:t>
            </w:r>
          </w:p>
        </w:tc>
        <w:tc>
          <w:tcPr>
            <w:tcW w:w="0" w:type="auto"/>
            <w:shd w:val="clear" w:color="auto" w:fill="auto"/>
            <w:vAlign w:val="center"/>
            <w:hideMark/>
          </w:tcPr>
          <w:p w14:paraId="7CFC572B" w14:textId="7B763C41"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77A8F4D8"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75</w:t>
            </w:r>
          </w:p>
        </w:tc>
      </w:tr>
      <w:tr w:rsidR="00325465" w:rsidRPr="001444D7" w14:paraId="37958E5B" w14:textId="77777777" w:rsidTr="00B0263F">
        <w:trPr>
          <w:trHeight w:val="290"/>
        </w:trPr>
        <w:tc>
          <w:tcPr>
            <w:tcW w:w="0" w:type="auto"/>
            <w:shd w:val="clear" w:color="auto" w:fill="auto"/>
            <w:noWrap/>
            <w:vAlign w:val="bottom"/>
            <w:hideMark/>
          </w:tcPr>
          <w:p w14:paraId="034D5C9A"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7</w:t>
            </w:r>
          </w:p>
        </w:tc>
        <w:tc>
          <w:tcPr>
            <w:tcW w:w="0" w:type="auto"/>
            <w:shd w:val="clear" w:color="auto" w:fill="auto"/>
            <w:noWrap/>
            <w:vAlign w:val="bottom"/>
            <w:hideMark/>
          </w:tcPr>
          <w:p w14:paraId="49E63020"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02062</w:t>
            </w:r>
          </w:p>
        </w:tc>
        <w:tc>
          <w:tcPr>
            <w:tcW w:w="0" w:type="auto"/>
            <w:shd w:val="clear" w:color="auto" w:fill="auto"/>
            <w:noWrap/>
            <w:vAlign w:val="center"/>
            <w:hideMark/>
          </w:tcPr>
          <w:p w14:paraId="1ED10D9A" w14:textId="56B3D41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Norwood</w:t>
            </w:r>
          </w:p>
        </w:tc>
        <w:tc>
          <w:tcPr>
            <w:tcW w:w="0" w:type="auto"/>
          </w:tcPr>
          <w:p w14:paraId="3CDB6BCB" w14:textId="5BB0C061" w:rsidR="00325465" w:rsidRPr="001444D7" w:rsidRDefault="00B73BFD"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Norfolk</w:t>
            </w:r>
          </w:p>
        </w:tc>
        <w:tc>
          <w:tcPr>
            <w:tcW w:w="0" w:type="auto"/>
            <w:shd w:val="clear" w:color="auto" w:fill="auto"/>
            <w:vAlign w:val="center"/>
            <w:hideMark/>
          </w:tcPr>
          <w:p w14:paraId="55038C7C" w14:textId="0862441B"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04314C17"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70</w:t>
            </w:r>
          </w:p>
        </w:tc>
      </w:tr>
      <w:tr w:rsidR="00325465" w:rsidRPr="001444D7" w14:paraId="01060936" w14:textId="77777777" w:rsidTr="00B0263F">
        <w:trPr>
          <w:trHeight w:val="290"/>
        </w:trPr>
        <w:tc>
          <w:tcPr>
            <w:tcW w:w="0" w:type="auto"/>
            <w:shd w:val="clear" w:color="auto" w:fill="auto"/>
            <w:noWrap/>
            <w:vAlign w:val="bottom"/>
            <w:hideMark/>
          </w:tcPr>
          <w:p w14:paraId="7F830D59"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8</w:t>
            </w:r>
          </w:p>
        </w:tc>
        <w:tc>
          <w:tcPr>
            <w:tcW w:w="0" w:type="auto"/>
            <w:shd w:val="clear" w:color="auto" w:fill="auto"/>
            <w:noWrap/>
            <w:vAlign w:val="bottom"/>
            <w:hideMark/>
          </w:tcPr>
          <w:p w14:paraId="61A41CCB" w14:textId="796A39DE"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02169</w:t>
            </w:r>
          </w:p>
        </w:tc>
        <w:tc>
          <w:tcPr>
            <w:tcW w:w="0" w:type="auto"/>
            <w:shd w:val="clear" w:color="auto" w:fill="auto"/>
            <w:noWrap/>
            <w:vAlign w:val="center"/>
            <w:hideMark/>
          </w:tcPr>
          <w:p w14:paraId="6FF1958C" w14:textId="4BDC1048"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Quincy</w:t>
            </w:r>
          </w:p>
        </w:tc>
        <w:tc>
          <w:tcPr>
            <w:tcW w:w="0" w:type="auto"/>
          </w:tcPr>
          <w:p w14:paraId="69ABAB65" w14:textId="068C605F" w:rsidR="00325465" w:rsidRPr="001444D7" w:rsidRDefault="002B3676"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Norfolk</w:t>
            </w:r>
          </w:p>
        </w:tc>
        <w:tc>
          <w:tcPr>
            <w:tcW w:w="0" w:type="auto"/>
            <w:shd w:val="clear" w:color="auto" w:fill="auto"/>
            <w:vAlign w:val="center"/>
            <w:hideMark/>
          </w:tcPr>
          <w:p w14:paraId="22031B17" w14:textId="1FE32FC0"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6C330550"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67</w:t>
            </w:r>
          </w:p>
        </w:tc>
      </w:tr>
      <w:tr w:rsidR="00325465" w:rsidRPr="001444D7" w14:paraId="6CEEDF4F" w14:textId="77777777" w:rsidTr="00B0263F">
        <w:trPr>
          <w:trHeight w:val="300"/>
        </w:trPr>
        <w:tc>
          <w:tcPr>
            <w:tcW w:w="0" w:type="auto"/>
            <w:shd w:val="clear" w:color="auto" w:fill="auto"/>
            <w:noWrap/>
            <w:vAlign w:val="bottom"/>
            <w:hideMark/>
          </w:tcPr>
          <w:p w14:paraId="5F9C182F"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9</w:t>
            </w:r>
          </w:p>
        </w:tc>
        <w:tc>
          <w:tcPr>
            <w:tcW w:w="0" w:type="auto"/>
            <w:shd w:val="clear" w:color="auto" w:fill="auto"/>
            <w:noWrap/>
            <w:vAlign w:val="bottom"/>
            <w:hideMark/>
          </w:tcPr>
          <w:p w14:paraId="0258AC6E"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02301</w:t>
            </w:r>
          </w:p>
        </w:tc>
        <w:tc>
          <w:tcPr>
            <w:tcW w:w="0" w:type="auto"/>
            <w:shd w:val="clear" w:color="auto" w:fill="auto"/>
            <w:noWrap/>
            <w:vAlign w:val="center"/>
            <w:hideMark/>
          </w:tcPr>
          <w:p w14:paraId="1EDB9F60" w14:textId="54696E26"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Brockton</w:t>
            </w:r>
          </w:p>
        </w:tc>
        <w:tc>
          <w:tcPr>
            <w:tcW w:w="0" w:type="auto"/>
          </w:tcPr>
          <w:p w14:paraId="446DF96C" w14:textId="22E64479" w:rsidR="00325465" w:rsidRPr="001444D7" w:rsidRDefault="002B3676"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Plymouth</w:t>
            </w:r>
          </w:p>
        </w:tc>
        <w:tc>
          <w:tcPr>
            <w:tcW w:w="0" w:type="auto"/>
            <w:shd w:val="clear" w:color="auto" w:fill="auto"/>
            <w:vAlign w:val="center"/>
            <w:hideMark/>
          </w:tcPr>
          <w:p w14:paraId="6A7DEE2E" w14:textId="13E49D29"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7C27566A"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62</w:t>
            </w:r>
          </w:p>
        </w:tc>
      </w:tr>
      <w:tr w:rsidR="00325465" w:rsidRPr="001444D7" w14:paraId="0A8D05F6" w14:textId="77777777" w:rsidTr="00B0263F">
        <w:trPr>
          <w:trHeight w:val="92"/>
        </w:trPr>
        <w:tc>
          <w:tcPr>
            <w:tcW w:w="0" w:type="auto"/>
            <w:shd w:val="clear" w:color="auto" w:fill="auto"/>
            <w:noWrap/>
            <w:vAlign w:val="bottom"/>
            <w:hideMark/>
          </w:tcPr>
          <w:p w14:paraId="22F9C5BF"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10</w:t>
            </w:r>
          </w:p>
        </w:tc>
        <w:tc>
          <w:tcPr>
            <w:tcW w:w="0" w:type="auto"/>
            <w:shd w:val="clear" w:color="auto" w:fill="auto"/>
            <w:noWrap/>
            <w:vAlign w:val="bottom"/>
            <w:hideMark/>
          </w:tcPr>
          <w:p w14:paraId="63240787"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02081</w:t>
            </w:r>
          </w:p>
        </w:tc>
        <w:tc>
          <w:tcPr>
            <w:tcW w:w="0" w:type="auto"/>
            <w:shd w:val="clear" w:color="auto" w:fill="auto"/>
            <w:noWrap/>
            <w:vAlign w:val="center"/>
            <w:hideMark/>
          </w:tcPr>
          <w:p w14:paraId="7841A965" w14:textId="6BB3996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Walpole</w:t>
            </w:r>
          </w:p>
        </w:tc>
        <w:tc>
          <w:tcPr>
            <w:tcW w:w="0" w:type="auto"/>
          </w:tcPr>
          <w:p w14:paraId="46C493C7" w14:textId="5259C8DE" w:rsidR="00325465" w:rsidRPr="001444D7" w:rsidRDefault="002B3676"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Norfolk</w:t>
            </w:r>
          </w:p>
        </w:tc>
        <w:tc>
          <w:tcPr>
            <w:tcW w:w="0" w:type="auto"/>
            <w:shd w:val="clear" w:color="auto" w:fill="auto"/>
            <w:vAlign w:val="center"/>
            <w:hideMark/>
          </w:tcPr>
          <w:p w14:paraId="0A0C825A" w14:textId="5C626B8B"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1CF17783"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58</w:t>
            </w:r>
          </w:p>
        </w:tc>
      </w:tr>
      <w:tr w:rsidR="00325465" w:rsidRPr="001444D7" w14:paraId="11228925" w14:textId="77777777" w:rsidTr="00B0263F">
        <w:trPr>
          <w:trHeight w:val="300"/>
        </w:trPr>
        <w:tc>
          <w:tcPr>
            <w:tcW w:w="0" w:type="auto"/>
            <w:shd w:val="clear" w:color="auto" w:fill="auto"/>
            <w:noWrap/>
            <w:vAlign w:val="bottom"/>
            <w:hideMark/>
          </w:tcPr>
          <w:p w14:paraId="5F2A72A0"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11</w:t>
            </w:r>
          </w:p>
        </w:tc>
        <w:tc>
          <w:tcPr>
            <w:tcW w:w="0" w:type="auto"/>
            <w:shd w:val="clear" w:color="auto" w:fill="auto"/>
            <w:noWrap/>
            <w:vAlign w:val="bottom"/>
            <w:hideMark/>
          </w:tcPr>
          <w:p w14:paraId="7A7C502B"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02125</w:t>
            </w:r>
          </w:p>
        </w:tc>
        <w:tc>
          <w:tcPr>
            <w:tcW w:w="0" w:type="auto"/>
            <w:shd w:val="clear" w:color="auto" w:fill="auto"/>
            <w:noWrap/>
            <w:vAlign w:val="center"/>
            <w:hideMark/>
          </w:tcPr>
          <w:p w14:paraId="0E1C7EFB" w14:textId="64109F9D"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Dorchester</w:t>
            </w:r>
          </w:p>
        </w:tc>
        <w:tc>
          <w:tcPr>
            <w:tcW w:w="0" w:type="auto"/>
          </w:tcPr>
          <w:p w14:paraId="1B748584" w14:textId="0AC87458" w:rsidR="00325465" w:rsidRPr="001444D7" w:rsidRDefault="002B3676"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7640124F" w14:textId="67F41FCA"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130B6A92"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57</w:t>
            </w:r>
          </w:p>
        </w:tc>
      </w:tr>
      <w:tr w:rsidR="00325465" w:rsidRPr="001444D7" w14:paraId="1424D6CD" w14:textId="77777777" w:rsidTr="00B0263F">
        <w:trPr>
          <w:trHeight w:val="300"/>
        </w:trPr>
        <w:tc>
          <w:tcPr>
            <w:tcW w:w="0" w:type="auto"/>
            <w:shd w:val="clear" w:color="auto" w:fill="auto"/>
            <w:noWrap/>
            <w:vAlign w:val="bottom"/>
            <w:hideMark/>
          </w:tcPr>
          <w:p w14:paraId="74F40244"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12</w:t>
            </w:r>
          </w:p>
        </w:tc>
        <w:tc>
          <w:tcPr>
            <w:tcW w:w="0" w:type="auto"/>
            <w:shd w:val="clear" w:color="auto" w:fill="auto"/>
            <w:noWrap/>
            <w:vAlign w:val="bottom"/>
            <w:hideMark/>
          </w:tcPr>
          <w:p w14:paraId="5007E2E3" w14:textId="6CC847D6"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02121</w:t>
            </w:r>
          </w:p>
        </w:tc>
        <w:tc>
          <w:tcPr>
            <w:tcW w:w="0" w:type="auto"/>
            <w:shd w:val="clear" w:color="auto" w:fill="auto"/>
            <w:noWrap/>
            <w:vAlign w:val="center"/>
            <w:hideMark/>
          </w:tcPr>
          <w:p w14:paraId="599805CA"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Dorchester</w:t>
            </w:r>
          </w:p>
        </w:tc>
        <w:tc>
          <w:tcPr>
            <w:tcW w:w="0" w:type="auto"/>
          </w:tcPr>
          <w:p w14:paraId="4B69AD08" w14:textId="4589643D" w:rsidR="00325465" w:rsidRPr="001444D7" w:rsidRDefault="002B3676"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382302BB" w14:textId="7E923E3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322C8C70"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56</w:t>
            </w:r>
          </w:p>
        </w:tc>
      </w:tr>
      <w:tr w:rsidR="00325465" w:rsidRPr="001444D7" w14:paraId="3B758DE3" w14:textId="77777777" w:rsidTr="00B0263F">
        <w:trPr>
          <w:trHeight w:val="300"/>
        </w:trPr>
        <w:tc>
          <w:tcPr>
            <w:tcW w:w="0" w:type="auto"/>
            <w:shd w:val="clear" w:color="auto" w:fill="auto"/>
            <w:noWrap/>
            <w:vAlign w:val="bottom"/>
            <w:hideMark/>
          </w:tcPr>
          <w:p w14:paraId="64512873"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13</w:t>
            </w:r>
          </w:p>
        </w:tc>
        <w:tc>
          <w:tcPr>
            <w:tcW w:w="0" w:type="auto"/>
            <w:shd w:val="clear" w:color="auto" w:fill="auto"/>
            <w:noWrap/>
            <w:vAlign w:val="bottom"/>
            <w:hideMark/>
          </w:tcPr>
          <w:p w14:paraId="1889A38A"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02446</w:t>
            </w:r>
          </w:p>
        </w:tc>
        <w:tc>
          <w:tcPr>
            <w:tcW w:w="0" w:type="auto"/>
            <w:shd w:val="clear" w:color="auto" w:fill="auto"/>
            <w:noWrap/>
            <w:vAlign w:val="center"/>
            <w:hideMark/>
          </w:tcPr>
          <w:p w14:paraId="73539DDA" w14:textId="5A78DBF8"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Brookline</w:t>
            </w:r>
          </w:p>
        </w:tc>
        <w:tc>
          <w:tcPr>
            <w:tcW w:w="0" w:type="auto"/>
          </w:tcPr>
          <w:p w14:paraId="4B710D74" w14:textId="0D2CEEC8" w:rsidR="00325465" w:rsidRPr="001444D7" w:rsidRDefault="00FC7F3C"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Norfolk</w:t>
            </w:r>
          </w:p>
        </w:tc>
        <w:tc>
          <w:tcPr>
            <w:tcW w:w="0" w:type="auto"/>
            <w:shd w:val="clear" w:color="auto" w:fill="auto"/>
            <w:vAlign w:val="center"/>
            <w:hideMark/>
          </w:tcPr>
          <w:p w14:paraId="69DBA14A" w14:textId="38AFCDA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29C77FB5"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55</w:t>
            </w:r>
          </w:p>
        </w:tc>
      </w:tr>
      <w:tr w:rsidR="00325465" w:rsidRPr="001444D7" w14:paraId="3CADDBFF" w14:textId="77777777" w:rsidTr="00B0263F">
        <w:trPr>
          <w:trHeight w:val="300"/>
        </w:trPr>
        <w:tc>
          <w:tcPr>
            <w:tcW w:w="0" w:type="auto"/>
            <w:shd w:val="clear" w:color="auto" w:fill="auto"/>
            <w:noWrap/>
            <w:vAlign w:val="bottom"/>
            <w:hideMark/>
          </w:tcPr>
          <w:p w14:paraId="27D118E1"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14</w:t>
            </w:r>
          </w:p>
        </w:tc>
        <w:tc>
          <w:tcPr>
            <w:tcW w:w="0" w:type="auto"/>
            <w:shd w:val="clear" w:color="auto" w:fill="auto"/>
            <w:noWrap/>
            <w:vAlign w:val="bottom"/>
            <w:hideMark/>
          </w:tcPr>
          <w:p w14:paraId="1BB43A4B" w14:textId="699BA36A"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02184</w:t>
            </w:r>
          </w:p>
        </w:tc>
        <w:tc>
          <w:tcPr>
            <w:tcW w:w="0" w:type="auto"/>
            <w:shd w:val="clear" w:color="auto" w:fill="auto"/>
            <w:noWrap/>
            <w:vAlign w:val="center"/>
            <w:hideMark/>
          </w:tcPr>
          <w:p w14:paraId="6C2D1ED1"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Braintree</w:t>
            </w:r>
          </w:p>
        </w:tc>
        <w:tc>
          <w:tcPr>
            <w:tcW w:w="0" w:type="auto"/>
          </w:tcPr>
          <w:p w14:paraId="2C6BC84D" w14:textId="597BDADE" w:rsidR="00325465" w:rsidRPr="001444D7" w:rsidRDefault="00FC7F3C"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Norfolk</w:t>
            </w:r>
          </w:p>
        </w:tc>
        <w:tc>
          <w:tcPr>
            <w:tcW w:w="0" w:type="auto"/>
            <w:shd w:val="clear" w:color="auto" w:fill="auto"/>
            <w:vAlign w:val="center"/>
            <w:hideMark/>
          </w:tcPr>
          <w:p w14:paraId="1A043462" w14:textId="27E58D5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2E5A6234"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54</w:t>
            </w:r>
          </w:p>
        </w:tc>
      </w:tr>
      <w:tr w:rsidR="00325465" w:rsidRPr="001444D7" w14:paraId="79FF351C" w14:textId="77777777" w:rsidTr="00B0263F">
        <w:trPr>
          <w:trHeight w:val="300"/>
        </w:trPr>
        <w:tc>
          <w:tcPr>
            <w:tcW w:w="0" w:type="auto"/>
            <w:shd w:val="clear" w:color="auto" w:fill="auto"/>
            <w:noWrap/>
            <w:vAlign w:val="bottom"/>
            <w:hideMark/>
          </w:tcPr>
          <w:p w14:paraId="74DDA864"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15</w:t>
            </w:r>
          </w:p>
        </w:tc>
        <w:tc>
          <w:tcPr>
            <w:tcW w:w="0" w:type="auto"/>
            <w:shd w:val="clear" w:color="auto" w:fill="auto"/>
            <w:noWrap/>
            <w:vAlign w:val="bottom"/>
            <w:hideMark/>
          </w:tcPr>
          <w:p w14:paraId="7691ED99" w14:textId="523D4745"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02155</w:t>
            </w:r>
          </w:p>
        </w:tc>
        <w:tc>
          <w:tcPr>
            <w:tcW w:w="0" w:type="auto"/>
            <w:shd w:val="clear" w:color="auto" w:fill="auto"/>
            <w:noWrap/>
            <w:vAlign w:val="center"/>
            <w:hideMark/>
          </w:tcPr>
          <w:p w14:paraId="57550EBA" w14:textId="12D9100C"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Medford</w:t>
            </w:r>
          </w:p>
        </w:tc>
        <w:tc>
          <w:tcPr>
            <w:tcW w:w="0" w:type="auto"/>
          </w:tcPr>
          <w:p w14:paraId="47B8A263" w14:textId="4DD12435" w:rsidR="00325465" w:rsidRPr="001444D7" w:rsidRDefault="001C73A7"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Middlesex</w:t>
            </w:r>
          </w:p>
        </w:tc>
        <w:tc>
          <w:tcPr>
            <w:tcW w:w="0" w:type="auto"/>
            <w:shd w:val="clear" w:color="auto" w:fill="auto"/>
            <w:vAlign w:val="center"/>
            <w:hideMark/>
          </w:tcPr>
          <w:p w14:paraId="7522D10E" w14:textId="7CB5061E"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53BAFDF8"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53</w:t>
            </w:r>
          </w:p>
        </w:tc>
      </w:tr>
      <w:tr w:rsidR="00325465" w:rsidRPr="001444D7" w14:paraId="4EF2F0F2" w14:textId="77777777" w:rsidTr="00B0263F">
        <w:trPr>
          <w:trHeight w:val="300"/>
        </w:trPr>
        <w:tc>
          <w:tcPr>
            <w:tcW w:w="0" w:type="auto"/>
            <w:shd w:val="clear" w:color="auto" w:fill="auto"/>
            <w:noWrap/>
            <w:vAlign w:val="bottom"/>
            <w:hideMark/>
          </w:tcPr>
          <w:p w14:paraId="4EA5648A"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16</w:t>
            </w:r>
          </w:p>
        </w:tc>
        <w:tc>
          <w:tcPr>
            <w:tcW w:w="0" w:type="auto"/>
            <w:shd w:val="clear" w:color="auto" w:fill="auto"/>
            <w:noWrap/>
            <w:vAlign w:val="bottom"/>
            <w:hideMark/>
          </w:tcPr>
          <w:p w14:paraId="3A0ED53B" w14:textId="2C495D79"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02780</w:t>
            </w:r>
          </w:p>
        </w:tc>
        <w:tc>
          <w:tcPr>
            <w:tcW w:w="0" w:type="auto"/>
            <w:shd w:val="clear" w:color="auto" w:fill="auto"/>
            <w:noWrap/>
            <w:vAlign w:val="center"/>
            <w:hideMark/>
          </w:tcPr>
          <w:p w14:paraId="6616FCC4"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Taunton</w:t>
            </w:r>
          </w:p>
        </w:tc>
        <w:tc>
          <w:tcPr>
            <w:tcW w:w="0" w:type="auto"/>
          </w:tcPr>
          <w:p w14:paraId="6826C928" w14:textId="7F8857E7" w:rsidR="00325465" w:rsidRPr="001444D7" w:rsidRDefault="001C73A7"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Bristol</w:t>
            </w:r>
          </w:p>
        </w:tc>
        <w:tc>
          <w:tcPr>
            <w:tcW w:w="0" w:type="auto"/>
            <w:shd w:val="clear" w:color="auto" w:fill="auto"/>
            <w:vAlign w:val="center"/>
            <w:hideMark/>
          </w:tcPr>
          <w:p w14:paraId="1AEBDE38" w14:textId="10D2201E"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65B8DD36"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52</w:t>
            </w:r>
          </w:p>
        </w:tc>
      </w:tr>
      <w:tr w:rsidR="00325465" w:rsidRPr="001444D7" w14:paraId="7B00F061" w14:textId="77777777" w:rsidTr="00B0263F">
        <w:trPr>
          <w:trHeight w:val="300"/>
        </w:trPr>
        <w:tc>
          <w:tcPr>
            <w:tcW w:w="0" w:type="auto"/>
            <w:shd w:val="clear" w:color="auto" w:fill="auto"/>
            <w:noWrap/>
            <w:vAlign w:val="bottom"/>
            <w:hideMark/>
          </w:tcPr>
          <w:p w14:paraId="591245A9"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17</w:t>
            </w:r>
          </w:p>
        </w:tc>
        <w:tc>
          <w:tcPr>
            <w:tcW w:w="0" w:type="auto"/>
            <w:shd w:val="clear" w:color="auto" w:fill="auto"/>
            <w:noWrap/>
            <w:vAlign w:val="bottom"/>
            <w:hideMark/>
          </w:tcPr>
          <w:p w14:paraId="2D075264"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02115</w:t>
            </w:r>
          </w:p>
        </w:tc>
        <w:tc>
          <w:tcPr>
            <w:tcW w:w="0" w:type="auto"/>
            <w:shd w:val="clear" w:color="auto" w:fill="auto"/>
            <w:noWrap/>
            <w:vAlign w:val="center"/>
            <w:hideMark/>
          </w:tcPr>
          <w:p w14:paraId="0CF092AF" w14:textId="1593BEE1"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Boston</w:t>
            </w:r>
          </w:p>
        </w:tc>
        <w:tc>
          <w:tcPr>
            <w:tcW w:w="0" w:type="auto"/>
          </w:tcPr>
          <w:p w14:paraId="136334B0" w14:textId="409F7649" w:rsidR="00325465" w:rsidRPr="001444D7" w:rsidRDefault="00D51612"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0437FA93" w14:textId="02BFCE8A"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72949950"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49</w:t>
            </w:r>
          </w:p>
        </w:tc>
      </w:tr>
      <w:tr w:rsidR="00325465" w:rsidRPr="001444D7" w14:paraId="7BABAAA3" w14:textId="77777777" w:rsidTr="00B0263F">
        <w:trPr>
          <w:trHeight w:val="300"/>
        </w:trPr>
        <w:tc>
          <w:tcPr>
            <w:tcW w:w="0" w:type="auto"/>
            <w:shd w:val="clear" w:color="auto" w:fill="auto"/>
            <w:noWrap/>
            <w:vAlign w:val="bottom"/>
            <w:hideMark/>
          </w:tcPr>
          <w:p w14:paraId="6E12C5A7"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18</w:t>
            </w:r>
          </w:p>
        </w:tc>
        <w:tc>
          <w:tcPr>
            <w:tcW w:w="0" w:type="auto"/>
            <w:shd w:val="clear" w:color="auto" w:fill="auto"/>
            <w:noWrap/>
            <w:vAlign w:val="bottom"/>
            <w:hideMark/>
          </w:tcPr>
          <w:p w14:paraId="613580CA"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02474</w:t>
            </w:r>
          </w:p>
        </w:tc>
        <w:tc>
          <w:tcPr>
            <w:tcW w:w="0" w:type="auto"/>
            <w:shd w:val="clear" w:color="auto" w:fill="auto"/>
            <w:noWrap/>
            <w:vAlign w:val="center"/>
            <w:hideMark/>
          </w:tcPr>
          <w:p w14:paraId="5C9ABF97" w14:textId="600E81FF"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Arlington</w:t>
            </w:r>
          </w:p>
        </w:tc>
        <w:tc>
          <w:tcPr>
            <w:tcW w:w="0" w:type="auto"/>
          </w:tcPr>
          <w:p w14:paraId="7D24A619" w14:textId="32CDD114" w:rsidR="00325465" w:rsidRPr="001444D7" w:rsidRDefault="00D51612"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Middlesex</w:t>
            </w:r>
          </w:p>
        </w:tc>
        <w:tc>
          <w:tcPr>
            <w:tcW w:w="0" w:type="auto"/>
            <w:shd w:val="clear" w:color="auto" w:fill="auto"/>
            <w:vAlign w:val="center"/>
            <w:hideMark/>
          </w:tcPr>
          <w:p w14:paraId="37B4E783" w14:textId="62F57209"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32225665"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49</w:t>
            </w:r>
          </w:p>
        </w:tc>
      </w:tr>
      <w:tr w:rsidR="00325465" w:rsidRPr="001444D7" w14:paraId="64054076" w14:textId="77777777" w:rsidTr="00B0263F">
        <w:trPr>
          <w:trHeight w:val="300"/>
        </w:trPr>
        <w:tc>
          <w:tcPr>
            <w:tcW w:w="0" w:type="auto"/>
            <w:shd w:val="clear" w:color="auto" w:fill="auto"/>
            <w:noWrap/>
            <w:vAlign w:val="bottom"/>
            <w:hideMark/>
          </w:tcPr>
          <w:p w14:paraId="03BE205C"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19</w:t>
            </w:r>
          </w:p>
        </w:tc>
        <w:tc>
          <w:tcPr>
            <w:tcW w:w="0" w:type="auto"/>
            <w:shd w:val="clear" w:color="auto" w:fill="auto"/>
            <w:noWrap/>
            <w:vAlign w:val="bottom"/>
            <w:hideMark/>
          </w:tcPr>
          <w:p w14:paraId="2FEC27B0"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02119</w:t>
            </w:r>
          </w:p>
        </w:tc>
        <w:tc>
          <w:tcPr>
            <w:tcW w:w="0" w:type="auto"/>
            <w:shd w:val="clear" w:color="auto" w:fill="auto"/>
            <w:noWrap/>
            <w:vAlign w:val="center"/>
            <w:hideMark/>
          </w:tcPr>
          <w:p w14:paraId="11BB629B" w14:textId="279DFFAF"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Roxbury</w:t>
            </w:r>
          </w:p>
        </w:tc>
        <w:tc>
          <w:tcPr>
            <w:tcW w:w="0" w:type="auto"/>
          </w:tcPr>
          <w:p w14:paraId="4FE0B59F" w14:textId="142F5D87" w:rsidR="00325465" w:rsidRPr="001444D7" w:rsidRDefault="00D51612"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Suffolk</w:t>
            </w:r>
          </w:p>
        </w:tc>
        <w:tc>
          <w:tcPr>
            <w:tcW w:w="0" w:type="auto"/>
            <w:shd w:val="clear" w:color="auto" w:fill="auto"/>
            <w:vAlign w:val="center"/>
            <w:hideMark/>
          </w:tcPr>
          <w:p w14:paraId="5CC29BB7" w14:textId="3C818539"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30DC994B"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48</w:t>
            </w:r>
          </w:p>
        </w:tc>
      </w:tr>
      <w:tr w:rsidR="00325465" w:rsidRPr="001444D7" w14:paraId="190342EA" w14:textId="77777777" w:rsidTr="00B0263F">
        <w:trPr>
          <w:trHeight w:val="300"/>
        </w:trPr>
        <w:tc>
          <w:tcPr>
            <w:tcW w:w="0" w:type="auto"/>
            <w:shd w:val="clear" w:color="auto" w:fill="auto"/>
            <w:noWrap/>
            <w:vAlign w:val="bottom"/>
            <w:hideMark/>
          </w:tcPr>
          <w:p w14:paraId="3886D0F3" w14:textId="77777777" w:rsidR="00325465" w:rsidRPr="001444D7" w:rsidRDefault="00325465" w:rsidP="00F979C3">
            <w:pPr>
              <w:widowControl/>
              <w:autoSpaceDE/>
              <w:autoSpaceDN/>
              <w:jc w:val="right"/>
              <w:rPr>
                <w:rFonts w:asciiTheme="minorHAnsi" w:eastAsia="Times New Roman" w:hAnsiTheme="minorHAnsi"/>
                <w:color w:val="000000"/>
                <w:szCs w:val="24"/>
              </w:rPr>
            </w:pPr>
            <w:r w:rsidRPr="001444D7">
              <w:rPr>
                <w:rFonts w:asciiTheme="minorHAnsi" w:eastAsia="Times New Roman" w:hAnsiTheme="minorHAnsi"/>
                <w:color w:val="000000"/>
                <w:szCs w:val="24"/>
              </w:rPr>
              <w:t>20</w:t>
            </w:r>
          </w:p>
        </w:tc>
        <w:tc>
          <w:tcPr>
            <w:tcW w:w="0" w:type="auto"/>
            <w:shd w:val="clear" w:color="auto" w:fill="auto"/>
            <w:noWrap/>
            <w:vAlign w:val="bottom"/>
            <w:hideMark/>
          </w:tcPr>
          <w:p w14:paraId="270ACB34"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02148</w:t>
            </w:r>
          </w:p>
        </w:tc>
        <w:tc>
          <w:tcPr>
            <w:tcW w:w="0" w:type="auto"/>
            <w:shd w:val="clear" w:color="auto" w:fill="auto"/>
            <w:noWrap/>
            <w:vAlign w:val="center"/>
            <w:hideMark/>
          </w:tcPr>
          <w:p w14:paraId="642243F5" w14:textId="7366B390"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Malden</w:t>
            </w:r>
          </w:p>
        </w:tc>
        <w:tc>
          <w:tcPr>
            <w:tcW w:w="0" w:type="auto"/>
          </w:tcPr>
          <w:p w14:paraId="5DFA711B" w14:textId="2CA13048" w:rsidR="00325465" w:rsidRPr="001444D7" w:rsidRDefault="0004679C"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Middlesex</w:t>
            </w:r>
          </w:p>
        </w:tc>
        <w:tc>
          <w:tcPr>
            <w:tcW w:w="0" w:type="auto"/>
            <w:shd w:val="clear" w:color="auto" w:fill="auto"/>
            <w:vAlign w:val="center"/>
            <w:hideMark/>
          </w:tcPr>
          <w:p w14:paraId="11960571" w14:textId="291677B0"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MA</w:t>
            </w:r>
          </w:p>
        </w:tc>
        <w:tc>
          <w:tcPr>
            <w:tcW w:w="0" w:type="auto"/>
            <w:shd w:val="clear" w:color="auto" w:fill="auto"/>
            <w:vAlign w:val="center"/>
            <w:hideMark/>
          </w:tcPr>
          <w:p w14:paraId="435B880F" w14:textId="77777777" w:rsidR="00325465" w:rsidRPr="001444D7" w:rsidRDefault="00325465"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48</w:t>
            </w:r>
          </w:p>
        </w:tc>
      </w:tr>
    </w:tbl>
    <w:p w14:paraId="4410B1BE" w14:textId="77777777" w:rsidR="00F979C3" w:rsidRDefault="00F979C3" w:rsidP="00700F2C">
      <w:pPr>
        <w:rPr>
          <w:rFonts w:asciiTheme="minorHAnsi" w:hAnsiTheme="minorHAnsi"/>
          <w:szCs w:val="24"/>
        </w:rPr>
      </w:pPr>
    </w:p>
    <w:p w14:paraId="171C0D53" w14:textId="77777777" w:rsidR="00CE4DC6" w:rsidRDefault="00FB7BC8" w:rsidP="004B1ACE">
      <w:pPr>
        <w:rPr>
          <w:rFonts w:asciiTheme="minorHAnsi" w:hAnsiTheme="minorHAnsi"/>
        </w:rPr>
      </w:pPr>
      <w:r w:rsidRPr="00FB7BC8">
        <w:rPr>
          <w:rFonts w:asciiTheme="minorHAnsi" w:hAnsiTheme="minorHAnsi"/>
        </w:rPr>
        <w:t>The Applicant states that it provides care to the most acute patients with cancer in the Commonwealth, and that its Patient Panel, on average, has higher acuity conditions than most other providers’ panels and tends to require more complex and prolonged inpatient management and intervention</w:t>
      </w:r>
      <w:r>
        <w:rPr>
          <w:rFonts w:asciiTheme="minorHAnsi" w:hAnsiTheme="minorHAnsi"/>
        </w:rPr>
        <w:t xml:space="preserve">. </w:t>
      </w:r>
      <w:r w:rsidR="00565D74" w:rsidRPr="321A0106">
        <w:rPr>
          <w:rFonts w:asciiTheme="minorHAnsi" w:hAnsiTheme="minorHAnsi"/>
        </w:rPr>
        <w:t xml:space="preserve">The Applicant states </w:t>
      </w:r>
      <w:r w:rsidR="00E30136">
        <w:rPr>
          <w:rFonts w:asciiTheme="minorHAnsi" w:hAnsiTheme="minorHAnsi"/>
        </w:rPr>
        <w:t xml:space="preserve">that </w:t>
      </w:r>
      <w:r w:rsidR="00565D74" w:rsidRPr="321A0106">
        <w:rPr>
          <w:rFonts w:asciiTheme="minorHAnsi" w:hAnsiTheme="minorHAnsi"/>
        </w:rPr>
        <w:t xml:space="preserve">its case mix index (CMI) for medical oncology patients is </w:t>
      </w:r>
      <w:r w:rsidR="00E30136">
        <w:rPr>
          <w:rFonts w:asciiTheme="minorHAnsi" w:hAnsiTheme="minorHAnsi"/>
        </w:rPr>
        <w:t>higher</w:t>
      </w:r>
      <w:r w:rsidR="00E30136" w:rsidRPr="321A0106">
        <w:rPr>
          <w:rFonts w:asciiTheme="minorHAnsi" w:hAnsiTheme="minorHAnsi"/>
        </w:rPr>
        <w:t xml:space="preserve"> </w:t>
      </w:r>
      <w:r w:rsidR="00565D74" w:rsidRPr="321A0106">
        <w:rPr>
          <w:rFonts w:asciiTheme="minorHAnsi" w:hAnsiTheme="minorHAnsi"/>
        </w:rPr>
        <w:t xml:space="preserve">than any other provider in the Commonwealth, based on CHIA </w:t>
      </w:r>
      <w:r w:rsidR="0097061F">
        <w:rPr>
          <w:rFonts w:asciiTheme="minorHAnsi" w:hAnsiTheme="minorHAnsi"/>
        </w:rPr>
        <w:t xml:space="preserve">All-Payer Claims Database </w:t>
      </w:r>
      <w:r w:rsidR="0097061F">
        <w:rPr>
          <w:rFonts w:asciiTheme="minorHAnsi" w:hAnsiTheme="minorHAnsi"/>
        </w:rPr>
        <w:lastRenderedPageBreak/>
        <w:t>(</w:t>
      </w:r>
      <w:r w:rsidR="00565D74" w:rsidRPr="321A0106">
        <w:rPr>
          <w:rFonts w:asciiTheme="minorHAnsi" w:hAnsiTheme="minorHAnsi"/>
        </w:rPr>
        <w:t>APCD</w:t>
      </w:r>
      <w:r w:rsidR="0097061F">
        <w:rPr>
          <w:rFonts w:asciiTheme="minorHAnsi" w:hAnsiTheme="minorHAnsi"/>
        </w:rPr>
        <w:t>)</w:t>
      </w:r>
      <w:r w:rsidR="00565D74" w:rsidRPr="321A0106">
        <w:rPr>
          <w:rFonts w:asciiTheme="minorHAnsi" w:hAnsiTheme="minorHAnsi"/>
        </w:rPr>
        <w:t xml:space="preserve"> data.</w:t>
      </w:r>
      <w:r w:rsidR="00565D74" w:rsidRPr="321A0106">
        <w:rPr>
          <w:rFonts w:asciiTheme="minorHAnsi" w:hAnsiTheme="minorHAnsi"/>
          <w:vertAlign w:val="superscript"/>
        </w:rPr>
        <w:footnoteReference w:id="32"/>
      </w:r>
      <w:r w:rsidR="00565D74" w:rsidRPr="321A0106">
        <w:rPr>
          <w:rFonts w:asciiTheme="minorHAnsi" w:hAnsiTheme="minorHAnsi"/>
        </w:rPr>
        <w:t xml:space="preserve"> </w:t>
      </w:r>
    </w:p>
    <w:p w14:paraId="3F6AB7E1" w14:textId="77777777" w:rsidR="00CE4DC6" w:rsidRDefault="00CE4DC6" w:rsidP="004B1ACE">
      <w:pPr>
        <w:rPr>
          <w:rFonts w:asciiTheme="minorHAnsi" w:hAnsiTheme="minorHAnsi"/>
        </w:rPr>
      </w:pPr>
    </w:p>
    <w:p w14:paraId="10931952" w14:textId="3E5443FF" w:rsidR="00737E4F" w:rsidRPr="00906DA3" w:rsidRDefault="000B09A9" w:rsidP="004B1ACE">
      <w:pPr>
        <w:rPr>
          <w:rFonts w:asciiTheme="minorHAnsi" w:hAnsiTheme="minorHAnsi"/>
        </w:rPr>
      </w:pPr>
      <w:r>
        <w:rPr>
          <w:rFonts w:asciiTheme="minorHAnsi" w:hAnsiTheme="minorHAnsi"/>
        </w:rPr>
        <w:t xml:space="preserve">The Applicant maintains that there is insufficient </w:t>
      </w:r>
      <w:r w:rsidR="0091479C">
        <w:rPr>
          <w:rFonts w:asciiTheme="minorHAnsi" w:hAnsiTheme="minorHAnsi"/>
        </w:rPr>
        <w:t>inpatient bed</w:t>
      </w:r>
      <w:r w:rsidR="00BF5809">
        <w:rPr>
          <w:rFonts w:asciiTheme="minorHAnsi" w:hAnsiTheme="minorHAnsi"/>
        </w:rPr>
        <w:t xml:space="preserve"> capacity</w:t>
      </w:r>
      <w:r w:rsidR="0091479C">
        <w:rPr>
          <w:rFonts w:asciiTheme="minorHAnsi" w:hAnsiTheme="minorHAnsi"/>
        </w:rPr>
        <w:t xml:space="preserve"> to care for</w:t>
      </w:r>
      <w:r w:rsidR="00EE0A87">
        <w:rPr>
          <w:rFonts w:asciiTheme="minorHAnsi" w:hAnsiTheme="minorHAnsi"/>
        </w:rPr>
        <w:t xml:space="preserve"> higher acuity patients</w:t>
      </w:r>
      <w:r w:rsidR="00BF5809">
        <w:rPr>
          <w:rFonts w:asciiTheme="minorHAnsi" w:hAnsiTheme="minorHAnsi"/>
        </w:rPr>
        <w:t xml:space="preserve"> with cancer</w:t>
      </w:r>
      <w:r w:rsidR="00EE0A87">
        <w:rPr>
          <w:rFonts w:asciiTheme="minorHAnsi" w:hAnsiTheme="minorHAnsi"/>
        </w:rPr>
        <w:t xml:space="preserve">. </w:t>
      </w:r>
      <w:r w:rsidR="00565D74" w:rsidRPr="321A0106">
        <w:rPr>
          <w:rFonts w:asciiTheme="minorHAnsi" w:hAnsiTheme="minorHAnsi"/>
        </w:rPr>
        <w:t>The Applicant estimates that the average daily census (ADC) (the average number of inpatient stays for a day in a hospital over a designated period of time), in FY23 was approximately 116% of oncology allocated beds it manages with BWH.</w:t>
      </w:r>
      <w:r w:rsidR="00565D74">
        <w:rPr>
          <w:rStyle w:val="FootnoteReference"/>
          <w:rFonts w:asciiTheme="minorHAnsi" w:hAnsiTheme="minorHAnsi"/>
        </w:rPr>
        <w:footnoteReference w:id="33"/>
      </w:r>
      <w:r w:rsidR="00565D74" w:rsidRPr="321A0106">
        <w:rPr>
          <w:rFonts w:asciiTheme="minorHAnsi" w:hAnsiTheme="minorHAnsi"/>
        </w:rPr>
        <w:t xml:space="preserve"> </w:t>
      </w:r>
    </w:p>
    <w:p w14:paraId="674B87F4" w14:textId="77777777" w:rsidR="00D65754" w:rsidRDefault="00D65754" w:rsidP="004B1ACE">
      <w:pPr>
        <w:rPr>
          <w:rFonts w:asciiTheme="minorHAnsi" w:hAnsiTheme="minorHAnsi"/>
          <w:bCs/>
          <w:szCs w:val="24"/>
        </w:rPr>
      </w:pPr>
    </w:p>
    <w:p w14:paraId="7C476BC5" w14:textId="35ACCD73" w:rsidR="005F67FF" w:rsidRPr="005F67FF" w:rsidRDefault="005F67FF" w:rsidP="005F67FF">
      <w:pPr>
        <w:rPr>
          <w:rFonts w:asciiTheme="minorHAnsi" w:hAnsiTheme="minorHAnsi"/>
          <w:bCs/>
          <w:szCs w:val="24"/>
        </w:rPr>
      </w:pPr>
      <w:r>
        <w:rPr>
          <w:rFonts w:asciiTheme="minorHAnsi" w:hAnsiTheme="minorHAnsi"/>
          <w:bCs/>
          <w:szCs w:val="24"/>
        </w:rPr>
        <w:t xml:space="preserve">Table </w:t>
      </w:r>
      <w:r w:rsidR="0028244D">
        <w:rPr>
          <w:rFonts w:asciiTheme="minorHAnsi" w:hAnsiTheme="minorHAnsi"/>
          <w:bCs/>
          <w:szCs w:val="24"/>
        </w:rPr>
        <w:t>12</w:t>
      </w:r>
      <w:r>
        <w:rPr>
          <w:rFonts w:asciiTheme="minorHAnsi" w:hAnsiTheme="minorHAnsi"/>
          <w:bCs/>
          <w:szCs w:val="24"/>
        </w:rPr>
        <w:t xml:space="preserve"> shows </w:t>
      </w:r>
      <w:r w:rsidRPr="005F67FF">
        <w:rPr>
          <w:rFonts w:asciiTheme="minorHAnsi" w:hAnsiTheme="minorHAnsi"/>
          <w:bCs/>
          <w:szCs w:val="24"/>
        </w:rPr>
        <w:t xml:space="preserve">CMI, </w:t>
      </w:r>
      <w:r w:rsidR="00D65754">
        <w:rPr>
          <w:rFonts w:asciiTheme="minorHAnsi" w:hAnsiTheme="minorHAnsi"/>
          <w:bCs/>
          <w:szCs w:val="24"/>
        </w:rPr>
        <w:t>average length of stay (</w:t>
      </w:r>
      <w:r w:rsidRPr="005F67FF">
        <w:rPr>
          <w:rFonts w:asciiTheme="minorHAnsi" w:hAnsiTheme="minorHAnsi"/>
          <w:bCs/>
          <w:szCs w:val="24"/>
        </w:rPr>
        <w:t>ALOS</w:t>
      </w:r>
      <w:r w:rsidR="00D65754">
        <w:rPr>
          <w:rFonts w:asciiTheme="minorHAnsi" w:hAnsiTheme="minorHAnsi"/>
          <w:bCs/>
          <w:szCs w:val="24"/>
        </w:rPr>
        <w:t>)</w:t>
      </w:r>
      <w:r w:rsidRPr="005F67FF">
        <w:rPr>
          <w:rFonts w:asciiTheme="minorHAnsi" w:hAnsiTheme="minorHAnsi"/>
          <w:bCs/>
          <w:szCs w:val="24"/>
        </w:rPr>
        <w:t>, ADC, and patient days for BIDMC, separate from Dana-Farber and BWH, and then for BIDMC, and Dana-Farber and BWH combined</w:t>
      </w:r>
      <w:r w:rsidR="00476238">
        <w:rPr>
          <w:rFonts w:asciiTheme="minorHAnsi" w:hAnsiTheme="minorHAnsi"/>
          <w:bCs/>
          <w:szCs w:val="24"/>
        </w:rPr>
        <w:t xml:space="preserve">. </w:t>
      </w:r>
      <w:r w:rsidR="00C42E0E">
        <w:rPr>
          <w:rFonts w:asciiTheme="minorHAnsi" w:hAnsiTheme="minorHAnsi"/>
          <w:bCs/>
          <w:szCs w:val="24"/>
        </w:rPr>
        <w:t xml:space="preserve">Table </w:t>
      </w:r>
      <w:r w:rsidR="0021306C">
        <w:rPr>
          <w:rFonts w:asciiTheme="minorHAnsi" w:hAnsiTheme="minorHAnsi"/>
          <w:bCs/>
          <w:szCs w:val="24"/>
        </w:rPr>
        <w:t>12</w:t>
      </w:r>
      <w:r w:rsidR="00476238">
        <w:rPr>
          <w:rFonts w:asciiTheme="minorHAnsi" w:hAnsiTheme="minorHAnsi"/>
          <w:bCs/>
          <w:szCs w:val="24"/>
        </w:rPr>
        <w:t xml:space="preserve"> i</w:t>
      </w:r>
      <w:r w:rsidR="00476238" w:rsidRPr="00476238">
        <w:rPr>
          <w:rFonts w:asciiTheme="minorHAnsi" w:hAnsiTheme="minorHAnsi"/>
          <w:bCs/>
          <w:szCs w:val="24"/>
        </w:rPr>
        <w:t xml:space="preserve">ncludes CHIA data for Dana-Farber, BWH and BIDMC. </w:t>
      </w:r>
      <w:r w:rsidR="00476238">
        <w:rPr>
          <w:rFonts w:asciiTheme="minorHAnsi" w:hAnsiTheme="minorHAnsi"/>
          <w:bCs/>
          <w:szCs w:val="24"/>
        </w:rPr>
        <w:t xml:space="preserve">The Applicant states </w:t>
      </w:r>
      <w:r w:rsidR="00476238" w:rsidRPr="00476238">
        <w:rPr>
          <w:rFonts w:asciiTheme="minorHAnsi" w:hAnsiTheme="minorHAnsi"/>
          <w:bCs/>
          <w:szCs w:val="24"/>
        </w:rPr>
        <w:t>FY23 is not yet available through CHIA</w:t>
      </w:r>
      <w:r w:rsidR="00A555F5" w:rsidRPr="00A555F5">
        <w:rPr>
          <w:rFonts w:asciiTheme="minorHAnsi" w:hAnsiTheme="minorHAnsi"/>
          <w:bCs/>
          <w:szCs w:val="24"/>
        </w:rPr>
        <w:t xml:space="preserve"> </w:t>
      </w:r>
      <w:r w:rsidR="00A555F5">
        <w:rPr>
          <w:rFonts w:asciiTheme="minorHAnsi" w:hAnsiTheme="minorHAnsi"/>
          <w:bCs/>
          <w:szCs w:val="24"/>
        </w:rPr>
        <w:t xml:space="preserve">and </w:t>
      </w:r>
      <w:r w:rsidR="00A555F5" w:rsidRPr="00A555F5">
        <w:rPr>
          <w:rFonts w:asciiTheme="minorHAnsi" w:hAnsiTheme="minorHAnsi"/>
          <w:bCs/>
          <w:szCs w:val="24"/>
        </w:rPr>
        <w:t>that it omitted FY20 due to COVID-19</w:t>
      </w:r>
      <w:r w:rsidR="00476238" w:rsidRPr="00476238">
        <w:rPr>
          <w:rFonts w:asciiTheme="minorHAnsi" w:hAnsiTheme="minorHAnsi"/>
          <w:bCs/>
          <w:szCs w:val="24"/>
        </w:rPr>
        <w:t>.</w:t>
      </w:r>
      <w:r w:rsidR="00447EF0" w:rsidRPr="00447EF0">
        <w:rPr>
          <w:rFonts w:asciiTheme="minorHAnsi" w:hAnsiTheme="minorHAnsi"/>
          <w:bCs/>
          <w:szCs w:val="24"/>
        </w:rPr>
        <w:t xml:space="preserve"> The Applicant explained that compared to the ADC for CY19, the COVID-19 pandemic had a significant impact on the ADC in the following year citing a 13%, 59%, and 21% reduction in its daily census in its licensed beds in March, April and May of 2020. Additionally, the Applicant states that between March and December 2020, its ADC had decreased by approximately 16% as compared to the ADC for CY19. </w:t>
      </w:r>
    </w:p>
    <w:p w14:paraId="0A4792D2" w14:textId="77777777" w:rsidR="00144D23" w:rsidRPr="00565D74" w:rsidRDefault="00144D23" w:rsidP="004B1ACE">
      <w:pPr>
        <w:rPr>
          <w:rFonts w:asciiTheme="minorHAnsi" w:hAnsiTheme="minorHAnsi"/>
          <w:bCs/>
          <w:szCs w:val="24"/>
        </w:rPr>
      </w:pPr>
    </w:p>
    <w:p w14:paraId="27A131C8" w14:textId="1E3BFC80" w:rsidR="00373144" w:rsidRPr="00737E4F" w:rsidRDefault="00737E4F" w:rsidP="004B1ACE">
      <w:pPr>
        <w:rPr>
          <w:rFonts w:asciiTheme="minorHAnsi" w:hAnsiTheme="minorHAnsi"/>
          <w:b/>
          <w:bCs/>
          <w:szCs w:val="24"/>
        </w:rPr>
      </w:pPr>
      <w:r w:rsidRPr="00737E4F">
        <w:rPr>
          <w:rFonts w:asciiTheme="minorHAnsi" w:hAnsiTheme="minorHAnsi"/>
          <w:b/>
          <w:bCs/>
          <w:szCs w:val="24"/>
          <w:u w:val="single"/>
        </w:rPr>
        <w:t xml:space="preserve">Table </w:t>
      </w:r>
      <w:r w:rsidR="0028244D">
        <w:rPr>
          <w:rFonts w:asciiTheme="minorHAnsi" w:hAnsiTheme="minorHAnsi"/>
          <w:b/>
          <w:bCs/>
          <w:szCs w:val="24"/>
          <w:u w:val="single"/>
        </w:rPr>
        <w:t>12</w:t>
      </w:r>
      <w:r w:rsidRPr="00737E4F">
        <w:rPr>
          <w:rFonts w:asciiTheme="minorHAnsi" w:hAnsiTheme="minorHAnsi"/>
          <w:b/>
          <w:bCs/>
          <w:szCs w:val="24"/>
        </w:rPr>
        <w:t>: Patient Days, ALOS, ADC and CMI, by Hospital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873"/>
        <w:gridCol w:w="873"/>
        <w:gridCol w:w="695"/>
        <w:gridCol w:w="873"/>
        <w:gridCol w:w="873"/>
        <w:gridCol w:w="695"/>
        <w:gridCol w:w="1246"/>
      </w:tblGrid>
      <w:tr w:rsidR="009B6B4F" w:rsidRPr="00E52C17" w14:paraId="418C3D61" w14:textId="780B170F" w:rsidTr="001D3D9D">
        <w:trPr>
          <w:cantSplit/>
          <w:trHeight w:val="290"/>
          <w:tblHeader/>
        </w:trPr>
        <w:tc>
          <w:tcPr>
            <w:tcW w:w="0" w:type="auto"/>
            <w:shd w:val="clear" w:color="auto" w:fill="auto"/>
            <w:vAlign w:val="center"/>
            <w:hideMark/>
          </w:tcPr>
          <w:p w14:paraId="215938A3" w14:textId="77777777" w:rsidR="009B6B4F" w:rsidRPr="001444D7" w:rsidRDefault="009B6B4F" w:rsidP="004D0AF2">
            <w:pPr>
              <w:widowControl/>
              <w:autoSpaceDE/>
              <w:autoSpaceDN/>
              <w:rPr>
                <w:rFonts w:eastAsia="Times New Roman" w:cs="Calibri"/>
                <w:color w:val="000000"/>
                <w:szCs w:val="24"/>
              </w:rPr>
            </w:pPr>
            <w:r w:rsidRPr="001444D7">
              <w:rPr>
                <w:rFonts w:eastAsia="Times New Roman" w:cs="Calibri"/>
                <w:color w:val="000000"/>
                <w:szCs w:val="24"/>
              </w:rPr>
              <w:t> </w:t>
            </w:r>
          </w:p>
        </w:tc>
        <w:tc>
          <w:tcPr>
            <w:tcW w:w="0" w:type="auto"/>
            <w:shd w:val="clear" w:color="auto" w:fill="DBE5F1" w:themeFill="accent1" w:themeFillTint="33"/>
            <w:vAlign w:val="center"/>
            <w:hideMark/>
          </w:tcPr>
          <w:p w14:paraId="76DE7ADC" w14:textId="77777777"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pacing w:val="-4"/>
                <w:szCs w:val="24"/>
              </w:rPr>
              <w:t>FY18</w:t>
            </w:r>
          </w:p>
        </w:tc>
        <w:tc>
          <w:tcPr>
            <w:tcW w:w="0" w:type="auto"/>
            <w:shd w:val="clear" w:color="auto" w:fill="DBE5F1" w:themeFill="accent1" w:themeFillTint="33"/>
            <w:vAlign w:val="center"/>
            <w:hideMark/>
          </w:tcPr>
          <w:p w14:paraId="501C4C39" w14:textId="77777777"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pacing w:val="-4"/>
                <w:szCs w:val="24"/>
              </w:rPr>
              <w:t>FY19</w:t>
            </w:r>
          </w:p>
        </w:tc>
        <w:tc>
          <w:tcPr>
            <w:tcW w:w="0" w:type="auto"/>
            <w:shd w:val="clear" w:color="auto" w:fill="DBE5F1" w:themeFill="accent1" w:themeFillTint="33"/>
            <w:vAlign w:val="center"/>
            <w:hideMark/>
          </w:tcPr>
          <w:p w14:paraId="68A4FBC0" w14:textId="77777777"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zCs w:val="24"/>
              </w:rPr>
              <w:t>FY20</w:t>
            </w:r>
          </w:p>
        </w:tc>
        <w:tc>
          <w:tcPr>
            <w:tcW w:w="0" w:type="auto"/>
            <w:shd w:val="clear" w:color="auto" w:fill="DBE5F1" w:themeFill="accent1" w:themeFillTint="33"/>
            <w:vAlign w:val="center"/>
            <w:hideMark/>
          </w:tcPr>
          <w:p w14:paraId="1C5AD4D0" w14:textId="77777777"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pacing w:val="-4"/>
                <w:szCs w:val="24"/>
              </w:rPr>
              <w:t>FY21</w:t>
            </w:r>
          </w:p>
        </w:tc>
        <w:tc>
          <w:tcPr>
            <w:tcW w:w="0" w:type="auto"/>
            <w:shd w:val="clear" w:color="auto" w:fill="DBE5F1" w:themeFill="accent1" w:themeFillTint="33"/>
            <w:vAlign w:val="center"/>
            <w:hideMark/>
          </w:tcPr>
          <w:p w14:paraId="63A2DDCB" w14:textId="77777777"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pacing w:val="-4"/>
                <w:szCs w:val="24"/>
              </w:rPr>
              <w:t>FY22</w:t>
            </w:r>
          </w:p>
        </w:tc>
        <w:tc>
          <w:tcPr>
            <w:tcW w:w="0" w:type="auto"/>
            <w:shd w:val="clear" w:color="auto" w:fill="DBE5F1" w:themeFill="accent1" w:themeFillTint="33"/>
            <w:vAlign w:val="center"/>
            <w:hideMark/>
          </w:tcPr>
          <w:p w14:paraId="7A23915B" w14:textId="77777777"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zCs w:val="24"/>
              </w:rPr>
              <w:t>FY23</w:t>
            </w:r>
          </w:p>
        </w:tc>
        <w:tc>
          <w:tcPr>
            <w:tcW w:w="0" w:type="auto"/>
            <w:shd w:val="clear" w:color="auto" w:fill="DBE5F1" w:themeFill="accent1" w:themeFillTint="33"/>
          </w:tcPr>
          <w:p w14:paraId="7C094ACB" w14:textId="77777777"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zCs w:val="24"/>
              </w:rPr>
              <w:t>% Change</w:t>
            </w:r>
          </w:p>
          <w:p w14:paraId="5C808299" w14:textId="35D18532" w:rsidR="009B6B4F" w:rsidRPr="001444D7" w:rsidRDefault="009B6B4F" w:rsidP="001444D7">
            <w:pPr>
              <w:widowControl/>
              <w:autoSpaceDE/>
              <w:autoSpaceDN/>
              <w:jc w:val="center"/>
              <w:rPr>
                <w:rFonts w:eastAsia="Times New Roman" w:cs="Calibri"/>
                <w:b/>
                <w:bCs/>
                <w:color w:val="000000"/>
                <w:szCs w:val="24"/>
              </w:rPr>
            </w:pPr>
            <w:r w:rsidRPr="001444D7">
              <w:rPr>
                <w:rFonts w:eastAsia="Times New Roman" w:cs="Calibri"/>
                <w:b/>
                <w:bCs/>
                <w:color w:val="000000"/>
                <w:szCs w:val="24"/>
              </w:rPr>
              <w:t>FY18-FY22</w:t>
            </w:r>
          </w:p>
        </w:tc>
      </w:tr>
      <w:tr w:rsidR="009B6B4F" w:rsidRPr="00E52C17" w14:paraId="5EEA3E6E" w14:textId="2303FB8F" w:rsidTr="001D3D9D">
        <w:trPr>
          <w:cantSplit/>
          <w:trHeight w:val="290"/>
        </w:trPr>
        <w:tc>
          <w:tcPr>
            <w:tcW w:w="0" w:type="auto"/>
            <w:shd w:val="clear" w:color="auto" w:fill="auto"/>
            <w:vAlign w:val="center"/>
            <w:hideMark/>
          </w:tcPr>
          <w:p w14:paraId="3C1B8CAD" w14:textId="77777777" w:rsidR="009B6B4F" w:rsidRPr="001444D7" w:rsidRDefault="009B6B4F" w:rsidP="004D0AF2">
            <w:pPr>
              <w:widowControl/>
              <w:autoSpaceDE/>
              <w:autoSpaceDN/>
              <w:rPr>
                <w:rFonts w:eastAsia="Times New Roman" w:cs="Calibri"/>
                <w:b/>
                <w:bCs/>
                <w:color w:val="000000"/>
                <w:szCs w:val="24"/>
              </w:rPr>
            </w:pPr>
            <w:r w:rsidRPr="001444D7">
              <w:rPr>
                <w:rFonts w:eastAsia="Times New Roman" w:cs="Calibri"/>
                <w:b/>
                <w:bCs/>
                <w:color w:val="000000"/>
                <w:szCs w:val="24"/>
              </w:rPr>
              <w:t>Patient Days</w:t>
            </w:r>
          </w:p>
        </w:tc>
        <w:tc>
          <w:tcPr>
            <w:tcW w:w="0" w:type="auto"/>
            <w:shd w:val="clear" w:color="auto" w:fill="auto"/>
            <w:vAlign w:val="center"/>
            <w:hideMark/>
          </w:tcPr>
          <w:p w14:paraId="07F0ABE8" w14:textId="3EC5FB45"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36FF9BB4" w14:textId="4C4559FC"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0705199E" w14:textId="1B9A032C"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69B471FA" w14:textId="7E7874AA"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4A856AC5" w14:textId="6E209B1C"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noWrap/>
            <w:vAlign w:val="bottom"/>
            <w:hideMark/>
          </w:tcPr>
          <w:p w14:paraId="7B5DF76E" w14:textId="73EB7D07" w:rsidR="009B6B4F" w:rsidRPr="001444D7" w:rsidRDefault="009B6B4F" w:rsidP="001444D7">
            <w:pPr>
              <w:widowControl/>
              <w:autoSpaceDE/>
              <w:autoSpaceDN/>
              <w:jc w:val="center"/>
              <w:rPr>
                <w:rFonts w:eastAsia="Times New Roman" w:cs="Calibri"/>
                <w:color w:val="000000"/>
                <w:szCs w:val="24"/>
              </w:rPr>
            </w:pPr>
          </w:p>
        </w:tc>
        <w:tc>
          <w:tcPr>
            <w:tcW w:w="0" w:type="auto"/>
          </w:tcPr>
          <w:p w14:paraId="6AD654FE" w14:textId="77777777" w:rsidR="009B6B4F" w:rsidRPr="001444D7" w:rsidRDefault="009B6B4F" w:rsidP="001444D7">
            <w:pPr>
              <w:widowControl/>
              <w:autoSpaceDE/>
              <w:autoSpaceDN/>
              <w:jc w:val="center"/>
              <w:rPr>
                <w:rFonts w:eastAsia="Times New Roman" w:cs="Calibri"/>
                <w:color w:val="000000"/>
                <w:szCs w:val="24"/>
              </w:rPr>
            </w:pPr>
          </w:p>
        </w:tc>
      </w:tr>
      <w:tr w:rsidR="00710E40" w:rsidRPr="00E52C17" w14:paraId="3CAFF83B" w14:textId="0A3AF1F9" w:rsidTr="001D3D9D">
        <w:trPr>
          <w:cantSplit/>
          <w:trHeight w:val="290"/>
        </w:trPr>
        <w:tc>
          <w:tcPr>
            <w:tcW w:w="0" w:type="auto"/>
            <w:shd w:val="clear" w:color="auto" w:fill="auto"/>
            <w:vAlign w:val="center"/>
            <w:hideMark/>
          </w:tcPr>
          <w:p w14:paraId="5B69EB62"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Dana-Farber/BWH</w:t>
            </w:r>
          </w:p>
        </w:tc>
        <w:tc>
          <w:tcPr>
            <w:tcW w:w="0" w:type="auto"/>
            <w:shd w:val="clear" w:color="auto" w:fill="auto"/>
            <w:vAlign w:val="center"/>
            <w:hideMark/>
          </w:tcPr>
          <w:p w14:paraId="0977FE40"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61,359</w:t>
            </w:r>
          </w:p>
        </w:tc>
        <w:tc>
          <w:tcPr>
            <w:tcW w:w="0" w:type="auto"/>
            <w:shd w:val="clear" w:color="auto" w:fill="auto"/>
            <w:vAlign w:val="center"/>
            <w:hideMark/>
          </w:tcPr>
          <w:p w14:paraId="5B618316"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65,983</w:t>
            </w:r>
          </w:p>
        </w:tc>
        <w:tc>
          <w:tcPr>
            <w:tcW w:w="0" w:type="auto"/>
            <w:shd w:val="clear" w:color="auto" w:fill="auto"/>
            <w:vAlign w:val="center"/>
            <w:hideMark/>
          </w:tcPr>
          <w:p w14:paraId="46EED8C8" w14:textId="2FB23DC8"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zCs w:val="24"/>
              </w:rPr>
              <w:t>-</w:t>
            </w:r>
          </w:p>
        </w:tc>
        <w:tc>
          <w:tcPr>
            <w:tcW w:w="0" w:type="auto"/>
            <w:shd w:val="clear" w:color="auto" w:fill="auto"/>
            <w:vAlign w:val="center"/>
            <w:hideMark/>
          </w:tcPr>
          <w:p w14:paraId="53FF38D0"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60,737</w:t>
            </w:r>
          </w:p>
        </w:tc>
        <w:tc>
          <w:tcPr>
            <w:tcW w:w="0" w:type="auto"/>
            <w:shd w:val="clear" w:color="auto" w:fill="auto"/>
            <w:vAlign w:val="center"/>
            <w:hideMark/>
          </w:tcPr>
          <w:p w14:paraId="01335A55"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68,031</w:t>
            </w:r>
          </w:p>
        </w:tc>
        <w:tc>
          <w:tcPr>
            <w:tcW w:w="0" w:type="auto"/>
            <w:shd w:val="clear" w:color="auto" w:fill="auto"/>
            <w:noWrap/>
            <w:hideMark/>
          </w:tcPr>
          <w:p w14:paraId="2A1D2F65" w14:textId="27ABCE31"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12618E17" w14:textId="3262A046" w:rsidR="00710E40" w:rsidRPr="001444D7" w:rsidRDefault="00710E40" w:rsidP="001444D7">
            <w:pPr>
              <w:widowControl/>
              <w:autoSpaceDE/>
              <w:autoSpaceDN/>
              <w:jc w:val="center"/>
              <w:rPr>
                <w:rFonts w:cs="Calibri"/>
                <w:szCs w:val="24"/>
              </w:rPr>
            </w:pPr>
            <w:r w:rsidRPr="00BD6DC6">
              <w:t>11%</w:t>
            </w:r>
          </w:p>
        </w:tc>
      </w:tr>
      <w:tr w:rsidR="00710E40" w:rsidRPr="00E52C17" w14:paraId="6ABCADAD" w14:textId="16F8E091" w:rsidTr="001D3D9D">
        <w:trPr>
          <w:cantSplit/>
          <w:trHeight w:val="290"/>
        </w:trPr>
        <w:tc>
          <w:tcPr>
            <w:tcW w:w="0" w:type="auto"/>
            <w:shd w:val="clear" w:color="auto" w:fill="auto"/>
            <w:vAlign w:val="center"/>
            <w:hideMark/>
          </w:tcPr>
          <w:p w14:paraId="45D2B9CD"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BIDMC</w:t>
            </w:r>
          </w:p>
        </w:tc>
        <w:tc>
          <w:tcPr>
            <w:tcW w:w="0" w:type="auto"/>
            <w:shd w:val="clear" w:color="auto" w:fill="auto"/>
            <w:vAlign w:val="center"/>
            <w:hideMark/>
          </w:tcPr>
          <w:p w14:paraId="402EBED8"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29,983</w:t>
            </w:r>
          </w:p>
        </w:tc>
        <w:tc>
          <w:tcPr>
            <w:tcW w:w="0" w:type="auto"/>
            <w:shd w:val="clear" w:color="auto" w:fill="auto"/>
            <w:vAlign w:val="center"/>
            <w:hideMark/>
          </w:tcPr>
          <w:p w14:paraId="5C5C4859"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29,653</w:t>
            </w:r>
          </w:p>
        </w:tc>
        <w:tc>
          <w:tcPr>
            <w:tcW w:w="0" w:type="auto"/>
            <w:shd w:val="clear" w:color="auto" w:fill="auto"/>
            <w:hideMark/>
          </w:tcPr>
          <w:p w14:paraId="5B505D0A" w14:textId="7D7BDB84"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350E3940"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31,641</w:t>
            </w:r>
          </w:p>
        </w:tc>
        <w:tc>
          <w:tcPr>
            <w:tcW w:w="0" w:type="auto"/>
            <w:shd w:val="clear" w:color="auto" w:fill="auto"/>
            <w:vAlign w:val="center"/>
            <w:hideMark/>
          </w:tcPr>
          <w:p w14:paraId="7DB7264F"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31,574</w:t>
            </w:r>
          </w:p>
        </w:tc>
        <w:tc>
          <w:tcPr>
            <w:tcW w:w="0" w:type="auto"/>
            <w:shd w:val="clear" w:color="auto" w:fill="auto"/>
            <w:noWrap/>
            <w:hideMark/>
          </w:tcPr>
          <w:p w14:paraId="7645B1A3" w14:textId="1F76F35B"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64CBD2CC" w14:textId="0CAB5973" w:rsidR="00710E40" w:rsidRPr="001444D7" w:rsidRDefault="00710E40" w:rsidP="001444D7">
            <w:pPr>
              <w:widowControl/>
              <w:autoSpaceDE/>
              <w:autoSpaceDN/>
              <w:jc w:val="center"/>
              <w:rPr>
                <w:rFonts w:cs="Calibri"/>
                <w:szCs w:val="24"/>
              </w:rPr>
            </w:pPr>
            <w:r w:rsidRPr="00BD6DC6">
              <w:t>5%</w:t>
            </w:r>
          </w:p>
        </w:tc>
      </w:tr>
      <w:tr w:rsidR="00710E40" w:rsidRPr="00E52C17" w14:paraId="34393461" w14:textId="11D72703" w:rsidTr="001D3D9D">
        <w:trPr>
          <w:cantSplit/>
          <w:trHeight w:val="290"/>
        </w:trPr>
        <w:tc>
          <w:tcPr>
            <w:tcW w:w="0" w:type="auto"/>
            <w:shd w:val="clear" w:color="auto" w:fill="auto"/>
            <w:vAlign w:val="center"/>
            <w:hideMark/>
          </w:tcPr>
          <w:p w14:paraId="635FC29A"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Combined</w:t>
            </w:r>
          </w:p>
        </w:tc>
        <w:tc>
          <w:tcPr>
            <w:tcW w:w="0" w:type="auto"/>
            <w:shd w:val="clear" w:color="auto" w:fill="auto"/>
            <w:vAlign w:val="center"/>
            <w:hideMark/>
          </w:tcPr>
          <w:p w14:paraId="6BB97857"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91,342</w:t>
            </w:r>
          </w:p>
        </w:tc>
        <w:tc>
          <w:tcPr>
            <w:tcW w:w="0" w:type="auto"/>
            <w:shd w:val="clear" w:color="auto" w:fill="auto"/>
            <w:vAlign w:val="center"/>
            <w:hideMark/>
          </w:tcPr>
          <w:p w14:paraId="454A9F1C"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95,636</w:t>
            </w:r>
          </w:p>
        </w:tc>
        <w:tc>
          <w:tcPr>
            <w:tcW w:w="0" w:type="auto"/>
            <w:shd w:val="clear" w:color="auto" w:fill="auto"/>
            <w:hideMark/>
          </w:tcPr>
          <w:p w14:paraId="5AC6D89A" w14:textId="2E7CD802"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19706736"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92,378</w:t>
            </w:r>
          </w:p>
        </w:tc>
        <w:tc>
          <w:tcPr>
            <w:tcW w:w="0" w:type="auto"/>
            <w:shd w:val="clear" w:color="auto" w:fill="auto"/>
            <w:vAlign w:val="center"/>
            <w:hideMark/>
          </w:tcPr>
          <w:p w14:paraId="08343F3D"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99,605</w:t>
            </w:r>
          </w:p>
        </w:tc>
        <w:tc>
          <w:tcPr>
            <w:tcW w:w="0" w:type="auto"/>
            <w:shd w:val="clear" w:color="auto" w:fill="auto"/>
            <w:noWrap/>
            <w:hideMark/>
          </w:tcPr>
          <w:p w14:paraId="576AB89D" w14:textId="3283FCF0"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0600564A" w14:textId="24935736" w:rsidR="00710E40" w:rsidRPr="001444D7" w:rsidRDefault="00710E40" w:rsidP="001444D7">
            <w:pPr>
              <w:widowControl/>
              <w:autoSpaceDE/>
              <w:autoSpaceDN/>
              <w:jc w:val="center"/>
              <w:rPr>
                <w:rFonts w:cs="Calibri"/>
                <w:szCs w:val="24"/>
              </w:rPr>
            </w:pPr>
            <w:r w:rsidRPr="00BD6DC6">
              <w:t>9%</w:t>
            </w:r>
          </w:p>
        </w:tc>
      </w:tr>
      <w:tr w:rsidR="009B6B4F" w:rsidRPr="00E52C17" w14:paraId="3E1EAD6E" w14:textId="6B7E2B74" w:rsidTr="001D3D9D">
        <w:trPr>
          <w:cantSplit/>
          <w:trHeight w:val="290"/>
        </w:trPr>
        <w:tc>
          <w:tcPr>
            <w:tcW w:w="0" w:type="auto"/>
            <w:shd w:val="clear" w:color="auto" w:fill="auto"/>
            <w:vAlign w:val="center"/>
            <w:hideMark/>
          </w:tcPr>
          <w:p w14:paraId="119B42CF" w14:textId="77777777" w:rsidR="009B6B4F" w:rsidRPr="001444D7" w:rsidRDefault="009B6B4F" w:rsidP="004D0AF2">
            <w:pPr>
              <w:widowControl/>
              <w:autoSpaceDE/>
              <w:autoSpaceDN/>
              <w:rPr>
                <w:rFonts w:eastAsia="Times New Roman" w:cs="Calibri"/>
                <w:b/>
                <w:bCs/>
                <w:color w:val="000000"/>
                <w:szCs w:val="24"/>
              </w:rPr>
            </w:pPr>
            <w:r w:rsidRPr="001444D7">
              <w:rPr>
                <w:rFonts w:eastAsia="Times New Roman" w:cs="Calibri"/>
                <w:b/>
                <w:bCs/>
                <w:color w:val="000000"/>
                <w:szCs w:val="24"/>
              </w:rPr>
              <w:t>ALOS (in Days)</w:t>
            </w:r>
          </w:p>
        </w:tc>
        <w:tc>
          <w:tcPr>
            <w:tcW w:w="0" w:type="auto"/>
            <w:shd w:val="clear" w:color="auto" w:fill="auto"/>
            <w:vAlign w:val="center"/>
            <w:hideMark/>
          </w:tcPr>
          <w:p w14:paraId="0C5EC350" w14:textId="024DD5DA"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2A778BD0" w14:textId="7F11C74F"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473B636F" w14:textId="46408C09"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4C626DFE" w14:textId="68182DF7"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77228CDA" w14:textId="02A84EDA"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noWrap/>
            <w:vAlign w:val="bottom"/>
            <w:hideMark/>
          </w:tcPr>
          <w:p w14:paraId="03827066" w14:textId="6C754EE6" w:rsidR="009B6B4F" w:rsidRPr="001444D7" w:rsidRDefault="009B6B4F" w:rsidP="001444D7">
            <w:pPr>
              <w:widowControl/>
              <w:autoSpaceDE/>
              <w:autoSpaceDN/>
              <w:jc w:val="center"/>
              <w:rPr>
                <w:rFonts w:eastAsia="Times New Roman" w:cs="Calibri"/>
                <w:color w:val="000000"/>
                <w:szCs w:val="24"/>
              </w:rPr>
            </w:pPr>
          </w:p>
        </w:tc>
        <w:tc>
          <w:tcPr>
            <w:tcW w:w="0" w:type="auto"/>
          </w:tcPr>
          <w:p w14:paraId="6255F5E1" w14:textId="77777777" w:rsidR="009B6B4F" w:rsidRPr="001444D7" w:rsidRDefault="009B6B4F" w:rsidP="001444D7">
            <w:pPr>
              <w:widowControl/>
              <w:autoSpaceDE/>
              <w:autoSpaceDN/>
              <w:jc w:val="center"/>
              <w:rPr>
                <w:rFonts w:eastAsia="Times New Roman" w:cs="Calibri"/>
                <w:color w:val="000000"/>
                <w:szCs w:val="24"/>
              </w:rPr>
            </w:pPr>
          </w:p>
        </w:tc>
      </w:tr>
      <w:tr w:rsidR="00710E40" w:rsidRPr="00E52C17" w14:paraId="788ACB87" w14:textId="1260E714" w:rsidTr="001D3D9D">
        <w:trPr>
          <w:cantSplit/>
          <w:trHeight w:val="290"/>
        </w:trPr>
        <w:tc>
          <w:tcPr>
            <w:tcW w:w="0" w:type="auto"/>
            <w:shd w:val="clear" w:color="auto" w:fill="auto"/>
            <w:vAlign w:val="center"/>
            <w:hideMark/>
          </w:tcPr>
          <w:p w14:paraId="39F02D87"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Dana-Farber/BWH</w:t>
            </w:r>
          </w:p>
        </w:tc>
        <w:tc>
          <w:tcPr>
            <w:tcW w:w="0" w:type="auto"/>
            <w:shd w:val="clear" w:color="auto" w:fill="auto"/>
            <w:vAlign w:val="center"/>
            <w:hideMark/>
          </w:tcPr>
          <w:p w14:paraId="4E0F6258"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7.5</w:t>
            </w:r>
          </w:p>
        </w:tc>
        <w:tc>
          <w:tcPr>
            <w:tcW w:w="0" w:type="auto"/>
            <w:shd w:val="clear" w:color="auto" w:fill="auto"/>
            <w:vAlign w:val="center"/>
            <w:hideMark/>
          </w:tcPr>
          <w:p w14:paraId="3F3C9CB1"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7.75</w:t>
            </w:r>
          </w:p>
        </w:tc>
        <w:tc>
          <w:tcPr>
            <w:tcW w:w="0" w:type="auto"/>
            <w:shd w:val="clear" w:color="auto" w:fill="auto"/>
            <w:hideMark/>
          </w:tcPr>
          <w:p w14:paraId="1353FA29" w14:textId="1E308F48"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17B0B1CA"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7.79</w:t>
            </w:r>
          </w:p>
        </w:tc>
        <w:tc>
          <w:tcPr>
            <w:tcW w:w="0" w:type="auto"/>
            <w:shd w:val="clear" w:color="auto" w:fill="auto"/>
            <w:vAlign w:val="center"/>
            <w:hideMark/>
          </w:tcPr>
          <w:p w14:paraId="70A16361" w14:textId="05B04CF5"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8.5</w:t>
            </w:r>
            <w:r w:rsidR="00654A04" w:rsidRPr="001444D7">
              <w:rPr>
                <w:rFonts w:eastAsia="Times New Roman" w:cs="Calibri"/>
                <w:color w:val="000000"/>
                <w:spacing w:val="-4"/>
                <w:szCs w:val="24"/>
              </w:rPr>
              <w:t>0</w:t>
            </w:r>
          </w:p>
        </w:tc>
        <w:tc>
          <w:tcPr>
            <w:tcW w:w="0" w:type="auto"/>
            <w:shd w:val="clear" w:color="auto" w:fill="auto"/>
            <w:noWrap/>
            <w:hideMark/>
          </w:tcPr>
          <w:p w14:paraId="7A6E67A3" w14:textId="08F58C3C"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2A8DB87E" w14:textId="2C97DB21" w:rsidR="00710E40" w:rsidRPr="001444D7" w:rsidRDefault="00710E40" w:rsidP="001444D7">
            <w:pPr>
              <w:widowControl/>
              <w:autoSpaceDE/>
              <w:autoSpaceDN/>
              <w:jc w:val="center"/>
              <w:rPr>
                <w:rFonts w:cs="Calibri"/>
                <w:szCs w:val="24"/>
              </w:rPr>
            </w:pPr>
            <w:r w:rsidRPr="00492773">
              <w:t>13%</w:t>
            </w:r>
          </w:p>
        </w:tc>
      </w:tr>
      <w:tr w:rsidR="00710E40" w:rsidRPr="00E52C17" w14:paraId="4CEB49D8" w14:textId="533398B3" w:rsidTr="001D3D9D">
        <w:trPr>
          <w:cantSplit/>
          <w:trHeight w:val="290"/>
        </w:trPr>
        <w:tc>
          <w:tcPr>
            <w:tcW w:w="0" w:type="auto"/>
            <w:shd w:val="clear" w:color="auto" w:fill="auto"/>
            <w:vAlign w:val="center"/>
            <w:hideMark/>
          </w:tcPr>
          <w:p w14:paraId="7FAEE8DC"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BIDMC</w:t>
            </w:r>
          </w:p>
        </w:tc>
        <w:tc>
          <w:tcPr>
            <w:tcW w:w="0" w:type="auto"/>
            <w:shd w:val="clear" w:color="auto" w:fill="auto"/>
            <w:vAlign w:val="center"/>
            <w:hideMark/>
          </w:tcPr>
          <w:p w14:paraId="742832A2"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7.61</w:t>
            </w:r>
          </w:p>
        </w:tc>
        <w:tc>
          <w:tcPr>
            <w:tcW w:w="0" w:type="auto"/>
            <w:shd w:val="clear" w:color="auto" w:fill="auto"/>
            <w:vAlign w:val="center"/>
            <w:hideMark/>
          </w:tcPr>
          <w:p w14:paraId="452B74A7"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7.32</w:t>
            </w:r>
          </w:p>
        </w:tc>
        <w:tc>
          <w:tcPr>
            <w:tcW w:w="0" w:type="auto"/>
            <w:shd w:val="clear" w:color="auto" w:fill="auto"/>
            <w:hideMark/>
          </w:tcPr>
          <w:p w14:paraId="2F26F1A0" w14:textId="2EEE9D04"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0410617E"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8.24</w:t>
            </w:r>
          </w:p>
        </w:tc>
        <w:tc>
          <w:tcPr>
            <w:tcW w:w="0" w:type="auto"/>
            <w:shd w:val="clear" w:color="auto" w:fill="auto"/>
            <w:vAlign w:val="center"/>
            <w:hideMark/>
          </w:tcPr>
          <w:p w14:paraId="0378D480"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8.83</w:t>
            </w:r>
          </w:p>
        </w:tc>
        <w:tc>
          <w:tcPr>
            <w:tcW w:w="0" w:type="auto"/>
            <w:shd w:val="clear" w:color="auto" w:fill="auto"/>
            <w:noWrap/>
            <w:hideMark/>
          </w:tcPr>
          <w:p w14:paraId="4D7CEF0B" w14:textId="6E295653"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7D75DF9E" w14:textId="58BE5A27" w:rsidR="00710E40" w:rsidRPr="001444D7" w:rsidRDefault="00710E40" w:rsidP="001444D7">
            <w:pPr>
              <w:widowControl/>
              <w:autoSpaceDE/>
              <w:autoSpaceDN/>
              <w:jc w:val="center"/>
              <w:rPr>
                <w:rFonts w:cs="Calibri"/>
                <w:szCs w:val="24"/>
              </w:rPr>
            </w:pPr>
            <w:r w:rsidRPr="00492773">
              <w:t>16%</w:t>
            </w:r>
          </w:p>
        </w:tc>
      </w:tr>
      <w:tr w:rsidR="00710E40" w:rsidRPr="00E52C17" w14:paraId="6F2EF82D" w14:textId="086435BF" w:rsidTr="001D3D9D">
        <w:trPr>
          <w:cantSplit/>
          <w:trHeight w:val="290"/>
        </w:trPr>
        <w:tc>
          <w:tcPr>
            <w:tcW w:w="0" w:type="auto"/>
            <w:shd w:val="clear" w:color="auto" w:fill="auto"/>
            <w:vAlign w:val="center"/>
            <w:hideMark/>
          </w:tcPr>
          <w:p w14:paraId="797CBCEE"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Combined</w:t>
            </w:r>
          </w:p>
        </w:tc>
        <w:tc>
          <w:tcPr>
            <w:tcW w:w="0" w:type="auto"/>
            <w:shd w:val="clear" w:color="auto" w:fill="auto"/>
            <w:vAlign w:val="center"/>
            <w:hideMark/>
          </w:tcPr>
          <w:p w14:paraId="4168F205"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7.54</w:t>
            </w:r>
          </w:p>
        </w:tc>
        <w:tc>
          <w:tcPr>
            <w:tcW w:w="0" w:type="auto"/>
            <w:shd w:val="clear" w:color="auto" w:fill="auto"/>
            <w:vAlign w:val="center"/>
            <w:hideMark/>
          </w:tcPr>
          <w:p w14:paraId="72197185"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7.61</w:t>
            </w:r>
          </w:p>
        </w:tc>
        <w:tc>
          <w:tcPr>
            <w:tcW w:w="0" w:type="auto"/>
            <w:shd w:val="clear" w:color="auto" w:fill="auto"/>
            <w:hideMark/>
          </w:tcPr>
          <w:p w14:paraId="5524F500" w14:textId="1104E0D0"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05D7DA3E"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7.94</w:t>
            </w:r>
          </w:p>
        </w:tc>
        <w:tc>
          <w:tcPr>
            <w:tcW w:w="0" w:type="auto"/>
            <w:shd w:val="clear" w:color="auto" w:fill="auto"/>
            <w:vAlign w:val="center"/>
            <w:hideMark/>
          </w:tcPr>
          <w:p w14:paraId="44DC3CD0" w14:textId="5784FBB0"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8.6</w:t>
            </w:r>
            <w:r w:rsidR="00654A04" w:rsidRPr="001444D7">
              <w:rPr>
                <w:rFonts w:eastAsia="Times New Roman" w:cs="Calibri"/>
                <w:color w:val="000000"/>
                <w:spacing w:val="-4"/>
                <w:szCs w:val="24"/>
              </w:rPr>
              <w:t>0</w:t>
            </w:r>
          </w:p>
        </w:tc>
        <w:tc>
          <w:tcPr>
            <w:tcW w:w="0" w:type="auto"/>
            <w:shd w:val="clear" w:color="auto" w:fill="auto"/>
            <w:noWrap/>
            <w:hideMark/>
          </w:tcPr>
          <w:p w14:paraId="5015CB8E" w14:textId="65CB37BC"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076E961D" w14:textId="199569DB" w:rsidR="00710E40" w:rsidRPr="001444D7" w:rsidRDefault="00710E40" w:rsidP="001444D7">
            <w:pPr>
              <w:widowControl/>
              <w:autoSpaceDE/>
              <w:autoSpaceDN/>
              <w:jc w:val="center"/>
              <w:rPr>
                <w:rFonts w:cs="Calibri"/>
                <w:szCs w:val="24"/>
              </w:rPr>
            </w:pPr>
            <w:r w:rsidRPr="00492773">
              <w:t>14%</w:t>
            </w:r>
          </w:p>
        </w:tc>
      </w:tr>
      <w:tr w:rsidR="009B6B4F" w:rsidRPr="00E52C17" w14:paraId="0F4A71F3" w14:textId="23402F1F" w:rsidTr="001D3D9D">
        <w:trPr>
          <w:cantSplit/>
          <w:trHeight w:val="290"/>
        </w:trPr>
        <w:tc>
          <w:tcPr>
            <w:tcW w:w="0" w:type="auto"/>
            <w:shd w:val="clear" w:color="auto" w:fill="auto"/>
            <w:vAlign w:val="center"/>
            <w:hideMark/>
          </w:tcPr>
          <w:p w14:paraId="77F3BE45" w14:textId="77777777" w:rsidR="009B6B4F" w:rsidRPr="001444D7" w:rsidRDefault="009B6B4F" w:rsidP="004D0AF2">
            <w:pPr>
              <w:widowControl/>
              <w:autoSpaceDE/>
              <w:autoSpaceDN/>
              <w:rPr>
                <w:rFonts w:eastAsia="Times New Roman" w:cs="Calibri"/>
                <w:b/>
                <w:bCs/>
                <w:color w:val="000000"/>
                <w:szCs w:val="24"/>
              </w:rPr>
            </w:pPr>
            <w:r w:rsidRPr="001444D7">
              <w:rPr>
                <w:rFonts w:eastAsia="Times New Roman" w:cs="Calibri"/>
                <w:b/>
                <w:bCs/>
                <w:color w:val="000000"/>
                <w:szCs w:val="24"/>
              </w:rPr>
              <w:t xml:space="preserve">ADC (in </w:t>
            </w:r>
            <w:proofErr w:type="gramStart"/>
            <w:r w:rsidRPr="001444D7">
              <w:rPr>
                <w:rFonts w:eastAsia="Times New Roman" w:cs="Calibri"/>
                <w:b/>
                <w:bCs/>
                <w:color w:val="000000"/>
                <w:szCs w:val="24"/>
              </w:rPr>
              <w:t>Patients</w:t>
            </w:r>
            <w:proofErr w:type="gramEnd"/>
            <w:r w:rsidRPr="001444D7">
              <w:rPr>
                <w:rFonts w:eastAsia="Times New Roman" w:cs="Calibri"/>
                <w:b/>
                <w:bCs/>
                <w:color w:val="000000"/>
                <w:szCs w:val="24"/>
              </w:rPr>
              <w:t>)</w:t>
            </w:r>
          </w:p>
        </w:tc>
        <w:tc>
          <w:tcPr>
            <w:tcW w:w="0" w:type="auto"/>
            <w:shd w:val="clear" w:color="auto" w:fill="auto"/>
            <w:vAlign w:val="center"/>
            <w:hideMark/>
          </w:tcPr>
          <w:p w14:paraId="5CD75ADF" w14:textId="0DE5A6D0"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4CC5F5F3" w14:textId="3E3D3416"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61795C6B" w14:textId="3549078B"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07DB595B" w14:textId="4D03F527"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04FF9B6E" w14:textId="2BE0A5BF"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noWrap/>
            <w:vAlign w:val="bottom"/>
            <w:hideMark/>
          </w:tcPr>
          <w:p w14:paraId="5CFA743F" w14:textId="6B60C2AA" w:rsidR="009B6B4F" w:rsidRPr="001444D7" w:rsidRDefault="009B6B4F" w:rsidP="001444D7">
            <w:pPr>
              <w:widowControl/>
              <w:autoSpaceDE/>
              <w:autoSpaceDN/>
              <w:jc w:val="center"/>
              <w:rPr>
                <w:rFonts w:eastAsia="Times New Roman" w:cs="Calibri"/>
                <w:color w:val="000000"/>
                <w:szCs w:val="24"/>
              </w:rPr>
            </w:pPr>
          </w:p>
        </w:tc>
        <w:tc>
          <w:tcPr>
            <w:tcW w:w="0" w:type="auto"/>
          </w:tcPr>
          <w:p w14:paraId="705C788C" w14:textId="77777777" w:rsidR="009B6B4F" w:rsidRPr="001444D7" w:rsidRDefault="009B6B4F" w:rsidP="001444D7">
            <w:pPr>
              <w:widowControl/>
              <w:autoSpaceDE/>
              <w:autoSpaceDN/>
              <w:jc w:val="center"/>
              <w:rPr>
                <w:rFonts w:eastAsia="Times New Roman" w:cs="Calibri"/>
                <w:color w:val="000000"/>
                <w:szCs w:val="24"/>
              </w:rPr>
            </w:pPr>
          </w:p>
        </w:tc>
      </w:tr>
      <w:tr w:rsidR="00710E40" w:rsidRPr="00E52C17" w14:paraId="758BF0B4" w14:textId="18EA70D7" w:rsidTr="001D3D9D">
        <w:trPr>
          <w:cantSplit/>
          <w:trHeight w:val="290"/>
        </w:trPr>
        <w:tc>
          <w:tcPr>
            <w:tcW w:w="0" w:type="auto"/>
            <w:shd w:val="clear" w:color="auto" w:fill="auto"/>
            <w:vAlign w:val="center"/>
            <w:hideMark/>
          </w:tcPr>
          <w:p w14:paraId="360241AF"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Dana-Farber/BWH</w:t>
            </w:r>
          </w:p>
        </w:tc>
        <w:tc>
          <w:tcPr>
            <w:tcW w:w="0" w:type="auto"/>
            <w:shd w:val="clear" w:color="auto" w:fill="auto"/>
            <w:vAlign w:val="center"/>
            <w:hideMark/>
          </w:tcPr>
          <w:p w14:paraId="0F9E9837"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168.1</w:t>
            </w:r>
          </w:p>
        </w:tc>
        <w:tc>
          <w:tcPr>
            <w:tcW w:w="0" w:type="auto"/>
            <w:shd w:val="clear" w:color="auto" w:fill="auto"/>
            <w:vAlign w:val="center"/>
            <w:hideMark/>
          </w:tcPr>
          <w:p w14:paraId="52422DF3"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180.8</w:t>
            </w:r>
          </w:p>
        </w:tc>
        <w:tc>
          <w:tcPr>
            <w:tcW w:w="0" w:type="auto"/>
            <w:shd w:val="clear" w:color="auto" w:fill="auto"/>
            <w:hideMark/>
          </w:tcPr>
          <w:p w14:paraId="4FE9B76A" w14:textId="2C8B6B7F"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542E4C2D"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166.4</w:t>
            </w:r>
          </w:p>
        </w:tc>
        <w:tc>
          <w:tcPr>
            <w:tcW w:w="0" w:type="auto"/>
            <w:shd w:val="clear" w:color="auto" w:fill="auto"/>
            <w:vAlign w:val="center"/>
            <w:hideMark/>
          </w:tcPr>
          <w:p w14:paraId="0F2D3F0E"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186.4</w:t>
            </w:r>
          </w:p>
        </w:tc>
        <w:tc>
          <w:tcPr>
            <w:tcW w:w="0" w:type="auto"/>
            <w:shd w:val="clear" w:color="auto" w:fill="auto"/>
            <w:noWrap/>
            <w:hideMark/>
          </w:tcPr>
          <w:p w14:paraId="55D8B45B" w14:textId="0FDD8950"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74F794FC" w14:textId="277C667F" w:rsidR="00710E40" w:rsidRPr="001444D7" w:rsidRDefault="00710E40" w:rsidP="001444D7">
            <w:pPr>
              <w:widowControl/>
              <w:autoSpaceDE/>
              <w:autoSpaceDN/>
              <w:jc w:val="center"/>
              <w:rPr>
                <w:rFonts w:cs="Calibri"/>
                <w:szCs w:val="24"/>
              </w:rPr>
            </w:pPr>
            <w:r w:rsidRPr="00810F16">
              <w:t>11%</w:t>
            </w:r>
          </w:p>
        </w:tc>
      </w:tr>
      <w:tr w:rsidR="00710E40" w:rsidRPr="00E52C17" w14:paraId="7A616C91" w14:textId="2628DB69" w:rsidTr="001D3D9D">
        <w:trPr>
          <w:cantSplit/>
          <w:trHeight w:val="290"/>
        </w:trPr>
        <w:tc>
          <w:tcPr>
            <w:tcW w:w="0" w:type="auto"/>
            <w:shd w:val="clear" w:color="auto" w:fill="auto"/>
            <w:vAlign w:val="center"/>
            <w:hideMark/>
          </w:tcPr>
          <w:p w14:paraId="149E2DF1"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BIDMC</w:t>
            </w:r>
          </w:p>
        </w:tc>
        <w:tc>
          <w:tcPr>
            <w:tcW w:w="0" w:type="auto"/>
            <w:shd w:val="clear" w:color="auto" w:fill="auto"/>
            <w:vAlign w:val="center"/>
            <w:hideMark/>
          </w:tcPr>
          <w:p w14:paraId="13553678"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82.1</w:t>
            </w:r>
          </w:p>
        </w:tc>
        <w:tc>
          <w:tcPr>
            <w:tcW w:w="0" w:type="auto"/>
            <w:shd w:val="clear" w:color="auto" w:fill="auto"/>
            <w:vAlign w:val="center"/>
            <w:hideMark/>
          </w:tcPr>
          <w:p w14:paraId="47174ABF"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81.2</w:t>
            </w:r>
          </w:p>
        </w:tc>
        <w:tc>
          <w:tcPr>
            <w:tcW w:w="0" w:type="auto"/>
            <w:shd w:val="clear" w:color="auto" w:fill="auto"/>
            <w:hideMark/>
          </w:tcPr>
          <w:p w14:paraId="639B6138" w14:textId="6905B4A5"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5AED8765"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86.7</w:t>
            </w:r>
          </w:p>
        </w:tc>
        <w:tc>
          <w:tcPr>
            <w:tcW w:w="0" w:type="auto"/>
            <w:shd w:val="clear" w:color="auto" w:fill="auto"/>
            <w:vAlign w:val="center"/>
            <w:hideMark/>
          </w:tcPr>
          <w:p w14:paraId="657016AA"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86.5</w:t>
            </w:r>
          </w:p>
        </w:tc>
        <w:tc>
          <w:tcPr>
            <w:tcW w:w="0" w:type="auto"/>
            <w:shd w:val="clear" w:color="auto" w:fill="auto"/>
            <w:noWrap/>
            <w:hideMark/>
          </w:tcPr>
          <w:p w14:paraId="182263F5" w14:textId="596E5F5D"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087611A8" w14:textId="6A74CBB5" w:rsidR="00710E40" w:rsidRPr="001444D7" w:rsidRDefault="00710E40" w:rsidP="001444D7">
            <w:pPr>
              <w:widowControl/>
              <w:autoSpaceDE/>
              <w:autoSpaceDN/>
              <w:jc w:val="center"/>
              <w:rPr>
                <w:rFonts w:cs="Calibri"/>
                <w:szCs w:val="24"/>
              </w:rPr>
            </w:pPr>
            <w:r w:rsidRPr="00810F16">
              <w:t>5%</w:t>
            </w:r>
          </w:p>
        </w:tc>
      </w:tr>
      <w:tr w:rsidR="00710E40" w:rsidRPr="00E52C17" w14:paraId="642A352A" w14:textId="462C0035" w:rsidTr="001D3D9D">
        <w:trPr>
          <w:cantSplit/>
          <w:trHeight w:val="290"/>
        </w:trPr>
        <w:tc>
          <w:tcPr>
            <w:tcW w:w="0" w:type="auto"/>
            <w:shd w:val="clear" w:color="auto" w:fill="auto"/>
            <w:vAlign w:val="center"/>
            <w:hideMark/>
          </w:tcPr>
          <w:p w14:paraId="068EEA38" w14:textId="77777777" w:rsidR="00710E40" w:rsidRPr="001444D7" w:rsidRDefault="00710E40" w:rsidP="00710E40">
            <w:pPr>
              <w:widowControl/>
              <w:autoSpaceDE/>
              <w:autoSpaceDN/>
              <w:rPr>
                <w:rFonts w:eastAsia="Times New Roman" w:cs="Calibri"/>
                <w:color w:val="000000"/>
                <w:szCs w:val="24"/>
              </w:rPr>
            </w:pPr>
            <w:r w:rsidRPr="001444D7">
              <w:rPr>
                <w:rFonts w:eastAsia="Times New Roman" w:cs="Calibri"/>
                <w:color w:val="000000"/>
                <w:spacing w:val="-2"/>
                <w:szCs w:val="24"/>
              </w:rPr>
              <w:t>Combined</w:t>
            </w:r>
          </w:p>
        </w:tc>
        <w:tc>
          <w:tcPr>
            <w:tcW w:w="0" w:type="auto"/>
            <w:shd w:val="clear" w:color="auto" w:fill="auto"/>
            <w:vAlign w:val="center"/>
            <w:hideMark/>
          </w:tcPr>
          <w:p w14:paraId="33BC1D6B"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250.3</w:t>
            </w:r>
          </w:p>
        </w:tc>
        <w:tc>
          <w:tcPr>
            <w:tcW w:w="0" w:type="auto"/>
            <w:shd w:val="clear" w:color="auto" w:fill="auto"/>
            <w:vAlign w:val="center"/>
            <w:hideMark/>
          </w:tcPr>
          <w:p w14:paraId="52C158C1"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262</w:t>
            </w:r>
          </w:p>
        </w:tc>
        <w:tc>
          <w:tcPr>
            <w:tcW w:w="0" w:type="auto"/>
            <w:shd w:val="clear" w:color="auto" w:fill="auto"/>
            <w:hideMark/>
          </w:tcPr>
          <w:p w14:paraId="5E76B782" w14:textId="08374953"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0B6AD670"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253.1</w:t>
            </w:r>
          </w:p>
        </w:tc>
        <w:tc>
          <w:tcPr>
            <w:tcW w:w="0" w:type="auto"/>
            <w:shd w:val="clear" w:color="auto" w:fill="auto"/>
            <w:vAlign w:val="center"/>
            <w:hideMark/>
          </w:tcPr>
          <w:p w14:paraId="1CB142DB" w14:textId="77777777" w:rsidR="00710E40" w:rsidRPr="001444D7" w:rsidRDefault="00710E40" w:rsidP="001444D7">
            <w:pPr>
              <w:widowControl/>
              <w:autoSpaceDE/>
              <w:autoSpaceDN/>
              <w:jc w:val="center"/>
              <w:rPr>
                <w:rFonts w:eastAsia="Times New Roman" w:cs="Calibri"/>
                <w:color w:val="000000"/>
                <w:szCs w:val="24"/>
              </w:rPr>
            </w:pPr>
            <w:r w:rsidRPr="001444D7">
              <w:rPr>
                <w:rFonts w:eastAsia="Times New Roman" w:cs="Calibri"/>
                <w:color w:val="000000"/>
                <w:spacing w:val="-2"/>
                <w:szCs w:val="24"/>
              </w:rPr>
              <w:t>272.9</w:t>
            </w:r>
          </w:p>
        </w:tc>
        <w:tc>
          <w:tcPr>
            <w:tcW w:w="0" w:type="auto"/>
            <w:shd w:val="clear" w:color="auto" w:fill="auto"/>
            <w:noWrap/>
            <w:hideMark/>
          </w:tcPr>
          <w:p w14:paraId="575E9FED" w14:textId="05168A0E" w:rsidR="00710E40" w:rsidRPr="001444D7" w:rsidRDefault="00710E40"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2110D73C" w14:textId="1DB7DA17" w:rsidR="00710E40" w:rsidRPr="001444D7" w:rsidRDefault="00710E40" w:rsidP="001444D7">
            <w:pPr>
              <w:widowControl/>
              <w:autoSpaceDE/>
              <w:autoSpaceDN/>
              <w:jc w:val="center"/>
              <w:rPr>
                <w:rFonts w:cs="Calibri"/>
                <w:szCs w:val="24"/>
              </w:rPr>
            </w:pPr>
            <w:r w:rsidRPr="00810F16">
              <w:t>9%</w:t>
            </w:r>
          </w:p>
        </w:tc>
      </w:tr>
      <w:tr w:rsidR="009B6B4F" w:rsidRPr="00E52C17" w14:paraId="2DBE58C7" w14:textId="29814C53" w:rsidTr="001D3D9D">
        <w:trPr>
          <w:cantSplit/>
          <w:trHeight w:val="290"/>
        </w:trPr>
        <w:tc>
          <w:tcPr>
            <w:tcW w:w="0" w:type="auto"/>
            <w:shd w:val="clear" w:color="auto" w:fill="auto"/>
            <w:vAlign w:val="center"/>
            <w:hideMark/>
          </w:tcPr>
          <w:p w14:paraId="424685F1" w14:textId="77777777" w:rsidR="009B6B4F" w:rsidRPr="001444D7" w:rsidRDefault="009B6B4F" w:rsidP="004D0AF2">
            <w:pPr>
              <w:widowControl/>
              <w:autoSpaceDE/>
              <w:autoSpaceDN/>
              <w:rPr>
                <w:rFonts w:eastAsia="Times New Roman" w:cs="Calibri"/>
                <w:b/>
                <w:bCs/>
                <w:color w:val="000000"/>
                <w:szCs w:val="24"/>
              </w:rPr>
            </w:pPr>
            <w:r w:rsidRPr="001444D7">
              <w:rPr>
                <w:rFonts w:eastAsia="Times New Roman" w:cs="Calibri"/>
                <w:b/>
                <w:bCs/>
                <w:color w:val="000000"/>
                <w:spacing w:val="-5"/>
                <w:szCs w:val="24"/>
              </w:rPr>
              <w:t>CMI</w:t>
            </w:r>
          </w:p>
        </w:tc>
        <w:tc>
          <w:tcPr>
            <w:tcW w:w="0" w:type="auto"/>
            <w:shd w:val="clear" w:color="auto" w:fill="auto"/>
            <w:vAlign w:val="center"/>
            <w:hideMark/>
          </w:tcPr>
          <w:p w14:paraId="268D47CB" w14:textId="64435C4A"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1507F70A" w14:textId="07385CCD"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6D9CE843" w14:textId="4DB323E8"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378743EF" w14:textId="184CD6C1"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vAlign w:val="center"/>
            <w:hideMark/>
          </w:tcPr>
          <w:p w14:paraId="5B45E963" w14:textId="56D75904" w:rsidR="009B6B4F" w:rsidRPr="001444D7" w:rsidRDefault="009B6B4F" w:rsidP="001444D7">
            <w:pPr>
              <w:widowControl/>
              <w:autoSpaceDE/>
              <w:autoSpaceDN/>
              <w:jc w:val="center"/>
              <w:rPr>
                <w:rFonts w:eastAsia="Times New Roman" w:cs="Calibri"/>
                <w:color w:val="000000"/>
                <w:szCs w:val="24"/>
              </w:rPr>
            </w:pPr>
          </w:p>
        </w:tc>
        <w:tc>
          <w:tcPr>
            <w:tcW w:w="0" w:type="auto"/>
            <w:shd w:val="clear" w:color="auto" w:fill="auto"/>
            <w:noWrap/>
            <w:vAlign w:val="bottom"/>
            <w:hideMark/>
          </w:tcPr>
          <w:p w14:paraId="24175255" w14:textId="7A18F05C" w:rsidR="009B6B4F" w:rsidRPr="001444D7" w:rsidRDefault="009B6B4F" w:rsidP="001444D7">
            <w:pPr>
              <w:widowControl/>
              <w:autoSpaceDE/>
              <w:autoSpaceDN/>
              <w:jc w:val="center"/>
              <w:rPr>
                <w:rFonts w:eastAsia="Times New Roman" w:cs="Calibri"/>
                <w:color w:val="000000"/>
                <w:szCs w:val="24"/>
              </w:rPr>
            </w:pPr>
          </w:p>
        </w:tc>
        <w:tc>
          <w:tcPr>
            <w:tcW w:w="0" w:type="auto"/>
          </w:tcPr>
          <w:p w14:paraId="6059D881" w14:textId="77777777" w:rsidR="009B6B4F" w:rsidRPr="001444D7" w:rsidRDefault="009B6B4F" w:rsidP="001444D7">
            <w:pPr>
              <w:widowControl/>
              <w:autoSpaceDE/>
              <w:autoSpaceDN/>
              <w:jc w:val="center"/>
              <w:rPr>
                <w:rFonts w:eastAsia="Times New Roman" w:cs="Calibri"/>
                <w:color w:val="000000"/>
                <w:szCs w:val="24"/>
              </w:rPr>
            </w:pPr>
          </w:p>
        </w:tc>
      </w:tr>
      <w:tr w:rsidR="00ED6E8D" w:rsidRPr="00E52C17" w14:paraId="74E654A0" w14:textId="1A4EC524" w:rsidTr="001D3D9D">
        <w:trPr>
          <w:cantSplit/>
          <w:trHeight w:val="290"/>
        </w:trPr>
        <w:tc>
          <w:tcPr>
            <w:tcW w:w="0" w:type="auto"/>
            <w:shd w:val="clear" w:color="auto" w:fill="auto"/>
            <w:vAlign w:val="center"/>
            <w:hideMark/>
          </w:tcPr>
          <w:p w14:paraId="7A609239" w14:textId="77777777" w:rsidR="00ED6E8D" w:rsidRPr="001444D7" w:rsidRDefault="00ED6E8D" w:rsidP="00ED6E8D">
            <w:pPr>
              <w:widowControl/>
              <w:autoSpaceDE/>
              <w:autoSpaceDN/>
              <w:rPr>
                <w:rFonts w:eastAsia="Times New Roman" w:cs="Calibri"/>
                <w:color w:val="000000"/>
                <w:szCs w:val="24"/>
              </w:rPr>
            </w:pPr>
            <w:r w:rsidRPr="001444D7">
              <w:rPr>
                <w:rFonts w:eastAsia="Times New Roman" w:cs="Calibri"/>
                <w:color w:val="000000"/>
                <w:spacing w:val="-2"/>
                <w:szCs w:val="24"/>
              </w:rPr>
              <w:t>Dana-Farber/BWH</w:t>
            </w:r>
          </w:p>
        </w:tc>
        <w:tc>
          <w:tcPr>
            <w:tcW w:w="0" w:type="auto"/>
            <w:shd w:val="clear" w:color="auto" w:fill="auto"/>
            <w:vAlign w:val="center"/>
            <w:hideMark/>
          </w:tcPr>
          <w:p w14:paraId="65D67CEE"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2.06</w:t>
            </w:r>
          </w:p>
        </w:tc>
        <w:tc>
          <w:tcPr>
            <w:tcW w:w="0" w:type="auto"/>
            <w:shd w:val="clear" w:color="auto" w:fill="auto"/>
            <w:vAlign w:val="center"/>
            <w:hideMark/>
          </w:tcPr>
          <w:p w14:paraId="7083A9C6"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2.19</w:t>
            </w:r>
          </w:p>
        </w:tc>
        <w:tc>
          <w:tcPr>
            <w:tcW w:w="0" w:type="auto"/>
            <w:shd w:val="clear" w:color="auto" w:fill="auto"/>
            <w:hideMark/>
          </w:tcPr>
          <w:p w14:paraId="0614FFAD" w14:textId="31C617F4" w:rsidR="00ED6E8D" w:rsidRPr="001444D7" w:rsidRDefault="00ED6E8D"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6EA1554E" w14:textId="4E3F4D88"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2.1</w:t>
            </w:r>
            <w:r w:rsidR="00654A04" w:rsidRPr="001444D7">
              <w:rPr>
                <w:rFonts w:eastAsia="Times New Roman" w:cs="Calibri"/>
                <w:color w:val="000000"/>
                <w:spacing w:val="-4"/>
                <w:szCs w:val="24"/>
              </w:rPr>
              <w:t>0</w:t>
            </w:r>
          </w:p>
        </w:tc>
        <w:tc>
          <w:tcPr>
            <w:tcW w:w="0" w:type="auto"/>
            <w:shd w:val="clear" w:color="auto" w:fill="auto"/>
            <w:vAlign w:val="center"/>
            <w:hideMark/>
          </w:tcPr>
          <w:p w14:paraId="3E5279C9"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2.48</w:t>
            </w:r>
          </w:p>
        </w:tc>
        <w:tc>
          <w:tcPr>
            <w:tcW w:w="0" w:type="auto"/>
            <w:shd w:val="clear" w:color="auto" w:fill="auto"/>
            <w:noWrap/>
            <w:hideMark/>
          </w:tcPr>
          <w:p w14:paraId="7D16F5F3" w14:textId="3C016722" w:rsidR="00ED6E8D" w:rsidRPr="001444D7" w:rsidRDefault="00ED6E8D"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5AEDB684" w14:textId="5A473278" w:rsidR="00ED6E8D" w:rsidRPr="001444D7" w:rsidRDefault="00ED6E8D" w:rsidP="001444D7">
            <w:pPr>
              <w:widowControl/>
              <w:autoSpaceDE/>
              <w:autoSpaceDN/>
              <w:jc w:val="center"/>
              <w:rPr>
                <w:rFonts w:cs="Calibri"/>
                <w:szCs w:val="24"/>
              </w:rPr>
            </w:pPr>
            <w:r w:rsidRPr="001436DC">
              <w:t>20%</w:t>
            </w:r>
          </w:p>
        </w:tc>
      </w:tr>
      <w:tr w:rsidR="00ED6E8D" w:rsidRPr="00E52C17" w14:paraId="3B7B7575" w14:textId="6BE4AE9A" w:rsidTr="001D3D9D">
        <w:trPr>
          <w:cantSplit/>
          <w:trHeight w:val="290"/>
        </w:trPr>
        <w:tc>
          <w:tcPr>
            <w:tcW w:w="0" w:type="auto"/>
            <w:shd w:val="clear" w:color="auto" w:fill="auto"/>
            <w:vAlign w:val="center"/>
            <w:hideMark/>
          </w:tcPr>
          <w:p w14:paraId="434966F3" w14:textId="77777777" w:rsidR="00ED6E8D" w:rsidRPr="001444D7" w:rsidRDefault="00ED6E8D" w:rsidP="00ED6E8D">
            <w:pPr>
              <w:widowControl/>
              <w:autoSpaceDE/>
              <w:autoSpaceDN/>
              <w:rPr>
                <w:rFonts w:eastAsia="Times New Roman" w:cs="Calibri"/>
                <w:color w:val="000000"/>
                <w:szCs w:val="24"/>
              </w:rPr>
            </w:pPr>
            <w:r w:rsidRPr="001444D7">
              <w:rPr>
                <w:rFonts w:eastAsia="Times New Roman" w:cs="Calibri"/>
                <w:color w:val="000000"/>
                <w:spacing w:val="-2"/>
                <w:szCs w:val="24"/>
              </w:rPr>
              <w:t>BIDMC</w:t>
            </w:r>
          </w:p>
        </w:tc>
        <w:tc>
          <w:tcPr>
            <w:tcW w:w="0" w:type="auto"/>
            <w:shd w:val="clear" w:color="auto" w:fill="auto"/>
            <w:vAlign w:val="center"/>
            <w:hideMark/>
          </w:tcPr>
          <w:p w14:paraId="71FF569C"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1.71</w:t>
            </w:r>
          </w:p>
        </w:tc>
        <w:tc>
          <w:tcPr>
            <w:tcW w:w="0" w:type="auto"/>
            <w:shd w:val="clear" w:color="auto" w:fill="auto"/>
            <w:vAlign w:val="center"/>
            <w:hideMark/>
          </w:tcPr>
          <w:p w14:paraId="6BAA92CF"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1.71</w:t>
            </w:r>
          </w:p>
        </w:tc>
        <w:tc>
          <w:tcPr>
            <w:tcW w:w="0" w:type="auto"/>
            <w:shd w:val="clear" w:color="auto" w:fill="auto"/>
            <w:hideMark/>
          </w:tcPr>
          <w:p w14:paraId="09CEFE06" w14:textId="4D23FEEF" w:rsidR="00ED6E8D" w:rsidRPr="001444D7" w:rsidRDefault="00ED6E8D"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64F3D22B"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1.85</w:t>
            </w:r>
          </w:p>
        </w:tc>
        <w:tc>
          <w:tcPr>
            <w:tcW w:w="0" w:type="auto"/>
            <w:shd w:val="clear" w:color="auto" w:fill="auto"/>
            <w:vAlign w:val="center"/>
            <w:hideMark/>
          </w:tcPr>
          <w:p w14:paraId="78D298FB"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2.23</w:t>
            </w:r>
          </w:p>
        </w:tc>
        <w:tc>
          <w:tcPr>
            <w:tcW w:w="0" w:type="auto"/>
            <w:shd w:val="clear" w:color="auto" w:fill="auto"/>
            <w:noWrap/>
            <w:hideMark/>
          </w:tcPr>
          <w:p w14:paraId="4243BB76" w14:textId="18C3FCD2" w:rsidR="00ED6E8D" w:rsidRPr="001444D7" w:rsidRDefault="00ED6E8D"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3F0B2848" w14:textId="7867FCBC" w:rsidR="00ED6E8D" w:rsidRPr="001444D7" w:rsidRDefault="00ED6E8D" w:rsidP="001444D7">
            <w:pPr>
              <w:widowControl/>
              <w:autoSpaceDE/>
              <w:autoSpaceDN/>
              <w:jc w:val="center"/>
              <w:rPr>
                <w:rFonts w:cs="Calibri"/>
                <w:szCs w:val="24"/>
              </w:rPr>
            </w:pPr>
            <w:r w:rsidRPr="001436DC">
              <w:t>30%</w:t>
            </w:r>
          </w:p>
        </w:tc>
      </w:tr>
      <w:tr w:rsidR="00ED6E8D" w:rsidRPr="00E52C17" w14:paraId="31BEB731" w14:textId="642E2C95" w:rsidTr="001D3D9D">
        <w:trPr>
          <w:cantSplit/>
          <w:trHeight w:val="290"/>
        </w:trPr>
        <w:tc>
          <w:tcPr>
            <w:tcW w:w="0" w:type="auto"/>
            <w:shd w:val="clear" w:color="auto" w:fill="auto"/>
            <w:vAlign w:val="center"/>
            <w:hideMark/>
          </w:tcPr>
          <w:p w14:paraId="0A55F04F" w14:textId="77777777" w:rsidR="00ED6E8D" w:rsidRPr="001444D7" w:rsidRDefault="00ED6E8D" w:rsidP="00ED6E8D">
            <w:pPr>
              <w:widowControl/>
              <w:autoSpaceDE/>
              <w:autoSpaceDN/>
              <w:rPr>
                <w:rFonts w:eastAsia="Times New Roman" w:cs="Calibri"/>
                <w:color w:val="000000"/>
                <w:szCs w:val="24"/>
              </w:rPr>
            </w:pPr>
            <w:r w:rsidRPr="001444D7">
              <w:rPr>
                <w:rFonts w:eastAsia="Times New Roman" w:cs="Calibri"/>
                <w:color w:val="000000"/>
                <w:spacing w:val="-2"/>
                <w:szCs w:val="24"/>
              </w:rPr>
              <w:t>Combined</w:t>
            </w:r>
          </w:p>
        </w:tc>
        <w:tc>
          <w:tcPr>
            <w:tcW w:w="0" w:type="auto"/>
            <w:shd w:val="clear" w:color="auto" w:fill="auto"/>
            <w:vAlign w:val="center"/>
            <w:hideMark/>
          </w:tcPr>
          <w:p w14:paraId="1DF0C245"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1.95</w:t>
            </w:r>
          </w:p>
        </w:tc>
        <w:tc>
          <w:tcPr>
            <w:tcW w:w="0" w:type="auto"/>
            <w:shd w:val="clear" w:color="auto" w:fill="auto"/>
            <w:vAlign w:val="center"/>
            <w:hideMark/>
          </w:tcPr>
          <w:p w14:paraId="3859940E"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2.04</w:t>
            </w:r>
          </w:p>
        </w:tc>
        <w:tc>
          <w:tcPr>
            <w:tcW w:w="0" w:type="auto"/>
            <w:shd w:val="clear" w:color="auto" w:fill="auto"/>
            <w:hideMark/>
          </w:tcPr>
          <w:p w14:paraId="5F919F65" w14:textId="5C6249B6" w:rsidR="00ED6E8D" w:rsidRPr="001444D7" w:rsidRDefault="00ED6E8D" w:rsidP="001444D7">
            <w:pPr>
              <w:widowControl/>
              <w:autoSpaceDE/>
              <w:autoSpaceDN/>
              <w:jc w:val="center"/>
              <w:rPr>
                <w:rFonts w:eastAsia="Times New Roman" w:cs="Calibri"/>
                <w:color w:val="000000"/>
                <w:szCs w:val="24"/>
              </w:rPr>
            </w:pPr>
            <w:r w:rsidRPr="001444D7">
              <w:rPr>
                <w:rFonts w:cs="Calibri"/>
                <w:szCs w:val="24"/>
              </w:rPr>
              <w:t>-</w:t>
            </w:r>
          </w:p>
        </w:tc>
        <w:tc>
          <w:tcPr>
            <w:tcW w:w="0" w:type="auto"/>
            <w:shd w:val="clear" w:color="auto" w:fill="auto"/>
            <w:vAlign w:val="center"/>
            <w:hideMark/>
          </w:tcPr>
          <w:p w14:paraId="709CDC60" w14:textId="77777777"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2.02</w:t>
            </w:r>
          </w:p>
        </w:tc>
        <w:tc>
          <w:tcPr>
            <w:tcW w:w="0" w:type="auto"/>
            <w:shd w:val="clear" w:color="auto" w:fill="auto"/>
            <w:vAlign w:val="center"/>
            <w:hideMark/>
          </w:tcPr>
          <w:p w14:paraId="4CBF444A" w14:textId="6D8E4314" w:rsidR="00ED6E8D" w:rsidRPr="001444D7" w:rsidRDefault="00ED6E8D" w:rsidP="001444D7">
            <w:pPr>
              <w:widowControl/>
              <w:autoSpaceDE/>
              <w:autoSpaceDN/>
              <w:jc w:val="center"/>
              <w:rPr>
                <w:rFonts w:eastAsia="Times New Roman" w:cs="Calibri"/>
                <w:color w:val="000000"/>
                <w:szCs w:val="24"/>
              </w:rPr>
            </w:pPr>
            <w:r w:rsidRPr="001444D7">
              <w:rPr>
                <w:rFonts w:eastAsia="Times New Roman" w:cs="Calibri"/>
                <w:color w:val="000000"/>
                <w:spacing w:val="-4"/>
                <w:szCs w:val="24"/>
              </w:rPr>
              <w:t>2.4</w:t>
            </w:r>
            <w:r w:rsidR="00654A04" w:rsidRPr="001444D7">
              <w:rPr>
                <w:rFonts w:eastAsia="Times New Roman" w:cs="Calibri"/>
                <w:color w:val="000000"/>
                <w:spacing w:val="-4"/>
                <w:szCs w:val="24"/>
              </w:rPr>
              <w:t>0</w:t>
            </w:r>
          </w:p>
        </w:tc>
        <w:tc>
          <w:tcPr>
            <w:tcW w:w="0" w:type="auto"/>
            <w:shd w:val="clear" w:color="auto" w:fill="auto"/>
            <w:noWrap/>
            <w:hideMark/>
          </w:tcPr>
          <w:p w14:paraId="60AB96A2" w14:textId="32DD4556" w:rsidR="00ED6E8D" w:rsidRPr="001444D7" w:rsidRDefault="00ED6E8D" w:rsidP="001444D7">
            <w:pPr>
              <w:widowControl/>
              <w:autoSpaceDE/>
              <w:autoSpaceDN/>
              <w:jc w:val="center"/>
              <w:rPr>
                <w:rFonts w:eastAsia="Times New Roman" w:cs="Calibri"/>
                <w:color w:val="000000"/>
                <w:szCs w:val="24"/>
              </w:rPr>
            </w:pPr>
            <w:r w:rsidRPr="001444D7">
              <w:rPr>
                <w:rFonts w:cs="Calibri"/>
                <w:szCs w:val="24"/>
              </w:rPr>
              <w:t>-</w:t>
            </w:r>
          </w:p>
        </w:tc>
        <w:tc>
          <w:tcPr>
            <w:tcW w:w="0" w:type="auto"/>
          </w:tcPr>
          <w:p w14:paraId="5A712F23" w14:textId="4857A71E" w:rsidR="00ED6E8D" w:rsidRPr="001444D7" w:rsidRDefault="00ED6E8D" w:rsidP="001444D7">
            <w:pPr>
              <w:widowControl/>
              <w:autoSpaceDE/>
              <w:autoSpaceDN/>
              <w:jc w:val="center"/>
              <w:rPr>
                <w:rFonts w:cs="Calibri"/>
                <w:szCs w:val="24"/>
              </w:rPr>
            </w:pPr>
            <w:r w:rsidRPr="001436DC">
              <w:t>23%</w:t>
            </w:r>
          </w:p>
        </w:tc>
      </w:tr>
    </w:tbl>
    <w:p w14:paraId="2FF4391C" w14:textId="77777777" w:rsidR="001D3D9D" w:rsidRDefault="001D3D9D" w:rsidP="00565D74">
      <w:pPr>
        <w:rPr>
          <w:rFonts w:asciiTheme="minorHAnsi" w:hAnsiTheme="minorHAnsi"/>
          <w:bCs/>
          <w:szCs w:val="24"/>
        </w:rPr>
        <w:sectPr w:rsidR="001D3D9D">
          <w:headerReference w:type="even" r:id="rId14"/>
          <w:headerReference w:type="default" r:id="rId15"/>
          <w:footerReference w:type="default" r:id="rId16"/>
          <w:headerReference w:type="first" r:id="rId17"/>
          <w:endnotePr>
            <w:numFmt w:val="lowerLetter"/>
          </w:endnotePr>
          <w:pgSz w:w="12240" w:h="15840"/>
          <w:pgMar w:top="1140" w:right="1200" w:bottom="1240" w:left="1220" w:header="0" w:footer="1058" w:gutter="0"/>
          <w:cols w:space="720"/>
        </w:sectPr>
      </w:pPr>
    </w:p>
    <w:p w14:paraId="23619A97" w14:textId="3A196BA3" w:rsidR="004B1ACE" w:rsidRDefault="001658A1" w:rsidP="00BA2054">
      <w:pPr>
        <w:rPr>
          <w:rFonts w:asciiTheme="minorHAnsi" w:hAnsiTheme="minorHAnsi"/>
          <w:bCs/>
          <w:szCs w:val="24"/>
        </w:rPr>
      </w:pPr>
      <w:r>
        <w:rPr>
          <w:rFonts w:asciiTheme="minorHAnsi" w:hAnsiTheme="minorHAnsi"/>
          <w:bCs/>
          <w:szCs w:val="24"/>
        </w:rPr>
        <w:lastRenderedPageBreak/>
        <w:t>The Applicant notes that n</w:t>
      </w:r>
      <w:r w:rsidR="00E566C8" w:rsidRPr="00E566C8">
        <w:rPr>
          <w:rFonts w:asciiTheme="minorHAnsi" w:hAnsiTheme="minorHAnsi"/>
          <w:bCs/>
          <w:szCs w:val="24"/>
        </w:rPr>
        <w:t>ot all allocated oncology beds are in private rooms</w:t>
      </w:r>
      <w:r w:rsidR="003D790E">
        <w:rPr>
          <w:rFonts w:asciiTheme="minorHAnsi" w:hAnsiTheme="minorHAnsi"/>
          <w:bCs/>
          <w:szCs w:val="24"/>
        </w:rPr>
        <w:t xml:space="preserve">, and </w:t>
      </w:r>
      <w:r w:rsidR="0012706C">
        <w:rPr>
          <w:rFonts w:asciiTheme="minorHAnsi" w:eastAsia="Times New Roman" w:hAnsiTheme="minorHAnsi"/>
          <w:szCs w:val="24"/>
          <w:lang w:eastAsia="zh-CN"/>
        </w:rPr>
        <w:t>that</w:t>
      </w:r>
      <w:r w:rsidR="004B1ACE" w:rsidRPr="004B1ACE">
        <w:rPr>
          <w:rFonts w:asciiTheme="minorHAnsi" w:hAnsiTheme="minorHAnsi"/>
          <w:bCs/>
          <w:szCs w:val="24"/>
        </w:rPr>
        <w:t xml:space="preserve"> </w:t>
      </w:r>
      <w:r w:rsidR="00375FA4">
        <w:rPr>
          <w:rFonts w:asciiTheme="minorHAnsi" w:hAnsiTheme="minorHAnsi"/>
          <w:bCs/>
          <w:szCs w:val="24"/>
        </w:rPr>
        <w:t xml:space="preserve">many </w:t>
      </w:r>
      <w:r w:rsidR="004B1ACE" w:rsidRPr="004B1ACE">
        <w:rPr>
          <w:rFonts w:asciiTheme="minorHAnsi" w:hAnsiTheme="minorHAnsi"/>
          <w:bCs/>
          <w:szCs w:val="24"/>
        </w:rPr>
        <w:t xml:space="preserve">overflow patients are being cared for in </w:t>
      </w:r>
      <w:r w:rsidR="004B1ACE">
        <w:rPr>
          <w:rFonts w:asciiTheme="minorHAnsi" w:hAnsiTheme="minorHAnsi"/>
          <w:bCs/>
          <w:szCs w:val="24"/>
        </w:rPr>
        <w:t>ED beds</w:t>
      </w:r>
      <w:r w:rsidR="004B1ACE" w:rsidRPr="004B1ACE">
        <w:rPr>
          <w:rFonts w:asciiTheme="minorHAnsi" w:hAnsiTheme="minorHAnsi"/>
          <w:bCs/>
          <w:szCs w:val="24"/>
        </w:rPr>
        <w:t xml:space="preserve"> </w:t>
      </w:r>
      <w:r w:rsidR="004B1ACE">
        <w:rPr>
          <w:rFonts w:asciiTheme="minorHAnsi" w:hAnsiTheme="minorHAnsi"/>
          <w:bCs/>
          <w:szCs w:val="24"/>
        </w:rPr>
        <w:t xml:space="preserve">and </w:t>
      </w:r>
      <w:r w:rsidR="004B1ACE" w:rsidRPr="004B1ACE">
        <w:rPr>
          <w:rFonts w:asciiTheme="minorHAnsi" w:hAnsiTheme="minorHAnsi"/>
          <w:bCs/>
          <w:szCs w:val="24"/>
        </w:rPr>
        <w:t>at times, in hallways</w:t>
      </w:r>
      <w:r w:rsidR="004B1ACE">
        <w:rPr>
          <w:rFonts w:asciiTheme="minorHAnsi" w:hAnsiTheme="minorHAnsi"/>
          <w:bCs/>
          <w:szCs w:val="24"/>
        </w:rPr>
        <w:t>,</w:t>
      </w:r>
      <w:r w:rsidR="004B1ACE" w:rsidRPr="004B1ACE">
        <w:rPr>
          <w:rFonts w:asciiTheme="minorHAnsi" w:hAnsiTheme="minorHAnsi"/>
          <w:bCs/>
          <w:szCs w:val="24"/>
        </w:rPr>
        <w:t xml:space="preserve"> and in other </w:t>
      </w:r>
      <w:r w:rsidR="004A2BFD">
        <w:rPr>
          <w:rFonts w:asciiTheme="minorHAnsi" w:hAnsiTheme="minorHAnsi"/>
          <w:bCs/>
          <w:szCs w:val="24"/>
        </w:rPr>
        <w:t>M/S</w:t>
      </w:r>
      <w:r w:rsidR="004B1ACE" w:rsidRPr="004B1ACE">
        <w:rPr>
          <w:rFonts w:asciiTheme="minorHAnsi" w:hAnsiTheme="minorHAnsi"/>
          <w:bCs/>
          <w:szCs w:val="24"/>
        </w:rPr>
        <w:t xml:space="preserve"> beds</w:t>
      </w:r>
      <w:r w:rsidR="0012706C">
        <w:rPr>
          <w:rFonts w:asciiTheme="minorHAnsi" w:hAnsiTheme="minorHAnsi"/>
          <w:bCs/>
          <w:szCs w:val="24"/>
        </w:rPr>
        <w:t xml:space="preserve"> that </w:t>
      </w:r>
      <w:proofErr w:type="gramStart"/>
      <w:r w:rsidR="0012706C">
        <w:rPr>
          <w:rFonts w:asciiTheme="minorHAnsi" w:hAnsiTheme="minorHAnsi"/>
          <w:bCs/>
          <w:szCs w:val="24"/>
        </w:rPr>
        <w:t>are located in</w:t>
      </w:r>
      <w:proofErr w:type="gramEnd"/>
      <w:r w:rsidR="0012706C">
        <w:rPr>
          <w:rFonts w:asciiTheme="minorHAnsi" w:hAnsiTheme="minorHAnsi"/>
          <w:bCs/>
          <w:szCs w:val="24"/>
        </w:rPr>
        <w:t xml:space="preserve"> two separate buildings and distributed among eight floors</w:t>
      </w:r>
      <w:r w:rsidR="00744073">
        <w:rPr>
          <w:rFonts w:asciiTheme="minorHAnsi" w:hAnsiTheme="minorHAnsi"/>
          <w:bCs/>
          <w:szCs w:val="24"/>
        </w:rPr>
        <w:t xml:space="preserve"> with multiple areas on each floor</w:t>
      </w:r>
      <w:r w:rsidR="004B1ACE" w:rsidRPr="004B1ACE">
        <w:rPr>
          <w:rFonts w:asciiTheme="minorHAnsi" w:hAnsiTheme="minorHAnsi"/>
          <w:bCs/>
          <w:szCs w:val="24"/>
        </w:rPr>
        <w:t xml:space="preserve">. </w:t>
      </w:r>
      <w:r w:rsidR="00190F95">
        <w:rPr>
          <w:rFonts w:asciiTheme="minorHAnsi" w:hAnsiTheme="minorHAnsi"/>
          <w:bCs/>
          <w:szCs w:val="24"/>
        </w:rPr>
        <w:t>The Applicant states that w</w:t>
      </w:r>
      <w:r w:rsidR="0012706C">
        <w:rPr>
          <w:rFonts w:asciiTheme="minorHAnsi" w:hAnsiTheme="minorHAnsi"/>
          <w:bCs/>
          <w:szCs w:val="24"/>
        </w:rPr>
        <w:t>hen t</w:t>
      </w:r>
      <w:r w:rsidR="004B1ACE" w:rsidRPr="004B1ACE">
        <w:rPr>
          <w:rFonts w:asciiTheme="minorHAnsi" w:hAnsiTheme="minorHAnsi"/>
          <w:bCs/>
          <w:szCs w:val="24"/>
        </w:rPr>
        <w:t>he inpatient census exceeds the number of oncology beds</w:t>
      </w:r>
      <w:r w:rsidR="0012706C">
        <w:rPr>
          <w:rFonts w:asciiTheme="minorHAnsi" w:hAnsiTheme="minorHAnsi"/>
          <w:bCs/>
          <w:szCs w:val="24"/>
        </w:rPr>
        <w:t xml:space="preserve">, </w:t>
      </w:r>
      <w:r w:rsidR="00CE4DC6">
        <w:rPr>
          <w:rFonts w:asciiTheme="minorHAnsi" w:hAnsiTheme="minorHAnsi"/>
          <w:bCs/>
          <w:szCs w:val="24"/>
        </w:rPr>
        <w:t>approximately</w:t>
      </w:r>
      <w:r w:rsidR="0012706C">
        <w:rPr>
          <w:rFonts w:asciiTheme="minorHAnsi" w:hAnsiTheme="minorHAnsi"/>
          <w:bCs/>
          <w:szCs w:val="24"/>
        </w:rPr>
        <w:t xml:space="preserve"> </w:t>
      </w:r>
      <w:r w:rsidR="004B1ACE" w:rsidRPr="004B1ACE">
        <w:rPr>
          <w:rFonts w:asciiTheme="minorHAnsi" w:hAnsiTheme="minorHAnsi"/>
          <w:bCs/>
          <w:szCs w:val="24"/>
        </w:rPr>
        <w:t>15</w:t>
      </w:r>
      <w:r w:rsidR="0012706C">
        <w:rPr>
          <w:rFonts w:asciiTheme="minorHAnsi" w:hAnsiTheme="minorHAnsi"/>
          <w:bCs/>
          <w:szCs w:val="24"/>
        </w:rPr>
        <w:t xml:space="preserve">% to </w:t>
      </w:r>
      <w:r w:rsidR="004B1ACE" w:rsidRPr="004B1ACE">
        <w:rPr>
          <w:rFonts w:asciiTheme="minorHAnsi" w:hAnsiTheme="minorHAnsi"/>
          <w:bCs/>
          <w:szCs w:val="24"/>
        </w:rPr>
        <w:t xml:space="preserve">25% of inpatient cancer patients are located in beds that are not staffed by oncology-trained nurses. </w:t>
      </w:r>
    </w:p>
    <w:p w14:paraId="7FE37E62" w14:textId="77777777" w:rsidR="00F95A1E" w:rsidRDefault="00F95A1E" w:rsidP="00BA2054">
      <w:pPr>
        <w:rPr>
          <w:rFonts w:asciiTheme="minorHAnsi" w:hAnsiTheme="minorHAnsi"/>
          <w:bCs/>
          <w:szCs w:val="24"/>
        </w:rPr>
      </w:pPr>
    </w:p>
    <w:p w14:paraId="4A2A97DC" w14:textId="1C4F0DE7" w:rsidR="00B56A45" w:rsidRDefault="00190F95" w:rsidP="00BA2054">
      <w:pPr>
        <w:rPr>
          <w:rFonts w:asciiTheme="minorHAnsi" w:hAnsiTheme="minorHAnsi"/>
          <w:szCs w:val="24"/>
        </w:rPr>
      </w:pPr>
      <w:r>
        <w:rPr>
          <w:rFonts w:asciiTheme="minorHAnsi" w:hAnsiTheme="minorHAnsi"/>
          <w:szCs w:val="24"/>
        </w:rPr>
        <w:t>The Applicant states that o</w:t>
      </w:r>
      <w:r w:rsidR="009629B7">
        <w:rPr>
          <w:rFonts w:asciiTheme="minorHAnsi" w:hAnsiTheme="minorHAnsi"/>
          <w:szCs w:val="24"/>
        </w:rPr>
        <w:t>ver the past ten years</w:t>
      </w:r>
      <w:r w:rsidR="00956291">
        <w:rPr>
          <w:rFonts w:asciiTheme="minorHAnsi" w:hAnsiTheme="minorHAnsi"/>
          <w:szCs w:val="24"/>
        </w:rPr>
        <w:t xml:space="preserve"> </w:t>
      </w:r>
      <w:r w:rsidR="00CB57B7" w:rsidRPr="00CB57B7">
        <w:rPr>
          <w:rFonts w:asciiTheme="minorHAnsi" w:hAnsiTheme="minorHAnsi"/>
          <w:szCs w:val="24"/>
        </w:rPr>
        <w:t>the number of innovative, complex treatments that require inpatient hospitalization for either the administration or monitoring of the therapy has increased</w:t>
      </w:r>
      <w:r w:rsidR="00A502EA">
        <w:rPr>
          <w:rFonts w:asciiTheme="minorHAnsi" w:hAnsiTheme="minorHAnsi"/>
          <w:szCs w:val="24"/>
        </w:rPr>
        <w:t>, which in turn increases need for inpatient capacity.</w:t>
      </w:r>
      <w:r w:rsidR="00633272">
        <w:rPr>
          <w:rFonts w:asciiTheme="minorHAnsi" w:hAnsiTheme="minorHAnsi"/>
          <w:szCs w:val="24"/>
        </w:rPr>
        <w:t xml:space="preserve"> </w:t>
      </w:r>
      <w:r w:rsidR="004A5E14">
        <w:rPr>
          <w:rFonts w:asciiTheme="minorHAnsi" w:hAnsiTheme="minorHAnsi"/>
          <w:szCs w:val="24"/>
        </w:rPr>
        <w:t>The Applicant provided the following examples of</w:t>
      </w:r>
      <w:r w:rsidR="001243D8" w:rsidRPr="001243D8">
        <w:rPr>
          <w:rFonts w:asciiTheme="minorHAnsi" w:hAnsiTheme="minorHAnsi"/>
          <w:szCs w:val="24"/>
        </w:rPr>
        <w:t xml:space="preserve"> treatments for patients with </w:t>
      </w:r>
      <w:r w:rsidR="00A502EA">
        <w:rPr>
          <w:rFonts w:asciiTheme="minorHAnsi" w:hAnsiTheme="minorHAnsi"/>
          <w:szCs w:val="24"/>
        </w:rPr>
        <w:t xml:space="preserve">cancer with </w:t>
      </w:r>
      <w:r w:rsidR="001243D8" w:rsidRPr="001243D8">
        <w:rPr>
          <w:rFonts w:asciiTheme="minorHAnsi" w:hAnsiTheme="minorHAnsi"/>
          <w:szCs w:val="24"/>
        </w:rPr>
        <w:t>complex diagnoses requir</w:t>
      </w:r>
      <w:r w:rsidR="00500030">
        <w:rPr>
          <w:rFonts w:asciiTheme="minorHAnsi" w:hAnsiTheme="minorHAnsi"/>
          <w:szCs w:val="24"/>
        </w:rPr>
        <w:t>ing</w:t>
      </w:r>
      <w:r w:rsidR="001243D8" w:rsidRPr="001243D8">
        <w:rPr>
          <w:rFonts w:asciiTheme="minorHAnsi" w:hAnsiTheme="minorHAnsi"/>
          <w:szCs w:val="24"/>
        </w:rPr>
        <w:t xml:space="preserve"> inpatient admission</w:t>
      </w:r>
      <w:r w:rsidR="00500030">
        <w:rPr>
          <w:rFonts w:asciiTheme="minorHAnsi" w:hAnsiTheme="minorHAnsi"/>
          <w:szCs w:val="24"/>
        </w:rPr>
        <w:t>:</w:t>
      </w:r>
    </w:p>
    <w:p w14:paraId="1DC80943" w14:textId="36348161" w:rsidR="00B56A45" w:rsidRDefault="003C0950" w:rsidP="00F91720">
      <w:pPr>
        <w:pStyle w:val="ListParagraph"/>
        <w:numPr>
          <w:ilvl w:val="0"/>
          <w:numId w:val="11"/>
        </w:numPr>
        <w:rPr>
          <w:rFonts w:asciiTheme="minorHAnsi" w:hAnsiTheme="minorHAnsi"/>
          <w:szCs w:val="24"/>
        </w:rPr>
      </w:pPr>
      <w:r w:rsidRPr="00B56A45">
        <w:rPr>
          <w:rFonts w:asciiTheme="minorHAnsi" w:hAnsiTheme="minorHAnsi"/>
          <w:b/>
          <w:bCs/>
          <w:szCs w:val="24"/>
        </w:rPr>
        <w:t xml:space="preserve">Induction </w:t>
      </w:r>
      <w:r w:rsidR="00B56A45">
        <w:rPr>
          <w:rFonts w:asciiTheme="minorHAnsi" w:hAnsiTheme="minorHAnsi"/>
          <w:b/>
          <w:bCs/>
          <w:szCs w:val="24"/>
        </w:rPr>
        <w:t>T</w:t>
      </w:r>
      <w:r w:rsidRPr="00B56A45">
        <w:rPr>
          <w:rFonts w:asciiTheme="minorHAnsi" w:hAnsiTheme="minorHAnsi"/>
          <w:b/>
          <w:bCs/>
          <w:szCs w:val="24"/>
        </w:rPr>
        <w:t>herapy</w:t>
      </w:r>
      <w:r w:rsidR="00B56A45">
        <w:rPr>
          <w:rFonts w:asciiTheme="minorHAnsi" w:hAnsiTheme="minorHAnsi"/>
          <w:szCs w:val="24"/>
        </w:rPr>
        <w:t>:</w:t>
      </w:r>
      <w:r w:rsidRPr="00B56A45">
        <w:rPr>
          <w:rFonts w:asciiTheme="minorHAnsi" w:hAnsiTheme="minorHAnsi"/>
          <w:szCs w:val="24"/>
        </w:rPr>
        <w:t xml:space="preserve"> </w:t>
      </w:r>
      <w:r w:rsidR="00767ACF">
        <w:rPr>
          <w:rFonts w:asciiTheme="minorHAnsi" w:hAnsiTheme="minorHAnsi"/>
          <w:szCs w:val="24"/>
        </w:rPr>
        <w:t>A type of chemotherapy, and t</w:t>
      </w:r>
      <w:r w:rsidR="00502130" w:rsidRPr="00B56A45">
        <w:rPr>
          <w:rFonts w:asciiTheme="minorHAnsi" w:hAnsiTheme="minorHAnsi"/>
          <w:szCs w:val="24"/>
        </w:rPr>
        <w:t>he first phase of</w:t>
      </w:r>
      <w:r w:rsidR="00CD7C78" w:rsidRPr="00B56A45">
        <w:rPr>
          <w:rFonts w:asciiTheme="minorHAnsi" w:hAnsiTheme="minorHAnsi"/>
          <w:szCs w:val="24"/>
        </w:rPr>
        <w:t xml:space="preserve"> </w:t>
      </w:r>
      <w:r w:rsidR="00043F1A" w:rsidRPr="00B56A45">
        <w:rPr>
          <w:rFonts w:asciiTheme="minorHAnsi" w:hAnsiTheme="minorHAnsi"/>
          <w:szCs w:val="24"/>
        </w:rPr>
        <w:t>treatment for Acute Lymphoblastic Leukemia</w:t>
      </w:r>
      <w:r w:rsidR="009004BF" w:rsidRPr="00B56A45">
        <w:rPr>
          <w:rFonts w:asciiTheme="minorHAnsi" w:hAnsiTheme="minorHAnsi"/>
          <w:szCs w:val="24"/>
        </w:rPr>
        <w:t xml:space="preserve"> (ALL)</w:t>
      </w:r>
      <w:r w:rsidR="00043F1A" w:rsidRPr="00B56A45">
        <w:rPr>
          <w:rFonts w:asciiTheme="minorHAnsi" w:hAnsiTheme="minorHAnsi"/>
          <w:szCs w:val="24"/>
        </w:rPr>
        <w:t>, a cancer of the bone marrow and blood</w:t>
      </w:r>
      <w:r w:rsidR="00CD7C78" w:rsidRPr="00B56A45">
        <w:rPr>
          <w:rFonts w:asciiTheme="minorHAnsi" w:hAnsiTheme="minorHAnsi"/>
          <w:szCs w:val="24"/>
        </w:rPr>
        <w:t xml:space="preserve">, </w:t>
      </w:r>
      <w:r w:rsidR="00E932D4" w:rsidRPr="00B56A45">
        <w:rPr>
          <w:rFonts w:asciiTheme="minorHAnsi" w:hAnsiTheme="minorHAnsi"/>
          <w:szCs w:val="24"/>
        </w:rPr>
        <w:t>typically requires a hospital stay of four to six weeks</w:t>
      </w:r>
      <w:r w:rsidR="003852B8" w:rsidRPr="00B56A45">
        <w:rPr>
          <w:rFonts w:asciiTheme="minorHAnsi" w:hAnsiTheme="minorHAnsi"/>
          <w:szCs w:val="24"/>
        </w:rPr>
        <w:t>, with frequent needs for subsequent readmissions.</w:t>
      </w:r>
      <w:r w:rsidR="00676AC5">
        <w:rPr>
          <w:rStyle w:val="EndnoteReference"/>
          <w:rFonts w:asciiTheme="minorHAnsi" w:hAnsiTheme="minorHAnsi"/>
          <w:szCs w:val="24"/>
        </w:rPr>
        <w:endnoteReference w:id="24"/>
      </w:r>
      <w:r w:rsidR="00E932D4" w:rsidRPr="00B56A45">
        <w:rPr>
          <w:rFonts w:asciiTheme="minorHAnsi" w:hAnsiTheme="minorHAnsi"/>
          <w:szCs w:val="24"/>
        </w:rPr>
        <w:t xml:space="preserve"> </w:t>
      </w:r>
    </w:p>
    <w:p w14:paraId="3BEC1BAA" w14:textId="16643E84" w:rsidR="00C13BC1" w:rsidRPr="003B2CD4" w:rsidRDefault="008B0569" w:rsidP="00F91720">
      <w:pPr>
        <w:pStyle w:val="ListParagraph"/>
        <w:numPr>
          <w:ilvl w:val="0"/>
          <w:numId w:val="11"/>
        </w:numPr>
        <w:rPr>
          <w:rFonts w:asciiTheme="minorHAnsi" w:hAnsiTheme="minorHAnsi"/>
          <w:szCs w:val="24"/>
        </w:rPr>
      </w:pPr>
      <w:r w:rsidRPr="00B56A45">
        <w:rPr>
          <w:rFonts w:asciiTheme="minorHAnsi" w:hAnsiTheme="minorHAnsi"/>
          <w:b/>
          <w:bCs/>
          <w:szCs w:val="24"/>
        </w:rPr>
        <w:t>CAR</w:t>
      </w:r>
      <w:r w:rsidR="00EB35D2">
        <w:rPr>
          <w:rFonts w:asciiTheme="minorHAnsi" w:hAnsiTheme="minorHAnsi"/>
          <w:b/>
          <w:bCs/>
          <w:szCs w:val="24"/>
        </w:rPr>
        <w:t xml:space="preserve"> </w:t>
      </w:r>
      <w:r w:rsidRPr="00B56A45">
        <w:rPr>
          <w:rFonts w:asciiTheme="minorHAnsi" w:hAnsiTheme="minorHAnsi"/>
          <w:b/>
          <w:bCs/>
          <w:szCs w:val="24"/>
        </w:rPr>
        <w:t>T</w:t>
      </w:r>
      <w:r w:rsidR="00EB35D2">
        <w:rPr>
          <w:rFonts w:asciiTheme="minorHAnsi" w:hAnsiTheme="minorHAnsi"/>
          <w:b/>
          <w:bCs/>
          <w:szCs w:val="24"/>
        </w:rPr>
        <w:t>-</w:t>
      </w:r>
      <w:r w:rsidRPr="00B56A45">
        <w:rPr>
          <w:rFonts w:asciiTheme="minorHAnsi" w:hAnsiTheme="minorHAnsi"/>
          <w:b/>
          <w:bCs/>
          <w:szCs w:val="24"/>
        </w:rPr>
        <w:t>cell therapy</w:t>
      </w:r>
      <w:r w:rsidR="00B56A45">
        <w:rPr>
          <w:rFonts w:asciiTheme="minorHAnsi" w:hAnsiTheme="minorHAnsi"/>
          <w:szCs w:val="24"/>
        </w:rPr>
        <w:t>: A</w:t>
      </w:r>
      <w:r w:rsidR="008F71CC" w:rsidRPr="00B56A45">
        <w:rPr>
          <w:rFonts w:asciiTheme="minorHAnsi" w:hAnsiTheme="minorHAnsi"/>
          <w:szCs w:val="24"/>
        </w:rPr>
        <w:t xml:space="preserve"> </w:t>
      </w:r>
      <w:r w:rsidR="000233D2" w:rsidRPr="00B56A45">
        <w:rPr>
          <w:rFonts w:asciiTheme="minorHAnsi" w:hAnsiTheme="minorHAnsi"/>
          <w:szCs w:val="24"/>
        </w:rPr>
        <w:t xml:space="preserve">cancer immunotherapy </w:t>
      </w:r>
      <w:r w:rsidR="008F71CC" w:rsidRPr="00B56A45">
        <w:rPr>
          <w:rFonts w:asciiTheme="minorHAnsi" w:hAnsiTheme="minorHAnsi"/>
          <w:szCs w:val="24"/>
        </w:rPr>
        <w:t xml:space="preserve">treatment </w:t>
      </w:r>
      <w:r w:rsidR="007712B3" w:rsidRPr="00B56A45">
        <w:rPr>
          <w:rFonts w:asciiTheme="minorHAnsi" w:hAnsiTheme="minorHAnsi"/>
          <w:szCs w:val="24"/>
        </w:rPr>
        <w:t xml:space="preserve">for </w:t>
      </w:r>
      <w:r w:rsidR="001E5E1F" w:rsidRPr="00E37FBA">
        <w:rPr>
          <w:rFonts w:asciiTheme="minorHAnsi" w:hAnsiTheme="minorHAnsi"/>
          <w:szCs w:val="24"/>
        </w:rPr>
        <w:t>many types of blood cancers</w:t>
      </w:r>
      <w:r w:rsidR="00893B77" w:rsidRPr="00B56A45">
        <w:rPr>
          <w:rFonts w:asciiTheme="minorHAnsi" w:hAnsiTheme="minorHAnsi"/>
          <w:szCs w:val="24"/>
        </w:rPr>
        <w:t xml:space="preserve"> that</w:t>
      </w:r>
      <w:r w:rsidR="008F71CC" w:rsidRPr="00B56A45">
        <w:rPr>
          <w:rFonts w:asciiTheme="minorHAnsi" w:hAnsiTheme="minorHAnsi"/>
          <w:szCs w:val="24"/>
        </w:rPr>
        <w:t xml:space="preserve"> uses the body’s </w:t>
      </w:r>
      <w:r w:rsidR="006723AB" w:rsidRPr="00B56A45">
        <w:rPr>
          <w:rFonts w:asciiTheme="minorHAnsi" w:hAnsiTheme="minorHAnsi"/>
          <w:szCs w:val="24"/>
        </w:rPr>
        <w:t>own immune system to help fight cancer</w:t>
      </w:r>
      <w:r w:rsidR="00893B77" w:rsidRPr="00B56A45">
        <w:rPr>
          <w:rFonts w:asciiTheme="minorHAnsi" w:hAnsiTheme="minorHAnsi"/>
          <w:szCs w:val="24"/>
        </w:rPr>
        <w:t xml:space="preserve">. </w:t>
      </w:r>
      <w:r w:rsidR="00503ADD">
        <w:rPr>
          <w:rFonts w:asciiTheme="minorHAnsi" w:hAnsiTheme="minorHAnsi"/>
          <w:szCs w:val="24"/>
        </w:rPr>
        <w:t xml:space="preserve">The Applicant states that </w:t>
      </w:r>
      <w:r w:rsidR="00893B77" w:rsidRPr="00B56A45">
        <w:rPr>
          <w:rFonts w:asciiTheme="minorHAnsi" w:hAnsiTheme="minorHAnsi"/>
          <w:szCs w:val="24"/>
        </w:rPr>
        <w:t>CAR</w:t>
      </w:r>
      <w:r w:rsidR="00EB35D2">
        <w:rPr>
          <w:rFonts w:asciiTheme="minorHAnsi" w:hAnsiTheme="minorHAnsi"/>
          <w:szCs w:val="24"/>
        </w:rPr>
        <w:t xml:space="preserve"> </w:t>
      </w:r>
      <w:r w:rsidR="00893B77" w:rsidRPr="00B56A45">
        <w:rPr>
          <w:rFonts w:asciiTheme="minorHAnsi" w:hAnsiTheme="minorHAnsi"/>
          <w:szCs w:val="24"/>
        </w:rPr>
        <w:t>T</w:t>
      </w:r>
      <w:r w:rsidR="00EB35D2">
        <w:rPr>
          <w:rFonts w:asciiTheme="minorHAnsi" w:hAnsiTheme="minorHAnsi"/>
          <w:szCs w:val="24"/>
        </w:rPr>
        <w:t>-</w:t>
      </w:r>
      <w:r w:rsidR="00893B77" w:rsidRPr="00B56A45">
        <w:rPr>
          <w:rFonts w:asciiTheme="minorHAnsi" w:hAnsiTheme="minorHAnsi"/>
          <w:szCs w:val="24"/>
        </w:rPr>
        <w:t>cell therapy</w:t>
      </w:r>
      <w:r w:rsidR="006723AB" w:rsidRPr="00B56A45">
        <w:rPr>
          <w:rFonts w:asciiTheme="minorHAnsi" w:hAnsiTheme="minorHAnsi"/>
          <w:szCs w:val="24"/>
        </w:rPr>
        <w:t xml:space="preserve"> </w:t>
      </w:r>
      <w:r w:rsidR="00AA6AA5" w:rsidRPr="00B56A45">
        <w:rPr>
          <w:rFonts w:asciiTheme="minorHAnsi" w:hAnsiTheme="minorHAnsi"/>
          <w:szCs w:val="24"/>
        </w:rPr>
        <w:t>usually involve</w:t>
      </w:r>
      <w:r w:rsidR="00B02AD3" w:rsidRPr="00B56A45">
        <w:rPr>
          <w:rFonts w:asciiTheme="minorHAnsi" w:hAnsiTheme="minorHAnsi"/>
          <w:szCs w:val="24"/>
        </w:rPr>
        <w:t>s</w:t>
      </w:r>
      <w:r w:rsidR="00AA6AA5" w:rsidRPr="00B56A45">
        <w:rPr>
          <w:rFonts w:asciiTheme="minorHAnsi" w:hAnsiTheme="minorHAnsi"/>
          <w:szCs w:val="24"/>
        </w:rPr>
        <w:t xml:space="preserve"> </w:t>
      </w:r>
      <w:r w:rsidR="00B02AD3" w:rsidRPr="00B56A45">
        <w:rPr>
          <w:rFonts w:asciiTheme="minorHAnsi" w:hAnsiTheme="minorHAnsi"/>
          <w:szCs w:val="24"/>
        </w:rPr>
        <w:t>a</w:t>
      </w:r>
      <w:r w:rsidR="00AA6AA5" w:rsidRPr="00B56A45">
        <w:rPr>
          <w:rFonts w:asciiTheme="minorHAnsi" w:hAnsiTheme="minorHAnsi"/>
          <w:szCs w:val="24"/>
        </w:rPr>
        <w:t xml:space="preserve">n inpatient stay and </w:t>
      </w:r>
      <w:r w:rsidR="006723AB" w:rsidRPr="00B56A45">
        <w:rPr>
          <w:rFonts w:asciiTheme="minorHAnsi" w:hAnsiTheme="minorHAnsi"/>
          <w:szCs w:val="24"/>
        </w:rPr>
        <w:t xml:space="preserve">can </w:t>
      </w:r>
      <w:r w:rsidR="00E91B04" w:rsidRPr="00B56A45">
        <w:rPr>
          <w:rFonts w:asciiTheme="minorHAnsi" w:hAnsiTheme="minorHAnsi"/>
          <w:szCs w:val="24"/>
        </w:rPr>
        <w:t>cause serious side</w:t>
      </w:r>
      <w:r w:rsidR="006723AB" w:rsidRPr="00B56A45">
        <w:rPr>
          <w:rFonts w:asciiTheme="minorHAnsi" w:hAnsiTheme="minorHAnsi"/>
          <w:szCs w:val="24"/>
        </w:rPr>
        <w:t xml:space="preserve"> effects </w:t>
      </w:r>
      <w:r w:rsidR="00E91B04" w:rsidRPr="00B56A45">
        <w:rPr>
          <w:rFonts w:asciiTheme="minorHAnsi" w:hAnsiTheme="minorHAnsi"/>
          <w:szCs w:val="24"/>
        </w:rPr>
        <w:t xml:space="preserve">or complications </w:t>
      </w:r>
      <w:r w:rsidR="006723AB" w:rsidRPr="00B56A45">
        <w:rPr>
          <w:rFonts w:asciiTheme="minorHAnsi" w:hAnsiTheme="minorHAnsi"/>
          <w:szCs w:val="24"/>
        </w:rPr>
        <w:t xml:space="preserve">that </w:t>
      </w:r>
      <w:r w:rsidR="00D14816" w:rsidRPr="00B56A45">
        <w:rPr>
          <w:rFonts w:asciiTheme="minorHAnsi" w:hAnsiTheme="minorHAnsi"/>
          <w:szCs w:val="24"/>
        </w:rPr>
        <w:t>can require an inpatient stay</w:t>
      </w:r>
      <w:r w:rsidR="006723AB" w:rsidRPr="00B56A45">
        <w:rPr>
          <w:rFonts w:asciiTheme="minorHAnsi" w:hAnsiTheme="minorHAnsi"/>
          <w:szCs w:val="24"/>
        </w:rPr>
        <w:t>.</w:t>
      </w:r>
      <w:r w:rsidR="002A7D9F" w:rsidRPr="002A7D9F">
        <w:rPr>
          <w:rFonts w:asciiTheme="minorHAnsi" w:hAnsiTheme="minorHAnsi"/>
          <w:szCs w:val="24"/>
          <w:vertAlign w:val="superscript"/>
        </w:rPr>
        <w:footnoteReference w:id="34"/>
      </w:r>
      <w:r w:rsidR="002A7D9F">
        <w:rPr>
          <w:vertAlign w:val="superscript"/>
        </w:rPr>
        <w:t>,</w:t>
      </w:r>
      <w:r w:rsidR="00E91B04">
        <w:rPr>
          <w:rStyle w:val="EndnoteReference"/>
          <w:rFonts w:asciiTheme="minorHAnsi" w:hAnsiTheme="minorHAnsi"/>
          <w:szCs w:val="24"/>
        </w:rPr>
        <w:endnoteReference w:id="25"/>
      </w:r>
      <w:r w:rsidR="004A6E0D" w:rsidRPr="00B56A45">
        <w:rPr>
          <w:rFonts w:asciiTheme="minorHAnsi" w:hAnsiTheme="minorHAnsi"/>
          <w:szCs w:val="24"/>
        </w:rPr>
        <w:t xml:space="preserve"> </w:t>
      </w:r>
      <w:r w:rsidR="00503ADD">
        <w:rPr>
          <w:rFonts w:asciiTheme="minorHAnsi" w:hAnsiTheme="minorHAnsi"/>
          <w:szCs w:val="24"/>
        </w:rPr>
        <w:t>P</w:t>
      </w:r>
      <w:r w:rsidR="00503ADD" w:rsidRPr="00503ADD">
        <w:rPr>
          <w:rFonts w:asciiTheme="minorHAnsi" w:hAnsiTheme="minorHAnsi"/>
          <w:szCs w:val="24"/>
        </w:rPr>
        <w:t>er a reference provided by the Applicant on the development of an outpatient CAR T-cell therapy program at a tertiary care center</w:t>
      </w:r>
      <w:r w:rsidR="00077EE9" w:rsidRPr="003B2CD4">
        <w:rPr>
          <w:rFonts w:asciiTheme="minorHAnsi" w:hAnsiTheme="minorHAnsi"/>
          <w:szCs w:val="24"/>
        </w:rPr>
        <w:t xml:space="preserve">, </w:t>
      </w:r>
      <w:r w:rsidR="007712B3" w:rsidRPr="003B2CD4">
        <w:rPr>
          <w:rFonts w:asciiTheme="minorHAnsi" w:hAnsiTheme="minorHAnsi"/>
          <w:szCs w:val="24"/>
        </w:rPr>
        <w:t>CAR</w:t>
      </w:r>
      <w:r w:rsidR="00EB35D2" w:rsidRPr="003B2CD4">
        <w:rPr>
          <w:rFonts w:asciiTheme="minorHAnsi" w:hAnsiTheme="minorHAnsi"/>
          <w:szCs w:val="24"/>
        </w:rPr>
        <w:t xml:space="preserve"> </w:t>
      </w:r>
      <w:r w:rsidR="007712B3" w:rsidRPr="003B2CD4">
        <w:rPr>
          <w:rFonts w:asciiTheme="minorHAnsi" w:hAnsiTheme="minorHAnsi"/>
          <w:szCs w:val="24"/>
        </w:rPr>
        <w:t>T</w:t>
      </w:r>
      <w:r w:rsidR="00EB35D2" w:rsidRPr="003B2CD4">
        <w:rPr>
          <w:rFonts w:asciiTheme="minorHAnsi" w:hAnsiTheme="minorHAnsi"/>
          <w:szCs w:val="24"/>
        </w:rPr>
        <w:t>-</w:t>
      </w:r>
      <w:r w:rsidR="007712B3" w:rsidRPr="003B2CD4">
        <w:rPr>
          <w:rFonts w:asciiTheme="minorHAnsi" w:hAnsiTheme="minorHAnsi"/>
          <w:szCs w:val="24"/>
        </w:rPr>
        <w:t xml:space="preserve">cell treatment </w:t>
      </w:r>
      <w:r w:rsidR="00077EE9" w:rsidRPr="003B2CD4">
        <w:rPr>
          <w:rFonts w:asciiTheme="minorHAnsi" w:hAnsiTheme="minorHAnsi"/>
          <w:szCs w:val="24"/>
        </w:rPr>
        <w:t>can result in hospitalization</w:t>
      </w:r>
      <w:r w:rsidR="006875F4" w:rsidRPr="003B2CD4">
        <w:rPr>
          <w:rFonts w:asciiTheme="minorHAnsi" w:hAnsiTheme="minorHAnsi"/>
          <w:szCs w:val="24"/>
        </w:rPr>
        <w:t xml:space="preserve"> </w:t>
      </w:r>
      <w:r w:rsidR="007A1E7B" w:rsidRPr="003B2CD4">
        <w:rPr>
          <w:rFonts w:asciiTheme="minorHAnsi" w:hAnsiTheme="minorHAnsi"/>
          <w:szCs w:val="24"/>
        </w:rPr>
        <w:t>up to 70%</w:t>
      </w:r>
      <w:r w:rsidR="006875F4" w:rsidRPr="003B2CD4">
        <w:rPr>
          <w:rFonts w:asciiTheme="minorHAnsi" w:hAnsiTheme="minorHAnsi"/>
          <w:szCs w:val="24"/>
        </w:rPr>
        <w:t xml:space="preserve"> of the time</w:t>
      </w:r>
      <w:r w:rsidR="00503ADD">
        <w:rPr>
          <w:rFonts w:asciiTheme="minorHAnsi" w:hAnsiTheme="minorHAnsi"/>
          <w:szCs w:val="24"/>
        </w:rPr>
        <w:t>.</w:t>
      </w:r>
      <w:r w:rsidR="00503ADD" w:rsidRPr="00503ADD">
        <w:rPr>
          <w:rFonts w:asciiTheme="minorHAnsi" w:hAnsiTheme="minorHAnsi"/>
          <w:szCs w:val="24"/>
          <w:vertAlign w:val="superscript"/>
        </w:rPr>
        <w:endnoteReference w:id="26"/>
      </w:r>
      <w:r w:rsidR="00503ADD" w:rsidRPr="00503ADD">
        <w:rPr>
          <w:rFonts w:asciiTheme="minorHAnsi" w:hAnsiTheme="minorHAnsi"/>
          <w:szCs w:val="24"/>
          <w:vertAlign w:val="superscript"/>
        </w:rPr>
        <w:t>,</w:t>
      </w:r>
      <w:r w:rsidR="00503ADD" w:rsidRPr="00503ADD">
        <w:rPr>
          <w:rFonts w:asciiTheme="minorHAnsi" w:hAnsiTheme="minorHAnsi"/>
          <w:szCs w:val="24"/>
          <w:vertAlign w:val="superscript"/>
        </w:rPr>
        <w:footnoteReference w:id="35"/>
      </w:r>
      <w:r w:rsidR="008821F9" w:rsidRPr="003B2CD4">
        <w:rPr>
          <w:rFonts w:asciiTheme="minorHAnsi" w:hAnsiTheme="minorHAnsi"/>
          <w:szCs w:val="24"/>
        </w:rPr>
        <w:t xml:space="preserve"> </w:t>
      </w:r>
    </w:p>
    <w:p w14:paraId="09FF9F18" w14:textId="09D91220" w:rsidR="00B9261E" w:rsidRDefault="00C13BC1" w:rsidP="00F91720">
      <w:pPr>
        <w:pStyle w:val="ListParagraph"/>
        <w:numPr>
          <w:ilvl w:val="0"/>
          <w:numId w:val="11"/>
        </w:numPr>
        <w:rPr>
          <w:rFonts w:asciiTheme="minorHAnsi" w:hAnsiTheme="minorHAnsi"/>
          <w:szCs w:val="24"/>
        </w:rPr>
      </w:pPr>
      <w:r w:rsidRPr="00C13BC1">
        <w:rPr>
          <w:rFonts w:asciiTheme="minorHAnsi" w:hAnsiTheme="minorHAnsi"/>
          <w:b/>
          <w:bCs/>
          <w:szCs w:val="24"/>
        </w:rPr>
        <w:t>Stem Cell Transplantation</w:t>
      </w:r>
      <w:r w:rsidRPr="00C13BC1">
        <w:rPr>
          <w:rFonts w:asciiTheme="minorHAnsi" w:hAnsiTheme="minorHAnsi"/>
          <w:szCs w:val="24"/>
        </w:rPr>
        <w:t>:</w:t>
      </w:r>
      <w:r>
        <w:rPr>
          <w:rFonts w:asciiTheme="minorHAnsi" w:hAnsiTheme="minorHAnsi"/>
          <w:szCs w:val="24"/>
        </w:rPr>
        <w:t xml:space="preserve"> The</w:t>
      </w:r>
      <w:r w:rsidR="00662DB0" w:rsidRPr="00B56A45">
        <w:rPr>
          <w:rFonts w:asciiTheme="minorHAnsi" w:hAnsiTheme="minorHAnsi"/>
          <w:szCs w:val="24"/>
        </w:rPr>
        <w:t xml:space="preserve"> Applicant </w:t>
      </w:r>
      <w:r w:rsidR="00D6269F">
        <w:rPr>
          <w:rFonts w:asciiTheme="minorHAnsi" w:hAnsiTheme="minorHAnsi"/>
          <w:szCs w:val="24"/>
        </w:rPr>
        <w:t xml:space="preserve">states that it </w:t>
      </w:r>
      <w:r w:rsidR="00662DB0" w:rsidRPr="00B56A45">
        <w:rPr>
          <w:rFonts w:asciiTheme="minorHAnsi" w:hAnsiTheme="minorHAnsi"/>
          <w:szCs w:val="24"/>
        </w:rPr>
        <w:t>has the second largest stem cell transplant program in country</w:t>
      </w:r>
      <w:r w:rsidR="006A2D0F">
        <w:rPr>
          <w:rFonts w:asciiTheme="minorHAnsi" w:hAnsiTheme="minorHAnsi"/>
          <w:szCs w:val="24"/>
        </w:rPr>
        <w:t>, and that s</w:t>
      </w:r>
      <w:r w:rsidR="00AD43F7" w:rsidRPr="00B56A45">
        <w:rPr>
          <w:rFonts w:asciiTheme="minorHAnsi" w:hAnsiTheme="minorHAnsi"/>
          <w:szCs w:val="24"/>
        </w:rPr>
        <w:t>tem</w:t>
      </w:r>
      <w:r w:rsidR="00E80ACE" w:rsidRPr="00B56A45">
        <w:rPr>
          <w:rFonts w:asciiTheme="minorHAnsi" w:hAnsiTheme="minorHAnsi"/>
          <w:szCs w:val="24"/>
        </w:rPr>
        <w:t xml:space="preserve"> cell transplantation</w:t>
      </w:r>
      <w:r w:rsidR="002D372C" w:rsidRPr="00B56A45">
        <w:rPr>
          <w:rFonts w:asciiTheme="minorHAnsi" w:hAnsiTheme="minorHAnsi"/>
          <w:szCs w:val="24"/>
        </w:rPr>
        <w:t xml:space="preserve"> is associated with long </w:t>
      </w:r>
      <w:r w:rsidR="003A4169" w:rsidRPr="00B56A45">
        <w:rPr>
          <w:rFonts w:asciiTheme="minorHAnsi" w:hAnsiTheme="minorHAnsi"/>
          <w:szCs w:val="24"/>
        </w:rPr>
        <w:t>inpatient</w:t>
      </w:r>
      <w:r w:rsidR="002D372C" w:rsidRPr="00B56A45">
        <w:rPr>
          <w:rFonts w:asciiTheme="minorHAnsi" w:hAnsiTheme="minorHAnsi"/>
          <w:szCs w:val="24"/>
        </w:rPr>
        <w:t xml:space="preserve"> stays.</w:t>
      </w:r>
      <w:r w:rsidR="005E3085">
        <w:rPr>
          <w:rStyle w:val="FootnoteReference"/>
          <w:rFonts w:asciiTheme="minorHAnsi" w:hAnsiTheme="minorHAnsi"/>
          <w:szCs w:val="24"/>
        </w:rPr>
        <w:footnoteReference w:id="36"/>
      </w:r>
      <w:r w:rsidR="00AD43F7" w:rsidRPr="00B56A45">
        <w:rPr>
          <w:rFonts w:asciiTheme="minorHAnsi" w:hAnsiTheme="minorHAnsi"/>
          <w:szCs w:val="24"/>
        </w:rPr>
        <w:t xml:space="preserve"> </w:t>
      </w:r>
      <w:r w:rsidR="006A2D0F">
        <w:rPr>
          <w:rFonts w:asciiTheme="minorHAnsi" w:hAnsiTheme="minorHAnsi"/>
          <w:szCs w:val="24"/>
        </w:rPr>
        <w:t>The Applicant states further that e</w:t>
      </w:r>
      <w:r w:rsidR="00FF771B" w:rsidRPr="00B56A45">
        <w:rPr>
          <w:rFonts w:asciiTheme="minorHAnsi" w:hAnsiTheme="minorHAnsi"/>
          <w:szCs w:val="24"/>
        </w:rPr>
        <w:t xml:space="preserve">ven </w:t>
      </w:r>
      <w:r w:rsidR="006A2D0F">
        <w:rPr>
          <w:rFonts w:asciiTheme="minorHAnsi" w:hAnsiTheme="minorHAnsi"/>
          <w:szCs w:val="24"/>
        </w:rPr>
        <w:t>when</w:t>
      </w:r>
      <w:r w:rsidR="00FF771B" w:rsidRPr="00B56A45">
        <w:rPr>
          <w:rFonts w:asciiTheme="minorHAnsi" w:hAnsiTheme="minorHAnsi"/>
          <w:szCs w:val="24"/>
        </w:rPr>
        <w:t xml:space="preserve"> patients receive </w:t>
      </w:r>
      <w:r w:rsidR="004554AC" w:rsidRPr="00B56A45">
        <w:rPr>
          <w:rFonts w:asciiTheme="minorHAnsi" w:hAnsiTheme="minorHAnsi"/>
          <w:szCs w:val="24"/>
        </w:rPr>
        <w:t>an outpatient</w:t>
      </w:r>
      <w:r w:rsidR="00256582">
        <w:rPr>
          <w:rFonts w:asciiTheme="minorHAnsi" w:hAnsiTheme="minorHAnsi"/>
          <w:szCs w:val="24"/>
        </w:rPr>
        <w:t xml:space="preserve"> or ambulatory</w:t>
      </w:r>
      <w:r w:rsidR="004554AC" w:rsidRPr="00B56A45">
        <w:rPr>
          <w:rFonts w:asciiTheme="minorHAnsi" w:hAnsiTheme="minorHAnsi"/>
          <w:szCs w:val="24"/>
        </w:rPr>
        <w:t xml:space="preserve"> transplant, an inpatient stay can be necessary </w:t>
      </w:r>
      <w:r w:rsidR="00C2432D" w:rsidRPr="00B56A45">
        <w:rPr>
          <w:rFonts w:asciiTheme="minorHAnsi" w:hAnsiTheme="minorHAnsi"/>
          <w:szCs w:val="24"/>
        </w:rPr>
        <w:t>for further treatment or monitoring</w:t>
      </w:r>
      <w:r w:rsidR="00D04154" w:rsidRPr="00B56A45">
        <w:rPr>
          <w:rFonts w:asciiTheme="minorHAnsi" w:hAnsiTheme="minorHAnsi"/>
          <w:szCs w:val="24"/>
        </w:rPr>
        <w:t>.</w:t>
      </w:r>
      <w:r w:rsidR="002864C9">
        <w:rPr>
          <w:rStyle w:val="EndnoteReference"/>
          <w:rFonts w:asciiTheme="minorHAnsi" w:hAnsiTheme="minorHAnsi"/>
          <w:szCs w:val="24"/>
        </w:rPr>
        <w:endnoteReference w:id="27"/>
      </w:r>
      <w:r w:rsidR="00D04154" w:rsidRPr="00B56A45">
        <w:rPr>
          <w:rFonts w:asciiTheme="minorHAnsi" w:hAnsiTheme="minorHAnsi"/>
          <w:szCs w:val="24"/>
        </w:rPr>
        <w:t xml:space="preserve"> </w:t>
      </w:r>
    </w:p>
    <w:p w14:paraId="7B703B98" w14:textId="77777777" w:rsidR="00105BC4" w:rsidRDefault="00105BC4" w:rsidP="00BA2054">
      <w:pPr>
        <w:pStyle w:val="ListParagraph"/>
        <w:ind w:left="720" w:firstLine="0"/>
        <w:rPr>
          <w:rFonts w:asciiTheme="minorHAnsi" w:hAnsiTheme="minorHAnsi"/>
          <w:szCs w:val="24"/>
        </w:rPr>
      </w:pPr>
    </w:p>
    <w:p w14:paraId="17335D71" w14:textId="025FEEFB" w:rsidR="00764D7F" w:rsidRPr="00B9261E" w:rsidRDefault="008F5496" w:rsidP="00BA2054">
      <w:pPr>
        <w:rPr>
          <w:rFonts w:asciiTheme="minorHAnsi" w:hAnsiTheme="minorHAnsi"/>
          <w:szCs w:val="24"/>
        </w:rPr>
      </w:pPr>
      <w:r>
        <w:rPr>
          <w:rFonts w:asciiTheme="minorHAnsi" w:hAnsiTheme="minorHAnsi"/>
          <w:szCs w:val="24"/>
        </w:rPr>
        <w:t xml:space="preserve">Table </w:t>
      </w:r>
      <w:r w:rsidR="003139B8">
        <w:rPr>
          <w:rFonts w:asciiTheme="minorHAnsi" w:hAnsiTheme="minorHAnsi"/>
          <w:szCs w:val="24"/>
        </w:rPr>
        <w:t>13</w:t>
      </w:r>
      <w:r>
        <w:rPr>
          <w:rFonts w:asciiTheme="minorHAnsi" w:hAnsiTheme="minorHAnsi"/>
          <w:szCs w:val="24"/>
        </w:rPr>
        <w:t xml:space="preserve"> shows the </w:t>
      </w:r>
      <w:r w:rsidR="00D14163">
        <w:rPr>
          <w:rFonts w:asciiTheme="minorHAnsi" w:hAnsiTheme="minorHAnsi"/>
          <w:szCs w:val="24"/>
        </w:rPr>
        <w:t>ALOS for CAR</w:t>
      </w:r>
      <w:r w:rsidR="00EB35D2">
        <w:rPr>
          <w:rFonts w:asciiTheme="minorHAnsi" w:hAnsiTheme="minorHAnsi"/>
          <w:szCs w:val="24"/>
        </w:rPr>
        <w:t xml:space="preserve"> </w:t>
      </w:r>
      <w:r w:rsidR="00D14163">
        <w:rPr>
          <w:rFonts w:asciiTheme="minorHAnsi" w:hAnsiTheme="minorHAnsi"/>
          <w:szCs w:val="24"/>
        </w:rPr>
        <w:t>T</w:t>
      </w:r>
      <w:r w:rsidR="00EB35D2">
        <w:rPr>
          <w:rFonts w:asciiTheme="minorHAnsi" w:hAnsiTheme="minorHAnsi"/>
          <w:szCs w:val="24"/>
        </w:rPr>
        <w:t>-</w:t>
      </w:r>
      <w:r w:rsidR="00D14163">
        <w:rPr>
          <w:rFonts w:asciiTheme="minorHAnsi" w:hAnsiTheme="minorHAnsi"/>
          <w:szCs w:val="24"/>
        </w:rPr>
        <w:t xml:space="preserve">cell patients, and for </w:t>
      </w:r>
      <w:r w:rsidR="00D14163" w:rsidRPr="00D14163">
        <w:rPr>
          <w:rFonts w:asciiTheme="minorHAnsi" w:hAnsiTheme="minorHAnsi"/>
          <w:szCs w:val="24"/>
        </w:rPr>
        <w:t>autologous</w:t>
      </w:r>
      <w:r w:rsidR="008D1A08">
        <w:rPr>
          <w:rFonts w:asciiTheme="minorHAnsi" w:hAnsiTheme="minorHAnsi"/>
          <w:szCs w:val="24"/>
        </w:rPr>
        <w:t xml:space="preserve"> (stem cells come from the patient with cancer)</w:t>
      </w:r>
      <w:r w:rsidR="00D14163" w:rsidRPr="00D14163">
        <w:rPr>
          <w:rFonts w:asciiTheme="minorHAnsi" w:hAnsiTheme="minorHAnsi"/>
          <w:szCs w:val="24"/>
        </w:rPr>
        <w:t xml:space="preserve"> and allogenic</w:t>
      </w:r>
      <w:r w:rsidR="008D1A08">
        <w:rPr>
          <w:rFonts w:asciiTheme="minorHAnsi" w:hAnsiTheme="minorHAnsi"/>
          <w:szCs w:val="24"/>
        </w:rPr>
        <w:t xml:space="preserve"> (stem cells come from someone else)</w:t>
      </w:r>
      <w:r w:rsidR="00D14163" w:rsidRPr="00D14163">
        <w:rPr>
          <w:rFonts w:asciiTheme="minorHAnsi" w:hAnsiTheme="minorHAnsi"/>
          <w:szCs w:val="24"/>
        </w:rPr>
        <w:t xml:space="preserve"> stem cell transplantations</w:t>
      </w:r>
      <w:r w:rsidR="00944C88" w:rsidRPr="00B9261E">
        <w:rPr>
          <w:rFonts w:asciiTheme="minorHAnsi" w:hAnsiTheme="minorHAnsi"/>
          <w:szCs w:val="24"/>
        </w:rPr>
        <w:t xml:space="preserve">. </w:t>
      </w:r>
      <w:r w:rsidR="00982AC5">
        <w:rPr>
          <w:rFonts w:asciiTheme="minorHAnsi" w:hAnsiTheme="minorHAnsi"/>
          <w:szCs w:val="24"/>
        </w:rPr>
        <w:t xml:space="preserve">Table </w:t>
      </w:r>
      <w:r w:rsidR="00053229">
        <w:rPr>
          <w:rFonts w:asciiTheme="minorHAnsi" w:hAnsiTheme="minorHAnsi"/>
          <w:szCs w:val="24"/>
        </w:rPr>
        <w:t>13</w:t>
      </w:r>
      <w:r w:rsidR="00982AC5">
        <w:rPr>
          <w:rFonts w:asciiTheme="minorHAnsi" w:hAnsiTheme="minorHAnsi"/>
          <w:szCs w:val="24"/>
        </w:rPr>
        <w:t xml:space="preserve"> i</w:t>
      </w:r>
      <w:r w:rsidR="00982AC5" w:rsidRPr="00982AC5">
        <w:rPr>
          <w:rFonts w:asciiTheme="minorHAnsi" w:hAnsiTheme="minorHAnsi"/>
          <w:szCs w:val="24"/>
        </w:rPr>
        <w:t xml:space="preserve">ncludes CHIA data for Dana-Farber, BWH and BIDMC. </w:t>
      </w:r>
      <w:r w:rsidR="008D1A08">
        <w:rPr>
          <w:rFonts w:asciiTheme="minorHAnsi" w:hAnsiTheme="minorHAnsi"/>
          <w:szCs w:val="24"/>
        </w:rPr>
        <w:t xml:space="preserve">The Applicant states that </w:t>
      </w:r>
      <w:r w:rsidR="00982AC5" w:rsidRPr="00982AC5">
        <w:rPr>
          <w:rFonts w:asciiTheme="minorHAnsi" w:hAnsiTheme="minorHAnsi"/>
          <w:szCs w:val="24"/>
        </w:rPr>
        <w:t>FY23 is not yet available through CHIA</w:t>
      </w:r>
      <w:r w:rsidR="008D1A08">
        <w:rPr>
          <w:rFonts w:asciiTheme="minorHAnsi" w:hAnsiTheme="minorHAnsi"/>
          <w:szCs w:val="24"/>
        </w:rPr>
        <w:t>, and n</w:t>
      </w:r>
      <w:r w:rsidR="00982AC5" w:rsidRPr="00982AC5">
        <w:rPr>
          <w:rFonts w:asciiTheme="minorHAnsi" w:hAnsiTheme="minorHAnsi"/>
          <w:szCs w:val="24"/>
        </w:rPr>
        <w:t>o Diagnosis Related Group</w:t>
      </w:r>
      <w:r w:rsidR="00454ADF">
        <w:rPr>
          <w:rFonts w:asciiTheme="minorHAnsi" w:hAnsiTheme="minorHAnsi"/>
          <w:szCs w:val="24"/>
        </w:rPr>
        <w:t xml:space="preserve"> (DRG)</w:t>
      </w:r>
      <w:r w:rsidR="00982AC5" w:rsidRPr="00982AC5">
        <w:rPr>
          <w:rFonts w:asciiTheme="minorHAnsi" w:hAnsiTheme="minorHAnsi"/>
          <w:szCs w:val="24"/>
        </w:rPr>
        <w:t xml:space="preserve"> was available for CAR T-</w:t>
      </w:r>
      <w:r w:rsidR="00EB6EA7">
        <w:rPr>
          <w:rFonts w:asciiTheme="minorHAnsi" w:hAnsiTheme="minorHAnsi"/>
          <w:szCs w:val="24"/>
        </w:rPr>
        <w:t>c</w:t>
      </w:r>
      <w:r w:rsidR="00982AC5" w:rsidRPr="00982AC5">
        <w:rPr>
          <w:rFonts w:asciiTheme="minorHAnsi" w:hAnsiTheme="minorHAnsi"/>
          <w:szCs w:val="24"/>
        </w:rPr>
        <w:t>ell therapy before 2022</w:t>
      </w:r>
      <w:r w:rsidR="008D1A08">
        <w:rPr>
          <w:rFonts w:asciiTheme="minorHAnsi" w:hAnsiTheme="minorHAnsi"/>
          <w:szCs w:val="24"/>
        </w:rPr>
        <w:t>, so</w:t>
      </w:r>
      <w:r w:rsidR="00982AC5" w:rsidRPr="00982AC5">
        <w:rPr>
          <w:rFonts w:asciiTheme="minorHAnsi" w:hAnsiTheme="minorHAnsi"/>
          <w:szCs w:val="24"/>
        </w:rPr>
        <w:t xml:space="preserve"> prior year data are not available.</w:t>
      </w:r>
      <w:r w:rsidR="00542499" w:rsidRPr="00542499">
        <w:rPr>
          <w:rFonts w:asciiTheme="minorHAnsi" w:hAnsiTheme="minorHAnsi"/>
          <w:szCs w:val="24"/>
        </w:rPr>
        <w:t xml:space="preserve"> The Applicant states that</w:t>
      </w:r>
      <w:r w:rsidR="008D1A08">
        <w:rPr>
          <w:rFonts w:asciiTheme="minorHAnsi" w:hAnsiTheme="minorHAnsi"/>
          <w:szCs w:val="24"/>
        </w:rPr>
        <w:t xml:space="preserve"> it provided</w:t>
      </w:r>
      <w:r w:rsidR="00542499" w:rsidRPr="00542499">
        <w:rPr>
          <w:rFonts w:asciiTheme="minorHAnsi" w:hAnsiTheme="minorHAnsi"/>
          <w:szCs w:val="24"/>
        </w:rPr>
        <w:t xml:space="preserve"> data </w:t>
      </w:r>
      <w:r w:rsidR="008D1A08">
        <w:rPr>
          <w:rFonts w:asciiTheme="minorHAnsi" w:hAnsiTheme="minorHAnsi"/>
          <w:szCs w:val="24"/>
        </w:rPr>
        <w:t>for</w:t>
      </w:r>
      <w:r w:rsidR="00542499" w:rsidRPr="00542499">
        <w:rPr>
          <w:rFonts w:asciiTheme="minorHAnsi" w:hAnsiTheme="minorHAnsi"/>
          <w:szCs w:val="24"/>
        </w:rPr>
        <w:t xml:space="preserve"> both Dana-Farber and BWH because patients are treated in the first bed available to them, regardless of licensee.</w:t>
      </w:r>
    </w:p>
    <w:p w14:paraId="06533D5E" w14:textId="77777777" w:rsidR="00E52C17" w:rsidRDefault="00E52C17" w:rsidP="0014007D">
      <w:pPr>
        <w:rPr>
          <w:rFonts w:asciiTheme="minorHAnsi" w:hAnsiTheme="minorHAnsi"/>
          <w:szCs w:val="24"/>
        </w:rPr>
      </w:pPr>
    </w:p>
    <w:p w14:paraId="410E7D82" w14:textId="285D6F36" w:rsidR="00E1047D" w:rsidRPr="00EA07AD" w:rsidRDefault="00EA07AD" w:rsidP="0014007D">
      <w:pPr>
        <w:rPr>
          <w:rFonts w:asciiTheme="minorHAnsi" w:hAnsiTheme="minorHAnsi"/>
          <w:b/>
          <w:bCs/>
          <w:szCs w:val="24"/>
        </w:rPr>
      </w:pPr>
      <w:r w:rsidRPr="00EA07AD">
        <w:rPr>
          <w:rFonts w:asciiTheme="minorHAnsi" w:hAnsiTheme="minorHAnsi"/>
          <w:b/>
          <w:bCs/>
          <w:szCs w:val="24"/>
          <w:u w:val="single"/>
        </w:rPr>
        <w:t xml:space="preserve">Table </w:t>
      </w:r>
      <w:r w:rsidR="00F33207">
        <w:rPr>
          <w:rFonts w:asciiTheme="minorHAnsi" w:hAnsiTheme="minorHAnsi"/>
          <w:b/>
          <w:bCs/>
          <w:szCs w:val="24"/>
          <w:u w:val="single"/>
        </w:rPr>
        <w:t>13</w:t>
      </w:r>
      <w:r w:rsidRPr="00EA07AD">
        <w:rPr>
          <w:rFonts w:asciiTheme="minorHAnsi" w:hAnsiTheme="minorHAnsi"/>
          <w:b/>
          <w:bCs/>
          <w:szCs w:val="24"/>
        </w:rPr>
        <w:t>: ALOS</w:t>
      </w:r>
      <w:r w:rsidR="004B4817">
        <w:rPr>
          <w:rFonts w:asciiTheme="minorHAnsi" w:hAnsiTheme="minorHAnsi"/>
          <w:b/>
          <w:bCs/>
          <w:szCs w:val="24"/>
        </w:rPr>
        <w:t xml:space="preserve"> for Complex Treatments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695"/>
        <w:gridCol w:w="695"/>
        <w:gridCol w:w="695"/>
        <w:gridCol w:w="695"/>
        <w:gridCol w:w="695"/>
        <w:gridCol w:w="695"/>
        <w:gridCol w:w="1493"/>
      </w:tblGrid>
      <w:tr w:rsidR="00C0048A" w:rsidRPr="001444D7" w14:paraId="1F28D7BA" w14:textId="77777777" w:rsidTr="00A10F2E">
        <w:trPr>
          <w:cantSplit/>
          <w:trHeight w:val="290"/>
          <w:tblHeader/>
        </w:trPr>
        <w:tc>
          <w:tcPr>
            <w:tcW w:w="0" w:type="auto"/>
            <w:shd w:val="clear" w:color="auto" w:fill="auto"/>
            <w:vAlign w:val="center"/>
            <w:hideMark/>
          </w:tcPr>
          <w:p w14:paraId="2FDD506D" w14:textId="77777777" w:rsidR="00B42BF1" w:rsidRPr="001444D7" w:rsidRDefault="00B42BF1" w:rsidP="00B42BF1">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lastRenderedPageBreak/>
              <w:t> </w:t>
            </w:r>
          </w:p>
        </w:tc>
        <w:tc>
          <w:tcPr>
            <w:tcW w:w="0" w:type="auto"/>
            <w:shd w:val="clear" w:color="auto" w:fill="DBE5F1" w:themeFill="accent1" w:themeFillTint="33"/>
            <w:vAlign w:val="center"/>
            <w:hideMark/>
          </w:tcPr>
          <w:p w14:paraId="58632942" w14:textId="77777777" w:rsidR="00B42BF1" w:rsidRPr="001444D7" w:rsidRDefault="00B42BF1"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FY18</w:t>
            </w:r>
          </w:p>
        </w:tc>
        <w:tc>
          <w:tcPr>
            <w:tcW w:w="0" w:type="auto"/>
            <w:shd w:val="clear" w:color="auto" w:fill="DBE5F1" w:themeFill="accent1" w:themeFillTint="33"/>
            <w:vAlign w:val="center"/>
            <w:hideMark/>
          </w:tcPr>
          <w:p w14:paraId="6F32A3A3" w14:textId="77777777" w:rsidR="00B42BF1" w:rsidRPr="001444D7" w:rsidRDefault="00B42BF1"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FY19</w:t>
            </w:r>
          </w:p>
        </w:tc>
        <w:tc>
          <w:tcPr>
            <w:tcW w:w="0" w:type="auto"/>
            <w:shd w:val="clear" w:color="auto" w:fill="DBE5F1" w:themeFill="accent1" w:themeFillTint="33"/>
            <w:vAlign w:val="center"/>
            <w:hideMark/>
          </w:tcPr>
          <w:p w14:paraId="04BC9C2E" w14:textId="77777777" w:rsidR="00B42BF1" w:rsidRPr="001444D7" w:rsidRDefault="00B42BF1"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FY20</w:t>
            </w:r>
          </w:p>
        </w:tc>
        <w:tc>
          <w:tcPr>
            <w:tcW w:w="0" w:type="auto"/>
            <w:shd w:val="clear" w:color="auto" w:fill="DBE5F1" w:themeFill="accent1" w:themeFillTint="33"/>
            <w:vAlign w:val="center"/>
            <w:hideMark/>
          </w:tcPr>
          <w:p w14:paraId="52C03CD8" w14:textId="77777777" w:rsidR="00B42BF1" w:rsidRPr="001444D7" w:rsidRDefault="00B42BF1"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FY21</w:t>
            </w:r>
          </w:p>
        </w:tc>
        <w:tc>
          <w:tcPr>
            <w:tcW w:w="0" w:type="auto"/>
            <w:shd w:val="clear" w:color="auto" w:fill="DBE5F1" w:themeFill="accent1" w:themeFillTint="33"/>
            <w:vAlign w:val="center"/>
            <w:hideMark/>
          </w:tcPr>
          <w:p w14:paraId="33EB03C9" w14:textId="77777777" w:rsidR="00B42BF1" w:rsidRPr="001444D7" w:rsidRDefault="00B42BF1"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FY22</w:t>
            </w:r>
          </w:p>
        </w:tc>
        <w:tc>
          <w:tcPr>
            <w:tcW w:w="0" w:type="auto"/>
            <w:shd w:val="clear" w:color="auto" w:fill="DBE5F1" w:themeFill="accent1" w:themeFillTint="33"/>
            <w:vAlign w:val="center"/>
            <w:hideMark/>
          </w:tcPr>
          <w:p w14:paraId="59FCFD46" w14:textId="77777777" w:rsidR="00B42BF1" w:rsidRPr="001444D7" w:rsidRDefault="00B42BF1"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FY23</w:t>
            </w:r>
          </w:p>
        </w:tc>
        <w:tc>
          <w:tcPr>
            <w:tcW w:w="0" w:type="auto"/>
            <w:shd w:val="clear" w:color="auto" w:fill="DBE5F1" w:themeFill="accent1" w:themeFillTint="33"/>
            <w:noWrap/>
            <w:vAlign w:val="bottom"/>
            <w:hideMark/>
          </w:tcPr>
          <w:p w14:paraId="02E73073" w14:textId="61AF3239" w:rsidR="00B42BF1" w:rsidRPr="001444D7" w:rsidRDefault="00B42BF1" w:rsidP="001444D7">
            <w:pPr>
              <w:widowControl/>
              <w:autoSpaceDE/>
              <w:autoSpaceDN/>
              <w:jc w:val="center"/>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 Change</w:t>
            </w:r>
          </w:p>
          <w:p w14:paraId="598D5CAA" w14:textId="7A3A652B"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b/>
                <w:bCs/>
                <w:color w:val="000000"/>
                <w:szCs w:val="24"/>
              </w:rPr>
              <w:t>FY18 to FY22</w:t>
            </w:r>
          </w:p>
        </w:tc>
      </w:tr>
      <w:tr w:rsidR="00B42BF1" w:rsidRPr="001444D7" w14:paraId="2BA5AB9F" w14:textId="77777777" w:rsidTr="00A10F2E">
        <w:trPr>
          <w:cantSplit/>
          <w:trHeight w:val="164"/>
        </w:trPr>
        <w:tc>
          <w:tcPr>
            <w:tcW w:w="0" w:type="auto"/>
            <w:shd w:val="clear" w:color="auto" w:fill="auto"/>
            <w:vAlign w:val="center"/>
            <w:hideMark/>
          </w:tcPr>
          <w:p w14:paraId="7CE8B89C" w14:textId="062E1C3A" w:rsidR="00B42BF1" w:rsidRPr="001444D7" w:rsidRDefault="00B42BF1" w:rsidP="00B42BF1">
            <w:pPr>
              <w:widowControl/>
              <w:autoSpaceDE/>
              <w:autoSpaceDN/>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Dana-Farber</w:t>
            </w:r>
            <w:r w:rsidR="007F0955">
              <w:rPr>
                <w:rFonts w:asciiTheme="minorHAnsi" w:eastAsia="Times New Roman" w:hAnsiTheme="minorHAnsi"/>
                <w:b/>
                <w:bCs/>
                <w:color w:val="000000"/>
                <w:szCs w:val="24"/>
              </w:rPr>
              <w:t>/BWH</w:t>
            </w:r>
          </w:p>
        </w:tc>
        <w:tc>
          <w:tcPr>
            <w:tcW w:w="0" w:type="auto"/>
            <w:shd w:val="clear" w:color="auto" w:fill="auto"/>
            <w:vAlign w:val="center"/>
            <w:hideMark/>
          </w:tcPr>
          <w:p w14:paraId="06FF21CD" w14:textId="14AC0F6B"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04C062F5" w14:textId="27D84B99"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63A10E4B" w14:textId="2FD8EA40"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34AE436A" w14:textId="2F9F5F89"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1C5D1021" w14:textId="1020CCC9"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39407491" w14:textId="555CEF78"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noWrap/>
            <w:vAlign w:val="bottom"/>
            <w:hideMark/>
          </w:tcPr>
          <w:p w14:paraId="78C4A973" w14:textId="695BAE20" w:rsidR="00B42BF1" w:rsidRPr="001444D7" w:rsidRDefault="00B42BF1" w:rsidP="001444D7">
            <w:pPr>
              <w:widowControl/>
              <w:autoSpaceDE/>
              <w:autoSpaceDN/>
              <w:jc w:val="center"/>
              <w:rPr>
                <w:rFonts w:asciiTheme="minorHAnsi" w:eastAsia="Times New Roman" w:hAnsiTheme="minorHAnsi"/>
                <w:color w:val="000000"/>
                <w:szCs w:val="24"/>
              </w:rPr>
            </w:pPr>
          </w:p>
        </w:tc>
      </w:tr>
      <w:tr w:rsidR="00B42BF1" w:rsidRPr="001444D7" w14:paraId="5BE4488A" w14:textId="77777777" w:rsidTr="00A10F2E">
        <w:trPr>
          <w:cantSplit/>
          <w:trHeight w:val="290"/>
        </w:trPr>
        <w:tc>
          <w:tcPr>
            <w:tcW w:w="0" w:type="auto"/>
            <w:shd w:val="clear" w:color="auto" w:fill="auto"/>
            <w:vAlign w:val="center"/>
            <w:hideMark/>
          </w:tcPr>
          <w:p w14:paraId="0DB5BC92" w14:textId="77777777" w:rsidR="00B42BF1" w:rsidRPr="001444D7" w:rsidRDefault="00B42BF1" w:rsidP="00B42BF1">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t>CAR T-Cell ALOS (Days)</w:t>
            </w:r>
          </w:p>
        </w:tc>
        <w:tc>
          <w:tcPr>
            <w:tcW w:w="0" w:type="auto"/>
            <w:shd w:val="clear" w:color="auto" w:fill="auto"/>
            <w:vAlign w:val="center"/>
            <w:hideMark/>
          </w:tcPr>
          <w:p w14:paraId="100FDD4C"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vAlign w:val="center"/>
            <w:hideMark/>
          </w:tcPr>
          <w:p w14:paraId="4BA95F30"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vAlign w:val="center"/>
            <w:hideMark/>
          </w:tcPr>
          <w:p w14:paraId="3BB57F37"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vAlign w:val="center"/>
            <w:hideMark/>
          </w:tcPr>
          <w:p w14:paraId="3CDE4576" w14:textId="77777777" w:rsidR="00B42BF1" w:rsidRPr="001444D7" w:rsidRDefault="00B42BF1" w:rsidP="001444D7">
            <w:pPr>
              <w:widowControl/>
              <w:autoSpaceDE/>
              <w:autoSpaceDN/>
              <w:jc w:val="center"/>
              <w:rPr>
                <w:rFonts w:asciiTheme="minorHAnsi" w:eastAsia="Times New Roman" w:hAnsiTheme="minorHAnsi"/>
                <w:color w:val="000000"/>
                <w:szCs w:val="24"/>
              </w:rPr>
            </w:pPr>
            <w:bookmarkStart w:id="9" w:name="RANGE!G4"/>
            <w:r w:rsidRPr="001444D7">
              <w:rPr>
                <w:rFonts w:asciiTheme="minorHAnsi" w:eastAsia="Times New Roman" w:hAnsiTheme="minorHAnsi"/>
                <w:color w:val="000000"/>
                <w:szCs w:val="24"/>
              </w:rPr>
              <w:t>-</w:t>
            </w:r>
            <w:bookmarkEnd w:id="9"/>
          </w:p>
        </w:tc>
        <w:tc>
          <w:tcPr>
            <w:tcW w:w="0" w:type="auto"/>
            <w:shd w:val="clear" w:color="auto" w:fill="auto"/>
            <w:vAlign w:val="center"/>
            <w:hideMark/>
          </w:tcPr>
          <w:p w14:paraId="361B8999"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15.2</w:t>
            </w:r>
          </w:p>
        </w:tc>
        <w:tc>
          <w:tcPr>
            <w:tcW w:w="0" w:type="auto"/>
            <w:shd w:val="clear" w:color="auto" w:fill="auto"/>
            <w:vAlign w:val="center"/>
            <w:hideMark/>
          </w:tcPr>
          <w:p w14:paraId="597A823B"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noWrap/>
            <w:vAlign w:val="bottom"/>
            <w:hideMark/>
          </w:tcPr>
          <w:p w14:paraId="4BE2EE7E" w14:textId="7D33F22A"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NA</w:t>
            </w:r>
          </w:p>
        </w:tc>
      </w:tr>
      <w:tr w:rsidR="00B42BF1" w:rsidRPr="001444D7" w14:paraId="33392FE3" w14:textId="77777777" w:rsidTr="00A10F2E">
        <w:trPr>
          <w:cantSplit/>
          <w:trHeight w:val="281"/>
        </w:trPr>
        <w:tc>
          <w:tcPr>
            <w:tcW w:w="0" w:type="auto"/>
            <w:shd w:val="clear" w:color="auto" w:fill="auto"/>
            <w:vAlign w:val="center"/>
            <w:hideMark/>
          </w:tcPr>
          <w:p w14:paraId="5FBFBE22" w14:textId="77777777" w:rsidR="00B42BF1" w:rsidRPr="001444D7" w:rsidRDefault="00B42BF1" w:rsidP="00B42BF1">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t>Autologous Stem Cell Transplantation ALOS (Days)</w:t>
            </w:r>
          </w:p>
        </w:tc>
        <w:tc>
          <w:tcPr>
            <w:tcW w:w="0" w:type="auto"/>
            <w:shd w:val="clear" w:color="auto" w:fill="auto"/>
            <w:vAlign w:val="center"/>
            <w:hideMark/>
          </w:tcPr>
          <w:p w14:paraId="59EDFCAF"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18.8</w:t>
            </w:r>
          </w:p>
        </w:tc>
        <w:tc>
          <w:tcPr>
            <w:tcW w:w="0" w:type="auto"/>
            <w:shd w:val="clear" w:color="auto" w:fill="auto"/>
            <w:vAlign w:val="center"/>
            <w:hideMark/>
          </w:tcPr>
          <w:p w14:paraId="1A03B9B7"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19.1</w:t>
            </w:r>
          </w:p>
        </w:tc>
        <w:tc>
          <w:tcPr>
            <w:tcW w:w="0" w:type="auto"/>
            <w:shd w:val="clear" w:color="auto" w:fill="auto"/>
            <w:vAlign w:val="center"/>
            <w:hideMark/>
          </w:tcPr>
          <w:p w14:paraId="1BF869CA"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18.9</w:t>
            </w:r>
          </w:p>
        </w:tc>
        <w:tc>
          <w:tcPr>
            <w:tcW w:w="0" w:type="auto"/>
            <w:shd w:val="clear" w:color="auto" w:fill="auto"/>
            <w:vAlign w:val="center"/>
            <w:hideMark/>
          </w:tcPr>
          <w:p w14:paraId="23FF28BA"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19.1</w:t>
            </w:r>
          </w:p>
        </w:tc>
        <w:tc>
          <w:tcPr>
            <w:tcW w:w="0" w:type="auto"/>
            <w:shd w:val="clear" w:color="auto" w:fill="auto"/>
            <w:vAlign w:val="center"/>
            <w:hideMark/>
          </w:tcPr>
          <w:p w14:paraId="0ECA1FD8"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19.8</w:t>
            </w:r>
          </w:p>
        </w:tc>
        <w:tc>
          <w:tcPr>
            <w:tcW w:w="0" w:type="auto"/>
            <w:shd w:val="clear" w:color="auto" w:fill="auto"/>
            <w:vAlign w:val="center"/>
            <w:hideMark/>
          </w:tcPr>
          <w:p w14:paraId="7B3464C0"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noWrap/>
            <w:vAlign w:val="bottom"/>
            <w:hideMark/>
          </w:tcPr>
          <w:p w14:paraId="240A1E4D"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5.3%</w:t>
            </w:r>
          </w:p>
        </w:tc>
      </w:tr>
      <w:tr w:rsidR="00B42BF1" w:rsidRPr="001444D7" w14:paraId="14DB7274" w14:textId="77777777" w:rsidTr="00A10F2E">
        <w:trPr>
          <w:cantSplit/>
          <w:trHeight w:val="389"/>
        </w:trPr>
        <w:tc>
          <w:tcPr>
            <w:tcW w:w="0" w:type="auto"/>
            <w:shd w:val="clear" w:color="auto" w:fill="auto"/>
            <w:vAlign w:val="center"/>
            <w:hideMark/>
          </w:tcPr>
          <w:p w14:paraId="33EEEEFB" w14:textId="77777777" w:rsidR="00B42BF1" w:rsidRPr="001444D7" w:rsidRDefault="00B42BF1" w:rsidP="00B42BF1">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t>Allogeneic Stem Cell Transplantation ALOS (Days)</w:t>
            </w:r>
          </w:p>
        </w:tc>
        <w:tc>
          <w:tcPr>
            <w:tcW w:w="0" w:type="auto"/>
            <w:shd w:val="clear" w:color="auto" w:fill="auto"/>
            <w:vAlign w:val="center"/>
            <w:hideMark/>
          </w:tcPr>
          <w:p w14:paraId="7052F304"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21.5</w:t>
            </w:r>
          </w:p>
        </w:tc>
        <w:tc>
          <w:tcPr>
            <w:tcW w:w="0" w:type="auto"/>
            <w:shd w:val="clear" w:color="auto" w:fill="auto"/>
            <w:vAlign w:val="center"/>
            <w:hideMark/>
          </w:tcPr>
          <w:p w14:paraId="3941C682"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18.9</w:t>
            </w:r>
          </w:p>
        </w:tc>
        <w:tc>
          <w:tcPr>
            <w:tcW w:w="0" w:type="auto"/>
            <w:shd w:val="clear" w:color="auto" w:fill="auto"/>
            <w:vAlign w:val="center"/>
            <w:hideMark/>
          </w:tcPr>
          <w:p w14:paraId="2B692BFD"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24.6</w:t>
            </w:r>
          </w:p>
        </w:tc>
        <w:tc>
          <w:tcPr>
            <w:tcW w:w="0" w:type="auto"/>
            <w:shd w:val="clear" w:color="auto" w:fill="auto"/>
            <w:vAlign w:val="center"/>
            <w:hideMark/>
          </w:tcPr>
          <w:p w14:paraId="7CC95CAD"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26.5</w:t>
            </w:r>
          </w:p>
        </w:tc>
        <w:tc>
          <w:tcPr>
            <w:tcW w:w="0" w:type="auto"/>
            <w:shd w:val="clear" w:color="auto" w:fill="auto"/>
            <w:vAlign w:val="center"/>
            <w:hideMark/>
          </w:tcPr>
          <w:p w14:paraId="53F55BE5"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25.1</w:t>
            </w:r>
          </w:p>
        </w:tc>
        <w:tc>
          <w:tcPr>
            <w:tcW w:w="0" w:type="auto"/>
            <w:shd w:val="clear" w:color="auto" w:fill="auto"/>
            <w:vAlign w:val="center"/>
            <w:hideMark/>
          </w:tcPr>
          <w:p w14:paraId="06D3548F"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noWrap/>
            <w:vAlign w:val="bottom"/>
            <w:hideMark/>
          </w:tcPr>
          <w:p w14:paraId="745FA8CB"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16.7%</w:t>
            </w:r>
          </w:p>
        </w:tc>
      </w:tr>
      <w:tr w:rsidR="00B42BF1" w:rsidRPr="001444D7" w14:paraId="0200269F" w14:textId="77777777" w:rsidTr="00A10F2E">
        <w:trPr>
          <w:cantSplit/>
          <w:trHeight w:val="290"/>
        </w:trPr>
        <w:tc>
          <w:tcPr>
            <w:tcW w:w="0" w:type="auto"/>
            <w:shd w:val="clear" w:color="auto" w:fill="auto"/>
            <w:vAlign w:val="center"/>
            <w:hideMark/>
          </w:tcPr>
          <w:p w14:paraId="41C2859C" w14:textId="77777777" w:rsidR="00B42BF1" w:rsidRPr="001444D7" w:rsidRDefault="00B42BF1" w:rsidP="00B42BF1">
            <w:pPr>
              <w:widowControl/>
              <w:autoSpaceDE/>
              <w:autoSpaceDN/>
              <w:rPr>
                <w:rFonts w:asciiTheme="minorHAnsi" w:eastAsia="Times New Roman" w:hAnsiTheme="minorHAnsi"/>
                <w:b/>
                <w:bCs/>
                <w:color w:val="000000"/>
                <w:szCs w:val="24"/>
              </w:rPr>
            </w:pPr>
            <w:r w:rsidRPr="001444D7">
              <w:rPr>
                <w:rFonts w:asciiTheme="minorHAnsi" w:eastAsia="Times New Roman" w:hAnsiTheme="minorHAnsi"/>
                <w:b/>
                <w:bCs/>
                <w:color w:val="000000"/>
                <w:szCs w:val="24"/>
              </w:rPr>
              <w:t>BIDMC</w:t>
            </w:r>
          </w:p>
        </w:tc>
        <w:tc>
          <w:tcPr>
            <w:tcW w:w="0" w:type="auto"/>
            <w:shd w:val="clear" w:color="auto" w:fill="auto"/>
            <w:vAlign w:val="center"/>
            <w:hideMark/>
          </w:tcPr>
          <w:p w14:paraId="5E8C97B9" w14:textId="4CDE2EB7"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52A57D2E" w14:textId="02B30D42"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31C039E9" w14:textId="2A104A3C"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367A5E36" w14:textId="4DFCAE8C"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0F7D0ACC" w14:textId="71C11E07"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vAlign w:val="center"/>
            <w:hideMark/>
          </w:tcPr>
          <w:p w14:paraId="4B13EB08" w14:textId="18A9E556" w:rsidR="00B42BF1" w:rsidRPr="001444D7" w:rsidRDefault="00B42BF1" w:rsidP="001444D7">
            <w:pPr>
              <w:widowControl/>
              <w:autoSpaceDE/>
              <w:autoSpaceDN/>
              <w:jc w:val="center"/>
              <w:rPr>
                <w:rFonts w:asciiTheme="minorHAnsi" w:eastAsia="Times New Roman" w:hAnsiTheme="minorHAnsi"/>
                <w:color w:val="000000"/>
                <w:szCs w:val="24"/>
              </w:rPr>
            </w:pPr>
          </w:p>
        </w:tc>
        <w:tc>
          <w:tcPr>
            <w:tcW w:w="0" w:type="auto"/>
            <w:shd w:val="clear" w:color="auto" w:fill="auto"/>
            <w:noWrap/>
            <w:vAlign w:val="bottom"/>
            <w:hideMark/>
          </w:tcPr>
          <w:p w14:paraId="562C7137" w14:textId="48CFD235" w:rsidR="00B42BF1" w:rsidRPr="001444D7" w:rsidRDefault="00B42BF1" w:rsidP="001444D7">
            <w:pPr>
              <w:widowControl/>
              <w:autoSpaceDE/>
              <w:autoSpaceDN/>
              <w:jc w:val="center"/>
              <w:rPr>
                <w:rFonts w:asciiTheme="minorHAnsi" w:eastAsia="Times New Roman" w:hAnsiTheme="minorHAnsi"/>
                <w:color w:val="000000"/>
                <w:szCs w:val="24"/>
              </w:rPr>
            </w:pPr>
          </w:p>
        </w:tc>
      </w:tr>
      <w:tr w:rsidR="00B42BF1" w:rsidRPr="001444D7" w14:paraId="7817B451" w14:textId="77777777" w:rsidTr="00A10F2E">
        <w:trPr>
          <w:cantSplit/>
          <w:trHeight w:val="290"/>
        </w:trPr>
        <w:tc>
          <w:tcPr>
            <w:tcW w:w="0" w:type="auto"/>
            <w:shd w:val="clear" w:color="auto" w:fill="auto"/>
            <w:vAlign w:val="center"/>
            <w:hideMark/>
          </w:tcPr>
          <w:p w14:paraId="5AD65ADB" w14:textId="50FE9FEE" w:rsidR="00B42BF1" w:rsidRPr="001444D7" w:rsidRDefault="00B42BF1" w:rsidP="00B42BF1">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t xml:space="preserve">CAR T-Cell </w:t>
            </w:r>
            <w:r w:rsidR="00BA7365" w:rsidRPr="001444D7">
              <w:rPr>
                <w:rFonts w:asciiTheme="minorHAnsi" w:eastAsia="Times New Roman" w:hAnsiTheme="minorHAnsi"/>
                <w:color w:val="000000"/>
                <w:szCs w:val="24"/>
              </w:rPr>
              <w:t xml:space="preserve">ALOS </w:t>
            </w:r>
            <w:r w:rsidRPr="001444D7">
              <w:rPr>
                <w:rFonts w:asciiTheme="minorHAnsi" w:eastAsia="Times New Roman" w:hAnsiTheme="minorHAnsi"/>
                <w:color w:val="000000"/>
                <w:szCs w:val="24"/>
              </w:rPr>
              <w:t>(Days)</w:t>
            </w:r>
          </w:p>
        </w:tc>
        <w:tc>
          <w:tcPr>
            <w:tcW w:w="0" w:type="auto"/>
            <w:shd w:val="clear" w:color="auto" w:fill="auto"/>
            <w:vAlign w:val="center"/>
            <w:hideMark/>
          </w:tcPr>
          <w:p w14:paraId="6C686D22"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vAlign w:val="center"/>
            <w:hideMark/>
          </w:tcPr>
          <w:p w14:paraId="7D2F9F91"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vAlign w:val="center"/>
            <w:hideMark/>
          </w:tcPr>
          <w:p w14:paraId="2709855F"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vAlign w:val="center"/>
            <w:hideMark/>
          </w:tcPr>
          <w:p w14:paraId="334E658E"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vAlign w:val="center"/>
            <w:hideMark/>
          </w:tcPr>
          <w:p w14:paraId="619ABC78"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26.2</w:t>
            </w:r>
          </w:p>
        </w:tc>
        <w:tc>
          <w:tcPr>
            <w:tcW w:w="0" w:type="auto"/>
            <w:shd w:val="clear" w:color="auto" w:fill="auto"/>
            <w:vAlign w:val="center"/>
            <w:hideMark/>
          </w:tcPr>
          <w:p w14:paraId="083D372A"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noWrap/>
            <w:vAlign w:val="bottom"/>
            <w:hideMark/>
          </w:tcPr>
          <w:p w14:paraId="2F7A0B7E" w14:textId="67C01D68"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NA</w:t>
            </w:r>
          </w:p>
        </w:tc>
      </w:tr>
      <w:tr w:rsidR="00B42BF1" w:rsidRPr="001444D7" w14:paraId="18475724" w14:textId="77777777" w:rsidTr="00A10F2E">
        <w:trPr>
          <w:cantSplit/>
          <w:trHeight w:val="443"/>
        </w:trPr>
        <w:tc>
          <w:tcPr>
            <w:tcW w:w="0" w:type="auto"/>
            <w:shd w:val="clear" w:color="auto" w:fill="auto"/>
            <w:vAlign w:val="center"/>
            <w:hideMark/>
          </w:tcPr>
          <w:p w14:paraId="406D7592" w14:textId="77777777" w:rsidR="00B42BF1" w:rsidRPr="001444D7" w:rsidRDefault="00B42BF1" w:rsidP="00B42BF1">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t>Autologous Stem Cell Transplantation ALOS (Days)</w:t>
            </w:r>
          </w:p>
        </w:tc>
        <w:tc>
          <w:tcPr>
            <w:tcW w:w="0" w:type="auto"/>
            <w:shd w:val="clear" w:color="auto" w:fill="auto"/>
            <w:vAlign w:val="center"/>
            <w:hideMark/>
          </w:tcPr>
          <w:p w14:paraId="42443C7A"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20.8</w:t>
            </w:r>
          </w:p>
        </w:tc>
        <w:tc>
          <w:tcPr>
            <w:tcW w:w="0" w:type="auto"/>
            <w:shd w:val="clear" w:color="auto" w:fill="auto"/>
            <w:vAlign w:val="center"/>
            <w:hideMark/>
          </w:tcPr>
          <w:p w14:paraId="4ED0F760"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22.2</w:t>
            </w:r>
          </w:p>
        </w:tc>
        <w:tc>
          <w:tcPr>
            <w:tcW w:w="0" w:type="auto"/>
            <w:shd w:val="clear" w:color="auto" w:fill="auto"/>
            <w:vAlign w:val="center"/>
            <w:hideMark/>
          </w:tcPr>
          <w:p w14:paraId="41AEFCA9"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34.9</w:t>
            </w:r>
          </w:p>
        </w:tc>
        <w:tc>
          <w:tcPr>
            <w:tcW w:w="0" w:type="auto"/>
            <w:shd w:val="clear" w:color="auto" w:fill="auto"/>
            <w:vAlign w:val="center"/>
            <w:hideMark/>
          </w:tcPr>
          <w:p w14:paraId="711FB09D" w14:textId="52EFE182"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31</w:t>
            </w:r>
            <w:r w:rsidR="00310194" w:rsidRPr="001444D7">
              <w:rPr>
                <w:rFonts w:asciiTheme="minorHAnsi" w:eastAsia="Times New Roman" w:hAnsiTheme="minorHAnsi"/>
                <w:color w:val="000000"/>
                <w:szCs w:val="24"/>
              </w:rPr>
              <w:t>.0</w:t>
            </w:r>
          </w:p>
        </w:tc>
        <w:tc>
          <w:tcPr>
            <w:tcW w:w="0" w:type="auto"/>
            <w:shd w:val="clear" w:color="auto" w:fill="auto"/>
            <w:vAlign w:val="center"/>
            <w:hideMark/>
          </w:tcPr>
          <w:p w14:paraId="67C77357"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26.3</w:t>
            </w:r>
          </w:p>
        </w:tc>
        <w:tc>
          <w:tcPr>
            <w:tcW w:w="0" w:type="auto"/>
            <w:shd w:val="clear" w:color="auto" w:fill="auto"/>
            <w:vAlign w:val="center"/>
            <w:hideMark/>
          </w:tcPr>
          <w:p w14:paraId="69A0B7A1"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noWrap/>
            <w:vAlign w:val="bottom"/>
            <w:hideMark/>
          </w:tcPr>
          <w:p w14:paraId="55B19253"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26.4%</w:t>
            </w:r>
          </w:p>
        </w:tc>
      </w:tr>
      <w:tr w:rsidR="00B42BF1" w:rsidRPr="001444D7" w14:paraId="6D4AB3AA" w14:textId="77777777" w:rsidTr="00A10F2E">
        <w:trPr>
          <w:cantSplit/>
          <w:trHeight w:val="119"/>
        </w:trPr>
        <w:tc>
          <w:tcPr>
            <w:tcW w:w="0" w:type="auto"/>
            <w:shd w:val="clear" w:color="auto" w:fill="auto"/>
            <w:vAlign w:val="center"/>
            <w:hideMark/>
          </w:tcPr>
          <w:p w14:paraId="03E6C385" w14:textId="77777777" w:rsidR="00B42BF1" w:rsidRPr="001444D7" w:rsidRDefault="00B42BF1" w:rsidP="00B42BF1">
            <w:pPr>
              <w:widowControl/>
              <w:autoSpaceDE/>
              <w:autoSpaceDN/>
              <w:rPr>
                <w:rFonts w:asciiTheme="minorHAnsi" w:eastAsia="Times New Roman" w:hAnsiTheme="minorHAnsi"/>
                <w:color w:val="000000"/>
                <w:szCs w:val="24"/>
              </w:rPr>
            </w:pPr>
            <w:r w:rsidRPr="001444D7">
              <w:rPr>
                <w:rFonts w:asciiTheme="minorHAnsi" w:eastAsia="Times New Roman" w:hAnsiTheme="minorHAnsi"/>
                <w:color w:val="000000"/>
                <w:szCs w:val="24"/>
              </w:rPr>
              <w:t>Allogeneic Stem Cell Transplantation ALOS (Days)</w:t>
            </w:r>
          </w:p>
        </w:tc>
        <w:tc>
          <w:tcPr>
            <w:tcW w:w="0" w:type="auto"/>
            <w:shd w:val="clear" w:color="auto" w:fill="auto"/>
            <w:vAlign w:val="center"/>
            <w:hideMark/>
          </w:tcPr>
          <w:p w14:paraId="46E764B6" w14:textId="2F731D53"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41</w:t>
            </w:r>
            <w:r w:rsidR="00310194" w:rsidRPr="001444D7">
              <w:rPr>
                <w:rFonts w:asciiTheme="minorHAnsi" w:eastAsia="Times New Roman" w:hAnsiTheme="minorHAnsi"/>
                <w:color w:val="000000"/>
                <w:szCs w:val="24"/>
              </w:rPr>
              <w:t>.0</w:t>
            </w:r>
          </w:p>
        </w:tc>
        <w:tc>
          <w:tcPr>
            <w:tcW w:w="0" w:type="auto"/>
            <w:shd w:val="clear" w:color="auto" w:fill="auto"/>
            <w:vAlign w:val="center"/>
            <w:hideMark/>
          </w:tcPr>
          <w:p w14:paraId="360F7814"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37.4</w:t>
            </w:r>
          </w:p>
        </w:tc>
        <w:tc>
          <w:tcPr>
            <w:tcW w:w="0" w:type="auto"/>
            <w:shd w:val="clear" w:color="auto" w:fill="auto"/>
            <w:vAlign w:val="center"/>
            <w:hideMark/>
          </w:tcPr>
          <w:p w14:paraId="0A7E6891"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39.1</w:t>
            </w:r>
          </w:p>
        </w:tc>
        <w:tc>
          <w:tcPr>
            <w:tcW w:w="0" w:type="auto"/>
            <w:shd w:val="clear" w:color="auto" w:fill="auto"/>
            <w:vAlign w:val="center"/>
            <w:hideMark/>
          </w:tcPr>
          <w:p w14:paraId="2E7E393A"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34.3</w:t>
            </w:r>
          </w:p>
        </w:tc>
        <w:tc>
          <w:tcPr>
            <w:tcW w:w="0" w:type="auto"/>
            <w:shd w:val="clear" w:color="auto" w:fill="auto"/>
            <w:vAlign w:val="center"/>
            <w:hideMark/>
          </w:tcPr>
          <w:p w14:paraId="3B66228A"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36.8</w:t>
            </w:r>
          </w:p>
        </w:tc>
        <w:tc>
          <w:tcPr>
            <w:tcW w:w="0" w:type="auto"/>
            <w:shd w:val="clear" w:color="auto" w:fill="auto"/>
            <w:vAlign w:val="center"/>
            <w:hideMark/>
          </w:tcPr>
          <w:p w14:paraId="5847D203"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w:t>
            </w:r>
          </w:p>
        </w:tc>
        <w:tc>
          <w:tcPr>
            <w:tcW w:w="0" w:type="auto"/>
            <w:shd w:val="clear" w:color="auto" w:fill="auto"/>
            <w:noWrap/>
            <w:vAlign w:val="bottom"/>
            <w:hideMark/>
          </w:tcPr>
          <w:p w14:paraId="56509AAD" w14:textId="77777777" w:rsidR="00B42BF1" w:rsidRPr="001444D7" w:rsidRDefault="00B42BF1" w:rsidP="001444D7">
            <w:pPr>
              <w:widowControl/>
              <w:autoSpaceDE/>
              <w:autoSpaceDN/>
              <w:jc w:val="center"/>
              <w:rPr>
                <w:rFonts w:asciiTheme="minorHAnsi" w:eastAsia="Times New Roman" w:hAnsiTheme="minorHAnsi"/>
                <w:color w:val="000000"/>
                <w:szCs w:val="24"/>
              </w:rPr>
            </w:pPr>
            <w:r w:rsidRPr="001444D7">
              <w:rPr>
                <w:rFonts w:asciiTheme="minorHAnsi" w:eastAsia="Times New Roman" w:hAnsiTheme="minorHAnsi"/>
                <w:color w:val="000000"/>
                <w:szCs w:val="24"/>
              </w:rPr>
              <w:t>-10.2%</w:t>
            </w:r>
          </w:p>
        </w:tc>
      </w:tr>
    </w:tbl>
    <w:p w14:paraId="5D6EF6A8" w14:textId="77777777" w:rsidR="00045487" w:rsidRDefault="00045487" w:rsidP="00680958">
      <w:pPr>
        <w:rPr>
          <w:rFonts w:asciiTheme="minorHAnsi" w:hAnsiTheme="minorHAnsi"/>
          <w:szCs w:val="24"/>
        </w:rPr>
      </w:pPr>
    </w:p>
    <w:p w14:paraId="022F991B" w14:textId="50D9C750" w:rsidR="00A426B3" w:rsidRPr="00173E46" w:rsidRDefault="00056E53" w:rsidP="00BA2054">
      <w:pPr>
        <w:rPr>
          <w:rFonts w:asciiTheme="minorHAnsi" w:hAnsiTheme="minorHAnsi"/>
          <w:szCs w:val="24"/>
        </w:rPr>
      </w:pPr>
      <w:r w:rsidRPr="00056E53">
        <w:rPr>
          <w:rFonts w:asciiTheme="minorHAnsi" w:hAnsiTheme="minorHAnsi"/>
          <w:szCs w:val="24"/>
        </w:rPr>
        <w:t>The Applicant maintains that because hospitalization may be necessary for some patients with cancer, projected increases in cancer prevalence, and an increasing aging population will increas</w:t>
      </w:r>
      <w:r w:rsidR="00002FD3">
        <w:rPr>
          <w:rFonts w:asciiTheme="minorHAnsi" w:hAnsiTheme="minorHAnsi"/>
          <w:szCs w:val="24"/>
        </w:rPr>
        <w:t>e</w:t>
      </w:r>
      <w:r w:rsidRPr="00056E53">
        <w:rPr>
          <w:rFonts w:asciiTheme="minorHAnsi" w:hAnsiTheme="minorHAnsi"/>
          <w:szCs w:val="24"/>
        </w:rPr>
        <w:t xml:space="preserve"> the number of patients with cancer that require hospitalization throughout the course of their cancer treatment. </w:t>
      </w:r>
      <w:r w:rsidR="00157399">
        <w:rPr>
          <w:rFonts w:asciiTheme="minorHAnsi" w:hAnsiTheme="minorHAnsi"/>
          <w:szCs w:val="24"/>
        </w:rPr>
        <w:t>T</w:t>
      </w:r>
      <w:r w:rsidRPr="00056E53">
        <w:rPr>
          <w:rFonts w:asciiTheme="minorHAnsi" w:hAnsiTheme="minorHAnsi"/>
          <w:szCs w:val="24"/>
        </w:rPr>
        <w:t xml:space="preserve">he </w:t>
      </w:r>
      <w:r w:rsidR="009D5B57">
        <w:rPr>
          <w:rFonts w:asciiTheme="minorHAnsi" w:hAnsiTheme="minorHAnsi"/>
          <w:szCs w:val="24"/>
        </w:rPr>
        <w:t xml:space="preserve">Applicant points to </w:t>
      </w:r>
      <w:r w:rsidR="003A1A34">
        <w:rPr>
          <w:rFonts w:asciiTheme="minorHAnsi" w:hAnsiTheme="minorHAnsi"/>
          <w:szCs w:val="24"/>
        </w:rPr>
        <w:t>research</w:t>
      </w:r>
      <w:r w:rsidR="009D5B57">
        <w:rPr>
          <w:rFonts w:asciiTheme="minorHAnsi" w:hAnsiTheme="minorHAnsi"/>
          <w:szCs w:val="24"/>
        </w:rPr>
        <w:t xml:space="preserve"> from the </w:t>
      </w:r>
      <w:r w:rsidRPr="00056E53">
        <w:rPr>
          <w:rFonts w:asciiTheme="minorHAnsi" w:hAnsiTheme="minorHAnsi"/>
          <w:szCs w:val="24"/>
        </w:rPr>
        <w:t xml:space="preserve">Advisory </w:t>
      </w:r>
      <w:r w:rsidR="009D5B57">
        <w:rPr>
          <w:rFonts w:asciiTheme="minorHAnsi" w:hAnsiTheme="minorHAnsi"/>
          <w:szCs w:val="24"/>
        </w:rPr>
        <w:t xml:space="preserve">Board projecting </w:t>
      </w:r>
      <w:r w:rsidRPr="00056E53">
        <w:rPr>
          <w:rFonts w:asciiTheme="minorHAnsi" w:hAnsiTheme="minorHAnsi"/>
          <w:szCs w:val="24"/>
        </w:rPr>
        <w:t>a 28% increase in inpatient oncology patients in the 75 and older age cohort</w:t>
      </w:r>
      <w:r w:rsidR="00E569C3">
        <w:rPr>
          <w:rFonts w:asciiTheme="minorHAnsi" w:hAnsiTheme="minorHAnsi"/>
          <w:szCs w:val="24"/>
        </w:rPr>
        <w:t xml:space="preserve"> in Massachusetts from 2023 to 2028</w:t>
      </w:r>
      <w:r w:rsidRPr="00056E53">
        <w:rPr>
          <w:rFonts w:asciiTheme="minorHAnsi" w:hAnsiTheme="minorHAnsi"/>
          <w:szCs w:val="24"/>
        </w:rPr>
        <w:t>.</w:t>
      </w:r>
      <w:r w:rsidRPr="00056E53">
        <w:rPr>
          <w:rFonts w:asciiTheme="minorHAnsi" w:hAnsiTheme="minorHAnsi"/>
          <w:szCs w:val="24"/>
          <w:vertAlign w:val="superscript"/>
        </w:rPr>
        <w:footnoteReference w:id="37"/>
      </w:r>
      <w:r w:rsidRPr="00056E53">
        <w:rPr>
          <w:rFonts w:asciiTheme="minorHAnsi" w:hAnsiTheme="minorHAnsi"/>
          <w:szCs w:val="24"/>
        </w:rPr>
        <w:t xml:space="preserve"> </w:t>
      </w:r>
      <w:r w:rsidR="00595F56">
        <w:rPr>
          <w:rFonts w:asciiTheme="minorHAnsi" w:hAnsiTheme="minorHAnsi"/>
          <w:szCs w:val="24"/>
        </w:rPr>
        <w:t>The</w:t>
      </w:r>
      <w:r w:rsidRPr="00056E53">
        <w:rPr>
          <w:rFonts w:asciiTheme="minorHAnsi" w:hAnsiTheme="minorHAnsi"/>
          <w:szCs w:val="24"/>
        </w:rPr>
        <w:t xml:space="preserve"> Applicant</w:t>
      </w:r>
      <w:r w:rsidR="00595F56">
        <w:rPr>
          <w:rFonts w:asciiTheme="minorHAnsi" w:hAnsiTheme="minorHAnsi"/>
          <w:szCs w:val="24"/>
        </w:rPr>
        <w:t xml:space="preserve"> also noted the increase in</w:t>
      </w:r>
      <w:r w:rsidRPr="00056E53">
        <w:rPr>
          <w:rFonts w:asciiTheme="minorHAnsi" w:hAnsiTheme="minorHAnsi"/>
          <w:szCs w:val="24"/>
        </w:rPr>
        <w:t xml:space="preserve"> admissions for patients who are </w:t>
      </w:r>
      <w:r w:rsidR="00A445EF">
        <w:rPr>
          <w:rFonts w:asciiTheme="minorHAnsi" w:hAnsiTheme="minorHAnsi"/>
          <w:szCs w:val="24"/>
        </w:rPr>
        <w:t xml:space="preserve">aged </w:t>
      </w:r>
      <w:r w:rsidRPr="00056E53">
        <w:rPr>
          <w:rFonts w:asciiTheme="minorHAnsi" w:hAnsiTheme="minorHAnsi"/>
          <w:szCs w:val="24"/>
        </w:rPr>
        <w:t>80 and older</w:t>
      </w:r>
      <w:r w:rsidR="00595F56">
        <w:rPr>
          <w:rFonts w:asciiTheme="minorHAnsi" w:hAnsiTheme="minorHAnsi"/>
          <w:szCs w:val="24"/>
        </w:rPr>
        <w:t xml:space="preserve"> in the Applicant’s Patient Panel: admissions</w:t>
      </w:r>
      <w:r w:rsidRPr="00056E53">
        <w:rPr>
          <w:rFonts w:asciiTheme="minorHAnsi" w:hAnsiTheme="minorHAnsi"/>
          <w:szCs w:val="24"/>
        </w:rPr>
        <w:t xml:space="preserve"> increased by 13% from 1,138 discharges in FY18 to 1,286 discharges in FY22.</w:t>
      </w:r>
      <w:r w:rsidRPr="00056E53">
        <w:rPr>
          <w:rFonts w:asciiTheme="minorHAnsi" w:hAnsiTheme="minorHAnsi"/>
          <w:szCs w:val="24"/>
          <w:vertAlign w:val="superscript"/>
        </w:rPr>
        <w:footnoteReference w:id="38"/>
      </w:r>
      <w:r w:rsidR="00173E46">
        <w:rPr>
          <w:rFonts w:asciiTheme="minorHAnsi" w:hAnsiTheme="minorHAnsi"/>
          <w:szCs w:val="24"/>
        </w:rPr>
        <w:t xml:space="preserve"> </w:t>
      </w:r>
      <w:r w:rsidR="00AA2DEE">
        <w:rPr>
          <w:rFonts w:asciiTheme="minorHAnsi" w:hAnsiTheme="minorHAnsi"/>
          <w:szCs w:val="24"/>
        </w:rPr>
        <w:t>The Applicant states that c</w:t>
      </w:r>
      <w:r w:rsidR="00173E46" w:rsidRPr="00173E46">
        <w:rPr>
          <w:rFonts w:asciiTheme="minorHAnsi" w:hAnsiTheme="minorHAnsi"/>
          <w:szCs w:val="24"/>
        </w:rPr>
        <w:t>omorbidities, or co-existing or co-occurring conditions, increase with increasing age, and as comorbidities increase, patient tolerance to the physical impact of both their cancer and its treatments decreases, and the frequency of hospitalizations to manage these complications increases.</w:t>
      </w:r>
    </w:p>
    <w:p w14:paraId="0347A6F7" w14:textId="77777777" w:rsidR="00056E53" w:rsidRDefault="00056E53" w:rsidP="00BA2054">
      <w:pPr>
        <w:rPr>
          <w:rFonts w:asciiTheme="minorHAnsi" w:hAnsiTheme="minorHAnsi"/>
          <w:szCs w:val="24"/>
        </w:rPr>
      </w:pPr>
    </w:p>
    <w:p w14:paraId="33B76BB1" w14:textId="3AFEE5C1" w:rsidR="00056E53" w:rsidRPr="00F330CE" w:rsidRDefault="00056E53" w:rsidP="00BA2054">
      <w:pPr>
        <w:rPr>
          <w:rFonts w:asciiTheme="minorHAnsi" w:hAnsiTheme="minorHAnsi"/>
          <w:szCs w:val="24"/>
        </w:rPr>
      </w:pPr>
      <w:r w:rsidRPr="00F330CE">
        <w:rPr>
          <w:rFonts w:asciiTheme="minorHAnsi" w:hAnsiTheme="minorHAnsi"/>
          <w:szCs w:val="24"/>
        </w:rPr>
        <w:t xml:space="preserve">To further demonstrate increasing need for inpatient cancer services the Applicant provided forecasted inpatient use rates for individuals aged 20 to 39, and for individuals </w:t>
      </w:r>
      <w:r w:rsidR="00163617">
        <w:rPr>
          <w:rFonts w:asciiTheme="minorHAnsi" w:hAnsiTheme="minorHAnsi"/>
          <w:szCs w:val="24"/>
        </w:rPr>
        <w:t xml:space="preserve">aged </w:t>
      </w:r>
      <w:r w:rsidRPr="00F330CE">
        <w:rPr>
          <w:rFonts w:asciiTheme="minorHAnsi" w:hAnsiTheme="minorHAnsi"/>
          <w:szCs w:val="24"/>
        </w:rPr>
        <w:t>75 and older</w:t>
      </w:r>
      <w:r w:rsidR="00B03E8C">
        <w:rPr>
          <w:rFonts w:asciiTheme="minorHAnsi" w:hAnsiTheme="minorHAnsi"/>
          <w:szCs w:val="24"/>
        </w:rPr>
        <w:t xml:space="preserve"> in New England</w:t>
      </w:r>
      <w:r w:rsidRPr="00F330CE">
        <w:rPr>
          <w:rFonts w:asciiTheme="minorHAnsi" w:hAnsiTheme="minorHAnsi"/>
          <w:szCs w:val="24"/>
        </w:rPr>
        <w:t>, based on Advisory Board data</w:t>
      </w:r>
      <w:r w:rsidR="00820CDE">
        <w:rPr>
          <w:rFonts w:asciiTheme="minorHAnsi" w:hAnsiTheme="minorHAnsi"/>
          <w:szCs w:val="24"/>
        </w:rPr>
        <w:t xml:space="preserve">. </w:t>
      </w:r>
      <w:r w:rsidRPr="00F330CE">
        <w:rPr>
          <w:rFonts w:asciiTheme="minorHAnsi" w:hAnsiTheme="minorHAnsi"/>
          <w:szCs w:val="24"/>
        </w:rPr>
        <w:t xml:space="preserve">This is shown in Tables </w:t>
      </w:r>
      <w:r w:rsidR="0031518D">
        <w:rPr>
          <w:rFonts w:asciiTheme="minorHAnsi" w:hAnsiTheme="minorHAnsi"/>
          <w:szCs w:val="24"/>
        </w:rPr>
        <w:t>14</w:t>
      </w:r>
      <w:r w:rsidRPr="00F330CE">
        <w:rPr>
          <w:rFonts w:asciiTheme="minorHAnsi" w:hAnsiTheme="minorHAnsi"/>
          <w:szCs w:val="24"/>
        </w:rPr>
        <w:t xml:space="preserve"> and </w:t>
      </w:r>
      <w:r w:rsidR="0078425C">
        <w:rPr>
          <w:rFonts w:asciiTheme="minorHAnsi" w:hAnsiTheme="minorHAnsi"/>
          <w:szCs w:val="24"/>
        </w:rPr>
        <w:t>1</w:t>
      </w:r>
      <w:r w:rsidR="0031518D">
        <w:rPr>
          <w:rFonts w:asciiTheme="minorHAnsi" w:hAnsiTheme="minorHAnsi"/>
          <w:szCs w:val="24"/>
        </w:rPr>
        <w:t>5</w:t>
      </w:r>
      <w:r w:rsidRPr="00F330CE">
        <w:rPr>
          <w:rFonts w:asciiTheme="minorHAnsi" w:hAnsiTheme="minorHAnsi"/>
          <w:szCs w:val="24"/>
        </w:rPr>
        <w:t>.</w:t>
      </w:r>
      <w:r w:rsidR="00173E46">
        <w:rPr>
          <w:rStyle w:val="FootnoteReference"/>
          <w:rFonts w:asciiTheme="minorHAnsi" w:hAnsiTheme="minorHAnsi"/>
          <w:szCs w:val="24"/>
        </w:rPr>
        <w:footnoteReference w:id="39"/>
      </w:r>
      <w:r w:rsidR="00820CDE" w:rsidRPr="00820CDE">
        <w:rPr>
          <w:rFonts w:asciiTheme="minorHAnsi" w:hAnsiTheme="minorHAnsi"/>
          <w:szCs w:val="24"/>
        </w:rPr>
        <w:t xml:space="preserve"> </w:t>
      </w:r>
      <w:r w:rsidR="00465818">
        <w:rPr>
          <w:rFonts w:asciiTheme="minorHAnsi" w:hAnsiTheme="minorHAnsi"/>
          <w:szCs w:val="24"/>
        </w:rPr>
        <w:t xml:space="preserve">The Applicant states that </w:t>
      </w:r>
      <w:r w:rsidR="00820CDE" w:rsidRPr="00820CDE">
        <w:rPr>
          <w:rFonts w:asciiTheme="minorHAnsi" w:hAnsiTheme="minorHAnsi"/>
          <w:szCs w:val="24"/>
        </w:rPr>
        <w:t xml:space="preserve">Tables </w:t>
      </w:r>
      <w:r w:rsidR="00857689">
        <w:rPr>
          <w:rFonts w:asciiTheme="minorHAnsi" w:hAnsiTheme="minorHAnsi"/>
          <w:szCs w:val="24"/>
        </w:rPr>
        <w:t>14</w:t>
      </w:r>
      <w:r w:rsidR="00820CDE" w:rsidRPr="00820CDE">
        <w:rPr>
          <w:rFonts w:asciiTheme="minorHAnsi" w:hAnsiTheme="minorHAnsi"/>
          <w:szCs w:val="24"/>
        </w:rPr>
        <w:t xml:space="preserve"> and </w:t>
      </w:r>
      <w:r w:rsidR="00857689">
        <w:rPr>
          <w:rFonts w:asciiTheme="minorHAnsi" w:hAnsiTheme="minorHAnsi"/>
          <w:szCs w:val="24"/>
        </w:rPr>
        <w:t>15</w:t>
      </w:r>
      <w:r w:rsidR="00820CDE" w:rsidRPr="00820CDE">
        <w:rPr>
          <w:rFonts w:asciiTheme="minorHAnsi" w:hAnsiTheme="minorHAnsi"/>
          <w:szCs w:val="24"/>
        </w:rPr>
        <w:t xml:space="preserve"> show an association between increasing use rates for inpatient medical oncology </w:t>
      </w:r>
      <w:r w:rsidR="00465818">
        <w:rPr>
          <w:rFonts w:asciiTheme="minorHAnsi" w:hAnsiTheme="minorHAnsi"/>
          <w:szCs w:val="24"/>
        </w:rPr>
        <w:t xml:space="preserve">services </w:t>
      </w:r>
      <w:r w:rsidR="00820CDE" w:rsidRPr="00820CDE">
        <w:rPr>
          <w:rFonts w:asciiTheme="minorHAnsi" w:hAnsiTheme="minorHAnsi"/>
          <w:szCs w:val="24"/>
        </w:rPr>
        <w:t>and increasing cancer incidence and prevalence.</w:t>
      </w:r>
    </w:p>
    <w:p w14:paraId="1EAB4489" w14:textId="77777777" w:rsidR="00056E53" w:rsidRDefault="00056E53" w:rsidP="00056E53">
      <w:pPr>
        <w:rPr>
          <w:rFonts w:asciiTheme="minorHAnsi" w:hAnsiTheme="minorHAnsi"/>
          <w:szCs w:val="24"/>
        </w:rPr>
      </w:pPr>
    </w:p>
    <w:p w14:paraId="2B711071" w14:textId="6EDA7852" w:rsidR="00056E53" w:rsidRPr="00F330CE" w:rsidRDefault="00056E53" w:rsidP="00056E53">
      <w:pPr>
        <w:rPr>
          <w:rFonts w:asciiTheme="minorHAnsi" w:hAnsiTheme="minorHAnsi"/>
          <w:b/>
          <w:bCs/>
          <w:szCs w:val="24"/>
        </w:rPr>
      </w:pPr>
      <w:r w:rsidRPr="00F330CE">
        <w:rPr>
          <w:rFonts w:asciiTheme="minorHAnsi" w:hAnsiTheme="minorHAnsi"/>
          <w:b/>
          <w:bCs/>
          <w:szCs w:val="24"/>
          <w:u w:val="single"/>
        </w:rPr>
        <w:t xml:space="preserve">Table </w:t>
      </w:r>
      <w:r w:rsidR="0078425C">
        <w:rPr>
          <w:rFonts w:asciiTheme="minorHAnsi" w:hAnsiTheme="minorHAnsi"/>
          <w:b/>
          <w:bCs/>
          <w:szCs w:val="24"/>
          <w:u w:val="single"/>
        </w:rPr>
        <w:t>1</w:t>
      </w:r>
      <w:r w:rsidR="0031518D">
        <w:rPr>
          <w:rFonts w:asciiTheme="minorHAnsi" w:hAnsiTheme="minorHAnsi"/>
          <w:b/>
          <w:bCs/>
          <w:szCs w:val="24"/>
          <w:u w:val="single"/>
        </w:rPr>
        <w:t>4</w:t>
      </w:r>
      <w:r w:rsidRPr="00F330CE">
        <w:rPr>
          <w:rFonts w:asciiTheme="minorHAnsi" w:hAnsiTheme="minorHAnsi"/>
          <w:b/>
          <w:bCs/>
          <w:szCs w:val="24"/>
        </w:rPr>
        <w:t>: Forecasted Medical Oncology Use Rates (20-39)</w:t>
      </w:r>
    </w:p>
    <w:tbl>
      <w:tblPr>
        <w:tblStyle w:val="TableGrid"/>
        <w:tblW w:w="0" w:type="auto"/>
        <w:tblLook w:val="04A0" w:firstRow="1" w:lastRow="0" w:firstColumn="1" w:lastColumn="0" w:noHBand="0" w:noVBand="1"/>
      </w:tblPr>
      <w:tblGrid>
        <w:gridCol w:w="6229"/>
        <w:gridCol w:w="2307"/>
      </w:tblGrid>
      <w:tr w:rsidR="00056E53" w:rsidRPr="001444D7" w14:paraId="4446E9A8" w14:textId="77777777" w:rsidTr="00A10F2E">
        <w:trPr>
          <w:cantSplit/>
          <w:tblHeader/>
        </w:trPr>
        <w:tc>
          <w:tcPr>
            <w:tcW w:w="0" w:type="auto"/>
            <w:shd w:val="clear" w:color="auto" w:fill="DBE5F1" w:themeFill="accent1" w:themeFillTint="33"/>
          </w:tcPr>
          <w:p w14:paraId="2B907C45" w14:textId="77777777" w:rsidR="00056E53" w:rsidRPr="001444D7" w:rsidRDefault="00056E53">
            <w:pPr>
              <w:rPr>
                <w:rFonts w:asciiTheme="minorHAnsi" w:hAnsiTheme="minorHAnsi"/>
                <w:b/>
                <w:bCs/>
                <w:szCs w:val="24"/>
              </w:rPr>
            </w:pPr>
            <w:r w:rsidRPr="001444D7">
              <w:rPr>
                <w:rFonts w:asciiTheme="minorHAnsi" w:hAnsiTheme="minorHAnsi"/>
                <w:b/>
                <w:bCs/>
                <w:szCs w:val="24"/>
              </w:rPr>
              <w:lastRenderedPageBreak/>
              <w:t xml:space="preserve">Young Adult (20-39) Patients in New England </w:t>
            </w:r>
            <w:r w:rsidRPr="001444D7">
              <w:rPr>
                <w:rFonts w:asciiTheme="minorHAnsi" w:hAnsiTheme="minorHAnsi"/>
                <w:b/>
                <w:bCs/>
                <w:szCs w:val="24"/>
              </w:rPr>
              <w:br/>
              <w:t>(MA, RI, ME, NH, CT, VT)</w:t>
            </w:r>
            <w:r w:rsidRPr="001444D7">
              <w:rPr>
                <w:rFonts w:asciiTheme="minorHAnsi" w:hAnsiTheme="minorHAnsi"/>
                <w:b/>
                <w:bCs/>
                <w:szCs w:val="24"/>
                <w:vertAlign w:val="superscript"/>
              </w:rPr>
              <w:footnoteReference w:id="40"/>
            </w:r>
          </w:p>
        </w:tc>
        <w:tc>
          <w:tcPr>
            <w:tcW w:w="0" w:type="auto"/>
            <w:shd w:val="clear" w:color="auto" w:fill="DBE5F1" w:themeFill="accent1" w:themeFillTint="33"/>
          </w:tcPr>
          <w:p w14:paraId="60FC25E7" w14:textId="77777777" w:rsidR="00056E53" w:rsidRPr="001444D7" w:rsidRDefault="00056E53" w:rsidP="001444D7">
            <w:pPr>
              <w:jc w:val="center"/>
              <w:rPr>
                <w:rFonts w:asciiTheme="minorHAnsi" w:hAnsiTheme="minorHAnsi"/>
                <w:b/>
                <w:bCs/>
                <w:szCs w:val="24"/>
              </w:rPr>
            </w:pPr>
            <w:r w:rsidRPr="001444D7">
              <w:rPr>
                <w:rFonts w:asciiTheme="minorHAnsi" w:hAnsiTheme="minorHAnsi"/>
                <w:b/>
                <w:bCs/>
                <w:szCs w:val="24"/>
              </w:rPr>
              <w:t>10-Year Growth Rate</w:t>
            </w:r>
          </w:p>
        </w:tc>
      </w:tr>
      <w:tr w:rsidR="00056E53" w:rsidRPr="001444D7" w14:paraId="28E119E6" w14:textId="77777777" w:rsidTr="00A10F2E">
        <w:trPr>
          <w:cantSplit/>
        </w:trPr>
        <w:tc>
          <w:tcPr>
            <w:tcW w:w="0" w:type="auto"/>
            <w:shd w:val="clear" w:color="auto" w:fill="F2F2F2" w:themeFill="background1" w:themeFillShade="F2"/>
          </w:tcPr>
          <w:p w14:paraId="6F7EAA98" w14:textId="37E7D9FC" w:rsidR="00056E53" w:rsidRPr="001444D7" w:rsidRDefault="00056E53">
            <w:pPr>
              <w:rPr>
                <w:rFonts w:asciiTheme="minorHAnsi" w:hAnsiTheme="minorHAnsi"/>
                <w:szCs w:val="24"/>
              </w:rPr>
            </w:pPr>
            <w:r w:rsidRPr="001444D7">
              <w:rPr>
                <w:rFonts w:asciiTheme="minorHAnsi" w:hAnsiTheme="minorHAnsi"/>
                <w:szCs w:val="24"/>
              </w:rPr>
              <w:t>Inpatient Oncology Forecasted Use Rate per 1</w:t>
            </w:r>
            <w:r w:rsidR="00370179" w:rsidRPr="001444D7">
              <w:rPr>
                <w:rFonts w:asciiTheme="minorHAnsi" w:hAnsiTheme="minorHAnsi"/>
                <w:szCs w:val="24"/>
              </w:rPr>
              <w:t>,</w:t>
            </w:r>
            <w:r w:rsidRPr="001444D7">
              <w:rPr>
                <w:rFonts w:asciiTheme="minorHAnsi" w:hAnsiTheme="minorHAnsi"/>
                <w:szCs w:val="24"/>
              </w:rPr>
              <w:t>000 population</w:t>
            </w:r>
          </w:p>
        </w:tc>
        <w:tc>
          <w:tcPr>
            <w:tcW w:w="0" w:type="auto"/>
            <w:shd w:val="clear" w:color="auto" w:fill="F2F2F2" w:themeFill="background1" w:themeFillShade="F2"/>
          </w:tcPr>
          <w:p w14:paraId="69637DE1" w14:textId="77777777" w:rsidR="00056E53" w:rsidRPr="001444D7" w:rsidRDefault="00056E53" w:rsidP="001444D7">
            <w:pPr>
              <w:jc w:val="center"/>
              <w:rPr>
                <w:rFonts w:asciiTheme="minorHAnsi" w:hAnsiTheme="minorHAnsi"/>
                <w:szCs w:val="24"/>
              </w:rPr>
            </w:pPr>
          </w:p>
        </w:tc>
      </w:tr>
      <w:tr w:rsidR="00056E53" w:rsidRPr="001444D7" w14:paraId="40ECB53F" w14:textId="77777777" w:rsidTr="00A10F2E">
        <w:trPr>
          <w:cantSplit/>
        </w:trPr>
        <w:tc>
          <w:tcPr>
            <w:tcW w:w="0" w:type="auto"/>
          </w:tcPr>
          <w:p w14:paraId="5EAB5B61" w14:textId="77777777" w:rsidR="00056E53" w:rsidRPr="001444D7" w:rsidRDefault="00056E53">
            <w:pPr>
              <w:rPr>
                <w:rFonts w:asciiTheme="minorHAnsi" w:hAnsiTheme="minorHAnsi"/>
                <w:szCs w:val="24"/>
              </w:rPr>
            </w:pPr>
            <w:r w:rsidRPr="001444D7">
              <w:rPr>
                <w:rFonts w:asciiTheme="minorHAnsi" w:hAnsiTheme="minorHAnsi"/>
                <w:szCs w:val="24"/>
              </w:rPr>
              <w:t>Inpatient Medical Oncology / Hematology DRGs</w:t>
            </w:r>
          </w:p>
        </w:tc>
        <w:tc>
          <w:tcPr>
            <w:tcW w:w="0" w:type="auto"/>
            <w:vAlign w:val="center"/>
          </w:tcPr>
          <w:p w14:paraId="6EDD755F" w14:textId="77777777" w:rsidR="00056E53" w:rsidRPr="001444D7" w:rsidRDefault="00056E53" w:rsidP="001444D7">
            <w:pPr>
              <w:jc w:val="center"/>
              <w:rPr>
                <w:rFonts w:asciiTheme="minorHAnsi" w:hAnsiTheme="minorHAnsi"/>
                <w:szCs w:val="24"/>
              </w:rPr>
            </w:pPr>
            <w:r w:rsidRPr="001444D7">
              <w:rPr>
                <w:rFonts w:asciiTheme="minorHAnsi" w:hAnsiTheme="minorHAnsi"/>
                <w:szCs w:val="24"/>
              </w:rPr>
              <w:t>4.64%</w:t>
            </w:r>
          </w:p>
        </w:tc>
      </w:tr>
      <w:tr w:rsidR="00056E53" w:rsidRPr="001444D7" w14:paraId="68B6550A" w14:textId="77777777" w:rsidTr="00A10F2E">
        <w:trPr>
          <w:cantSplit/>
        </w:trPr>
        <w:tc>
          <w:tcPr>
            <w:tcW w:w="0" w:type="auto"/>
            <w:shd w:val="clear" w:color="auto" w:fill="F2F2F2" w:themeFill="background1" w:themeFillShade="F2"/>
          </w:tcPr>
          <w:p w14:paraId="53F215EA" w14:textId="4D900152" w:rsidR="00056E53" w:rsidRPr="001444D7" w:rsidRDefault="00056E53">
            <w:pPr>
              <w:rPr>
                <w:rFonts w:asciiTheme="minorHAnsi" w:hAnsiTheme="minorHAnsi"/>
                <w:szCs w:val="24"/>
              </w:rPr>
            </w:pPr>
            <w:r w:rsidRPr="001444D7">
              <w:rPr>
                <w:rFonts w:asciiTheme="minorHAnsi" w:hAnsiTheme="minorHAnsi"/>
                <w:szCs w:val="24"/>
              </w:rPr>
              <w:t>Disease Prevalence Impact to I</w:t>
            </w:r>
            <w:r w:rsidR="00DC5B26" w:rsidRPr="001444D7">
              <w:rPr>
                <w:rFonts w:asciiTheme="minorHAnsi" w:hAnsiTheme="minorHAnsi"/>
                <w:szCs w:val="24"/>
              </w:rPr>
              <w:t>n</w:t>
            </w:r>
            <w:r w:rsidRPr="001444D7">
              <w:rPr>
                <w:rFonts w:asciiTheme="minorHAnsi" w:hAnsiTheme="minorHAnsi"/>
                <w:szCs w:val="24"/>
              </w:rPr>
              <w:t>patient Discharges</w:t>
            </w:r>
          </w:p>
        </w:tc>
        <w:tc>
          <w:tcPr>
            <w:tcW w:w="0" w:type="auto"/>
            <w:shd w:val="clear" w:color="auto" w:fill="F2F2F2" w:themeFill="background1" w:themeFillShade="F2"/>
            <w:vAlign w:val="center"/>
          </w:tcPr>
          <w:p w14:paraId="093F9EA8" w14:textId="77777777" w:rsidR="00056E53" w:rsidRPr="001444D7" w:rsidRDefault="00056E53" w:rsidP="001444D7">
            <w:pPr>
              <w:jc w:val="center"/>
              <w:rPr>
                <w:rFonts w:asciiTheme="minorHAnsi" w:hAnsiTheme="minorHAnsi"/>
                <w:szCs w:val="24"/>
              </w:rPr>
            </w:pPr>
          </w:p>
        </w:tc>
      </w:tr>
      <w:tr w:rsidR="00056E53" w:rsidRPr="001444D7" w14:paraId="7DCCF379" w14:textId="77777777" w:rsidTr="00A10F2E">
        <w:trPr>
          <w:cantSplit/>
        </w:trPr>
        <w:tc>
          <w:tcPr>
            <w:tcW w:w="0" w:type="auto"/>
          </w:tcPr>
          <w:p w14:paraId="35E961CF" w14:textId="77777777" w:rsidR="00056E53" w:rsidRPr="001444D7" w:rsidRDefault="00056E53">
            <w:pPr>
              <w:rPr>
                <w:rFonts w:asciiTheme="minorHAnsi" w:hAnsiTheme="minorHAnsi"/>
                <w:szCs w:val="24"/>
              </w:rPr>
            </w:pPr>
            <w:r w:rsidRPr="001444D7">
              <w:rPr>
                <w:rFonts w:asciiTheme="minorHAnsi" w:hAnsiTheme="minorHAnsi"/>
                <w:szCs w:val="24"/>
              </w:rPr>
              <w:t xml:space="preserve">Forecasted disease prevalence impact to </w:t>
            </w:r>
            <w:r w:rsidRPr="001444D7">
              <w:rPr>
                <w:rFonts w:asciiTheme="minorHAnsi" w:hAnsiTheme="minorHAnsi"/>
                <w:szCs w:val="24"/>
              </w:rPr>
              <w:br/>
              <w:t>Inpatient Medical Oncology / Hematology DRGs</w:t>
            </w:r>
          </w:p>
        </w:tc>
        <w:tc>
          <w:tcPr>
            <w:tcW w:w="0" w:type="auto"/>
            <w:vAlign w:val="center"/>
          </w:tcPr>
          <w:p w14:paraId="555A21BB" w14:textId="77777777" w:rsidR="00056E53" w:rsidRPr="001444D7" w:rsidRDefault="00056E53" w:rsidP="001444D7">
            <w:pPr>
              <w:jc w:val="center"/>
              <w:rPr>
                <w:rFonts w:asciiTheme="minorHAnsi" w:hAnsiTheme="minorHAnsi"/>
                <w:szCs w:val="24"/>
              </w:rPr>
            </w:pPr>
            <w:r w:rsidRPr="001444D7">
              <w:rPr>
                <w:rFonts w:asciiTheme="minorHAnsi" w:hAnsiTheme="minorHAnsi"/>
                <w:szCs w:val="24"/>
              </w:rPr>
              <w:t>4.39%</w:t>
            </w:r>
          </w:p>
        </w:tc>
      </w:tr>
    </w:tbl>
    <w:p w14:paraId="3AA5626B" w14:textId="77777777" w:rsidR="00056E53" w:rsidRPr="00FA1CFE" w:rsidRDefault="00056E53" w:rsidP="00056E53">
      <w:pPr>
        <w:rPr>
          <w:rFonts w:asciiTheme="minorHAnsi" w:hAnsiTheme="minorHAnsi"/>
          <w:szCs w:val="24"/>
        </w:rPr>
      </w:pPr>
    </w:p>
    <w:p w14:paraId="75BD6747" w14:textId="0F8108A6" w:rsidR="00056E53" w:rsidRPr="00FA1CFE" w:rsidRDefault="00056E53" w:rsidP="00056E53">
      <w:pPr>
        <w:rPr>
          <w:rFonts w:asciiTheme="minorHAnsi" w:hAnsiTheme="minorHAnsi"/>
          <w:b/>
          <w:bCs/>
          <w:szCs w:val="24"/>
        </w:rPr>
      </w:pPr>
      <w:r w:rsidRPr="00FA1CFE">
        <w:rPr>
          <w:rFonts w:asciiTheme="minorHAnsi" w:hAnsiTheme="minorHAnsi"/>
          <w:b/>
          <w:bCs/>
          <w:szCs w:val="24"/>
          <w:u w:val="single"/>
        </w:rPr>
        <w:t xml:space="preserve">Table </w:t>
      </w:r>
      <w:r w:rsidR="0078425C" w:rsidRPr="00FA1CFE">
        <w:rPr>
          <w:rFonts w:asciiTheme="minorHAnsi" w:hAnsiTheme="minorHAnsi"/>
          <w:b/>
          <w:bCs/>
          <w:szCs w:val="24"/>
          <w:u w:val="single"/>
        </w:rPr>
        <w:t>1</w:t>
      </w:r>
      <w:r w:rsidR="0031518D">
        <w:rPr>
          <w:rFonts w:asciiTheme="minorHAnsi" w:hAnsiTheme="minorHAnsi"/>
          <w:b/>
          <w:bCs/>
          <w:szCs w:val="24"/>
          <w:u w:val="single"/>
        </w:rPr>
        <w:t>5</w:t>
      </w:r>
      <w:r w:rsidRPr="00FA1CFE">
        <w:rPr>
          <w:rFonts w:asciiTheme="minorHAnsi" w:hAnsiTheme="minorHAnsi"/>
          <w:b/>
          <w:bCs/>
          <w:szCs w:val="24"/>
        </w:rPr>
        <w:t>: Forecasted Medical Oncology Use Rates (75 and older)</w:t>
      </w:r>
    </w:p>
    <w:tbl>
      <w:tblPr>
        <w:tblStyle w:val="TableGrid"/>
        <w:tblW w:w="0" w:type="auto"/>
        <w:tblLook w:val="04A0" w:firstRow="1" w:lastRow="0" w:firstColumn="1" w:lastColumn="0" w:noHBand="0" w:noVBand="1"/>
      </w:tblPr>
      <w:tblGrid>
        <w:gridCol w:w="6229"/>
        <w:gridCol w:w="2307"/>
      </w:tblGrid>
      <w:tr w:rsidR="00056E53" w:rsidRPr="00875101" w14:paraId="4F0F413D" w14:textId="77777777" w:rsidTr="007F538A">
        <w:trPr>
          <w:cantSplit/>
          <w:tblHeader/>
        </w:trPr>
        <w:tc>
          <w:tcPr>
            <w:tcW w:w="0" w:type="auto"/>
            <w:shd w:val="clear" w:color="auto" w:fill="DBE5F1" w:themeFill="accent1" w:themeFillTint="33"/>
          </w:tcPr>
          <w:p w14:paraId="7E3008C6" w14:textId="77777777" w:rsidR="00056E53" w:rsidRPr="00875101" w:rsidRDefault="00056E53">
            <w:pPr>
              <w:rPr>
                <w:rFonts w:asciiTheme="minorHAnsi" w:hAnsiTheme="minorHAnsi"/>
                <w:b/>
                <w:bCs/>
                <w:szCs w:val="24"/>
              </w:rPr>
            </w:pPr>
            <w:r w:rsidRPr="00875101">
              <w:rPr>
                <w:rFonts w:asciiTheme="minorHAnsi" w:hAnsiTheme="minorHAnsi"/>
                <w:b/>
                <w:bCs/>
                <w:szCs w:val="24"/>
              </w:rPr>
              <w:t xml:space="preserve">Aged 75+ Patients in New England </w:t>
            </w:r>
            <w:r w:rsidRPr="00875101">
              <w:rPr>
                <w:rFonts w:asciiTheme="minorHAnsi" w:hAnsiTheme="minorHAnsi"/>
                <w:b/>
                <w:bCs/>
                <w:szCs w:val="24"/>
              </w:rPr>
              <w:br/>
              <w:t>(MA, RI, ME, NH, CT, VT)</w:t>
            </w:r>
            <w:r w:rsidRPr="00875101">
              <w:rPr>
                <w:rFonts w:asciiTheme="minorHAnsi" w:hAnsiTheme="minorHAnsi"/>
                <w:b/>
                <w:bCs/>
                <w:szCs w:val="24"/>
                <w:vertAlign w:val="superscript"/>
              </w:rPr>
              <w:footnoteReference w:id="41"/>
            </w:r>
          </w:p>
        </w:tc>
        <w:tc>
          <w:tcPr>
            <w:tcW w:w="0" w:type="auto"/>
            <w:shd w:val="clear" w:color="auto" w:fill="DBE5F1" w:themeFill="accent1" w:themeFillTint="33"/>
          </w:tcPr>
          <w:p w14:paraId="13CD890C" w14:textId="77777777" w:rsidR="00056E53" w:rsidRPr="00875101" w:rsidRDefault="00056E53">
            <w:pPr>
              <w:rPr>
                <w:rFonts w:asciiTheme="minorHAnsi" w:hAnsiTheme="minorHAnsi"/>
                <w:b/>
                <w:bCs/>
                <w:szCs w:val="24"/>
              </w:rPr>
            </w:pPr>
            <w:r w:rsidRPr="00875101">
              <w:rPr>
                <w:rFonts w:asciiTheme="minorHAnsi" w:hAnsiTheme="minorHAnsi"/>
                <w:b/>
                <w:bCs/>
                <w:szCs w:val="24"/>
              </w:rPr>
              <w:t>10-Year Growth Rate</w:t>
            </w:r>
          </w:p>
        </w:tc>
      </w:tr>
      <w:tr w:rsidR="00056E53" w:rsidRPr="00875101" w14:paraId="7553BA0B" w14:textId="77777777" w:rsidTr="007F538A">
        <w:trPr>
          <w:cantSplit/>
        </w:trPr>
        <w:tc>
          <w:tcPr>
            <w:tcW w:w="0" w:type="auto"/>
            <w:shd w:val="clear" w:color="auto" w:fill="F2F2F2" w:themeFill="background1" w:themeFillShade="F2"/>
          </w:tcPr>
          <w:p w14:paraId="17469DA0" w14:textId="54A279E1" w:rsidR="00056E53" w:rsidRPr="00875101" w:rsidRDefault="00056E53">
            <w:pPr>
              <w:rPr>
                <w:rFonts w:asciiTheme="minorHAnsi" w:hAnsiTheme="minorHAnsi"/>
                <w:szCs w:val="24"/>
              </w:rPr>
            </w:pPr>
            <w:r w:rsidRPr="00875101">
              <w:rPr>
                <w:rFonts w:asciiTheme="minorHAnsi" w:hAnsiTheme="minorHAnsi"/>
                <w:szCs w:val="24"/>
              </w:rPr>
              <w:t>Inpatient Oncology Forecasted Use Rate per 1</w:t>
            </w:r>
            <w:r w:rsidR="00370179">
              <w:rPr>
                <w:rFonts w:asciiTheme="minorHAnsi" w:hAnsiTheme="minorHAnsi"/>
                <w:szCs w:val="24"/>
              </w:rPr>
              <w:t>,</w:t>
            </w:r>
            <w:r w:rsidRPr="00875101">
              <w:rPr>
                <w:rFonts w:asciiTheme="minorHAnsi" w:hAnsiTheme="minorHAnsi"/>
                <w:szCs w:val="24"/>
              </w:rPr>
              <w:t>000 population</w:t>
            </w:r>
          </w:p>
        </w:tc>
        <w:tc>
          <w:tcPr>
            <w:tcW w:w="0" w:type="auto"/>
            <w:shd w:val="clear" w:color="auto" w:fill="F2F2F2" w:themeFill="background1" w:themeFillShade="F2"/>
          </w:tcPr>
          <w:p w14:paraId="0B19BC26" w14:textId="77777777" w:rsidR="00056E53" w:rsidRPr="00875101" w:rsidRDefault="00056E53">
            <w:pPr>
              <w:rPr>
                <w:rFonts w:asciiTheme="minorHAnsi" w:hAnsiTheme="minorHAnsi"/>
                <w:szCs w:val="24"/>
              </w:rPr>
            </w:pPr>
          </w:p>
        </w:tc>
      </w:tr>
      <w:tr w:rsidR="00056E53" w:rsidRPr="00875101" w14:paraId="038B799B" w14:textId="77777777" w:rsidTr="007F538A">
        <w:trPr>
          <w:cantSplit/>
        </w:trPr>
        <w:tc>
          <w:tcPr>
            <w:tcW w:w="0" w:type="auto"/>
          </w:tcPr>
          <w:p w14:paraId="281539B3" w14:textId="77777777" w:rsidR="00056E53" w:rsidRPr="00875101" w:rsidRDefault="00056E53">
            <w:pPr>
              <w:rPr>
                <w:rFonts w:asciiTheme="minorHAnsi" w:hAnsiTheme="minorHAnsi"/>
                <w:szCs w:val="24"/>
              </w:rPr>
            </w:pPr>
            <w:r w:rsidRPr="00875101">
              <w:rPr>
                <w:rFonts w:asciiTheme="minorHAnsi" w:hAnsiTheme="minorHAnsi"/>
                <w:szCs w:val="24"/>
              </w:rPr>
              <w:t>Inpatient Medical Oncology / Hematology DRGs</w:t>
            </w:r>
          </w:p>
        </w:tc>
        <w:tc>
          <w:tcPr>
            <w:tcW w:w="0" w:type="auto"/>
            <w:vAlign w:val="center"/>
          </w:tcPr>
          <w:p w14:paraId="51534BB0" w14:textId="77777777" w:rsidR="00056E53" w:rsidRPr="00875101" w:rsidRDefault="00056E53" w:rsidP="00157630">
            <w:pPr>
              <w:jc w:val="center"/>
              <w:rPr>
                <w:rFonts w:asciiTheme="minorHAnsi" w:hAnsiTheme="minorHAnsi"/>
                <w:szCs w:val="24"/>
              </w:rPr>
            </w:pPr>
            <w:r w:rsidRPr="00875101">
              <w:rPr>
                <w:rFonts w:asciiTheme="minorHAnsi" w:hAnsiTheme="minorHAnsi"/>
                <w:szCs w:val="24"/>
              </w:rPr>
              <w:t>7.96%</w:t>
            </w:r>
          </w:p>
        </w:tc>
      </w:tr>
      <w:tr w:rsidR="00056E53" w:rsidRPr="00875101" w14:paraId="628E81B7" w14:textId="77777777" w:rsidTr="007F538A">
        <w:trPr>
          <w:cantSplit/>
        </w:trPr>
        <w:tc>
          <w:tcPr>
            <w:tcW w:w="0" w:type="auto"/>
            <w:shd w:val="clear" w:color="auto" w:fill="F2F2F2" w:themeFill="background1" w:themeFillShade="F2"/>
          </w:tcPr>
          <w:p w14:paraId="18C4DA8C" w14:textId="414DCF50" w:rsidR="00056E53" w:rsidRPr="00875101" w:rsidRDefault="00056E53">
            <w:pPr>
              <w:rPr>
                <w:rFonts w:asciiTheme="minorHAnsi" w:hAnsiTheme="minorHAnsi"/>
                <w:szCs w:val="24"/>
              </w:rPr>
            </w:pPr>
            <w:r w:rsidRPr="00875101">
              <w:rPr>
                <w:rFonts w:asciiTheme="minorHAnsi" w:hAnsiTheme="minorHAnsi"/>
                <w:szCs w:val="24"/>
              </w:rPr>
              <w:t>Disease Prevalence Impact to I</w:t>
            </w:r>
            <w:r w:rsidR="00DC5B26">
              <w:rPr>
                <w:rFonts w:asciiTheme="minorHAnsi" w:hAnsiTheme="minorHAnsi"/>
                <w:szCs w:val="24"/>
              </w:rPr>
              <w:t>n</w:t>
            </w:r>
            <w:r w:rsidRPr="00875101">
              <w:rPr>
                <w:rFonts w:asciiTheme="minorHAnsi" w:hAnsiTheme="minorHAnsi"/>
                <w:szCs w:val="24"/>
              </w:rPr>
              <w:t>patient Discharges</w:t>
            </w:r>
          </w:p>
        </w:tc>
        <w:tc>
          <w:tcPr>
            <w:tcW w:w="0" w:type="auto"/>
            <w:shd w:val="clear" w:color="auto" w:fill="F2F2F2" w:themeFill="background1" w:themeFillShade="F2"/>
            <w:vAlign w:val="center"/>
          </w:tcPr>
          <w:p w14:paraId="5300D8EB" w14:textId="77777777" w:rsidR="00056E53" w:rsidRPr="00875101" w:rsidRDefault="00056E53" w:rsidP="00157630">
            <w:pPr>
              <w:jc w:val="center"/>
              <w:rPr>
                <w:rFonts w:asciiTheme="minorHAnsi" w:hAnsiTheme="minorHAnsi"/>
                <w:szCs w:val="24"/>
              </w:rPr>
            </w:pPr>
          </w:p>
        </w:tc>
      </w:tr>
      <w:tr w:rsidR="00056E53" w:rsidRPr="00875101" w14:paraId="73DAC560" w14:textId="77777777" w:rsidTr="007F538A">
        <w:trPr>
          <w:cantSplit/>
        </w:trPr>
        <w:tc>
          <w:tcPr>
            <w:tcW w:w="0" w:type="auto"/>
          </w:tcPr>
          <w:p w14:paraId="10133B3A" w14:textId="77777777" w:rsidR="00056E53" w:rsidRPr="00875101" w:rsidRDefault="00056E53">
            <w:pPr>
              <w:rPr>
                <w:rFonts w:asciiTheme="minorHAnsi" w:hAnsiTheme="minorHAnsi"/>
                <w:szCs w:val="24"/>
              </w:rPr>
            </w:pPr>
            <w:r w:rsidRPr="00875101">
              <w:rPr>
                <w:rFonts w:asciiTheme="minorHAnsi" w:hAnsiTheme="minorHAnsi"/>
                <w:szCs w:val="24"/>
              </w:rPr>
              <w:t xml:space="preserve">Forecasted disease prevalence impact to </w:t>
            </w:r>
            <w:r w:rsidRPr="00875101">
              <w:rPr>
                <w:rFonts w:asciiTheme="minorHAnsi" w:hAnsiTheme="minorHAnsi"/>
                <w:szCs w:val="24"/>
              </w:rPr>
              <w:br/>
              <w:t>Inpatient Medical Oncology / Hematology DRGs</w:t>
            </w:r>
          </w:p>
        </w:tc>
        <w:tc>
          <w:tcPr>
            <w:tcW w:w="0" w:type="auto"/>
            <w:vAlign w:val="center"/>
          </w:tcPr>
          <w:p w14:paraId="4CD3C935" w14:textId="77777777" w:rsidR="00056E53" w:rsidRPr="00875101" w:rsidRDefault="00056E53" w:rsidP="00157630">
            <w:pPr>
              <w:jc w:val="center"/>
              <w:rPr>
                <w:rFonts w:asciiTheme="minorHAnsi" w:hAnsiTheme="minorHAnsi"/>
                <w:szCs w:val="24"/>
              </w:rPr>
            </w:pPr>
            <w:r w:rsidRPr="00875101">
              <w:rPr>
                <w:rFonts w:asciiTheme="minorHAnsi" w:hAnsiTheme="minorHAnsi"/>
                <w:szCs w:val="24"/>
              </w:rPr>
              <w:t>11.47%</w:t>
            </w:r>
          </w:p>
        </w:tc>
      </w:tr>
    </w:tbl>
    <w:p w14:paraId="00AAF8B2" w14:textId="77777777" w:rsidR="00056E53" w:rsidRDefault="00056E53" w:rsidP="00680958">
      <w:pPr>
        <w:rPr>
          <w:rFonts w:asciiTheme="minorHAnsi" w:hAnsiTheme="minorHAnsi"/>
          <w:szCs w:val="24"/>
        </w:rPr>
      </w:pPr>
    </w:p>
    <w:p w14:paraId="7A5A23F7" w14:textId="1C70055D" w:rsidR="00C909DE" w:rsidRPr="003B2CD4" w:rsidRDefault="00C909DE" w:rsidP="00680958">
      <w:pPr>
        <w:rPr>
          <w:rFonts w:asciiTheme="minorHAnsi" w:hAnsiTheme="minorHAnsi"/>
          <w:i/>
          <w:iCs/>
          <w:szCs w:val="24"/>
          <w:u w:val="single"/>
        </w:rPr>
      </w:pPr>
      <w:r w:rsidRPr="003B2CD4">
        <w:rPr>
          <w:rFonts w:asciiTheme="minorHAnsi" w:hAnsiTheme="minorHAnsi"/>
          <w:i/>
          <w:iCs/>
          <w:szCs w:val="24"/>
          <w:u w:val="single"/>
        </w:rPr>
        <w:t>Shift</w:t>
      </w:r>
      <w:r w:rsidR="00B26C2F">
        <w:rPr>
          <w:rFonts w:asciiTheme="minorHAnsi" w:hAnsiTheme="minorHAnsi"/>
          <w:i/>
          <w:iCs/>
          <w:szCs w:val="24"/>
          <w:u w:val="single"/>
        </w:rPr>
        <w:t>s</w:t>
      </w:r>
      <w:r w:rsidRPr="003B2CD4">
        <w:rPr>
          <w:rFonts w:asciiTheme="minorHAnsi" w:hAnsiTheme="minorHAnsi"/>
          <w:i/>
          <w:iCs/>
          <w:szCs w:val="24"/>
          <w:u w:val="single"/>
        </w:rPr>
        <w:t xml:space="preserve"> in Cancer Care from Inpatient to Outpatient Setting</w:t>
      </w:r>
    </w:p>
    <w:p w14:paraId="55629FD4" w14:textId="77777777" w:rsidR="00C909DE" w:rsidRDefault="00C909DE" w:rsidP="00680958">
      <w:pPr>
        <w:rPr>
          <w:rFonts w:asciiTheme="minorHAnsi" w:hAnsiTheme="minorHAnsi"/>
          <w:szCs w:val="24"/>
        </w:rPr>
      </w:pPr>
    </w:p>
    <w:p w14:paraId="033F0C64" w14:textId="7A171C3E" w:rsidR="005A3972" w:rsidRDefault="005A3972" w:rsidP="00680958">
      <w:pPr>
        <w:rPr>
          <w:rFonts w:asciiTheme="minorHAnsi" w:hAnsiTheme="minorHAnsi"/>
          <w:szCs w:val="24"/>
        </w:rPr>
      </w:pPr>
      <w:r>
        <w:rPr>
          <w:rFonts w:asciiTheme="minorHAnsi" w:hAnsiTheme="minorHAnsi"/>
          <w:szCs w:val="24"/>
        </w:rPr>
        <w:t xml:space="preserve">The Applicant states that progress </w:t>
      </w:r>
      <w:r w:rsidR="00545103">
        <w:rPr>
          <w:rFonts w:asciiTheme="minorHAnsi" w:hAnsiTheme="minorHAnsi"/>
          <w:szCs w:val="24"/>
        </w:rPr>
        <w:t xml:space="preserve">made </w:t>
      </w:r>
      <w:r>
        <w:rPr>
          <w:rFonts w:asciiTheme="minorHAnsi" w:hAnsiTheme="minorHAnsi"/>
          <w:szCs w:val="24"/>
        </w:rPr>
        <w:t xml:space="preserve">in understanding the basic science behind cancer development and growth over the past decades, </w:t>
      </w:r>
      <w:r w:rsidR="00545103">
        <w:rPr>
          <w:rFonts w:asciiTheme="minorHAnsi" w:hAnsiTheme="minorHAnsi"/>
          <w:szCs w:val="24"/>
        </w:rPr>
        <w:t>and</w:t>
      </w:r>
      <w:r>
        <w:rPr>
          <w:rFonts w:asciiTheme="minorHAnsi" w:hAnsiTheme="minorHAnsi"/>
          <w:szCs w:val="24"/>
        </w:rPr>
        <w:t xml:space="preserve"> the expansion of </w:t>
      </w:r>
      <w:r w:rsidR="00545103">
        <w:rPr>
          <w:rFonts w:asciiTheme="minorHAnsi" w:hAnsiTheme="minorHAnsi"/>
          <w:szCs w:val="24"/>
        </w:rPr>
        <w:t xml:space="preserve">the use of </w:t>
      </w:r>
      <w:r>
        <w:rPr>
          <w:rFonts w:asciiTheme="minorHAnsi" w:hAnsiTheme="minorHAnsi"/>
          <w:szCs w:val="24"/>
        </w:rPr>
        <w:t xml:space="preserve">therapies outside of traditional cytotoxic chemotherapy, have allowed </w:t>
      </w:r>
      <w:r w:rsidR="00FE455E">
        <w:rPr>
          <w:rFonts w:asciiTheme="minorHAnsi" w:hAnsiTheme="minorHAnsi"/>
          <w:szCs w:val="24"/>
        </w:rPr>
        <w:t>Dana-Farber</w:t>
      </w:r>
      <w:r>
        <w:rPr>
          <w:rFonts w:asciiTheme="minorHAnsi" w:hAnsiTheme="minorHAnsi"/>
          <w:szCs w:val="24"/>
        </w:rPr>
        <w:t xml:space="preserve"> to begin offering some treatments in the outpatient setting. </w:t>
      </w:r>
      <w:r w:rsidR="004A1C6B">
        <w:rPr>
          <w:rFonts w:asciiTheme="minorHAnsi" w:hAnsiTheme="minorHAnsi"/>
          <w:szCs w:val="24"/>
        </w:rPr>
        <w:t>Examples of the m</w:t>
      </w:r>
      <w:r w:rsidR="00721E6B">
        <w:rPr>
          <w:rFonts w:asciiTheme="minorHAnsi" w:hAnsiTheme="minorHAnsi"/>
          <w:szCs w:val="24"/>
        </w:rPr>
        <w:t>ovement of therapies from the inpatient to the outpatient setting</w:t>
      </w:r>
      <w:r w:rsidR="004A1C6B">
        <w:rPr>
          <w:rFonts w:asciiTheme="minorHAnsi" w:hAnsiTheme="minorHAnsi"/>
          <w:szCs w:val="24"/>
        </w:rPr>
        <w:t xml:space="preserve"> that were</w:t>
      </w:r>
      <w:r w:rsidR="00721E6B">
        <w:rPr>
          <w:rFonts w:asciiTheme="minorHAnsi" w:hAnsiTheme="minorHAnsi"/>
          <w:szCs w:val="24"/>
        </w:rPr>
        <w:t xml:space="preserve"> cited by the Applicant include:</w:t>
      </w:r>
    </w:p>
    <w:p w14:paraId="3A4DCC1E" w14:textId="74837A26" w:rsidR="00C909DE" w:rsidRDefault="004A1C6B" w:rsidP="00F91720">
      <w:pPr>
        <w:pStyle w:val="ListParagraph"/>
        <w:numPr>
          <w:ilvl w:val="0"/>
          <w:numId w:val="26"/>
        </w:numPr>
        <w:rPr>
          <w:rFonts w:asciiTheme="minorHAnsi" w:hAnsiTheme="minorHAnsi"/>
          <w:szCs w:val="24"/>
        </w:rPr>
      </w:pPr>
      <w:r>
        <w:rPr>
          <w:rFonts w:asciiTheme="minorHAnsi" w:hAnsiTheme="minorHAnsi"/>
          <w:szCs w:val="24"/>
        </w:rPr>
        <w:t>m</w:t>
      </w:r>
      <w:r w:rsidR="005A3972">
        <w:rPr>
          <w:rFonts w:asciiTheme="minorHAnsi" w:hAnsiTheme="minorHAnsi"/>
          <w:szCs w:val="24"/>
        </w:rPr>
        <w:t>ov</w:t>
      </w:r>
      <w:r w:rsidR="00205379">
        <w:rPr>
          <w:rFonts w:asciiTheme="minorHAnsi" w:hAnsiTheme="minorHAnsi"/>
          <w:szCs w:val="24"/>
        </w:rPr>
        <w:t>ing</w:t>
      </w:r>
      <w:r w:rsidR="005A3972">
        <w:rPr>
          <w:rFonts w:asciiTheme="minorHAnsi" w:hAnsiTheme="minorHAnsi"/>
          <w:szCs w:val="24"/>
        </w:rPr>
        <w:t xml:space="preserve"> several treatment regimens for hematologic malignancies from the inpatient to the outpatient setting</w:t>
      </w:r>
      <w:r w:rsidR="00B970F8">
        <w:rPr>
          <w:rFonts w:asciiTheme="minorHAnsi" w:hAnsiTheme="minorHAnsi"/>
          <w:szCs w:val="24"/>
        </w:rPr>
        <w:t>,</w:t>
      </w:r>
      <w:r w:rsidR="005A3972">
        <w:rPr>
          <w:rFonts w:asciiTheme="minorHAnsi" w:hAnsiTheme="minorHAnsi"/>
          <w:szCs w:val="24"/>
        </w:rPr>
        <w:t xml:space="preserve"> in 2019</w:t>
      </w:r>
      <w:r w:rsidR="00205379">
        <w:rPr>
          <w:rFonts w:asciiTheme="minorHAnsi" w:hAnsiTheme="minorHAnsi"/>
          <w:szCs w:val="24"/>
        </w:rPr>
        <w:t>;</w:t>
      </w:r>
    </w:p>
    <w:p w14:paraId="73D5CCBA" w14:textId="1A994C33" w:rsidR="00395294" w:rsidRDefault="004A1C6B" w:rsidP="00F91720">
      <w:pPr>
        <w:pStyle w:val="ListParagraph"/>
        <w:numPr>
          <w:ilvl w:val="0"/>
          <w:numId w:val="26"/>
        </w:numPr>
        <w:rPr>
          <w:rFonts w:asciiTheme="minorHAnsi" w:hAnsiTheme="minorHAnsi"/>
          <w:szCs w:val="24"/>
        </w:rPr>
      </w:pPr>
      <w:r>
        <w:rPr>
          <w:rFonts w:asciiTheme="minorHAnsi" w:hAnsiTheme="minorHAnsi"/>
          <w:szCs w:val="24"/>
        </w:rPr>
        <w:t>m</w:t>
      </w:r>
      <w:r w:rsidR="009217FC">
        <w:rPr>
          <w:rFonts w:asciiTheme="minorHAnsi" w:hAnsiTheme="minorHAnsi"/>
          <w:szCs w:val="24"/>
        </w:rPr>
        <w:t xml:space="preserve">aking </w:t>
      </w:r>
      <w:r w:rsidR="00985D30">
        <w:rPr>
          <w:rFonts w:asciiTheme="minorHAnsi" w:hAnsiTheme="minorHAnsi"/>
          <w:szCs w:val="24"/>
        </w:rPr>
        <w:t>three</w:t>
      </w:r>
      <w:r w:rsidR="003B7494">
        <w:rPr>
          <w:rFonts w:asciiTheme="minorHAnsi" w:hAnsiTheme="minorHAnsi"/>
          <w:szCs w:val="24"/>
        </w:rPr>
        <w:t xml:space="preserve"> C</w:t>
      </w:r>
      <w:r w:rsidR="00985D30">
        <w:rPr>
          <w:rFonts w:asciiTheme="minorHAnsi" w:hAnsiTheme="minorHAnsi"/>
          <w:szCs w:val="24"/>
        </w:rPr>
        <w:t>AR</w:t>
      </w:r>
      <w:r w:rsidR="003B7494">
        <w:rPr>
          <w:rFonts w:asciiTheme="minorHAnsi" w:hAnsiTheme="minorHAnsi"/>
          <w:szCs w:val="24"/>
        </w:rPr>
        <w:t xml:space="preserve">-T cell products </w:t>
      </w:r>
      <w:r w:rsidR="007E14C0">
        <w:rPr>
          <w:rFonts w:asciiTheme="minorHAnsi" w:hAnsiTheme="minorHAnsi"/>
          <w:szCs w:val="24"/>
        </w:rPr>
        <w:t xml:space="preserve">and three transplant options </w:t>
      </w:r>
      <w:r w:rsidR="00AE7E91">
        <w:rPr>
          <w:rFonts w:asciiTheme="minorHAnsi" w:hAnsiTheme="minorHAnsi"/>
          <w:szCs w:val="24"/>
        </w:rPr>
        <w:t>available</w:t>
      </w:r>
      <w:r w:rsidR="003B7494">
        <w:rPr>
          <w:rFonts w:asciiTheme="minorHAnsi" w:hAnsiTheme="minorHAnsi"/>
          <w:szCs w:val="24"/>
        </w:rPr>
        <w:t xml:space="preserve"> for outpatient administration</w:t>
      </w:r>
      <w:r w:rsidR="00395294">
        <w:rPr>
          <w:rFonts w:asciiTheme="minorHAnsi" w:hAnsiTheme="minorHAnsi"/>
          <w:szCs w:val="24"/>
        </w:rPr>
        <w:t>;</w:t>
      </w:r>
    </w:p>
    <w:p w14:paraId="4AE70240" w14:textId="07EE8A67" w:rsidR="005A3972" w:rsidRDefault="002B65B5" w:rsidP="00F91720">
      <w:pPr>
        <w:pStyle w:val="ListParagraph"/>
        <w:numPr>
          <w:ilvl w:val="0"/>
          <w:numId w:val="26"/>
        </w:numPr>
        <w:rPr>
          <w:rFonts w:asciiTheme="minorHAnsi" w:hAnsiTheme="minorHAnsi"/>
          <w:szCs w:val="24"/>
        </w:rPr>
      </w:pPr>
      <w:r>
        <w:rPr>
          <w:rFonts w:asciiTheme="minorHAnsi" w:hAnsiTheme="minorHAnsi"/>
          <w:szCs w:val="24"/>
        </w:rPr>
        <w:t xml:space="preserve">the </w:t>
      </w:r>
      <w:r w:rsidR="005A3972">
        <w:rPr>
          <w:rFonts w:asciiTheme="minorHAnsi" w:hAnsiTheme="minorHAnsi"/>
          <w:szCs w:val="24"/>
        </w:rPr>
        <w:t>administ</w:t>
      </w:r>
      <w:r>
        <w:rPr>
          <w:rFonts w:asciiTheme="minorHAnsi" w:hAnsiTheme="minorHAnsi"/>
          <w:szCs w:val="24"/>
        </w:rPr>
        <w:t>ration of</w:t>
      </w:r>
      <w:r w:rsidR="005A3972">
        <w:rPr>
          <w:rFonts w:asciiTheme="minorHAnsi" w:hAnsiTheme="minorHAnsi"/>
          <w:szCs w:val="24"/>
        </w:rPr>
        <w:t xml:space="preserve"> 147 cellular infusions in the outpatient setting</w:t>
      </w:r>
      <w:r w:rsidR="003B7494">
        <w:rPr>
          <w:rFonts w:asciiTheme="minorHAnsi" w:hAnsiTheme="minorHAnsi"/>
          <w:szCs w:val="24"/>
        </w:rPr>
        <w:t xml:space="preserve"> in FY24</w:t>
      </w:r>
      <w:r w:rsidR="007200A2">
        <w:rPr>
          <w:rStyle w:val="FootnoteReference"/>
          <w:rFonts w:asciiTheme="minorHAnsi" w:hAnsiTheme="minorHAnsi"/>
          <w:szCs w:val="24"/>
        </w:rPr>
        <w:footnoteReference w:id="42"/>
      </w:r>
      <w:r w:rsidR="00205379">
        <w:rPr>
          <w:rFonts w:asciiTheme="minorHAnsi" w:hAnsiTheme="minorHAnsi"/>
          <w:szCs w:val="24"/>
        </w:rPr>
        <w:t>;</w:t>
      </w:r>
      <w:r w:rsidR="005A3972">
        <w:rPr>
          <w:rFonts w:asciiTheme="minorHAnsi" w:hAnsiTheme="minorHAnsi"/>
          <w:szCs w:val="24"/>
        </w:rPr>
        <w:t xml:space="preserve"> </w:t>
      </w:r>
      <w:r w:rsidR="00496C80">
        <w:rPr>
          <w:rFonts w:asciiTheme="minorHAnsi" w:hAnsiTheme="minorHAnsi"/>
          <w:szCs w:val="24"/>
        </w:rPr>
        <w:t xml:space="preserve">and </w:t>
      </w:r>
    </w:p>
    <w:p w14:paraId="5F95D143" w14:textId="7564EF7C" w:rsidR="005A3972" w:rsidRDefault="004A1C6B" w:rsidP="00F91720">
      <w:pPr>
        <w:pStyle w:val="ListParagraph"/>
        <w:numPr>
          <w:ilvl w:val="0"/>
          <w:numId w:val="26"/>
        </w:numPr>
        <w:rPr>
          <w:rFonts w:asciiTheme="minorHAnsi" w:hAnsiTheme="minorHAnsi"/>
          <w:szCs w:val="24"/>
        </w:rPr>
      </w:pPr>
      <w:r>
        <w:rPr>
          <w:rFonts w:asciiTheme="minorHAnsi" w:hAnsiTheme="minorHAnsi"/>
          <w:szCs w:val="24"/>
        </w:rPr>
        <w:t>m</w:t>
      </w:r>
      <w:r w:rsidR="005A3972">
        <w:rPr>
          <w:rFonts w:asciiTheme="minorHAnsi" w:hAnsiTheme="minorHAnsi"/>
          <w:szCs w:val="24"/>
        </w:rPr>
        <w:t>a</w:t>
      </w:r>
      <w:r w:rsidR="00205379">
        <w:rPr>
          <w:rFonts w:asciiTheme="minorHAnsi" w:hAnsiTheme="minorHAnsi"/>
          <w:szCs w:val="24"/>
        </w:rPr>
        <w:t>king</w:t>
      </w:r>
      <w:r w:rsidR="005A3972">
        <w:rPr>
          <w:rFonts w:asciiTheme="minorHAnsi" w:hAnsiTheme="minorHAnsi"/>
          <w:szCs w:val="24"/>
        </w:rPr>
        <w:t xml:space="preserve"> T-cel</w:t>
      </w:r>
      <w:r w:rsidR="00B970F8">
        <w:rPr>
          <w:rFonts w:asciiTheme="minorHAnsi" w:hAnsiTheme="minorHAnsi"/>
          <w:szCs w:val="24"/>
        </w:rPr>
        <w:t>l</w:t>
      </w:r>
      <w:r w:rsidR="005A3972">
        <w:rPr>
          <w:rFonts w:asciiTheme="minorHAnsi" w:hAnsiTheme="minorHAnsi"/>
          <w:szCs w:val="24"/>
        </w:rPr>
        <w:t xml:space="preserve"> engager and bispecific antibodies, a novel class of therapeutic oncology agents, more available on an outpatient basis</w:t>
      </w:r>
      <w:r w:rsidR="00205379">
        <w:rPr>
          <w:rFonts w:asciiTheme="minorHAnsi" w:hAnsiTheme="minorHAnsi"/>
          <w:szCs w:val="24"/>
        </w:rPr>
        <w:t>.</w:t>
      </w:r>
    </w:p>
    <w:p w14:paraId="41B95115" w14:textId="77777777" w:rsidR="001444D7" w:rsidRDefault="001444D7" w:rsidP="001668BA">
      <w:pPr>
        <w:pStyle w:val="ListParagraph"/>
        <w:ind w:left="720"/>
        <w:rPr>
          <w:rFonts w:asciiTheme="minorHAnsi" w:hAnsiTheme="minorHAnsi"/>
        </w:rPr>
      </w:pPr>
    </w:p>
    <w:p w14:paraId="71D5ADA1" w14:textId="770B6244" w:rsidR="00C7394F" w:rsidRPr="00C7394F" w:rsidRDefault="005A3972" w:rsidP="00A62CE7">
      <w:pPr>
        <w:rPr>
          <w:rFonts w:asciiTheme="minorHAnsi" w:hAnsiTheme="minorHAnsi"/>
        </w:rPr>
      </w:pPr>
      <w:r w:rsidRPr="22EF505B">
        <w:rPr>
          <w:rFonts w:asciiTheme="minorHAnsi" w:hAnsiTheme="minorHAnsi"/>
        </w:rPr>
        <w:t xml:space="preserve">The Applicant notes that </w:t>
      </w:r>
      <w:r w:rsidR="00496C80" w:rsidRPr="22EF505B">
        <w:rPr>
          <w:rFonts w:asciiTheme="minorHAnsi" w:hAnsiTheme="minorHAnsi"/>
        </w:rPr>
        <w:t xml:space="preserve">it continues to offer </w:t>
      </w:r>
      <w:r w:rsidRPr="22EF505B">
        <w:rPr>
          <w:rFonts w:asciiTheme="minorHAnsi" w:hAnsiTheme="minorHAnsi"/>
        </w:rPr>
        <w:t xml:space="preserve">many of the treatments that </w:t>
      </w:r>
      <w:r w:rsidR="00496C80" w:rsidRPr="22EF505B">
        <w:rPr>
          <w:rFonts w:asciiTheme="minorHAnsi" w:hAnsiTheme="minorHAnsi"/>
        </w:rPr>
        <w:t>it</w:t>
      </w:r>
      <w:r w:rsidRPr="22EF505B">
        <w:rPr>
          <w:rFonts w:asciiTheme="minorHAnsi" w:hAnsiTheme="minorHAnsi"/>
        </w:rPr>
        <w:t xml:space="preserve"> began offering in the outpatient setting in the inpatient setting when doing so is in the best interest </w:t>
      </w:r>
      <w:r w:rsidR="00567AB5" w:rsidRPr="22EF505B">
        <w:rPr>
          <w:rFonts w:asciiTheme="minorHAnsi" w:hAnsiTheme="minorHAnsi"/>
        </w:rPr>
        <w:t>of</w:t>
      </w:r>
      <w:r w:rsidRPr="22EF505B">
        <w:rPr>
          <w:rFonts w:asciiTheme="minorHAnsi" w:hAnsiTheme="minorHAnsi"/>
        </w:rPr>
        <w:t xml:space="preserve"> the patient and when it is required </w:t>
      </w:r>
      <w:r w:rsidR="1D1E2564" w:rsidRPr="49B63A67">
        <w:rPr>
          <w:rFonts w:asciiTheme="minorHAnsi" w:hAnsiTheme="minorHAnsi"/>
        </w:rPr>
        <w:t xml:space="preserve">for </w:t>
      </w:r>
      <w:r w:rsidRPr="49B63A67">
        <w:rPr>
          <w:rFonts w:asciiTheme="minorHAnsi" w:hAnsiTheme="minorHAnsi"/>
        </w:rPr>
        <w:t>the</w:t>
      </w:r>
      <w:r w:rsidRPr="22EF505B">
        <w:rPr>
          <w:rFonts w:asciiTheme="minorHAnsi" w:hAnsiTheme="minorHAnsi"/>
        </w:rPr>
        <w:t xml:space="preserve"> particular treatment</w:t>
      </w:r>
      <w:r w:rsidR="001C42A5" w:rsidRPr="22EF505B">
        <w:rPr>
          <w:rFonts w:asciiTheme="minorHAnsi" w:hAnsiTheme="minorHAnsi"/>
        </w:rPr>
        <w:t>.</w:t>
      </w:r>
      <w:r w:rsidR="001E0B7F" w:rsidRPr="22EF505B">
        <w:rPr>
          <w:rFonts w:asciiTheme="minorHAnsi" w:hAnsiTheme="minorHAnsi"/>
        </w:rPr>
        <w:t xml:space="preserve"> </w:t>
      </w:r>
      <w:r w:rsidR="00793BCF" w:rsidRPr="22EF505B">
        <w:rPr>
          <w:rFonts w:asciiTheme="minorHAnsi" w:hAnsiTheme="minorHAnsi"/>
        </w:rPr>
        <w:t>The Applicant cited the example of Tarlatamab</w:t>
      </w:r>
      <w:r w:rsidR="001D4FA3" w:rsidRPr="22EF505B">
        <w:rPr>
          <w:rFonts w:asciiTheme="minorHAnsi" w:hAnsiTheme="minorHAnsi"/>
        </w:rPr>
        <w:t xml:space="preserve">, </w:t>
      </w:r>
      <w:r w:rsidR="00793BCF" w:rsidRPr="22EF505B">
        <w:rPr>
          <w:rFonts w:asciiTheme="minorHAnsi" w:hAnsiTheme="minorHAnsi"/>
        </w:rPr>
        <w:t xml:space="preserve">a bispecific antibody used to treat patients with small cell lung cancer, whose manufacturer recommends patients receiving it be admitted for at least 24 hours. </w:t>
      </w:r>
      <w:r w:rsidR="00175F45" w:rsidRPr="22EF505B">
        <w:rPr>
          <w:rFonts w:asciiTheme="minorHAnsi" w:hAnsiTheme="minorHAnsi"/>
        </w:rPr>
        <w:t xml:space="preserve">The Applicant affirms that as </w:t>
      </w:r>
      <w:r w:rsidR="00175F45" w:rsidRPr="22EF505B">
        <w:rPr>
          <w:rFonts w:asciiTheme="minorHAnsi" w:hAnsiTheme="minorHAnsi"/>
        </w:rPr>
        <w:lastRenderedPageBreak/>
        <w:t>cancer care moves from the inpatient to the outpatient setting, inpatient capacity is still required</w:t>
      </w:r>
      <w:r w:rsidR="001A0CE4" w:rsidRPr="22EF505B">
        <w:rPr>
          <w:rFonts w:asciiTheme="minorHAnsi" w:hAnsiTheme="minorHAnsi"/>
        </w:rPr>
        <w:t xml:space="preserve"> </w:t>
      </w:r>
      <w:r w:rsidR="00545103" w:rsidRPr="22EF505B">
        <w:rPr>
          <w:rFonts w:asciiTheme="minorHAnsi" w:hAnsiTheme="minorHAnsi"/>
        </w:rPr>
        <w:t xml:space="preserve">because </w:t>
      </w:r>
      <w:r w:rsidR="00175F45" w:rsidRPr="22EF505B">
        <w:rPr>
          <w:rFonts w:asciiTheme="minorHAnsi" w:hAnsiTheme="minorHAnsi"/>
        </w:rPr>
        <w:t xml:space="preserve">longer exposure to cancer treatments, which can result from increasing incidence of cancer, including in younger adults and people living longer with cancer, can lead to the development of toxicities and complications that require inpatient hospitalization. </w:t>
      </w:r>
      <w:r w:rsidR="001C42A5" w:rsidRPr="22EF505B">
        <w:rPr>
          <w:rFonts w:asciiTheme="minorHAnsi" w:hAnsiTheme="minorHAnsi"/>
        </w:rPr>
        <w:t>The Applicant states that</w:t>
      </w:r>
      <w:r w:rsidR="00F03CF6" w:rsidRPr="22EF505B">
        <w:rPr>
          <w:rFonts w:asciiTheme="minorHAnsi" w:hAnsiTheme="minorHAnsi"/>
        </w:rPr>
        <w:t xml:space="preserve"> having enough</w:t>
      </w:r>
      <w:r w:rsidR="001C42A5" w:rsidRPr="22EF505B">
        <w:rPr>
          <w:rFonts w:asciiTheme="minorHAnsi" w:hAnsiTheme="minorHAnsi"/>
        </w:rPr>
        <w:t xml:space="preserve"> </w:t>
      </w:r>
      <w:r w:rsidR="00C7394F" w:rsidRPr="22EF505B">
        <w:rPr>
          <w:rFonts w:asciiTheme="minorHAnsi" w:hAnsiTheme="minorHAnsi"/>
        </w:rPr>
        <w:t>inpatient capacity</w:t>
      </w:r>
      <w:r w:rsidR="007A66BC" w:rsidRPr="22EF505B">
        <w:rPr>
          <w:rFonts w:asciiTheme="minorHAnsi" w:hAnsiTheme="minorHAnsi"/>
        </w:rPr>
        <w:t xml:space="preserve"> </w:t>
      </w:r>
      <w:r w:rsidR="00F03CF6" w:rsidRPr="22EF505B">
        <w:rPr>
          <w:rFonts w:asciiTheme="minorHAnsi" w:hAnsiTheme="minorHAnsi"/>
        </w:rPr>
        <w:t>allows</w:t>
      </w:r>
      <w:r w:rsidR="007A66BC" w:rsidRPr="22EF505B">
        <w:rPr>
          <w:rFonts w:asciiTheme="minorHAnsi" w:hAnsiTheme="minorHAnsi"/>
        </w:rPr>
        <w:t xml:space="preserve"> the Applicant </w:t>
      </w:r>
      <w:r w:rsidR="00C7394F" w:rsidRPr="22EF505B">
        <w:rPr>
          <w:rFonts w:asciiTheme="minorHAnsi" w:hAnsiTheme="minorHAnsi"/>
        </w:rPr>
        <w:t>to offer many s</w:t>
      </w:r>
      <w:r w:rsidR="006071AE" w:rsidRPr="22EF505B">
        <w:rPr>
          <w:rFonts w:asciiTheme="minorHAnsi" w:hAnsiTheme="minorHAnsi"/>
        </w:rPr>
        <w:t>t</w:t>
      </w:r>
      <w:r w:rsidR="00C7394F" w:rsidRPr="22EF505B">
        <w:rPr>
          <w:rFonts w:asciiTheme="minorHAnsi" w:hAnsiTheme="minorHAnsi"/>
        </w:rPr>
        <w:t>ate-</w:t>
      </w:r>
      <w:r w:rsidR="00995B78" w:rsidRPr="22EF505B">
        <w:rPr>
          <w:rFonts w:asciiTheme="minorHAnsi" w:hAnsiTheme="minorHAnsi"/>
        </w:rPr>
        <w:t>o</w:t>
      </w:r>
      <w:r w:rsidR="00C7394F" w:rsidRPr="22EF505B">
        <w:rPr>
          <w:rFonts w:asciiTheme="minorHAnsi" w:hAnsiTheme="minorHAnsi"/>
        </w:rPr>
        <w:t>f-the-art novel treatments</w:t>
      </w:r>
      <w:r w:rsidR="00545103" w:rsidRPr="22EF505B">
        <w:rPr>
          <w:rFonts w:asciiTheme="minorHAnsi" w:hAnsiTheme="minorHAnsi"/>
        </w:rPr>
        <w:t xml:space="preserve"> that require an inpatient stay</w:t>
      </w:r>
      <w:r w:rsidR="00FA3397" w:rsidRPr="22EF505B">
        <w:rPr>
          <w:rFonts w:asciiTheme="minorHAnsi" w:hAnsiTheme="minorHAnsi"/>
        </w:rPr>
        <w:t>.</w:t>
      </w:r>
      <w:r w:rsidR="001E0B7F" w:rsidRPr="22EF505B">
        <w:rPr>
          <w:rFonts w:asciiTheme="minorHAnsi" w:hAnsiTheme="minorHAnsi"/>
        </w:rPr>
        <w:t xml:space="preserve"> </w:t>
      </w:r>
    </w:p>
    <w:p w14:paraId="76657938" w14:textId="2D72E922" w:rsidR="00175F45" w:rsidRPr="003B2CD4" w:rsidRDefault="00175F45" w:rsidP="005A3972">
      <w:pPr>
        <w:rPr>
          <w:rFonts w:asciiTheme="minorHAnsi" w:hAnsiTheme="minorHAnsi"/>
          <w:szCs w:val="24"/>
        </w:rPr>
      </w:pPr>
    </w:p>
    <w:p w14:paraId="06AF54A6" w14:textId="6D37440A" w:rsidR="00680958" w:rsidRPr="001E568B" w:rsidRDefault="00254E17" w:rsidP="00BA2054">
      <w:pPr>
        <w:rPr>
          <w:rFonts w:asciiTheme="minorHAnsi" w:hAnsiTheme="minorHAnsi"/>
          <w:i/>
          <w:iCs/>
          <w:szCs w:val="24"/>
          <w:u w:val="single"/>
        </w:rPr>
      </w:pPr>
      <w:r w:rsidRPr="001E568B">
        <w:rPr>
          <w:rFonts w:asciiTheme="minorHAnsi" w:hAnsiTheme="minorHAnsi"/>
          <w:i/>
          <w:iCs/>
          <w:szCs w:val="24"/>
          <w:u w:val="single"/>
        </w:rPr>
        <w:t xml:space="preserve">Cancer-Related </w:t>
      </w:r>
      <w:r w:rsidR="00680958" w:rsidRPr="001E568B">
        <w:rPr>
          <w:rFonts w:asciiTheme="minorHAnsi" w:hAnsiTheme="minorHAnsi"/>
          <w:i/>
          <w:iCs/>
          <w:szCs w:val="24"/>
          <w:u w:val="single"/>
        </w:rPr>
        <w:t>Emergency Department</w:t>
      </w:r>
      <w:r w:rsidRPr="001E568B">
        <w:rPr>
          <w:rFonts w:asciiTheme="minorHAnsi" w:hAnsiTheme="minorHAnsi"/>
          <w:i/>
          <w:iCs/>
          <w:szCs w:val="24"/>
          <w:u w:val="single"/>
        </w:rPr>
        <w:t xml:space="preserve"> Visits</w:t>
      </w:r>
    </w:p>
    <w:p w14:paraId="3639698C" w14:textId="5776217E" w:rsidR="008E4519" w:rsidRDefault="009A0573" w:rsidP="00BA2054">
      <w:pPr>
        <w:rPr>
          <w:rFonts w:asciiTheme="minorHAnsi" w:hAnsiTheme="minorHAnsi"/>
        </w:rPr>
      </w:pPr>
      <w:r w:rsidRPr="6970A7D7">
        <w:rPr>
          <w:rFonts w:asciiTheme="minorHAnsi" w:hAnsiTheme="minorHAnsi"/>
        </w:rPr>
        <w:t xml:space="preserve">Patients with cancer receive care in the </w:t>
      </w:r>
      <w:r w:rsidR="003C2356" w:rsidRPr="6970A7D7">
        <w:rPr>
          <w:rFonts w:asciiTheme="minorHAnsi" w:hAnsiTheme="minorHAnsi"/>
        </w:rPr>
        <w:t>emergency department (</w:t>
      </w:r>
      <w:r w:rsidRPr="6970A7D7">
        <w:rPr>
          <w:rFonts w:asciiTheme="minorHAnsi" w:hAnsiTheme="minorHAnsi"/>
        </w:rPr>
        <w:t>ED</w:t>
      </w:r>
      <w:r w:rsidR="003C2356" w:rsidRPr="6970A7D7">
        <w:rPr>
          <w:rFonts w:asciiTheme="minorHAnsi" w:hAnsiTheme="minorHAnsi"/>
        </w:rPr>
        <w:t>)</w:t>
      </w:r>
      <w:r w:rsidRPr="6970A7D7">
        <w:rPr>
          <w:rFonts w:asciiTheme="minorHAnsi" w:hAnsiTheme="minorHAnsi"/>
        </w:rPr>
        <w:t xml:space="preserve"> to address the symptoms of cancer and cancer</w:t>
      </w:r>
      <w:r w:rsidR="007F26F9" w:rsidRPr="6970A7D7">
        <w:rPr>
          <w:rFonts w:asciiTheme="minorHAnsi" w:hAnsiTheme="minorHAnsi"/>
        </w:rPr>
        <w:t>-related</w:t>
      </w:r>
      <w:r w:rsidRPr="6970A7D7">
        <w:rPr>
          <w:rFonts w:asciiTheme="minorHAnsi" w:hAnsiTheme="minorHAnsi"/>
        </w:rPr>
        <w:t xml:space="preserve"> treatment.</w:t>
      </w:r>
      <w:r w:rsidRPr="6970A7D7">
        <w:rPr>
          <w:rFonts w:asciiTheme="minorHAnsi" w:hAnsiTheme="minorHAnsi"/>
          <w:vertAlign w:val="superscript"/>
        </w:rPr>
        <w:endnoteReference w:id="28"/>
      </w:r>
      <w:r w:rsidRPr="6970A7D7">
        <w:rPr>
          <w:rFonts w:asciiTheme="minorHAnsi" w:hAnsiTheme="minorHAnsi"/>
        </w:rPr>
        <w:t xml:space="preserve"> </w:t>
      </w:r>
      <w:r w:rsidR="005C5B2D" w:rsidRPr="6970A7D7">
        <w:rPr>
          <w:rFonts w:asciiTheme="minorHAnsi" w:hAnsiTheme="minorHAnsi"/>
        </w:rPr>
        <w:t xml:space="preserve">The </w:t>
      </w:r>
      <w:r w:rsidR="007A2B33" w:rsidRPr="6970A7D7">
        <w:rPr>
          <w:rFonts w:asciiTheme="minorHAnsi" w:hAnsiTheme="minorHAnsi"/>
        </w:rPr>
        <w:t xml:space="preserve">Applicant states and studies report that the </w:t>
      </w:r>
      <w:r w:rsidR="005C5B2D" w:rsidRPr="6970A7D7">
        <w:rPr>
          <w:rFonts w:asciiTheme="minorHAnsi" w:hAnsiTheme="minorHAnsi"/>
        </w:rPr>
        <w:t xml:space="preserve">ED is not optimal for patients with cancer who </w:t>
      </w:r>
      <w:r w:rsidR="005B2431" w:rsidRPr="6970A7D7">
        <w:rPr>
          <w:rFonts w:asciiTheme="minorHAnsi" w:hAnsiTheme="minorHAnsi"/>
        </w:rPr>
        <w:t xml:space="preserve">may be immunocompromised, </w:t>
      </w:r>
      <w:r w:rsidR="006C1729" w:rsidRPr="6970A7D7">
        <w:rPr>
          <w:rFonts w:asciiTheme="minorHAnsi" w:hAnsiTheme="minorHAnsi"/>
        </w:rPr>
        <w:t xml:space="preserve">because these patients are </w:t>
      </w:r>
      <w:r w:rsidR="005C5B2D" w:rsidRPr="6970A7D7">
        <w:rPr>
          <w:rFonts w:asciiTheme="minorHAnsi" w:hAnsiTheme="minorHAnsi"/>
        </w:rPr>
        <w:t xml:space="preserve">at risk for complications including hospital-acquired infections, and because EDs are overcrowded and treat a variety of conditions, patients with cancer </w:t>
      </w:r>
      <w:r w:rsidR="006C1729" w:rsidRPr="6970A7D7">
        <w:rPr>
          <w:rFonts w:asciiTheme="minorHAnsi" w:hAnsiTheme="minorHAnsi"/>
        </w:rPr>
        <w:t xml:space="preserve">in the ED </w:t>
      </w:r>
      <w:r w:rsidR="005C5B2D" w:rsidRPr="6970A7D7">
        <w:rPr>
          <w:rFonts w:asciiTheme="minorHAnsi" w:hAnsiTheme="minorHAnsi"/>
        </w:rPr>
        <w:t>are at risk for communicable diseases.</w:t>
      </w:r>
      <w:r w:rsidR="005C5B2D" w:rsidRPr="6970A7D7">
        <w:rPr>
          <w:rFonts w:asciiTheme="minorHAnsi" w:hAnsiTheme="minorHAnsi"/>
          <w:vertAlign w:val="superscript"/>
        </w:rPr>
        <w:endnoteReference w:id="29"/>
      </w:r>
      <w:r w:rsidR="005C5B2D" w:rsidRPr="6970A7D7">
        <w:rPr>
          <w:rFonts w:asciiTheme="minorHAnsi" w:hAnsiTheme="minorHAnsi"/>
          <w:vertAlign w:val="superscript"/>
        </w:rPr>
        <w:t>,</w:t>
      </w:r>
      <w:r w:rsidR="005C5B2D" w:rsidRPr="6970A7D7">
        <w:rPr>
          <w:rFonts w:asciiTheme="minorHAnsi" w:hAnsiTheme="minorHAnsi"/>
          <w:vertAlign w:val="superscript"/>
        </w:rPr>
        <w:endnoteReference w:id="30"/>
      </w:r>
      <w:r w:rsidR="005C5B2D" w:rsidRPr="6970A7D7">
        <w:rPr>
          <w:rFonts w:asciiTheme="minorHAnsi" w:hAnsiTheme="minorHAnsi"/>
          <w:vertAlign w:val="superscript"/>
        </w:rPr>
        <w:t xml:space="preserve"> </w:t>
      </w:r>
      <w:r w:rsidR="00DC52D5" w:rsidRPr="6970A7D7">
        <w:rPr>
          <w:rFonts w:asciiTheme="minorHAnsi" w:hAnsiTheme="minorHAnsi"/>
        </w:rPr>
        <w:t xml:space="preserve">The Applicant states that </w:t>
      </w:r>
      <w:r w:rsidR="006C1729" w:rsidRPr="6970A7D7">
        <w:rPr>
          <w:rFonts w:asciiTheme="minorHAnsi" w:hAnsiTheme="minorHAnsi"/>
        </w:rPr>
        <w:t xml:space="preserve">when there is </w:t>
      </w:r>
      <w:r w:rsidR="00DC52D5" w:rsidRPr="6970A7D7">
        <w:rPr>
          <w:rFonts w:asciiTheme="minorHAnsi" w:hAnsiTheme="minorHAnsi"/>
        </w:rPr>
        <w:t>l</w:t>
      </w:r>
      <w:r w:rsidR="00C6593A" w:rsidRPr="6970A7D7">
        <w:rPr>
          <w:rFonts w:asciiTheme="minorHAnsi" w:hAnsiTheme="minorHAnsi"/>
        </w:rPr>
        <w:t xml:space="preserve">imited inpatient capacity </w:t>
      </w:r>
      <w:r w:rsidR="00E10C01" w:rsidRPr="6970A7D7">
        <w:rPr>
          <w:rFonts w:asciiTheme="minorHAnsi" w:hAnsiTheme="minorHAnsi"/>
        </w:rPr>
        <w:t>patients with cancer-related concerns</w:t>
      </w:r>
      <w:r w:rsidR="00C6593A" w:rsidRPr="6970A7D7">
        <w:rPr>
          <w:rFonts w:asciiTheme="minorHAnsi" w:hAnsiTheme="minorHAnsi"/>
        </w:rPr>
        <w:t xml:space="preserve"> often receive acute symptom management in the ED</w:t>
      </w:r>
      <w:r w:rsidR="00B84934" w:rsidRPr="6970A7D7">
        <w:rPr>
          <w:rFonts w:asciiTheme="minorHAnsi" w:hAnsiTheme="minorHAnsi"/>
        </w:rPr>
        <w:t xml:space="preserve"> where they</w:t>
      </w:r>
      <w:r w:rsidR="006C1729" w:rsidRPr="6970A7D7">
        <w:rPr>
          <w:rFonts w:asciiTheme="minorHAnsi" w:hAnsiTheme="minorHAnsi"/>
        </w:rPr>
        <w:t xml:space="preserve"> can</w:t>
      </w:r>
      <w:r w:rsidR="00B84934" w:rsidRPr="6970A7D7">
        <w:rPr>
          <w:rFonts w:asciiTheme="minorHAnsi" w:hAnsiTheme="minorHAnsi"/>
        </w:rPr>
        <w:t xml:space="preserve"> experience long lengths of stay and the negative effects of ED crowding</w:t>
      </w:r>
      <w:r w:rsidR="00885E1E" w:rsidRPr="6970A7D7">
        <w:rPr>
          <w:rFonts w:asciiTheme="minorHAnsi" w:hAnsiTheme="minorHAnsi"/>
        </w:rPr>
        <w:t xml:space="preserve"> and ED boarding</w:t>
      </w:r>
      <w:r w:rsidR="003D4A41" w:rsidRPr="6970A7D7">
        <w:rPr>
          <w:rFonts w:asciiTheme="minorHAnsi" w:hAnsiTheme="minorHAnsi"/>
        </w:rPr>
        <w:t xml:space="preserve">, </w:t>
      </w:r>
      <w:r w:rsidR="006C1729" w:rsidRPr="6970A7D7">
        <w:rPr>
          <w:rFonts w:asciiTheme="minorHAnsi" w:hAnsiTheme="minorHAnsi"/>
        </w:rPr>
        <w:t>which include</w:t>
      </w:r>
      <w:r w:rsidR="003D4A41" w:rsidRPr="6970A7D7">
        <w:rPr>
          <w:rFonts w:asciiTheme="minorHAnsi" w:hAnsiTheme="minorHAnsi"/>
        </w:rPr>
        <w:t xml:space="preserve"> lack of privacy, exposure to sick and potentially infectious patients</w:t>
      </w:r>
      <w:r w:rsidR="00900105" w:rsidRPr="6970A7D7">
        <w:rPr>
          <w:rFonts w:asciiTheme="minorHAnsi" w:hAnsiTheme="minorHAnsi"/>
        </w:rPr>
        <w:t xml:space="preserve">, and negative </w:t>
      </w:r>
      <w:r w:rsidR="00B565F6" w:rsidRPr="6970A7D7">
        <w:rPr>
          <w:rFonts w:asciiTheme="minorHAnsi" w:hAnsiTheme="minorHAnsi"/>
        </w:rPr>
        <w:t xml:space="preserve">health </w:t>
      </w:r>
      <w:r w:rsidR="00900105" w:rsidRPr="6970A7D7">
        <w:rPr>
          <w:rFonts w:asciiTheme="minorHAnsi" w:hAnsiTheme="minorHAnsi"/>
        </w:rPr>
        <w:t>outcomes</w:t>
      </w:r>
      <w:r w:rsidR="00B84934" w:rsidRPr="6970A7D7">
        <w:rPr>
          <w:rFonts w:asciiTheme="minorHAnsi" w:hAnsiTheme="minorHAnsi"/>
        </w:rPr>
        <w:t xml:space="preserve">. </w:t>
      </w:r>
      <w:r w:rsidR="00AE1A3C" w:rsidRPr="6970A7D7">
        <w:rPr>
          <w:rFonts w:asciiTheme="minorHAnsi" w:hAnsiTheme="minorHAnsi"/>
        </w:rPr>
        <w:t xml:space="preserve">The Applicant states further that </w:t>
      </w:r>
      <w:r w:rsidR="000877E6" w:rsidRPr="6970A7D7">
        <w:rPr>
          <w:rFonts w:asciiTheme="minorHAnsi" w:hAnsiTheme="minorHAnsi"/>
        </w:rPr>
        <w:t xml:space="preserve">the ED is not optimal because it lacks the specialized </w:t>
      </w:r>
      <w:r w:rsidR="006C1729" w:rsidRPr="6970A7D7">
        <w:rPr>
          <w:rFonts w:asciiTheme="minorHAnsi" w:hAnsiTheme="minorHAnsi"/>
        </w:rPr>
        <w:t xml:space="preserve">oncology </w:t>
      </w:r>
      <w:r w:rsidR="000877E6" w:rsidRPr="6970A7D7">
        <w:rPr>
          <w:rFonts w:asciiTheme="minorHAnsi" w:hAnsiTheme="minorHAnsi"/>
        </w:rPr>
        <w:t xml:space="preserve">staff and equipment that Dana-Farber </w:t>
      </w:r>
      <w:r w:rsidR="00B064A4" w:rsidRPr="6970A7D7">
        <w:rPr>
          <w:rFonts w:asciiTheme="minorHAnsi" w:hAnsiTheme="minorHAnsi"/>
        </w:rPr>
        <w:t xml:space="preserve">provides. </w:t>
      </w:r>
    </w:p>
    <w:p w14:paraId="31614DA3" w14:textId="77777777" w:rsidR="008A54BD" w:rsidRDefault="008A54BD" w:rsidP="00BA2054">
      <w:pPr>
        <w:rPr>
          <w:rFonts w:asciiTheme="minorHAnsi" w:hAnsiTheme="minorHAnsi"/>
          <w:szCs w:val="24"/>
        </w:rPr>
      </w:pPr>
    </w:p>
    <w:p w14:paraId="10E47B62" w14:textId="5F996DBC" w:rsidR="00D53991" w:rsidRDefault="00D53991" w:rsidP="00BA2054">
      <w:pPr>
        <w:rPr>
          <w:rFonts w:asciiTheme="minorHAnsi" w:hAnsiTheme="minorHAnsi"/>
          <w:szCs w:val="24"/>
        </w:rPr>
      </w:pPr>
      <w:r w:rsidRPr="008E4519">
        <w:rPr>
          <w:rFonts w:asciiTheme="minorHAnsi" w:hAnsiTheme="minorHAnsi"/>
          <w:szCs w:val="24"/>
        </w:rPr>
        <w:t>In comments provided to the Department, Massachusetts Representative Ann-Margaret Ferrante detailed her experience as a patient with cancer that needed to seek care in the ED: “</w:t>
      </w:r>
      <w:r w:rsidR="00996177" w:rsidRPr="008E4519">
        <w:rPr>
          <w:rFonts w:asciiTheme="minorHAnsi" w:hAnsiTheme="minorHAnsi"/>
          <w:szCs w:val="24"/>
        </w:rPr>
        <w:t xml:space="preserve">I </w:t>
      </w:r>
      <w:r w:rsidR="001E0E1E" w:rsidRPr="008E4519">
        <w:rPr>
          <w:rFonts w:asciiTheme="minorHAnsi" w:hAnsiTheme="minorHAnsi"/>
          <w:szCs w:val="24"/>
        </w:rPr>
        <w:t>undergo chemotherapy every other week for my cancer</w:t>
      </w:r>
      <w:r w:rsidR="00996177" w:rsidRPr="008E4519">
        <w:rPr>
          <w:rFonts w:asciiTheme="minorHAnsi" w:hAnsiTheme="minorHAnsi"/>
          <w:szCs w:val="24"/>
        </w:rPr>
        <w:t xml:space="preserve">. </w:t>
      </w:r>
      <w:r w:rsidR="00D33EA5" w:rsidRPr="008E4519">
        <w:rPr>
          <w:rFonts w:asciiTheme="minorHAnsi" w:hAnsiTheme="minorHAnsi"/>
          <w:szCs w:val="24"/>
        </w:rPr>
        <w:t>On the occasions wher</w:t>
      </w:r>
      <w:r w:rsidR="00142ABD" w:rsidRPr="008E4519">
        <w:rPr>
          <w:rFonts w:asciiTheme="minorHAnsi" w:hAnsiTheme="minorHAnsi"/>
          <w:szCs w:val="24"/>
        </w:rPr>
        <w:t xml:space="preserve">e I present with complications from my treatment and I am required to go to the traditional emergency room, I </w:t>
      </w:r>
      <w:r w:rsidR="00B42B8F" w:rsidRPr="008E4519">
        <w:rPr>
          <w:rFonts w:asciiTheme="minorHAnsi" w:hAnsiTheme="minorHAnsi"/>
          <w:szCs w:val="24"/>
        </w:rPr>
        <w:t>feel like a square</w:t>
      </w:r>
      <w:r w:rsidR="00142ABD" w:rsidRPr="008E4519">
        <w:rPr>
          <w:rFonts w:asciiTheme="minorHAnsi" w:hAnsiTheme="minorHAnsi"/>
          <w:szCs w:val="24"/>
        </w:rPr>
        <w:t xml:space="preserve"> peg</w:t>
      </w:r>
      <w:r w:rsidR="00B42B8F" w:rsidRPr="008E4519">
        <w:rPr>
          <w:rFonts w:asciiTheme="minorHAnsi" w:hAnsiTheme="minorHAnsi"/>
          <w:szCs w:val="24"/>
        </w:rPr>
        <w:t xml:space="preserve"> that's unable to fit into a circle</w:t>
      </w:r>
      <w:r w:rsidR="00142ABD" w:rsidRPr="008E4519">
        <w:rPr>
          <w:rFonts w:asciiTheme="minorHAnsi" w:hAnsiTheme="minorHAnsi"/>
          <w:szCs w:val="24"/>
        </w:rPr>
        <w:t xml:space="preserve"> hole</w:t>
      </w:r>
      <w:r w:rsidR="00B42B8F" w:rsidRPr="008E4519">
        <w:rPr>
          <w:rFonts w:asciiTheme="minorHAnsi" w:hAnsiTheme="minorHAnsi"/>
          <w:szCs w:val="24"/>
        </w:rPr>
        <w:t xml:space="preserve">. </w:t>
      </w:r>
      <w:r w:rsidR="008102B8" w:rsidRPr="008E4519">
        <w:rPr>
          <w:rFonts w:asciiTheme="minorHAnsi" w:hAnsiTheme="minorHAnsi"/>
          <w:szCs w:val="24"/>
        </w:rPr>
        <w:t>At a time when my immune system is compromised because of chemotherapy, I am put into a general waiting population in the emergency room, where individuals may be present with conditions that I am going to be more susceptible to</w:t>
      </w:r>
      <w:r w:rsidR="00B42B8F" w:rsidRPr="008E4519">
        <w:rPr>
          <w:rFonts w:asciiTheme="minorHAnsi" w:hAnsiTheme="minorHAnsi"/>
          <w:szCs w:val="24"/>
        </w:rPr>
        <w:t>,</w:t>
      </w:r>
      <w:r w:rsidR="008102B8" w:rsidRPr="008E4519">
        <w:rPr>
          <w:rFonts w:asciiTheme="minorHAnsi" w:hAnsiTheme="minorHAnsi"/>
          <w:szCs w:val="24"/>
        </w:rPr>
        <w:t xml:space="preserve"> such as respiratory viruses</w:t>
      </w:r>
      <w:r w:rsidR="00B42B8F" w:rsidRPr="008E4519">
        <w:rPr>
          <w:rFonts w:asciiTheme="minorHAnsi" w:hAnsiTheme="minorHAnsi"/>
          <w:szCs w:val="24"/>
        </w:rPr>
        <w:t>.”</w:t>
      </w:r>
    </w:p>
    <w:p w14:paraId="233F0A5E" w14:textId="77777777" w:rsidR="00C429FC" w:rsidRPr="008E4519" w:rsidRDefault="00C429FC" w:rsidP="00BA2054">
      <w:pPr>
        <w:rPr>
          <w:rFonts w:asciiTheme="minorHAnsi" w:hAnsiTheme="minorHAnsi"/>
          <w:szCs w:val="24"/>
        </w:rPr>
      </w:pPr>
    </w:p>
    <w:p w14:paraId="61D319D7" w14:textId="58EEE44D" w:rsidR="00A426B3" w:rsidRPr="00DD150D" w:rsidRDefault="00C046BE" w:rsidP="67771AE9">
      <w:pPr>
        <w:rPr>
          <w:rFonts w:asciiTheme="minorHAnsi" w:hAnsiTheme="minorHAnsi"/>
        </w:rPr>
      </w:pPr>
      <w:r w:rsidRPr="00C046BE">
        <w:rPr>
          <w:rFonts w:asciiTheme="minorHAnsi" w:hAnsiTheme="minorHAnsi"/>
        </w:rPr>
        <w:t xml:space="preserve">The Applicant states that once a patient presents at the BWH ED, the patient may be treated and sent home, remain longer for observation, be admitted to a Dana-Farber licensed bed, or be admitted to a BWH-licensed bed that is managed by Dana-Farber. </w:t>
      </w:r>
      <w:r w:rsidR="7C1AF9F9" w:rsidRPr="67771AE9">
        <w:rPr>
          <w:rFonts w:asciiTheme="minorHAnsi" w:hAnsiTheme="minorHAnsi"/>
        </w:rPr>
        <w:t>The Applicant</w:t>
      </w:r>
      <w:r w:rsidR="001E5169">
        <w:rPr>
          <w:rFonts w:asciiTheme="minorHAnsi" w:hAnsiTheme="minorHAnsi"/>
        </w:rPr>
        <w:t>, who</w:t>
      </w:r>
      <w:r w:rsidR="7C1AF9F9" w:rsidRPr="67771AE9">
        <w:rPr>
          <w:rFonts w:asciiTheme="minorHAnsi" w:hAnsiTheme="minorHAnsi"/>
        </w:rPr>
        <w:t xml:space="preserve"> does not currently have an</w:t>
      </w:r>
      <w:r w:rsidR="43D80E2F" w:rsidRPr="67771AE9">
        <w:rPr>
          <w:rFonts w:asciiTheme="minorHAnsi" w:hAnsiTheme="minorHAnsi"/>
        </w:rPr>
        <w:t xml:space="preserve"> ED</w:t>
      </w:r>
      <w:r w:rsidR="7C1AF9F9" w:rsidRPr="67771AE9">
        <w:rPr>
          <w:rFonts w:asciiTheme="minorHAnsi" w:hAnsiTheme="minorHAnsi"/>
        </w:rPr>
        <w:t xml:space="preserve">, </w:t>
      </w:r>
      <w:r w:rsidR="001E5169">
        <w:rPr>
          <w:rFonts w:asciiTheme="minorHAnsi" w:hAnsiTheme="minorHAnsi"/>
        </w:rPr>
        <w:t>states</w:t>
      </w:r>
      <w:r w:rsidR="7C1AF9F9" w:rsidRPr="67771AE9">
        <w:rPr>
          <w:rFonts w:asciiTheme="minorHAnsi" w:hAnsiTheme="minorHAnsi"/>
        </w:rPr>
        <w:t xml:space="preserve"> that the EDs of acute care hospitals generally do not have oncology subspecialty capabilities. </w:t>
      </w:r>
      <w:r w:rsidR="00FC01EC">
        <w:rPr>
          <w:rFonts w:asciiTheme="minorHAnsi" w:hAnsiTheme="minorHAnsi"/>
        </w:rPr>
        <w:t>As a result, s</w:t>
      </w:r>
      <w:r w:rsidR="7C1AF9F9" w:rsidRPr="67771AE9">
        <w:rPr>
          <w:rFonts w:asciiTheme="minorHAnsi" w:hAnsiTheme="minorHAnsi"/>
        </w:rPr>
        <w:t xml:space="preserve">ome patients leave the ED without being seen by a medical oncologist for cancer-specific care. </w:t>
      </w:r>
    </w:p>
    <w:p w14:paraId="57B1614E" w14:textId="77777777" w:rsidR="00A1252F" w:rsidRDefault="00A1252F" w:rsidP="00BA2054">
      <w:pPr>
        <w:rPr>
          <w:rFonts w:asciiTheme="minorHAnsi" w:hAnsiTheme="minorHAnsi"/>
          <w:szCs w:val="24"/>
        </w:rPr>
      </w:pPr>
    </w:p>
    <w:p w14:paraId="3814DC87" w14:textId="24BFA7F6" w:rsidR="00112F65" w:rsidRDefault="00C5087F" w:rsidP="00BA2054">
      <w:pPr>
        <w:rPr>
          <w:rFonts w:asciiTheme="minorHAnsi" w:hAnsiTheme="minorHAnsi"/>
          <w:szCs w:val="24"/>
        </w:rPr>
      </w:pPr>
      <w:r w:rsidRPr="00C5087F">
        <w:rPr>
          <w:rFonts w:asciiTheme="minorHAnsi" w:hAnsiTheme="minorHAnsi"/>
          <w:szCs w:val="24"/>
        </w:rPr>
        <w:t xml:space="preserve">The Applicant states that </w:t>
      </w:r>
      <w:r w:rsidR="00A1252F">
        <w:rPr>
          <w:rFonts w:asciiTheme="minorHAnsi" w:hAnsiTheme="minorHAnsi"/>
          <w:szCs w:val="24"/>
        </w:rPr>
        <w:t xml:space="preserve">because of a need for additional inpatient capacity, </w:t>
      </w:r>
      <w:r w:rsidRPr="00C5087F">
        <w:rPr>
          <w:rFonts w:asciiTheme="minorHAnsi" w:hAnsiTheme="minorHAnsi"/>
          <w:szCs w:val="24"/>
        </w:rPr>
        <w:t xml:space="preserve">patients wait in the ED for an inpatient bed for days, </w:t>
      </w:r>
      <w:r w:rsidR="00F528AA">
        <w:rPr>
          <w:rFonts w:asciiTheme="minorHAnsi" w:hAnsiTheme="minorHAnsi"/>
          <w:szCs w:val="24"/>
        </w:rPr>
        <w:t>with</w:t>
      </w:r>
      <w:r w:rsidRPr="00C5087F">
        <w:rPr>
          <w:rFonts w:asciiTheme="minorHAnsi" w:hAnsiTheme="minorHAnsi"/>
          <w:szCs w:val="24"/>
        </w:rPr>
        <w:t xml:space="preserve"> some patients </w:t>
      </w:r>
      <w:r w:rsidR="00F528AA">
        <w:rPr>
          <w:rFonts w:asciiTheme="minorHAnsi" w:hAnsiTheme="minorHAnsi"/>
          <w:szCs w:val="24"/>
        </w:rPr>
        <w:t>spending</w:t>
      </w:r>
      <w:r w:rsidRPr="00C5087F">
        <w:rPr>
          <w:rFonts w:asciiTheme="minorHAnsi" w:hAnsiTheme="minorHAnsi"/>
          <w:szCs w:val="24"/>
        </w:rPr>
        <w:t xml:space="preserve"> their entire inpatient cancer admission in the ED due to long wait times.</w:t>
      </w:r>
      <w:r>
        <w:rPr>
          <w:rFonts w:asciiTheme="minorHAnsi" w:hAnsiTheme="minorHAnsi"/>
          <w:szCs w:val="24"/>
        </w:rPr>
        <w:t xml:space="preserve"> </w:t>
      </w:r>
      <w:r w:rsidR="003C1062">
        <w:rPr>
          <w:rFonts w:asciiTheme="minorHAnsi" w:hAnsiTheme="minorHAnsi"/>
          <w:szCs w:val="24"/>
        </w:rPr>
        <w:t xml:space="preserve">Table </w:t>
      </w:r>
      <w:r w:rsidR="00E802D6">
        <w:rPr>
          <w:rFonts w:asciiTheme="minorHAnsi" w:hAnsiTheme="minorHAnsi"/>
          <w:szCs w:val="24"/>
        </w:rPr>
        <w:t>16</w:t>
      </w:r>
      <w:r w:rsidR="003C1062">
        <w:rPr>
          <w:rFonts w:asciiTheme="minorHAnsi" w:hAnsiTheme="minorHAnsi"/>
          <w:szCs w:val="24"/>
        </w:rPr>
        <w:t xml:space="preserve"> shows the percent of admissions that came through the BWH ED, and </w:t>
      </w:r>
      <w:r w:rsidR="00160D55">
        <w:rPr>
          <w:rFonts w:asciiTheme="minorHAnsi" w:hAnsiTheme="minorHAnsi"/>
          <w:szCs w:val="24"/>
        </w:rPr>
        <w:t xml:space="preserve">Table </w:t>
      </w:r>
      <w:r w:rsidR="00692809">
        <w:rPr>
          <w:rFonts w:asciiTheme="minorHAnsi" w:hAnsiTheme="minorHAnsi"/>
          <w:szCs w:val="24"/>
        </w:rPr>
        <w:t>17</w:t>
      </w:r>
      <w:r w:rsidR="00160D55">
        <w:rPr>
          <w:rFonts w:asciiTheme="minorHAnsi" w:hAnsiTheme="minorHAnsi"/>
          <w:szCs w:val="24"/>
        </w:rPr>
        <w:t xml:space="preserve"> shows </w:t>
      </w:r>
      <w:r w:rsidR="003C1062">
        <w:rPr>
          <w:rFonts w:asciiTheme="minorHAnsi" w:hAnsiTheme="minorHAnsi"/>
          <w:szCs w:val="24"/>
        </w:rPr>
        <w:t xml:space="preserve">the ALOS in the </w:t>
      </w:r>
      <w:r w:rsidR="00367BC2">
        <w:rPr>
          <w:rFonts w:asciiTheme="minorHAnsi" w:hAnsiTheme="minorHAnsi"/>
          <w:szCs w:val="24"/>
        </w:rPr>
        <w:t xml:space="preserve">BWH </w:t>
      </w:r>
      <w:r w:rsidR="003C1062">
        <w:rPr>
          <w:rFonts w:asciiTheme="minorHAnsi" w:hAnsiTheme="minorHAnsi"/>
          <w:szCs w:val="24"/>
        </w:rPr>
        <w:t xml:space="preserve">ED. </w:t>
      </w:r>
      <w:r w:rsidR="002F717D">
        <w:rPr>
          <w:rFonts w:asciiTheme="minorHAnsi" w:hAnsiTheme="minorHAnsi"/>
          <w:szCs w:val="24"/>
        </w:rPr>
        <w:t xml:space="preserve">Table </w:t>
      </w:r>
      <w:r w:rsidR="00542C72">
        <w:rPr>
          <w:rFonts w:asciiTheme="minorHAnsi" w:hAnsiTheme="minorHAnsi"/>
          <w:szCs w:val="24"/>
        </w:rPr>
        <w:t>16</w:t>
      </w:r>
      <w:r w:rsidR="002F717D">
        <w:rPr>
          <w:rFonts w:asciiTheme="minorHAnsi" w:hAnsiTheme="minorHAnsi"/>
          <w:szCs w:val="24"/>
        </w:rPr>
        <w:t xml:space="preserve"> shows that i</w:t>
      </w:r>
      <w:r w:rsidR="00F330CE">
        <w:rPr>
          <w:rFonts w:asciiTheme="minorHAnsi" w:hAnsiTheme="minorHAnsi"/>
          <w:szCs w:val="24"/>
        </w:rPr>
        <w:t xml:space="preserve">n </w:t>
      </w:r>
      <w:r w:rsidR="005D0DC8">
        <w:rPr>
          <w:rFonts w:asciiTheme="minorHAnsi" w:hAnsiTheme="minorHAnsi"/>
          <w:szCs w:val="24"/>
        </w:rPr>
        <w:t xml:space="preserve">FY22, </w:t>
      </w:r>
      <w:r w:rsidR="001230F4">
        <w:rPr>
          <w:rFonts w:asciiTheme="minorHAnsi" w:hAnsiTheme="minorHAnsi"/>
          <w:szCs w:val="24"/>
        </w:rPr>
        <w:t>68</w:t>
      </w:r>
      <w:r w:rsidR="002F717D">
        <w:rPr>
          <w:rFonts w:asciiTheme="minorHAnsi" w:hAnsiTheme="minorHAnsi"/>
          <w:szCs w:val="24"/>
        </w:rPr>
        <w:t>%</w:t>
      </w:r>
      <w:r w:rsidR="005D0DC8">
        <w:rPr>
          <w:rFonts w:asciiTheme="minorHAnsi" w:hAnsiTheme="minorHAnsi"/>
          <w:szCs w:val="24"/>
        </w:rPr>
        <w:t xml:space="preserve"> of the Applicant’s </w:t>
      </w:r>
      <w:r w:rsidR="00F330CE">
        <w:rPr>
          <w:rFonts w:asciiTheme="minorHAnsi" w:hAnsiTheme="minorHAnsi"/>
          <w:szCs w:val="24"/>
        </w:rPr>
        <w:t xml:space="preserve">admissions </w:t>
      </w:r>
      <w:r w:rsidR="005D0DC8">
        <w:rPr>
          <w:rFonts w:asciiTheme="minorHAnsi" w:hAnsiTheme="minorHAnsi"/>
          <w:szCs w:val="24"/>
        </w:rPr>
        <w:t xml:space="preserve">were admitted through BWH’s ED. The ALOS in the BWH ED increased by </w:t>
      </w:r>
      <w:r w:rsidR="00523714">
        <w:rPr>
          <w:rFonts w:asciiTheme="minorHAnsi" w:hAnsiTheme="minorHAnsi"/>
          <w:szCs w:val="24"/>
        </w:rPr>
        <w:t>36</w:t>
      </w:r>
      <w:r w:rsidR="005D0DC8">
        <w:rPr>
          <w:rFonts w:asciiTheme="minorHAnsi" w:hAnsiTheme="minorHAnsi"/>
          <w:szCs w:val="24"/>
        </w:rPr>
        <w:t>% between</w:t>
      </w:r>
      <w:r w:rsidR="00887401">
        <w:rPr>
          <w:rFonts w:asciiTheme="minorHAnsi" w:hAnsiTheme="minorHAnsi"/>
          <w:szCs w:val="24"/>
        </w:rPr>
        <w:t xml:space="preserve"> calendar year</w:t>
      </w:r>
      <w:r w:rsidR="005D0DC8">
        <w:rPr>
          <w:rFonts w:asciiTheme="minorHAnsi" w:hAnsiTheme="minorHAnsi"/>
          <w:szCs w:val="24"/>
        </w:rPr>
        <w:t xml:space="preserve"> </w:t>
      </w:r>
      <w:r w:rsidR="00887401">
        <w:rPr>
          <w:rFonts w:asciiTheme="minorHAnsi" w:hAnsiTheme="minorHAnsi"/>
          <w:szCs w:val="24"/>
        </w:rPr>
        <w:t xml:space="preserve">(CY) </w:t>
      </w:r>
      <w:r w:rsidR="005D0DC8">
        <w:rPr>
          <w:rFonts w:asciiTheme="minorHAnsi" w:hAnsiTheme="minorHAnsi"/>
          <w:szCs w:val="24"/>
        </w:rPr>
        <w:t xml:space="preserve">2018 and 2022. </w:t>
      </w:r>
      <w:r w:rsidR="009D74AE">
        <w:rPr>
          <w:rFonts w:asciiTheme="minorHAnsi" w:hAnsiTheme="minorHAnsi"/>
          <w:szCs w:val="24"/>
        </w:rPr>
        <w:t xml:space="preserve">Tables </w:t>
      </w:r>
      <w:r w:rsidR="00E30822">
        <w:rPr>
          <w:rFonts w:asciiTheme="minorHAnsi" w:hAnsiTheme="minorHAnsi"/>
          <w:szCs w:val="24"/>
        </w:rPr>
        <w:t>16</w:t>
      </w:r>
      <w:r w:rsidR="009D74AE">
        <w:rPr>
          <w:rFonts w:asciiTheme="minorHAnsi" w:hAnsiTheme="minorHAnsi"/>
          <w:szCs w:val="24"/>
        </w:rPr>
        <w:t xml:space="preserve"> and </w:t>
      </w:r>
      <w:r w:rsidR="00E30822">
        <w:rPr>
          <w:rFonts w:asciiTheme="minorHAnsi" w:hAnsiTheme="minorHAnsi"/>
          <w:szCs w:val="24"/>
        </w:rPr>
        <w:t>17</w:t>
      </w:r>
      <w:r w:rsidR="00471A27">
        <w:rPr>
          <w:rFonts w:asciiTheme="minorHAnsi" w:hAnsiTheme="minorHAnsi"/>
          <w:szCs w:val="24"/>
        </w:rPr>
        <w:t xml:space="preserve"> i</w:t>
      </w:r>
      <w:r w:rsidR="008F4815" w:rsidRPr="008F4815">
        <w:rPr>
          <w:rFonts w:asciiTheme="minorHAnsi" w:hAnsiTheme="minorHAnsi"/>
          <w:szCs w:val="24"/>
        </w:rPr>
        <w:t xml:space="preserve">nclude CHIA data for Dana-Farber </w:t>
      </w:r>
      <w:r w:rsidR="008F4815" w:rsidRPr="008F4815">
        <w:rPr>
          <w:rFonts w:asciiTheme="minorHAnsi" w:hAnsiTheme="minorHAnsi"/>
          <w:szCs w:val="24"/>
        </w:rPr>
        <w:lastRenderedPageBreak/>
        <w:t>and BWH. Dana-Farber</w:t>
      </w:r>
      <w:r w:rsidR="002F717D">
        <w:rPr>
          <w:rFonts w:asciiTheme="minorHAnsi" w:hAnsiTheme="minorHAnsi"/>
          <w:szCs w:val="24"/>
        </w:rPr>
        <w:t xml:space="preserve"> states that it</w:t>
      </w:r>
      <w:r w:rsidR="008F4815" w:rsidRPr="008F4815">
        <w:rPr>
          <w:rFonts w:asciiTheme="minorHAnsi" w:hAnsiTheme="minorHAnsi"/>
          <w:szCs w:val="24"/>
        </w:rPr>
        <w:t xml:space="preserve"> omitted FY20 due to COVID-19, and </w:t>
      </w:r>
      <w:r w:rsidR="002F717D">
        <w:rPr>
          <w:rFonts w:asciiTheme="minorHAnsi" w:hAnsiTheme="minorHAnsi"/>
          <w:szCs w:val="24"/>
        </w:rPr>
        <w:t xml:space="preserve">that </w:t>
      </w:r>
      <w:r w:rsidR="008F4815" w:rsidRPr="008F4815">
        <w:rPr>
          <w:rFonts w:asciiTheme="minorHAnsi" w:hAnsiTheme="minorHAnsi"/>
          <w:szCs w:val="24"/>
        </w:rPr>
        <w:t>FY23 is not yet</w:t>
      </w:r>
      <w:r w:rsidR="00EB13BF">
        <w:rPr>
          <w:rFonts w:asciiTheme="minorHAnsi" w:hAnsiTheme="minorHAnsi"/>
          <w:szCs w:val="24"/>
        </w:rPr>
        <w:t xml:space="preserve"> available. </w:t>
      </w:r>
    </w:p>
    <w:p w14:paraId="1999E58C" w14:textId="77777777" w:rsidR="0038320B" w:rsidRDefault="0038320B" w:rsidP="00750C7B">
      <w:pPr>
        <w:rPr>
          <w:rFonts w:asciiTheme="minorHAnsi" w:hAnsiTheme="minorHAnsi"/>
          <w:szCs w:val="24"/>
        </w:rPr>
      </w:pPr>
    </w:p>
    <w:p w14:paraId="396FC59A" w14:textId="35C08D91" w:rsidR="000A078C" w:rsidRPr="003C1062" w:rsidRDefault="000A078C" w:rsidP="00750C7B">
      <w:pPr>
        <w:rPr>
          <w:rFonts w:asciiTheme="minorHAnsi" w:hAnsiTheme="minorHAnsi"/>
          <w:b/>
          <w:bCs/>
          <w:szCs w:val="24"/>
        </w:rPr>
      </w:pPr>
      <w:r w:rsidRPr="003C1062">
        <w:rPr>
          <w:rFonts w:asciiTheme="minorHAnsi" w:hAnsiTheme="minorHAnsi"/>
          <w:b/>
          <w:bCs/>
          <w:szCs w:val="24"/>
          <w:u w:val="single"/>
        </w:rPr>
        <w:t xml:space="preserve">Table </w:t>
      </w:r>
      <w:r w:rsidR="00542C72">
        <w:rPr>
          <w:rFonts w:asciiTheme="minorHAnsi" w:hAnsiTheme="minorHAnsi"/>
          <w:b/>
          <w:bCs/>
          <w:szCs w:val="24"/>
          <w:u w:val="single"/>
        </w:rPr>
        <w:t>16</w:t>
      </w:r>
      <w:r w:rsidRPr="003C1062">
        <w:rPr>
          <w:rFonts w:asciiTheme="minorHAnsi" w:hAnsiTheme="minorHAnsi"/>
          <w:b/>
          <w:bCs/>
          <w:szCs w:val="24"/>
        </w:rPr>
        <w:t xml:space="preserve">: </w:t>
      </w:r>
      <w:r w:rsidR="003C1062" w:rsidRPr="003C1062">
        <w:rPr>
          <w:rFonts w:asciiTheme="minorHAnsi" w:hAnsiTheme="minorHAnsi"/>
          <w:b/>
          <w:bCs/>
          <w:szCs w:val="24"/>
        </w:rPr>
        <w:t>Admissions</w:t>
      </w:r>
      <w:r w:rsidR="00316275">
        <w:rPr>
          <w:rFonts w:asciiTheme="minorHAnsi" w:hAnsiTheme="minorHAnsi"/>
          <w:b/>
          <w:bCs/>
          <w:szCs w:val="24"/>
        </w:rPr>
        <w:t xml:space="preserve"> from</w:t>
      </w:r>
      <w:r w:rsidR="003C1062" w:rsidRPr="003C1062">
        <w:rPr>
          <w:rFonts w:asciiTheme="minorHAnsi" w:hAnsiTheme="minorHAnsi"/>
          <w:b/>
          <w:bCs/>
          <w:szCs w:val="24"/>
        </w:rPr>
        <w:t xml:space="preserve"> BWH ED</w:t>
      </w:r>
    </w:p>
    <w:tbl>
      <w:tblPr>
        <w:tblW w:w="8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4"/>
        <w:gridCol w:w="814"/>
        <w:gridCol w:w="695"/>
        <w:gridCol w:w="819"/>
        <w:gridCol w:w="814"/>
        <w:gridCol w:w="695"/>
      </w:tblGrid>
      <w:tr w:rsidR="005C1D20" w:rsidRPr="003102AF" w14:paraId="619B6D36" w14:textId="0E612681" w:rsidTr="4CB3A71F">
        <w:trPr>
          <w:trHeight w:val="290"/>
        </w:trPr>
        <w:tc>
          <w:tcPr>
            <w:tcW w:w="3505" w:type="dxa"/>
            <w:shd w:val="clear" w:color="auto" w:fill="auto"/>
            <w:noWrap/>
            <w:vAlign w:val="bottom"/>
            <w:hideMark/>
          </w:tcPr>
          <w:p w14:paraId="78DE4EE6" w14:textId="77777777" w:rsidR="001444D7" w:rsidRPr="006B73AB" w:rsidRDefault="001444D7" w:rsidP="006B73AB">
            <w:pPr>
              <w:widowControl/>
              <w:autoSpaceDE/>
              <w:autoSpaceDN/>
              <w:rPr>
                <w:rFonts w:eastAsia="Times New Roman" w:cs="Calibri"/>
                <w:color w:val="000000"/>
                <w:szCs w:val="24"/>
              </w:rPr>
            </w:pPr>
            <w:r w:rsidRPr="006B73AB">
              <w:rPr>
                <w:rFonts w:eastAsia="Times New Roman" w:cs="Calibri"/>
                <w:color w:val="000000"/>
                <w:szCs w:val="24"/>
              </w:rPr>
              <w:t> </w:t>
            </w:r>
          </w:p>
        </w:tc>
        <w:tc>
          <w:tcPr>
            <w:tcW w:w="814" w:type="dxa"/>
            <w:shd w:val="clear" w:color="auto" w:fill="DDEBF7"/>
            <w:noWrap/>
            <w:vAlign w:val="bottom"/>
            <w:hideMark/>
          </w:tcPr>
          <w:p w14:paraId="0385C1B3" w14:textId="77777777" w:rsidR="001444D7" w:rsidRPr="006B73AB" w:rsidRDefault="001444D7" w:rsidP="006B73AB">
            <w:pPr>
              <w:widowControl/>
              <w:autoSpaceDE/>
              <w:autoSpaceDN/>
              <w:jc w:val="center"/>
              <w:rPr>
                <w:rFonts w:eastAsia="Times New Roman" w:cs="Calibri"/>
                <w:b/>
                <w:bCs/>
                <w:color w:val="000000"/>
                <w:szCs w:val="24"/>
              </w:rPr>
            </w:pPr>
            <w:r w:rsidRPr="006B73AB">
              <w:rPr>
                <w:rFonts w:eastAsia="Times New Roman" w:cs="Calibri"/>
                <w:b/>
                <w:bCs/>
                <w:color w:val="000000"/>
                <w:szCs w:val="24"/>
              </w:rPr>
              <w:t>FY18</w:t>
            </w:r>
          </w:p>
        </w:tc>
        <w:tc>
          <w:tcPr>
            <w:tcW w:w="814" w:type="dxa"/>
            <w:shd w:val="clear" w:color="auto" w:fill="DDEBF7"/>
            <w:noWrap/>
            <w:vAlign w:val="bottom"/>
            <w:hideMark/>
          </w:tcPr>
          <w:p w14:paraId="3D64921F" w14:textId="77777777" w:rsidR="001444D7" w:rsidRPr="006B73AB" w:rsidRDefault="001444D7" w:rsidP="006B73AB">
            <w:pPr>
              <w:widowControl/>
              <w:autoSpaceDE/>
              <w:autoSpaceDN/>
              <w:jc w:val="center"/>
              <w:rPr>
                <w:rFonts w:eastAsia="Times New Roman" w:cs="Calibri"/>
                <w:b/>
                <w:bCs/>
                <w:color w:val="000000"/>
                <w:szCs w:val="24"/>
              </w:rPr>
            </w:pPr>
            <w:r w:rsidRPr="006B73AB">
              <w:rPr>
                <w:rFonts w:eastAsia="Times New Roman" w:cs="Calibri"/>
                <w:b/>
                <w:bCs/>
                <w:color w:val="000000"/>
                <w:szCs w:val="24"/>
              </w:rPr>
              <w:t>FY19</w:t>
            </w:r>
          </w:p>
        </w:tc>
        <w:tc>
          <w:tcPr>
            <w:tcW w:w="690" w:type="dxa"/>
            <w:shd w:val="clear" w:color="auto" w:fill="DDEBF7"/>
          </w:tcPr>
          <w:p w14:paraId="0F3CEBF5" w14:textId="736F74C4" w:rsidR="001444D7" w:rsidRPr="67771AE9" w:rsidRDefault="001444D7" w:rsidP="67771AE9">
            <w:pPr>
              <w:widowControl/>
              <w:autoSpaceDE/>
              <w:autoSpaceDN/>
              <w:jc w:val="center"/>
              <w:rPr>
                <w:rFonts w:eastAsia="Times New Roman" w:cs="Calibri"/>
                <w:b/>
                <w:bCs/>
                <w:color w:val="000000" w:themeColor="text1"/>
              </w:rPr>
            </w:pPr>
            <w:r>
              <w:rPr>
                <w:rFonts w:eastAsia="Times New Roman" w:cs="Calibri"/>
                <w:b/>
                <w:bCs/>
                <w:color w:val="000000" w:themeColor="text1"/>
              </w:rPr>
              <w:t>FY20</w:t>
            </w:r>
          </w:p>
        </w:tc>
        <w:tc>
          <w:tcPr>
            <w:tcW w:w="819" w:type="dxa"/>
            <w:shd w:val="clear" w:color="auto" w:fill="DDEBF7"/>
            <w:noWrap/>
            <w:vAlign w:val="bottom"/>
            <w:hideMark/>
          </w:tcPr>
          <w:p w14:paraId="68FE3386" w14:textId="77777777" w:rsidR="001444D7" w:rsidRPr="006B73AB" w:rsidRDefault="001444D7" w:rsidP="006B73AB">
            <w:pPr>
              <w:widowControl/>
              <w:autoSpaceDE/>
              <w:autoSpaceDN/>
              <w:jc w:val="center"/>
              <w:rPr>
                <w:rFonts w:eastAsia="Times New Roman" w:cs="Calibri"/>
                <w:b/>
                <w:bCs/>
                <w:color w:val="000000"/>
                <w:szCs w:val="24"/>
              </w:rPr>
            </w:pPr>
            <w:r w:rsidRPr="006B73AB">
              <w:rPr>
                <w:rFonts w:eastAsia="Times New Roman" w:cs="Calibri"/>
                <w:b/>
                <w:bCs/>
                <w:color w:val="000000"/>
                <w:szCs w:val="24"/>
              </w:rPr>
              <w:t>FY21</w:t>
            </w:r>
          </w:p>
        </w:tc>
        <w:tc>
          <w:tcPr>
            <w:tcW w:w="814" w:type="dxa"/>
            <w:shd w:val="clear" w:color="auto" w:fill="DDEBF7"/>
            <w:noWrap/>
            <w:vAlign w:val="bottom"/>
            <w:hideMark/>
          </w:tcPr>
          <w:p w14:paraId="7B0B8613" w14:textId="77777777" w:rsidR="001444D7" w:rsidRPr="006B73AB" w:rsidRDefault="001444D7" w:rsidP="006B73AB">
            <w:pPr>
              <w:widowControl/>
              <w:autoSpaceDE/>
              <w:autoSpaceDN/>
              <w:jc w:val="center"/>
              <w:rPr>
                <w:rFonts w:eastAsia="Times New Roman" w:cs="Calibri"/>
                <w:b/>
                <w:bCs/>
                <w:color w:val="000000"/>
                <w:szCs w:val="24"/>
              </w:rPr>
            </w:pPr>
            <w:r w:rsidRPr="006B73AB">
              <w:rPr>
                <w:rFonts w:eastAsia="Times New Roman" w:cs="Calibri"/>
                <w:b/>
                <w:bCs/>
                <w:color w:val="000000"/>
                <w:szCs w:val="24"/>
              </w:rPr>
              <w:t>FY22</w:t>
            </w:r>
          </w:p>
        </w:tc>
        <w:tc>
          <w:tcPr>
            <w:tcW w:w="695" w:type="dxa"/>
            <w:shd w:val="clear" w:color="auto" w:fill="DDEBF7"/>
            <w:noWrap/>
            <w:vAlign w:val="bottom"/>
            <w:hideMark/>
          </w:tcPr>
          <w:p w14:paraId="04238469" w14:textId="77777777" w:rsidR="001444D7" w:rsidRPr="006B73AB" w:rsidRDefault="001444D7" w:rsidP="006B73AB">
            <w:pPr>
              <w:widowControl/>
              <w:autoSpaceDE/>
              <w:autoSpaceDN/>
              <w:jc w:val="center"/>
              <w:rPr>
                <w:rFonts w:eastAsia="Times New Roman" w:cs="Calibri"/>
                <w:b/>
                <w:bCs/>
                <w:color w:val="000000"/>
                <w:szCs w:val="24"/>
              </w:rPr>
            </w:pPr>
            <w:r w:rsidRPr="006B73AB">
              <w:rPr>
                <w:rFonts w:eastAsia="Times New Roman" w:cs="Calibri"/>
                <w:b/>
                <w:bCs/>
                <w:color w:val="000000"/>
                <w:szCs w:val="24"/>
              </w:rPr>
              <w:t>FY23</w:t>
            </w:r>
          </w:p>
        </w:tc>
      </w:tr>
      <w:tr w:rsidR="001444D7" w:rsidRPr="003102AF" w14:paraId="200A7926" w14:textId="6DAC43AF" w:rsidTr="4CB3A71F">
        <w:trPr>
          <w:trHeight w:val="83"/>
        </w:trPr>
        <w:tc>
          <w:tcPr>
            <w:tcW w:w="3505" w:type="dxa"/>
            <w:shd w:val="clear" w:color="auto" w:fill="auto"/>
            <w:noWrap/>
            <w:vAlign w:val="bottom"/>
            <w:hideMark/>
          </w:tcPr>
          <w:p w14:paraId="62EA301C" w14:textId="19449290" w:rsidR="001444D7" w:rsidRPr="006B73AB" w:rsidRDefault="001444D7" w:rsidP="00187CF5">
            <w:pPr>
              <w:widowControl/>
              <w:autoSpaceDE/>
              <w:autoSpaceDN/>
              <w:rPr>
                <w:rFonts w:eastAsia="Times New Roman" w:cs="Calibri"/>
                <w:b/>
                <w:bCs/>
                <w:color w:val="000000"/>
                <w:szCs w:val="24"/>
              </w:rPr>
            </w:pPr>
            <w:r w:rsidRPr="006B73AB">
              <w:rPr>
                <w:rFonts w:eastAsia="Times New Roman" w:cs="Calibri"/>
                <w:b/>
                <w:bCs/>
                <w:color w:val="000000"/>
                <w:szCs w:val="24"/>
              </w:rPr>
              <w:t xml:space="preserve">% </w:t>
            </w:r>
            <w:r>
              <w:rPr>
                <w:rFonts w:eastAsia="Times New Roman" w:cs="Calibri"/>
                <w:b/>
                <w:bCs/>
                <w:color w:val="000000"/>
                <w:szCs w:val="24"/>
              </w:rPr>
              <w:t xml:space="preserve">of </w:t>
            </w:r>
            <w:r w:rsidRPr="006B73AB">
              <w:rPr>
                <w:rFonts w:eastAsia="Times New Roman" w:cs="Calibri"/>
                <w:b/>
                <w:bCs/>
                <w:color w:val="000000"/>
                <w:szCs w:val="24"/>
              </w:rPr>
              <w:t>Admissions from BWH ED</w:t>
            </w:r>
            <w:r w:rsidRPr="003102AF">
              <w:rPr>
                <w:rStyle w:val="FootnoteReference"/>
                <w:rFonts w:eastAsia="Times New Roman" w:cs="Calibri"/>
                <w:b/>
                <w:bCs/>
                <w:color w:val="000000"/>
                <w:szCs w:val="24"/>
              </w:rPr>
              <w:footnoteReference w:id="43"/>
            </w:r>
          </w:p>
        </w:tc>
        <w:tc>
          <w:tcPr>
            <w:tcW w:w="814" w:type="dxa"/>
            <w:shd w:val="clear" w:color="auto" w:fill="auto"/>
            <w:noWrap/>
            <w:vAlign w:val="bottom"/>
            <w:hideMark/>
          </w:tcPr>
          <w:p w14:paraId="4D448DC5" w14:textId="63FAB80F" w:rsidR="001444D7" w:rsidRPr="006B73AB" w:rsidRDefault="001444D7" w:rsidP="001668BA">
            <w:pPr>
              <w:widowControl/>
              <w:autoSpaceDE/>
              <w:autoSpaceDN/>
              <w:jc w:val="center"/>
              <w:rPr>
                <w:rFonts w:eastAsia="Times New Roman" w:cs="Calibri"/>
                <w:color w:val="000000"/>
                <w:szCs w:val="24"/>
              </w:rPr>
            </w:pPr>
            <w:r w:rsidRPr="006B73AB">
              <w:rPr>
                <w:rFonts w:eastAsia="Times New Roman" w:cs="Calibri"/>
                <w:color w:val="000000"/>
                <w:szCs w:val="24"/>
              </w:rPr>
              <w:t>66.1%</w:t>
            </w:r>
          </w:p>
        </w:tc>
        <w:tc>
          <w:tcPr>
            <w:tcW w:w="814" w:type="dxa"/>
            <w:shd w:val="clear" w:color="auto" w:fill="auto"/>
            <w:noWrap/>
            <w:vAlign w:val="bottom"/>
            <w:hideMark/>
          </w:tcPr>
          <w:p w14:paraId="59FF921C" w14:textId="24740F43" w:rsidR="001444D7" w:rsidRPr="006B73AB" w:rsidRDefault="001444D7" w:rsidP="00187CF5">
            <w:pPr>
              <w:widowControl/>
              <w:autoSpaceDE/>
              <w:autoSpaceDN/>
              <w:jc w:val="center"/>
              <w:rPr>
                <w:rFonts w:eastAsia="Times New Roman" w:cs="Calibri"/>
                <w:color w:val="000000"/>
                <w:szCs w:val="24"/>
              </w:rPr>
            </w:pPr>
            <w:r w:rsidRPr="006B73AB">
              <w:rPr>
                <w:rFonts w:eastAsia="Times New Roman" w:cs="Calibri"/>
                <w:color w:val="000000"/>
                <w:szCs w:val="24"/>
              </w:rPr>
              <w:t>66.8%</w:t>
            </w:r>
          </w:p>
        </w:tc>
        <w:tc>
          <w:tcPr>
            <w:tcW w:w="690" w:type="dxa"/>
          </w:tcPr>
          <w:p w14:paraId="567C0DE2" w14:textId="1ACE8262" w:rsidR="001444D7" w:rsidRPr="006B73AB" w:rsidRDefault="001444D7" w:rsidP="007D087E">
            <w:pPr>
              <w:widowControl/>
              <w:autoSpaceDE/>
              <w:autoSpaceDN/>
              <w:jc w:val="center"/>
              <w:rPr>
                <w:rFonts w:eastAsia="Times New Roman" w:cs="Calibri"/>
                <w:color w:val="000000"/>
                <w:szCs w:val="24"/>
              </w:rPr>
            </w:pPr>
            <w:r>
              <w:rPr>
                <w:rFonts w:eastAsia="Times New Roman" w:cs="Calibri"/>
                <w:color w:val="000000"/>
                <w:szCs w:val="24"/>
              </w:rPr>
              <w:t>-</w:t>
            </w:r>
          </w:p>
        </w:tc>
        <w:tc>
          <w:tcPr>
            <w:tcW w:w="819" w:type="dxa"/>
            <w:shd w:val="clear" w:color="auto" w:fill="auto"/>
            <w:noWrap/>
            <w:vAlign w:val="bottom"/>
            <w:hideMark/>
          </w:tcPr>
          <w:p w14:paraId="41853FB7" w14:textId="137A41D4" w:rsidR="001444D7" w:rsidRPr="006B73AB" w:rsidRDefault="001444D7" w:rsidP="00187CF5">
            <w:pPr>
              <w:widowControl/>
              <w:autoSpaceDE/>
              <w:autoSpaceDN/>
              <w:jc w:val="center"/>
              <w:rPr>
                <w:rFonts w:eastAsia="Times New Roman" w:cs="Calibri"/>
                <w:color w:val="000000"/>
                <w:szCs w:val="24"/>
              </w:rPr>
            </w:pPr>
            <w:r w:rsidRPr="006B73AB">
              <w:rPr>
                <w:rFonts w:eastAsia="Times New Roman" w:cs="Calibri"/>
                <w:color w:val="000000"/>
                <w:szCs w:val="24"/>
              </w:rPr>
              <w:t>67.8%</w:t>
            </w:r>
          </w:p>
        </w:tc>
        <w:tc>
          <w:tcPr>
            <w:tcW w:w="814" w:type="dxa"/>
            <w:shd w:val="clear" w:color="auto" w:fill="auto"/>
            <w:noWrap/>
            <w:vAlign w:val="bottom"/>
            <w:hideMark/>
          </w:tcPr>
          <w:p w14:paraId="2FEA249A" w14:textId="543C163D" w:rsidR="001444D7" w:rsidRPr="006B73AB" w:rsidRDefault="001444D7" w:rsidP="00187CF5">
            <w:pPr>
              <w:widowControl/>
              <w:autoSpaceDE/>
              <w:autoSpaceDN/>
              <w:jc w:val="center"/>
              <w:rPr>
                <w:rFonts w:eastAsia="Times New Roman" w:cs="Calibri"/>
                <w:color w:val="000000"/>
                <w:szCs w:val="24"/>
              </w:rPr>
            </w:pPr>
            <w:r w:rsidRPr="006B73AB">
              <w:rPr>
                <w:rFonts w:eastAsia="Times New Roman" w:cs="Calibri"/>
                <w:color w:val="000000"/>
                <w:szCs w:val="24"/>
              </w:rPr>
              <w:t>68.2%</w:t>
            </w:r>
          </w:p>
        </w:tc>
        <w:tc>
          <w:tcPr>
            <w:tcW w:w="695" w:type="dxa"/>
            <w:shd w:val="clear" w:color="auto" w:fill="auto"/>
            <w:noWrap/>
            <w:vAlign w:val="bottom"/>
            <w:hideMark/>
          </w:tcPr>
          <w:p w14:paraId="448AE89C" w14:textId="77777777" w:rsidR="001444D7" w:rsidRPr="006B73AB" w:rsidRDefault="001444D7" w:rsidP="007D087E">
            <w:pPr>
              <w:widowControl/>
              <w:autoSpaceDE/>
              <w:autoSpaceDN/>
              <w:jc w:val="center"/>
              <w:rPr>
                <w:rFonts w:eastAsia="Times New Roman" w:cs="Calibri"/>
                <w:color w:val="000000"/>
                <w:szCs w:val="24"/>
              </w:rPr>
            </w:pPr>
            <w:r w:rsidRPr="006B73AB">
              <w:rPr>
                <w:rFonts w:eastAsia="Times New Roman" w:cs="Calibri"/>
                <w:color w:val="000000"/>
                <w:szCs w:val="24"/>
              </w:rPr>
              <w:t>-</w:t>
            </w:r>
          </w:p>
        </w:tc>
      </w:tr>
    </w:tbl>
    <w:p w14:paraId="4DD09B71" w14:textId="77777777" w:rsidR="005B1065" w:rsidRDefault="005B1065" w:rsidP="005B1065">
      <w:pPr>
        <w:rPr>
          <w:rFonts w:asciiTheme="minorHAnsi" w:hAnsiTheme="minorHAnsi"/>
          <w:b/>
          <w:bCs/>
          <w:szCs w:val="24"/>
          <w:u w:val="single"/>
        </w:rPr>
      </w:pPr>
    </w:p>
    <w:p w14:paraId="7D9B823A" w14:textId="77777777" w:rsidR="00631F81" w:rsidRDefault="00631F81" w:rsidP="005B1065">
      <w:pPr>
        <w:rPr>
          <w:rFonts w:asciiTheme="minorHAnsi" w:hAnsiTheme="minorHAnsi"/>
          <w:b/>
          <w:bCs/>
          <w:szCs w:val="24"/>
          <w:u w:val="single"/>
        </w:rPr>
      </w:pPr>
    </w:p>
    <w:p w14:paraId="138E8DFE" w14:textId="77777777" w:rsidR="00631F81" w:rsidRDefault="00631F81" w:rsidP="005B1065">
      <w:pPr>
        <w:rPr>
          <w:rFonts w:asciiTheme="minorHAnsi" w:hAnsiTheme="minorHAnsi"/>
          <w:b/>
          <w:bCs/>
          <w:szCs w:val="24"/>
          <w:u w:val="single"/>
        </w:rPr>
      </w:pPr>
    </w:p>
    <w:p w14:paraId="3EFDAC68" w14:textId="1FAD7EFE" w:rsidR="005B1065" w:rsidRPr="003C1062" w:rsidRDefault="005B1065" w:rsidP="005B1065">
      <w:pPr>
        <w:rPr>
          <w:rFonts w:asciiTheme="minorHAnsi" w:hAnsiTheme="minorHAnsi"/>
          <w:b/>
          <w:bCs/>
          <w:szCs w:val="24"/>
        </w:rPr>
      </w:pPr>
      <w:r w:rsidRPr="00542C72">
        <w:rPr>
          <w:rFonts w:asciiTheme="minorHAnsi" w:hAnsiTheme="minorHAnsi"/>
          <w:b/>
          <w:bCs/>
          <w:szCs w:val="24"/>
          <w:u w:val="single"/>
        </w:rPr>
        <w:t xml:space="preserve">Table </w:t>
      </w:r>
      <w:r w:rsidR="00542C72" w:rsidRPr="00542C72">
        <w:rPr>
          <w:rFonts w:asciiTheme="minorHAnsi" w:hAnsiTheme="minorHAnsi"/>
          <w:b/>
          <w:bCs/>
          <w:szCs w:val="24"/>
          <w:u w:val="single"/>
        </w:rPr>
        <w:t>17</w:t>
      </w:r>
      <w:r w:rsidRPr="00542C72">
        <w:rPr>
          <w:rFonts w:asciiTheme="minorHAnsi" w:hAnsiTheme="minorHAnsi"/>
          <w:b/>
          <w:bCs/>
          <w:szCs w:val="24"/>
        </w:rPr>
        <w:t>: ALOS in BWH ED</w:t>
      </w:r>
    </w:p>
    <w:tbl>
      <w:tblPr>
        <w:tblW w:w="7488" w:type="dxa"/>
        <w:tblLook w:val="04A0" w:firstRow="1" w:lastRow="0" w:firstColumn="1" w:lastColumn="0" w:noHBand="0" w:noVBand="1"/>
      </w:tblPr>
      <w:tblGrid>
        <w:gridCol w:w="1695"/>
        <w:gridCol w:w="750"/>
        <w:gridCol w:w="750"/>
        <w:gridCol w:w="735"/>
        <w:gridCol w:w="720"/>
        <w:gridCol w:w="750"/>
        <w:gridCol w:w="720"/>
        <w:gridCol w:w="1368"/>
      </w:tblGrid>
      <w:tr w:rsidR="005B1065" w:rsidRPr="000D49ED" w14:paraId="669707F2" w14:textId="77777777" w:rsidTr="2FEDD251">
        <w:trPr>
          <w:trHeight w:val="290"/>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BDEBC" w14:textId="77777777" w:rsidR="005B1065" w:rsidRPr="000D49ED" w:rsidRDefault="005B1065">
            <w:pPr>
              <w:widowControl/>
              <w:autoSpaceDE/>
              <w:autoSpaceDN/>
              <w:rPr>
                <w:rFonts w:asciiTheme="minorHAnsi" w:eastAsia="Times New Roman" w:hAnsiTheme="minorHAnsi"/>
                <w:color w:val="000000"/>
                <w:szCs w:val="24"/>
              </w:rPr>
            </w:pPr>
            <w:r w:rsidRPr="000D49ED">
              <w:rPr>
                <w:rFonts w:asciiTheme="minorHAnsi" w:eastAsia="Times New Roman" w:hAnsiTheme="minorHAnsi"/>
                <w:color w:val="000000"/>
                <w:szCs w:val="24"/>
              </w:rPr>
              <w:t> </w:t>
            </w:r>
          </w:p>
        </w:tc>
        <w:tc>
          <w:tcPr>
            <w:tcW w:w="750" w:type="dxa"/>
            <w:tcBorders>
              <w:top w:val="single" w:sz="4" w:space="0" w:color="auto"/>
              <w:left w:val="nil"/>
              <w:bottom w:val="single" w:sz="4" w:space="0" w:color="auto"/>
              <w:right w:val="single" w:sz="4" w:space="0" w:color="auto"/>
            </w:tcBorders>
            <w:shd w:val="clear" w:color="auto" w:fill="DDEBF7"/>
            <w:noWrap/>
            <w:vAlign w:val="bottom"/>
            <w:hideMark/>
          </w:tcPr>
          <w:p w14:paraId="3C2C9AAE" w14:textId="31C64E1C"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CY18</w:t>
            </w:r>
          </w:p>
        </w:tc>
        <w:tc>
          <w:tcPr>
            <w:tcW w:w="750" w:type="dxa"/>
            <w:tcBorders>
              <w:top w:val="single" w:sz="4" w:space="0" w:color="auto"/>
              <w:left w:val="nil"/>
              <w:bottom w:val="single" w:sz="4" w:space="0" w:color="auto"/>
              <w:right w:val="single" w:sz="4" w:space="0" w:color="auto"/>
            </w:tcBorders>
            <w:shd w:val="clear" w:color="auto" w:fill="DDEBF7"/>
            <w:noWrap/>
            <w:vAlign w:val="bottom"/>
            <w:hideMark/>
          </w:tcPr>
          <w:p w14:paraId="1636CA86" w14:textId="2455F586"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CY19</w:t>
            </w:r>
          </w:p>
        </w:tc>
        <w:tc>
          <w:tcPr>
            <w:tcW w:w="735" w:type="dxa"/>
            <w:tcBorders>
              <w:top w:val="single" w:sz="4" w:space="0" w:color="auto"/>
              <w:left w:val="nil"/>
              <w:bottom w:val="single" w:sz="4" w:space="0" w:color="auto"/>
              <w:right w:val="single" w:sz="4" w:space="0" w:color="auto"/>
            </w:tcBorders>
            <w:shd w:val="clear" w:color="auto" w:fill="DDEBF7"/>
            <w:noWrap/>
            <w:vAlign w:val="bottom"/>
            <w:hideMark/>
          </w:tcPr>
          <w:p w14:paraId="4F042AD4" w14:textId="212E59F9"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CY20</w:t>
            </w:r>
          </w:p>
        </w:tc>
        <w:tc>
          <w:tcPr>
            <w:tcW w:w="720" w:type="dxa"/>
            <w:tcBorders>
              <w:top w:val="single" w:sz="4" w:space="0" w:color="auto"/>
              <w:left w:val="nil"/>
              <w:bottom w:val="single" w:sz="4" w:space="0" w:color="auto"/>
              <w:right w:val="single" w:sz="4" w:space="0" w:color="auto"/>
            </w:tcBorders>
            <w:shd w:val="clear" w:color="auto" w:fill="DDEBF7"/>
            <w:noWrap/>
            <w:vAlign w:val="bottom"/>
            <w:hideMark/>
          </w:tcPr>
          <w:p w14:paraId="6DEBF109" w14:textId="196FE640"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CY21</w:t>
            </w:r>
          </w:p>
        </w:tc>
        <w:tc>
          <w:tcPr>
            <w:tcW w:w="750" w:type="dxa"/>
            <w:tcBorders>
              <w:top w:val="single" w:sz="4" w:space="0" w:color="auto"/>
              <w:left w:val="nil"/>
              <w:bottom w:val="single" w:sz="4" w:space="0" w:color="auto"/>
              <w:right w:val="single" w:sz="4" w:space="0" w:color="auto"/>
            </w:tcBorders>
            <w:shd w:val="clear" w:color="auto" w:fill="DDEBF7"/>
            <w:noWrap/>
            <w:vAlign w:val="bottom"/>
            <w:hideMark/>
          </w:tcPr>
          <w:p w14:paraId="0F8AE74D" w14:textId="744B422F"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CY22</w:t>
            </w:r>
          </w:p>
        </w:tc>
        <w:tc>
          <w:tcPr>
            <w:tcW w:w="720" w:type="dxa"/>
            <w:tcBorders>
              <w:top w:val="single" w:sz="4" w:space="0" w:color="auto"/>
              <w:left w:val="nil"/>
              <w:bottom w:val="single" w:sz="4" w:space="0" w:color="auto"/>
              <w:right w:val="single" w:sz="4" w:space="0" w:color="auto"/>
            </w:tcBorders>
            <w:shd w:val="clear" w:color="auto" w:fill="DDEBF7"/>
            <w:noWrap/>
            <w:vAlign w:val="bottom"/>
            <w:hideMark/>
          </w:tcPr>
          <w:p w14:paraId="5ED8205B" w14:textId="0537648C"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CY23</w:t>
            </w:r>
          </w:p>
        </w:tc>
        <w:tc>
          <w:tcPr>
            <w:tcW w:w="1368" w:type="dxa"/>
            <w:tcBorders>
              <w:top w:val="single" w:sz="4" w:space="0" w:color="auto"/>
              <w:left w:val="nil"/>
              <w:bottom w:val="single" w:sz="4" w:space="0" w:color="auto"/>
              <w:right w:val="single" w:sz="4" w:space="0" w:color="auto"/>
            </w:tcBorders>
            <w:shd w:val="clear" w:color="auto" w:fill="DDEBF7"/>
          </w:tcPr>
          <w:p w14:paraId="245E236B" w14:textId="4E73EFF5"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 Change</w:t>
            </w:r>
          </w:p>
          <w:p w14:paraId="4A8189FA" w14:textId="0D6230D0" w:rsidR="005B1065" w:rsidRPr="000D49ED" w:rsidRDefault="005B1065">
            <w:pPr>
              <w:widowControl/>
              <w:autoSpaceDE/>
              <w:autoSpaceDN/>
              <w:jc w:val="center"/>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CY18 to CY22</w:t>
            </w:r>
          </w:p>
        </w:tc>
      </w:tr>
      <w:tr w:rsidR="005B1065" w:rsidRPr="000D49ED" w14:paraId="1D5C98D1" w14:textId="77777777" w:rsidTr="2FEDD251">
        <w:trPr>
          <w:trHeight w:val="290"/>
        </w:trPr>
        <w:tc>
          <w:tcPr>
            <w:tcW w:w="1695" w:type="dxa"/>
            <w:tcBorders>
              <w:top w:val="nil"/>
              <w:left w:val="single" w:sz="4" w:space="0" w:color="auto"/>
              <w:bottom w:val="single" w:sz="4" w:space="0" w:color="auto"/>
              <w:right w:val="single" w:sz="4" w:space="0" w:color="auto"/>
            </w:tcBorders>
            <w:shd w:val="clear" w:color="auto" w:fill="auto"/>
            <w:noWrap/>
            <w:vAlign w:val="bottom"/>
            <w:hideMark/>
          </w:tcPr>
          <w:p w14:paraId="7FCDF807" w14:textId="291C93F9" w:rsidR="005B1065" w:rsidRPr="000D49ED" w:rsidRDefault="005B1065">
            <w:pPr>
              <w:widowControl/>
              <w:autoSpaceDE/>
              <w:autoSpaceDN/>
              <w:rPr>
                <w:rFonts w:asciiTheme="minorHAnsi" w:eastAsia="Times New Roman" w:hAnsiTheme="minorHAnsi"/>
                <w:b/>
                <w:bCs/>
                <w:color w:val="000000"/>
                <w:szCs w:val="24"/>
              </w:rPr>
            </w:pPr>
            <w:r w:rsidRPr="000D49ED">
              <w:rPr>
                <w:rFonts w:asciiTheme="minorHAnsi" w:eastAsia="Times New Roman" w:hAnsiTheme="minorHAnsi"/>
                <w:b/>
                <w:bCs/>
                <w:color w:val="000000"/>
                <w:szCs w:val="24"/>
              </w:rPr>
              <w:t>ALOS</w:t>
            </w:r>
            <w:r w:rsidR="007018C4" w:rsidRPr="000D49ED">
              <w:rPr>
                <w:rFonts w:asciiTheme="minorHAnsi" w:eastAsia="Times New Roman" w:hAnsiTheme="minorHAnsi"/>
                <w:b/>
                <w:bCs/>
                <w:color w:val="000000"/>
                <w:szCs w:val="24"/>
              </w:rPr>
              <w:t xml:space="preserve"> (Hours)</w:t>
            </w:r>
            <w:r w:rsidR="003A33E2" w:rsidRPr="000D49ED">
              <w:rPr>
                <w:rStyle w:val="FootnoteReference"/>
                <w:rFonts w:asciiTheme="minorHAnsi" w:eastAsia="Times New Roman" w:hAnsiTheme="minorHAnsi"/>
                <w:b/>
                <w:bCs/>
                <w:color w:val="000000"/>
                <w:szCs w:val="24"/>
              </w:rPr>
              <w:footnoteReference w:id="44"/>
            </w:r>
          </w:p>
        </w:tc>
        <w:tc>
          <w:tcPr>
            <w:tcW w:w="750" w:type="dxa"/>
            <w:tcBorders>
              <w:top w:val="nil"/>
              <w:left w:val="nil"/>
              <w:bottom w:val="single" w:sz="4" w:space="0" w:color="auto"/>
              <w:right w:val="single" w:sz="4" w:space="0" w:color="auto"/>
            </w:tcBorders>
            <w:shd w:val="clear" w:color="auto" w:fill="auto"/>
            <w:noWrap/>
            <w:vAlign w:val="bottom"/>
            <w:hideMark/>
          </w:tcPr>
          <w:p w14:paraId="1BB125B9" w14:textId="77777777" w:rsidR="005B1065" w:rsidRPr="000D49ED" w:rsidRDefault="005B1065">
            <w:pPr>
              <w:widowControl/>
              <w:autoSpaceDE/>
              <w:autoSpaceDN/>
              <w:jc w:val="center"/>
              <w:rPr>
                <w:rFonts w:asciiTheme="minorHAnsi" w:eastAsia="Times New Roman" w:hAnsiTheme="minorHAnsi"/>
                <w:color w:val="000000"/>
                <w:szCs w:val="24"/>
              </w:rPr>
            </w:pPr>
            <w:r w:rsidRPr="000D49ED">
              <w:rPr>
                <w:rFonts w:asciiTheme="minorHAnsi" w:eastAsia="Times New Roman" w:hAnsiTheme="minorHAnsi"/>
                <w:color w:val="000000"/>
                <w:szCs w:val="24"/>
              </w:rPr>
              <w:t>6.9</w:t>
            </w:r>
          </w:p>
        </w:tc>
        <w:tc>
          <w:tcPr>
            <w:tcW w:w="750" w:type="dxa"/>
            <w:tcBorders>
              <w:top w:val="nil"/>
              <w:left w:val="nil"/>
              <w:bottom w:val="single" w:sz="4" w:space="0" w:color="auto"/>
              <w:right w:val="single" w:sz="4" w:space="0" w:color="auto"/>
            </w:tcBorders>
            <w:shd w:val="clear" w:color="auto" w:fill="auto"/>
            <w:noWrap/>
            <w:vAlign w:val="bottom"/>
            <w:hideMark/>
          </w:tcPr>
          <w:p w14:paraId="7600E360" w14:textId="77777777" w:rsidR="005B1065" w:rsidRPr="000D49ED" w:rsidRDefault="005B1065">
            <w:pPr>
              <w:widowControl/>
              <w:autoSpaceDE/>
              <w:autoSpaceDN/>
              <w:jc w:val="center"/>
              <w:rPr>
                <w:rFonts w:asciiTheme="minorHAnsi" w:eastAsia="Times New Roman" w:hAnsiTheme="minorHAnsi"/>
                <w:color w:val="000000"/>
                <w:szCs w:val="24"/>
              </w:rPr>
            </w:pPr>
            <w:r w:rsidRPr="000D49ED">
              <w:rPr>
                <w:rFonts w:asciiTheme="minorHAnsi" w:eastAsia="Times New Roman" w:hAnsiTheme="minorHAnsi"/>
                <w:color w:val="000000"/>
                <w:szCs w:val="24"/>
              </w:rPr>
              <w:t>7.3</w:t>
            </w:r>
          </w:p>
        </w:tc>
        <w:tc>
          <w:tcPr>
            <w:tcW w:w="735" w:type="dxa"/>
            <w:tcBorders>
              <w:top w:val="nil"/>
              <w:left w:val="nil"/>
              <w:bottom w:val="single" w:sz="4" w:space="0" w:color="auto"/>
              <w:right w:val="single" w:sz="4" w:space="0" w:color="auto"/>
            </w:tcBorders>
            <w:shd w:val="clear" w:color="auto" w:fill="auto"/>
            <w:noWrap/>
            <w:vAlign w:val="bottom"/>
            <w:hideMark/>
          </w:tcPr>
          <w:p w14:paraId="1B1FCA6B" w14:textId="77777777" w:rsidR="005B1065" w:rsidRPr="000D49ED" w:rsidRDefault="005B1065">
            <w:pPr>
              <w:widowControl/>
              <w:autoSpaceDE/>
              <w:autoSpaceDN/>
              <w:jc w:val="center"/>
              <w:rPr>
                <w:rFonts w:asciiTheme="minorHAnsi" w:eastAsia="Times New Roman" w:hAnsiTheme="minorHAnsi"/>
                <w:color w:val="000000"/>
                <w:szCs w:val="24"/>
              </w:rPr>
            </w:pPr>
            <w:r w:rsidRPr="000D49ED">
              <w:rPr>
                <w:rFonts w:asciiTheme="minorHAnsi" w:eastAsia="Times New Roman" w:hAnsiTheme="minorHAnsi"/>
                <w:color w:val="000000"/>
                <w:szCs w:val="24"/>
              </w:rPr>
              <w:t>7.5</w:t>
            </w:r>
          </w:p>
        </w:tc>
        <w:tc>
          <w:tcPr>
            <w:tcW w:w="720" w:type="dxa"/>
            <w:tcBorders>
              <w:top w:val="nil"/>
              <w:left w:val="nil"/>
              <w:bottom w:val="single" w:sz="4" w:space="0" w:color="auto"/>
              <w:right w:val="single" w:sz="4" w:space="0" w:color="auto"/>
            </w:tcBorders>
            <w:shd w:val="clear" w:color="auto" w:fill="auto"/>
            <w:noWrap/>
            <w:vAlign w:val="bottom"/>
            <w:hideMark/>
          </w:tcPr>
          <w:p w14:paraId="2DA53E1E" w14:textId="77777777" w:rsidR="005B1065" w:rsidRPr="000D49ED" w:rsidRDefault="005B1065">
            <w:pPr>
              <w:widowControl/>
              <w:autoSpaceDE/>
              <w:autoSpaceDN/>
              <w:jc w:val="center"/>
              <w:rPr>
                <w:rFonts w:asciiTheme="minorHAnsi" w:eastAsia="Times New Roman" w:hAnsiTheme="minorHAnsi"/>
                <w:color w:val="000000"/>
                <w:szCs w:val="24"/>
              </w:rPr>
            </w:pPr>
            <w:r w:rsidRPr="000D49ED">
              <w:rPr>
                <w:rFonts w:asciiTheme="minorHAnsi" w:eastAsia="Times New Roman" w:hAnsiTheme="minorHAnsi"/>
                <w:color w:val="000000"/>
                <w:szCs w:val="24"/>
              </w:rPr>
              <w:t>8.7</w:t>
            </w:r>
          </w:p>
        </w:tc>
        <w:tc>
          <w:tcPr>
            <w:tcW w:w="750" w:type="dxa"/>
            <w:tcBorders>
              <w:top w:val="nil"/>
              <w:left w:val="nil"/>
              <w:bottom w:val="single" w:sz="4" w:space="0" w:color="auto"/>
              <w:right w:val="single" w:sz="4" w:space="0" w:color="auto"/>
            </w:tcBorders>
            <w:shd w:val="clear" w:color="auto" w:fill="auto"/>
            <w:noWrap/>
            <w:vAlign w:val="bottom"/>
            <w:hideMark/>
          </w:tcPr>
          <w:p w14:paraId="374CD72C" w14:textId="77777777" w:rsidR="005B1065" w:rsidRPr="000D49ED" w:rsidRDefault="005B1065">
            <w:pPr>
              <w:widowControl/>
              <w:autoSpaceDE/>
              <w:autoSpaceDN/>
              <w:jc w:val="center"/>
              <w:rPr>
                <w:rFonts w:asciiTheme="minorHAnsi" w:eastAsia="Times New Roman" w:hAnsiTheme="minorHAnsi"/>
                <w:color w:val="000000"/>
                <w:szCs w:val="24"/>
              </w:rPr>
            </w:pPr>
            <w:r w:rsidRPr="000D49ED">
              <w:rPr>
                <w:rFonts w:asciiTheme="minorHAnsi" w:eastAsia="Times New Roman" w:hAnsiTheme="minorHAnsi"/>
                <w:color w:val="000000"/>
                <w:szCs w:val="24"/>
              </w:rPr>
              <w:t>9.4</w:t>
            </w:r>
          </w:p>
        </w:tc>
        <w:tc>
          <w:tcPr>
            <w:tcW w:w="720" w:type="dxa"/>
            <w:tcBorders>
              <w:top w:val="nil"/>
              <w:left w:val="nil"/>
              <w:bottom w:val="single" w:sz="4" w:space="0" w:color="auto"/>
              <w:right w:val="single" w:sz="4" w:space="0" w:color="auto"/>
            </w:tcBorders>
            <w:shd w:val="clear" w:color="auto" w:fill="auto"/>
            <w:noWrap/>
            <w:vAlign w:val="bottom"/>
            <w:hideMark/>
          </w:tcPr>
          <w:p w14:paraId="19E77766" w14:textId="77777777" w:rsidR="005B1065" w:rsidRPr="000D49ED" w:rsidRDefault="005B1065">
            <w:pPr>
              <w:widowControl/>
              <w:autoSpaceDE/>
              <w:autoSpaceDN/>
              <w:jc w:val="center"/>
              <w:rPr>
                <w:rFonts w:asciiTheme="minorHAnsi" w:eastAsia="Times New Roman" w:hAnsiTheme="minorHAnsi"/>
                <w:color w:val="000000"/>
                <w:szCs w:val="24"/>
              </w:rPr>
            </w:pPr>
            <w:r w:rsidRPr="000D49ED">
              <w:rPr>
                <w:rFonts w:asciiTheme="minorHAnsi" w:eastAsia="Times New Roman" w:hAnsiTheme="minorHAnsi"/>
                <w:color w:val="000000"/>
                <w:szCs w:val="24"/>
              </w:rPr>
              <w:t>-</w:t>
            </w:r>
          </w:p>
        </w:tc>
        <w:tc>
          <w:tcPr>
            <w:tcW w:w="1368" w:type="dxa"/>
            <w:tcBorders>
              <w:top w:val="nil"/>
              <w:left w:val="nil"/>
              <w:bottom w:val="single" w:sz="4" w:space="0" w:color="auto"/>
              <w:right w:val="single" w:sz="4" w:space="0" w:color="auto"/>
            </w:tcBorders>
          </w:tcPr>
          <w:p w14:paraId="5FDC314F" w14:textId="4F842C6F" w:rsidR="005B1065" w:rsidRPr="000D49ED" w:rsidRDefault="005B1065">
            <w:pPr>
              <w:widowControl/>
              <w:autoSpaceDE/>
              <w:autoSpaceDN/>
              <w:jc w:val="center"/>
              <w:rPr>
                <w:rFonts w:asciiTheme="minorHAnsi" w:eastAsia="Times New Roman" w:hAnsiTheme="minorHAnsi"/>
                <w:color w:val="000000"/>
                <w:szCs w:val="24"/>
              </w:rPr>
            </w:pPr>
            <w:r w:rsidRPr="000D49ED">
              <w:rPr>
                <w:rFonts w:asciiTheme="minorHAnsi" w:hAnsiTheme="minorHAnsi"/>
                <w:szCs w:val="24"/>
              </w:rPr>
              <w:t>36%</w:t>
            </w:r>
          </w:p>
        </w:tc>
      </w:tr>
    </w:tbl>
    <w:p w14:paraId="7E693331" w14:textId="77777777" w:rsidR="002801B3" w:rsidRDefault="002801B3" w:rsidP="00750C7B">
      <w:pPr>
        <w:rPr>
          <w:rFonts w:asciiTheme="minorHAnsi" w:hAnsiTheme="minorHAnsi"/>
          <w:szCs w:val="24"/>
        </w:rPr>
      </w:pPr>
    </w:p>
    <w:p w14:paraId="33FFFF84" w14:textId="388E4420" w:rsidR="00D368DF" w:rsidRPr="003B2CD4" w:rsidRDefault="00CE7618" w:rsidP="67771AE9">
      <w:pPr>
        <w:rPr>
          <w:rFonts w:asciiTheme="minorHAnsi" w:hAnsiTheme="minorHAnsi"/>
          <w:i/>
          <w:iCs/>
          <w:u w:val="single"/>
        </w:rPr>
      </w:pPr>
      <w:r>
        <w:rPr>
          <w:rFonts w:asciiTheme="minorHAnsi" w:hAnsiTheme="minorHAnsi"/>
          <w:i/>
          <w:iCs/>
          <w:u w:val="single"/>
        </w:rPr>
        <w:t xml:space="preserve">Patient </w:t>
      </w:r>
      <w:r w:rsidR="00D368DF" w:rsidRPr="003B2CD4">
        <w:rPr>
          <w:rFonts w:asciiTheme="minorHAnsi" w:hAnsiTheme="minorHAnsi"/>
          <w:i/>
          <w:iCs/>
          <w:u w:val="single"/>
        </w:rPr>
        <w:t>Transfers</w:t>
      </w:r>
    </w:p>
    <w:p w14:paraId="16703EAA" w14:textId="646AC5DD" w:rsidR="005D0DC8" w:rsidRDefault="002B7C12" w:rsidP="67771AE9">
      <w:pPr>
        <w:rPr>
          <w:rFonts w:asciiTheme="minorHAnsi" w:hAnsiTheme="minorHAnsi"/>
        </w:rPr>
      </w:pPr>
      <w:r>
        <w:rPr>
          <w:rFonts w:asciiTheme="minorHAnsi" w:hAnsiTheme="minorHAnsi"/>
        </w:rPr>
        <w:t xml:space="preserve">The Applicant states that </w:t>
      </w:r>
      <w:r w:rsidR="002F717D">
        <w:rPr>
          <w:rFonts w:asciiTheme="minorHAnsi" w:hAnsiTheme="minorHAnsi"/>
        </w:rPr>
        <w:t>additional need for</w:t>
      </w:r>
      <w:r w:rsidR="611D5CA7" w:rsidRPr="67771AE9">
        <w:rPr>
          <w:rFonts w:asciiTheme="minorHAnsi" w:hAnsiTheme="minorHAnsi"/>
        </w:rPr>
        <w:t xml:space="preserve"> inpatient </w:t>
      </w:r>
      <w:r w:rsidR="002F717D">
        <w:rPr>
          <w:rFonts w:asciiTheme="minorHAnsi" w:hAnsiTheme="minorHAnsi"/>
        </w:rPr>
        <w:t>capacity</w:t>
      </w:r>
      <w:r w:rsidR="611D5CA7" w:rsidRPr="67771AE9">
        <w:rPr>
          <w:rFonts w:asciiTheme="minorHAnsi" w:hAnsiTheme="minorHAnsi"/>
        </w:rPr>
        <w:t xml:space="preserve"> is demonstrated in the number of </w:t>
      </w:r>
      <w:r w:rsidR="00546EFD">
        <w:rPr>
          <w:rFonts w:asciiTheme="minorHAnsi" w:hAnsiTheme="minorHAnsi"/>
        </w:rPr>
        <w:t xml:space="preserve">patient </w:t>
      </w:r>
      <w:r w:rsidR="611D5CA7" w:rsidRPr="67771AE9">
        <w:rPr>
          <w:rFonts w:asciiTheme="minorHAnsi" w:hAnsiTheme="minorHAnsi"/>
        </w:rPr>
        <w:t>transfers that</w:t>
      </w:r>
      <w:r w:rsidR="002F717D">
        <w:rPr>
          <w:rFonts w:asciiTheme="minorHAnsi" w:hAnsiTheme="minorHAnsi"/>
        </w:rPr>
        <w:t xml:space="preserve"> the Applicant </w:t>
      </w:r>
      <w:r w:rsidR="611D5CA7" w:rsidRPr="67771AE9">
        <w:rPr>
          <w:rFonts w:asciiTheme="minorHAnsi" w:hAnsiTheme="minorHAnsi"/>
        </w:rPr>
        <w:t xml:space="preserve">cannot </w:t>
      </w:r>
      <w:r w:rsidR="002F717D">
        <w:rPr>
          <w:rFonts w:asciiTheme="minorHAnsi" w:hAnsiTheme="minorHAnsi"/>
        </w:rPr>
        <w:t>currently</w:t>
      </w:r>
      <w:r w:rsidR="611D5CA7" w:rsidRPr="67771AE9">
        <w:rPr>
          <w:rFonts w:asciiTheme="minorHAnsi" w:hAnsiTheme="minorHAnsi"/>
        </w:rPr>
        <w:t xml:space="preserve"> accept due to</w:t>
      </w:r>
      <w:r w:rsidR="002F717D">
        <w:rPr>
          <w:rFonts w:asciiTheme="minorHAnsi" w:hAnsiTheme="minorHAnsi"/>
        </w:rPr>
        <w:t xml:space="preserve"> the</w:t>
      </w:r>
      <w:r w:rsidR="611D5CA7" w:rsidRPr="67771AE9">
        <w:rPr>
          <w:rFonts w:asciiTheme="minorHAnsi" w:hAnsiTheme="minorHAnsi"/>
        </w:rPr>
        <w:t xml:space="preserve"> lack of inpatient capacity. </w:t>
      </w:r>
      <w:r w:rsidR="440CA51C" w:rsidRPr="67771AE9">
        <w:rPr>
          <w:rFonts w:asciiTheme="minorHAnsi" w:hAnsiTheme="minorHAnsi"/>
        </w:rPr>
        <w:t xml:space="preserve">The Applicant estimates that seven patients per day </w:t>
      </w:r>
      <w:r w:rsidR="0F92C2B7" w:rsidRPr="67771AE9">
        <w:rPr>
          <w:rFonts w:asciiTheme="minorHAnsi" w:hAnsiTheme="minorHAnsi"/>
        </w:rPr>
        <w:t xml:space="preserve">who have been clinically accepted by the Applicant’s </w:t>
      </w:r>
      <w:r w:rsidR="00F70C50">
        <w:rPr>
          <w:rFonts w:asciiTheme="minorHAnsi" w:hAnsiTheme="minorHAnsi"/>
        </w:rPr>
        <w:t xml:space="preserve">medical </w:t>
      </w:r>
      <w:r w:rsidR="0F92C2B7" w:rsidRPr="67771AE9">
        <w:rPr>
          <w:rFonts w:asciiTheme="minorHAnsi" w:hAnsiTheme="minorHAnsi"/>
        </w:rPr>
        <w:t xml:space="preserve">oncologists and are awaiting a bed for transfer to one of the Applicant’s </w:t>
      </w:r>
      <w:r w:rsidR="00F05107">
        <w:rPr>
          <w:rFonts w:asciiTheme="minorHAnsi" w:hAnsiTheme="minorHAnsi"/>
        </w:rPr>
        <w:t xml:space="preserve">licensed </w:t>
      </w:r>
      <w:r w:rsidR="0F92C2B7" w:rsidRPr="67771AE9">
        <w:rPr>
          <w:rFonts w:asciiTheme="minorHAnsi" w:hAnsiTheme="minorHAnsi"/>
        </w:rPr>
        <w:t xml:space="preserve">beds or </w:t>
      </w:r>
      <w:r w:rsidR="00F05107">
        <w:rPr>
          <w:rFonts w:asciiTheme="minorHAnsi" w:hAnsiTheme="minorHAnsi"/>
        </w:rPr>
        <w:t xml:space="preserve">to </w:t>
      </w:r>
      <w:r w:rsidR="0F92C2B7" w:rsidRPr="67771AE9">
        <w:rPr>
          <w:rFonts w:asciiTheme="minorHAnsi" w:hAnsiTheme="minorHAnsi"/>
        </w:rPr>
        <w:t xml:space="preserve">one </w:t>
      </w:r>
      <w:r w:rsidR="367E176C" w:rsidRPr="67771AE9">
        <w:rPr>
          <w:rFonts w:asciiTheme="minorHAnsi" w:hAnsiTheme="minorHAnsi"/>
        </w:rPr>
        <w:t xml:space="preserve">of </w:t>
      </w:r>
      <w:r w:rsidR="0F92C2B7" w:rsidRPr="67771AE9">
        <w:rPr>
          <w:rFonts w:asciiTheme="minorHAnsi" w:hAnsiTheme="minorHAnsi"/>
        </w:rPr>
        <w:t>the</w:t>
      </w:r>
      <w:r w:rsidR="00F05107">
        <w:rPr>
          <w:rFonts w:asciiTheme="minorHAnsi" w:hAnsiTheme="minorHAnsi"/>
        </w:rPr>
        <w:t xml:space="preserve"> BWH-licensed</w:t>
      </w:r>
      <w:r w:rsidR="0F92C2B7" w:rsidRPr="67771AE9">
        <w:rPr>
          <w:rFonts w:asciiTheme="minorHAnsi" w:hAnsiTheme="minorHAnsi"/>
        </w:rPr>
        <w:t xml:space="preserve"> beds </w:t>
      </w:r>
      <w:r w:rsidR="00F05107">
        <w:rPr>
          <w:rFonts w:asciiTheme="minorHAnsi" w:hAnsiTheme="minorHAnsi"/>
        </w:rPr>
        <w:t xml:space="preserve">that are </w:t>
      </w:r>
      <w:r w:rsidR="0F92C2B7" w:rsidRPr="67771AE9">
        <w:rPr>
          <w:rFonts w:asciiTheme="minorHAnsi" w:hAnsiTheme="minorHAnsi"/>
        </w:rPr>
        <w:t xml:space="preserve">managed by the Applicant’s </w:t>
      </w:r>
      <w:r w:rsidR="00FC2581">
        <w:rPr>
          <w:rFonts w:asciiTheme="minorHAnsi" w:hAnsiTheme="minorHAnsi"/>
        </w:rPr>
        <w:t xml:space="preserve">medical </w:t>
      </w:r>
      <w:r w:rsidR="0F92C2B7" w:rsidRPr="67771AE9">
        <w:rPr>
          <w:rFonts w:asciiTheme="minorHAnsi" w:hAnsiTheme="minorHAnsi"/>
        </w:rPr>
        <w:t>oncologists</w:t>
      </w:r>
      <w:r w:rsidR="00F05107">
        <w:rPr>
          <w:rFonts w:asciiTheme="minorHAnsi" w:hAnsiTheme="minorHAnsi"/>
        </w:rPr>
        <w:t xml:space="preserve">, </w:t>
      </w:r>
      <w:r w:rsidR="440CA51C" w:rsidRPr="67771AE9">
        <w:rPr>
          <w:rFonts w:asciiTheme="minorHAnsi" w:hAnsiTheme="minorHAnsi"/>
        </w:rPr>
        <w:t>are unable to transfe</w:t>
      </w:r>
      <w:r w:rsidR="06AFFE58" w:rsidRPr="67771AE9">
        <w:rPr>
          <w:rFonts w:asciiTheme="minorHAnsi" w:hAnsiTheme="minorHAnsi"/>
        </w:rPr>
        <w:t>r</w:t>
      </w:r>
      <w:r w:rsidR="440CA51C" w:rsidRPr="67771AE9">
        <w:rPr>
          <w:rFonts w:asciiTheme="minorHAnsi" w:hAnsiTheme="minorHAnsi"/>
        </w:rPr>
        <w:t xml:space="preserve"> due to limited inpatient capacity</w:t>
      </w:r>
      <w:r w:rsidR="0F92C2B7" w:rsidRPr="67771AE9">
        <w:rPr>
          <w:rFonts w:asciiTheme="minorHAnsi" w:hAnsiTheme="minorHAnsi"/>
        </w:rPr>
        <w:t xml:space="preserve">. </w:t>
      </w:r>
      <w:r w:rsidR="001E58FA">
        <w:rPr>
          <w:rFonts w:asciiTheme="minorHAnsi" w:hAnsiTheme="minorHAnsi"/>
        </w:rPr>
        <w:t xml:space="preserve">The Applicant states that the number of patients that cannot be transferred </w:t>
      </w:r>
      <w:r w:rsidR="7D8D36E0" w:rsidRPr="67771AE9">
        <w:rPr>
          <w:rFonts w:asciiTheme="minorHAnsi" w:hAnsiTheme="minorHAnsi"/>
        </w:rPr>
        <w:t xml:space="preserve">includes </w:t>
      </w:r>
      <w:r w:rsidR="001E58FA">
        <w:rPr>
          <w:rFonts w:asciiTheme="minorHAnsi" w:hAnsiTheme="minorHAnsi"/>
        </w:rPr>
        <w:t xml:space="preserve">patients </w:t>
      </w:r>
      <w:r w:rsidR="7D8D36E0" w:rsidRPr="67771AE9">
        <w:rPr>
          <w:rFonts w:asciiTheme="minorHAnsi" w:hAnsiTheme="minorHAnsi"/>
        </w:rPr>
        <w:t xml:space="preserve">established </w:t>
      </w:r>
      <w:r w:rsidR="001E58FA">
        <w:rPr>
          <w:rFonts w:asciiTheme="minorHAnsi" w:hAnsiTheme="minorHAnsi"/>
        </w:rPr>
        <w:t xml:space="preserve">under the Applicant’s care who </w:t>
      </w:r>
      <w:r w:rsidR="7D8D36E0" w:rsidRPr="67771AE9">
        <w:rPr>
          <w:rFonts w:asciiTheme="minorHAnsi" w:hAnsiTheme="minorHAnsi"/>
        </w:rPr>
        <w:t>have been receiving their ambulatory care with the Applicant</w:t>
      </w:r>
      <w:r w:rsidR="00C97BA1">
        <w:rPr>
          <w:rFonts w:asciiTheme="minorHAnsi" w:hAnsiTheme="minorHAnsi"/>
        </w:rPr>
        <w:t xml:space="preserve">, </w:t>
      </w:r>
      <w:r w:rsidR="002B6185">
        <w:rPr>
          <w:rFonts w:asciiTheme="minorHAnsi" w:hAnsiTheme="minorHAnsi"/>
        </w:rPr>
        <w:t xml:space="preserve">and </w:t>
      </w:r>
      <w:r w:rsidR="7D8D36E0" w:rsidRPr="67771AE9">
        <w:rPr>
          <w:rFonts w:asciiTheme="minorHAnsi" w:hAnsiTheme="minorHAnsi"/>
        </w:rPr>
        <w:t>newly diagnosed patients, seeking transfers from outside emergency rooms or inpatient settings, and clinically accepted for transfer</w:t>
      </w:r>
      <w:r w:rsidR="41F48F55" w:rsidRPr="67771AE9">
        <w:rPr>
          <w:rFonts w:asciiTheme="minorHAnsi" w:hAnsiTheme="minorHAnsi"/>
        </w:rPr>
        <w:t xml:space="preserve">. </w:t>
      </w:r>
      <w:r w:rsidR="5C65C142" w:rsidRPr="67771AE9">
        <w:rPr>
          <w:rFonts w:asciiTheme="minorHAnsi" w:hAnsiTheme="minorHAnsi"/>
        </w:rPr>
        <w:t xml:space="preserve">The </w:t>
      </w:r>
      <w:r w:rsidR="41F48F55" w:rsidRPr="67771AE9">
        <w:rPr>
          <w:rFonts w:asciiTheme="minorHAnsi" w:hAnsiTheme="minorHAnsi"/>
        </w:rPr>
        <w:t xml:space="preserve">Applicant maintains that the </w:t>
      </w:r>
      <w:r w:rsidR="5C65C142" w:rsidRPr="67771AE9">
        <w:rPr>
          <w:rFonts w:asciiTheme="minorHAnsi" w:hAnsiTheme="minorHAnsi"/>
        </w:rPr>
        <w:t xml:space="preserve">inability to transfer patients </w:t>
      </w:r>
      <w:r w:rsidR="646CBDFD" w:rsidRPr="67771AE9">
        <w:rPr>
          <w:rFonts w:asciiTheme="minorHAnsi" w:hAnsiTheme="minorHAnsi"/>
        </w:rPr>
        <w:t xml:space="preserve">disrupts </w:t>
      </w:r>
      <w:r w:rsidR="001E58FA">
        <w:rPr>
          <w:rFonts w:asciiTheme="minorHAnsi" w:hAnsiTheme="minorHAnsi"/>
        </w:rPr>
        <w:t xml:space="preserve">patient </w:t>
      </w:r>
      <w:r w:rsidR="646CBDFD" w:rsidRPr="67771AE9">
        <w:rPr>
          <w:rFonts w:asciiTheme="minorHAnsi" w:hAnsiTheme="minorHAnsi"/>
        </w:rPr>
        <w:t>care</w:t>
      </w:r>
      <w:r w:rsidR="001E58FA">
        <w:rPr>
          <w:rFonts w:asciiTheme="minorHAnsi" w:hAnsiTheme="minorHAnsi"/>
        </w:rPr>
        <w:t xml:space="preserve">, </w:t>
      </w:r>
      <w:r w:rsidR="5C65C142" w:rsidRPr="67771AE9">
        <w:rPr>
          <w:rFonts w:asciiTheme="minorHAnsi" w:hAnsiTheme="minorHAnsi"/>
        </w:rPr>
        <w:t>leads to fragmented care</w:t>
      </w:r>
      <w:r w:rsidR="001E58FA">
        <w:rPr>
          <w:rFonts w:asciiTheme="minorHAnsi" w:hAnsiTheme="minorHAnsi"/>
        </w:rPr>
        <w:t xml:space="preserve"> and</w:t>
      </w:r>
      <w:r w:rsidR="5C65C142" w:rsidRPr="67771AE9">
        <w:rPr>
          <w:rFonts w:asciiTheme="minorHAnsi" w:hAnsiTheme="minorHAnsi"/>
        </w:rPr>
        <w:t xml:space="preserve"> poorer health outcomes, and increase</w:t>
      </w:r>
      <w:r w:rsidR="001E58FA">
        <w:rPr>
          <w:rFonts w:asciiTheme="minorHAnsi" w:hAnsiTheme="minorHAnsi"/>
        </w:rPr>
        <w:t>s</w:t>
      </w:r>
      <w:r w:rsidR="5C65C142" w:rsidRPr="67771AE9">
        <w:rPr>
          <w:rFonts w:asciiTheme="minorHAnsi" w:hAnsiTheme="minorHAnsi"/>
        </w:rPr>
        <w:t xml:space="preserve"> </w:t>
      </w:r>
      <w:r w:rsidR="009820B1">
        <w:rPr>
          <w:rFonts w:asciiTheme="minorHAnsi" w:hAnsiTheme="minorHAnsi"/>
        </w:rPr>
        <w:t>the cost of providing cancer care</w:t>
      </w:r>
      <w:r w:rsidR="5C65C142" w:rsidRPr="67771AE9">
        <w:rPr>
          <w:rFonts w:asciiTheme="minorHAnsi" w:hAnsiTheme="minorHAnsi"/>
        </w:rPr>
        <w:t xml:space="preserve">. </w:t>
      </w:r>
      <w:r w:rsidR="43FE2407" w:rsidRPr="67771AE9">
        <w:rPr>
          <w:rFonts w:asciiTheme="minorHAnsi" w:hAnsiTheme="minorHAnsi"/>
        </w:rPr>
        <w:t>The Applicant</w:t>
      </w:r>
      <w:r w:rsidR="1043FD01" w:rsidRPr="67771AE9">
        <w:rPr>
          <w:rFonts w:asciiTheme="minorHAnsi" w:hAnsiTheme="minorHAnsi"/>
        </w:rPr>
        <w:t xml:space="preserve"> states that only one patient </w:t>
      </w:r>
      <w:r w:rsidR="00FA4A3C">
        <w:rPr>
          <w:rFonts w:asciiTheme="minorHAnsi" w:hAnsiTheme="minorHAnsi"/>
        </w:rPr>
        <w:t xml:space="preserve">per day </w:t>
      </w:r>
      <w:r w:rsidR="1043FD01" w:rsidRPr="67771AE9">
        <w:rPr>
          <w:rFonts w:asciiTheme="minorHAnsi" w:hAnsiTheme="minorHAnsi"/>
        </w:rPr>
        <w:t xml:space="preserve">is able to be offered transfer </w:t>
      </w:r>
      <w:r w:rsidR="005F6276">
        <w:rPr>
          <w:rFonts w:asciiTheme="minorHAnsi" w:hAnsiTheme="minorHAnsi"/>
        </w:rPr>
        <w:t>to</w:t>
      </w:r>
      <w:r w:rsidR="0069183D">
        <w:rPr>
          <w:rFonts w:asciiTheme="minorHAnsi" w:hAnsiTheme="minorHAnsi"/>
        </w:rPr>
        <w:t xml:space="preserve"> </w:t>
      </w:r>
      <w:r w:rsidR="00FA4A3C" w:rsidRPr="00FA4A3C">
        <w:rPr>
          <w:rFonts w:asciiTheme="minorHAnsi" w:hAnsiTheme="minorHAnsi"/>
        </w:rPr>
        <w:t>one of the Applicant’s licensed beds or to one of the BWH-licensed beds that are managed by the Applicant’s oncologists</w:t>
      </w:r>
      <w:r w:rsidR="009820B1">
        <w:rPr>
          <w:rFonts w:asciiTheme="minorHAnsi" w:hAnsiTheme="minorHAnsi"/>
        </w:rPr>
        <w:t xml:space="preserve">. The Applicant </w:t>
      </w:r>
      <w:r w:rsidR="43FE2407" w:rsidRPr="67771AE9">
        <w:rPr>
          <w:rFonts w:asciiTheme="minorHAnsi" w:hAnsiTheme="minorHAnsi"/>
        </w:rPr>
        <w:t xml:space="preserve">estimates that approximately 300 patients were transferred to Dana-Farber licensed </w:t>
      </w:r>
      <w:r w:rsidR="009820B1">
        <w:rPr>
          <w:rFonts w:asciiTheme="minorHAnsi" w:hAnsiTheme="minorHAnsi"/>
        </w:rPr>
        <w:t xml:space="preserve">beds </w:t>
      </w:r>
      <w:r w:rsidR="43FE2407" w:rsidRPr="67771AE9">
        <w:rPr>
          <w:rFonts w:asciiTheme="minorHAnsi" w:hAnsiTheme="minorHAnsi"/>
        </w:rPr>
        <w:t xml:space="preserve">or </w:t>
      </w:r>
      <w:r w:rsidR="009820B1">
        <w:rPr>
          <w:rFonts w:asciiTheme="minorHAnsi" w:hAnsiTheme="minorHAnsi"/>
        </w:rPr>
        <w:t xml:space="preserve">BWH-licensed beds that are </w:t>
      </w:r>
      <w:r w:rsidR="43FE2407" w:rsidRPr="67771AE9">
        <w:rPr>
          <w:rFonts w:asciiTheme="minorHAnsi" w:hAnsiTheme="minorHAnsi"/>
        </w:rPr>
        <w:t xml:space="preserve">managed </w:t>
      </w:r>
      <w:r w:rsidR="009820B1">
        <w:rPr>
          <w:rFonts w:asciiTheme="minorHAnsi" w:hAnsiTheme="minorHAnsi"/>
        </w:rPr>
        <w:t xml:space="preserve">by the Applicant’s </w:t>
      </w:r>
      <w:r w:rsidR="00FC2581">
        <w:rPr>
          <w:rFonts w:asciiTheme="minorHAnsi" w:hAnsiTheme="minorHAnsi"/>
        </w:rPr>
        <w:t xml:space="preserve">medical </w:t>
      </w:r>
      <w:r w:rsidR="009820B1">
        <w:rPr>
          <w:rFonts w:asciiTheme="minorHAnsi" w:hAnsiTheme="minorHAnsi"/>
        </w:rPr>
        <w:t xml:space="preserve">oncologists, </w:t>
      </w:r>
      <w:r w:rsidR="43FE2407" w:rsidRPr="67771AE9">
        <w:rPr>
          <w:rFonts w:asciiTheme="minorHAnsi" w:hAnsiTheme="minorHAnsi"/>
        </w:rPr>
        <w:t xml:space="preserve">from outside facilities in FY22 and </w:t>
      </w:r>
      <w:r w:rsidR="002C7086">
        <w:rPr>
          <w:rFonts w:asciiTheme="minorHAnsi" w:hAnsiTheme="minorHAnsi"/>
        </w:rPr>
        <w:t xml:space="preserve">in </w:t>
      </w:r>
      <w:r w:rsidR="43FE2407" w:rsidRPr="67771AE9">
        <w:rPr>
          <w:rFonts w:asciiTheme="minorHAnsi" w:hAnsiTheme="minorHAnsi"/>
        </w:rPr>
        <w:t xml:space="preserve">FY23. </w:t>
      </w:r>
    </w:p>
    <w:p w14:paraId="3F1CC6BB" w14:textId="77777777" w:rsidR="00BF5508" w:rsidRDefault="00BF5508" w:rsidP="00BA2054">
      <w:pPr>
        <w:rPr>
          <w:rFonts w:asciiTheme="minorHAnsi" w:hAnsiTheme="minorHAnsi"/>
          <w:szCs w:val="24"/>
        </w:rPr>
      </w:pPr>
    </w:p>
    <w:p w14:paraId="73933747" w14:textId="4C94B1CC" w:rsidR="00094595" w:rsidRDefault="00142C07" w:rsidP="00BA2054">
      <w:pPr>
        <w:rPr>
          <w:rFonts w:asciiTheme="minorHAnsi" w:hAnsiTheme="minorHAnsi"/>
          <w:szCs w:val="24"/>
        </w:rPr>
      </w:pPr>
      <w:r>
        <w:rPr>
          <w:rFonts w:asciiTheme="minorHAnsi" w:hAnsiTheme="minorHAnsi"/>
          <w:szCs w:val="24"/>
        </w:rPr>
        <w:t xml:space="preserve">In response to staff inquiry about the </w:t>
      </w:r>
      <w:r w:rsidR="00BF5508">
        <w:rPr>
          <w:rFonts w:asciiTheme="minorHAnsi" w:hAnsiTheme="minorHAnsi"/>
          <w:szCs w:val="24"/>
        </w:rPr>
        <w:t xml:space="preserve">potential </w:t>
      </w:r>
      <w:r>
        <w:rPr>
          <w:rFonts w:asciiTheme="minorHAnsi" w:hAnsiTheme="minorHAnsi"/>
          <w:szCs w:val="24"/>
        </w:rPr>
        <w:t xml:space="preserve">sources of admission to the proposed </w:t>
      </w:r>
      <w:r w:rsidR="00921D53">
        <w:rPr>
          <w:rFonts w:asciiTheme="minorHAnsi" w:hAnsiTheme="minorHAnsi"/>
          <w:szCs w:val="24"/>
        </w:rPr>
        <w:t>hospital</w:t>
      </w:r>
      <w:r>
        <w:rPr>
          <w:rFonts w:asciiTheme="minorHAnsi" w:hAnsiTheme="minorHAnsi"/>
          <w:szCs w:val="24"/>
        </w:rPr>
        <w:t xml:space="preserve">, the Applicant states that it does not anticipate that 60% of inpatients in the proposed hospital will be </w:t>
      </w:r>
      <w:r>
        <w:rPr>
          <w:rFonts w:asciiTheme="minorHAnsi" w:hAnsiTheme="minorHAnsi"/>
          <w:szCs w:val="24"/>
        </w:rPr>
        <w:lastRenderedPageBreak/>
        <w:t xml:space="preserve">admitted through the BIDMC ED, but still maintains that a significant percentage likely will be. </w:t>
      </w:r>
      <w:r w:rsidR="00257D80">
        <w:rPr>
          <w:rFonts w:asciiTheme="minorHAnsi" w:hAnsiTheme="minorHAnsi"/>
          <w:szCs w:val="24"/>
        </w:rPr>
        <w:t>The Applicant states further</w:t>
      </w:r>
      <w:r w:rsidR="00E06F40">
        <w:rPr>
          <w:rFonts w:asciiTheme="minorHAnsi" w:hAnsiTheme="minorHAnsi"/>
          <w:szCs w:val="24"/>
        </w:rPr>
        <w:t xml:space="preserve"> that</w:t>
      </w:r>
      <w:r>
        <w:rPr>
          <w:rFonts w:asciiTheme="minorHAnsi" w:hAnsiTheme="minorHAnsi"/>
          <w:szCs w:val="24"/>
        </w:rPr>
        <w:t xml:space="preserve"> because the proposed hospital will provide additional inpatient capacity, </w:t>
      </w:r>
      <w:r w:rsidR="002A1896">
        <w:rPr>
          <w:rFonts w:asciiTheme="minorHAnsi" w:hAnsiTheme="minorHAnsi"/>
          <w:szCs w:val="24"/>
        </w:rPr>
        <w:t>the Applicant</w:t>
      </w:r>
      <w:r>
        <w:rPr>
          <w:rFonts w:asciiTheme="minorHAnsi" w:hAnsiTheme="minorHAnsi"/>
          <w:szCs w:val="24"/>
        </w:rPr>
        <w:t xml:space="preserve"> envisions that inpatient admissions will occur through a number of additional pathways, that include the outpatient environment, elective admissions, admissions from observation beds, admissions from the expanded</w:t>
      </w:r>
      <w:r w:rsidR="002A1896">
        <w:rPr>
          <w:rFonts w:asciiTheme="minorHAnsi" w:hAnsiTheme="minorHAnsi"/>
          <w:szCs w:val="24"/>
        </w:rPr>
        <w:t xml:space="preserve"> </w:t>
      </w:r>
      <w:r>
        <w:rPr>
          <w:rFonts w:asciiTheme="minorHAnsi" w:hAnsiTheme="minorHAnsi"/>
          <w:szCs w:val="24"/>
        </w:rPr>
        <w:t xml:space="preserve">Dana-Farber </w:t>
      </w:r>
      <w:r w:rsidR="00BE73F6">
        <w:rPr>
          <w:rFonts w:asciiTheme="minorHAnsi" w:hAnsiTheme="minorHAnsi"/>
          <w:szCs w:val="24"/>
        </w:rPr>
        <w:t xml:space="preserve">oncology-specific </w:t>
      </w:r>
      <w:r>
        <w:rPr>
          <w:rFonts w:asciiTheme="minorHAnsi" w:hAnsiTheme="minorHAnsi"/>
          <w:szCs w:val="24"/>
        </w:rPr>
        <w:t>Acute Care Clinic, transfers from other general acute care hospitals, and transfers from post-acute facilities and nursing homes. The Applicant maintains that</w:t>
      </w:r>
      <w:r w:rsidR="002A1896">
        <w:rPr>
          <w:rFonts w:asciiTheme="minorHAnsi" w:hAnsiTheme="minorHAnsi"/>
          <w:szCs w:val="24"/>
        </w:rPr>
        <w:t xml:space="preserve"> the</w:t>
      </w:r>
      <w:r>
        <w:rPr>
          <w:rFonts w:asciiTheme="minorHAnsi" w:hAnsiTheme="minorHAnsi"/>
          <w:szCs w:val="24"/>
        </w:rPr>
        <w:t xml:space="preserve"> </w:t>
      </w:r>
      <w:r w:rsidR="00D576EC">
        <w:rPr>
          <w:rFonts w:asciiTheme="minorHAnsi" w:hAnsiTheme="minorHAnsi"/>
          <w:szCs w:val="24"/>
        </w:rPr>
        <w:t>additional inpatient capacity that will result from</w:t>
      </w:r>
      <w:r w:rsidR="00094595">
        <w:rPr>
          <w:rFonts w:asciiTheme="minorHAnsi" w:hAnsiTheme="minorHAnsi"/>
          <w:szCs w:val="24"/>
        </w:rPr>
        <w:t xml:space="preserve"> the Proposed </w:t>
      </w:r>
      <w:r w:rsidR="004714A0">
        <w:rPr>
          <w:rFonts w:asciiTheme="minorHAnsi" w:hAnsiTheme="minorHAnsi"/>
          <w:szCs w:val="24"/>
        </w:rPr>
        <w:t>Project</w:t>
      </w:r>
      <w:r w:rsidR="00094595">
        <w:rPr>
          <w:rFonts w:asciiTheme="minorHAnsi" w:hAnsiTheme="minorHAnsi"/>
          <w:szCs w:val="24"/>
        </w:rPr>
        <w:t xml:space="preserve"> </w:t>
      </w:r>
      <w:r w:rsidR="00D576EC">
        <w:rPr>
          <w:rFonts w:asciiTheme="minorHAnsi" w:hAnsiTheme="minorHAnsi"/>
          <w:szCs w:val="24"/>
        </w:rPr>
        <w:t>will</w:t>
      </w:r>
      <w:r w:rsidR="00094595">
        <w:rPr>
          <w:rFonts w:asciiTheme="minorHAnsi" w:hAnsiTheme="minorHAnsi"/>
          <w:szCs w:val="24"/>
        </w:rPr>
        <w:t xml:space="preserve"> </w:t>
      </w:r>
      <w:r w:rsidR="00D576EC">
        <w:rPr>
          <w:rFonts w:asciiTheme="minorHAnsi" w:hAnsiTheme="minorHAnsi"/>
          <w:szCs w:val="24"/>
        </w:rPr>
        <w:t xml:space="preserve">reduce ED wait times, </w:t>
      </w:r>
      <w:r w:rsidR="00094595">
        <w:rPr>
          <w:rFonts w:asciiTheme="minorHAnsi" w:hAnsiTheme="minorHAnsi"/>
          <w:szCs w:val="24"/>
        </w:rPr>
        <w:t xml:space="preserve">increase timely access to inpatient beds for patients waiting in the ED, </w:t>
      </w:r>
      <w:r w:rsidR="00D576EC">
        <w:rPr>
          <w:rFonts w:asciiTheme="minorHAnsi" w:hAnsiTheme="minorHAnsi"/>
          <w:szCs w:val="24"/>
        </w:rPr>
        <w:t xml:space="preserve">and allow </w:t>
      </w:r>
      <w:r w:rsidR="00094595">
        <w:rPr>
          <w:rFonts w:asciiTheme="minorHAnsi" w:hAnsiTheme="minorHAnsi"/>
          <w:szCs w:val="24"/>
        </w:rPr>
        <w:t xml:space="preserve">more patients </w:t>
      </w:r>
      <w:r w:rsidR="00D576EC">
        <w:rPr>
          <w:rFonts w:asciiTheme="minorHAnsi" w:hAnsiTheme="minorHAnsi"/>
          <w:szCs w:val="24"/>
        </w:rPr>
        <w:t xml:space="preserve">to move </w:t>
      </w:r>
      <w:r w:rsidR="00094595">
        <w:rPr>
          <w:rFonts w:asciiTheme="minorHAnsi" w:hAnsiTheme="minorHAnsi"/>
          <w:szCs w:val="24"/>
        </w:rPr>
        <w:t>more efficiently between care settings</w:t>
      </w:r>
      <w:r w:rsidR="00D576EC">
        <w:rPr>
          <w:rFonts w:asciiTheme="minorHAnsi" w:hAnsiTheme="minorHAnsi"/>
          <w:szCs w:val="24"/>
        </w:rPr>
        <w:t xml:space="preserve">. </w:t>
      </w:r>
      <w:r w:rsidR="00094595">
        <w:rPr>
          <w:rFonts w:asciiTheme="minorHAnsi" w:hAnsiTheme="minorHAnsi"/>
          <w:szCs w:val="24"/>
        </w:rPr>
        <w:t xml:space="preserve"> </w:t>
      </w:r>
    </w:p>
    <w:p w14:paraId="34628772" w14:textId="77777777" w:rsidR="00B93F30" w:rsidRDefault="00B93F30" w:rsidP="00BA2054">
      <w:pPr>
        <w:rPr>
          <w:rFonts w:asciiTheme="minorHAnsi" w:hAnsiTheme="minorHAnsi"/>
          <w:szCs w:val="24"/>
        </w:rPr>
      </w:pPr>
    </w:p>
    <w:p w14:paraId="28EDBF81" w14:textId="77777777" w:rsidR="00B93F30" w:rsidRPr="00B93F30" w:rsidRDefault="00B93F30" w:rsidP="00BA2054">
      <w:pPr>
        <w:rPr>
          <w:rFonts w:asciiTheme="minorHAnsi" w:hAnsiTheme="minorHAnsi"/>
          <w:i/>
          <w:iCs/>
          <w:szCs w:val="24"/>
          <w:u w:val="single"/>
        </w:rPr>
      </w:pPr>
      <w:r w:rsidRPr="00B93F30">
        <w:rPr>
          <w:rFonts w:asciiTheme="minorHAnsi" w:hAnsiTheme="minorHAnsi"/>
          <w:i/>
          <w:iCs/>
          <w:szCs w:val="24"/>
          <w:u w:val="single"/>
        </w:rPr>
        <w:t>Post-Acute Care</w:t>
      </w:r>
    </w:p>
    <w:p w14:paraId="6230080A" w14:textId="3F11462D" w:rsidR="00B93F30" w:rsidRDefault="00B93F30" w:rsidP="00BA2054">
      <w:pPr>
        <w:rPr>
          <w:rFonts w:asciiTheme="minorHAnsi" w:hAnsiTheme="minorHAnsi"/>
          <w:szCs w:val="24"/>
        </w:rPr>
      </w:pPr>
      <w:r>
        <w:rPr>
          <w:rFonts w:asciiTheme="minorHAnsi" w:hAnsiTheme="minorHAnsi"/>
          <w:szCs w:val="24"/>
        </w:rPr>
        <w:t xml:space="preserve">The Applicant states </w:t>
      </w:r>
      <w:r w:rsidR="00AC13A8">
        <w:rPr>
          <w:rFonts w:asciiTheme="minorHAnsi" w:hAnsiTheme="minorHAnsi"/>
          <w:szCs w:val="24"/>
        </w:rPr>
        <w:t xml:space="preserve">7% </w:t>
      </w:r>
      <w:r>
        <w:rPr>
          <w:rFonts w:asciiTheme="minorHAnsi" w:hAnsiTheme="minorHAnsi"/>
          <w:szCs w:val="24"/>
        </w:rPr>
        <w:t xml:space="preserve">of </w:t>
      </w:r>
      <w:r w:rsidR="00AC13A8">
        <w:rPr>
          <w:rFonts w:asciiTheme="minorHAnsi" w:hAnsiTheme="minorHAnsi"/>
          <w:szCs w:val="24"/>
        </w:rPr>
        <w:t>its</w:t>
      </w:r>
      <w:r>
        <w:rPr>
          <w:rFonts w:asciiTheme="minorHAnsi" w:hAnsiTheme="minorHAnsi"/>
          <w:szCs w:val="24"/>
        </w:rPr>
        <w:t xml:space="preserve"> discharges are to post-acute facilities</w:t>
      </w:r>
      <w:r w:rsidR="00BD1A6D">
        <w:rPr>
          <w:rFonts w:asciiTheme="minorHAnsi" w:hAnsiTheme="minorHAnsi"/>
          <w:szCs w:val="24"/>
        </w:rPr>
        <w:t>, compared to 13% statewide,</w:t>
      </w:r>
      <w:r w:rsidR="00AC13A8">
        <w:rPr>
          <w:rFonts w:asciiTheme="minorHAnsi" w:hAnsiTheme="minorHAnsi"/>
          <w:szCs w:val="24"/>
        </w:rPr>
        <w:t xml:space="preserve"> and </w:t>
      </w:r>
      <w:r w:rsidR="00B05B8A">
        <w:rPr>
          <w:rFonts w:asciiTheme="minorHAnsi" w:hAnsiTheme="minorHAnsi"/>
          <w:szCs w:val="24"/>
        </w:rPr>
        <w:t xml:space="preserve">that </w:t>
      </w:r>
      <w:r w:rsidR="00AC13A8">
        <w:rPr>
          <w:rFonts w:asciiTheme="minorHAnsi" w:hAnsiTheme="minorHAnsi"/>
          <w:szCs w:val="24"/>
        </w:rPr>
        <w:t>the Applicant</w:t>
      </w:r>
      <w:r w:rsidR="00AC13A8" w:rsidRPr="00AC13A8">
        <w:rPr>
          <w:rFonts w:asciiTheme="minorHAnsi" w:hAnsiTheme="minorHAnsi"/>
          <w:szCs w:val="24"/>
        </w:rPr>
        <w:t xml:space="preserve"> is experiencing post-acute care challenges. </w:t>
      </w:r>
      <w:r w:rsidR="00736E56">
        <w:rPr>
          <w:rFonts w:asciiTheme="minorHAnsi" w:hAnsiTheme="minorHAnsi"/>
          <w:szCs w:val="24"/>
        </w:rPr>
        <w:t>The Applicant maintains that p</w:t>
      </w:r>
      <w:r>
        <w:rPr>
          <w:rFonts w:asciiTheme="minorHAnsi" w:hAnsiTheme="minorHAnsi"/>
          <w:szCs w:val="24"/>
        </w:rPr>
        <w:t xml:space="preserve">atients with cancer discharged to post-acute facilities have different care plans than other medical and surgical patients, and </w:t>
      </w:r>
      <w:r w:rsidR="00C615C4">
        <w:rPr>
          <w:rFonts w:asciiTheme="minorHAnsi" w:hAnsiTheme="minorHAnsi"/>
          <w:szCs w:val="24"/>
        </w:rPr>
        <w:t xml:space="preserve">that these patients </w:t>
      </w:r>
      <w:r>
        <w:rPr>
          <w:rFonts w:asciiTheme="minorHAnsi" w:hAnsiTheme="minorHAnsi"/>
          <w:szCs w:val="24"/>
        </w:rPr>
        <w:t xml:space="preserve">need increased coordination for the continued management of their oncology care. </w:t>
      </w:r>
      <w:r w:rsidRPr="00B93F30">
        <w:rPr>
          <w:rFonts w:asciiTheme="minorHAnsi" w:hAnsiTheme="minorHAnsi"/>
          <w:szCs w:val="24"/>
        </w:rPr>
        <w:t>The Applicant states that Vizient proprietary Clinical Data Base which the Applicant accessed on May 20, 2024, shows that other hospitals in the Alliance of Dedicated Cancer Centers</w:t>
      </w:r>
      <w:r w:rsidRPr="00B93F30">
        <w:rPr>
          <w:rFonts w:asciiTheme="minorHAnsi" w:hAnsiTheme="minorHAnsi"/>
          <w:szCs w:val="24"/>
          <w:vertAlign w:val="superscript"/>
        </w:rPr>
        <w:footnoteReference w:id="45"/>
      </w:r>
      <w:r w:rsidRPr="00B93F30">
        <w:rPr>
          <w:rFonts w:asciiTheme="minorHAnsi" w:hAnsiTheme="minorHAnsi"/>
          <w:szCs w:val="24"/>
        </w:rPr>
        <w:t>, discharge patients more efficiently to skilled nursing facilities than the Applicant.</w:t>
      </w:r>
      <w:r>
        <w:rPr>
          <w:rFonts w:asciiTheme="minorHAnsi" w:hAnsiTheme="minorHAnsi"/>
          <w:szCs w:val="24"/>
        </w:rPr>
        <w:t xml:space="preserve"> The Applicant states that the proposed hospital </w:t>
      </w:r>
      <w:r w:rsidR="00A0237C">
        <w:rPr>
          <w:rFonts w:asciiTheme="minorHAnsi" w:hAnsiTheme="minorHAnsi"/>
          <w:szCs w:val="24"/>
        </w:rPr>
        <w:t xml:space="preserve">will </w:t>
      </w:r>
      <w:r>
        <w:rPr>
          <w:rFonts w:asciiTheme="minorHAnsi" w:hAnsiTheme="minorHAnsi"/>
          <w:szCs w:val="24"/>
        </w:rPr>
        <w:t xml:space="preserve">address </w:t>
      </w:r>
      <w:r w:rsidR="00B342F4">
        <w:rPr>
          <w:rFonts w:asciiTheme="minorHAnsi" w:hAnsiTheme="minorHAnsi"/>
          <w:szCs w:val="24"/>
        </w:rPr>
        <w:t xml:space="preserve">the </w:t>
      </w:r>
      <w:r>
        <w:rPr>
          <w:rFonts w:asciiTheme="minorHAnsi" w:hAnsiTheme="minorHAnsi"/>
          <w:szCs w:val="24"/>
        </w:rPr>
        <w:t xml:space="preserve">inefficiencies and delays </w:t>
      </w:r>
      <w:r w:rsidR="00B342F4">
        <w:rPr>
          <w:rFonts w:asciiTheme="minorHAnsi" w:hAnsiTheme="minorHAnsi"/>
          <w:szCs w:val="24"/>
        </w:rPr>
        <w:t xml:space="preserve">that </w:t>
      </w:r>
      <w:r>
        <w:rPr>
          <w:rFonts w:asciiTheme="minorHAnsi" w:hAnsiTheme="minorHAnsi"/>
          <w:szCs w:val="24"/>
        </w:rPr>
        <w:t xml:space="preserve">patients are currently experiencing </w:t>
      </w:r>
      <w:r w:rsidR="00B342F4">
        <w:rPr>
          <w:rFonts w:asciiTheme="minorHAnsi" w:hAnsiTheme="minorHAnsi"/>
          <w:szCs w:val="24"/>
        </w:rPr>
        <w:t xml:space="preserve">surrounding their </w:t>
      </w:r>
      <w:r>
        <w:rPr>
          <w:rFonts w:asciiTheme="minorHAnsi" w:hAnsiTheme="minorHAnsi"/>
          <w:szCs w:val="24"/>
        </w:rPr>
        <w:t>discharge to post-acute facilities, by employing discharge staff with specialized expertise in discharge planning for oncology patients</w:t>
      </w:r>
      <w:r w:rsidR="00C26041">
        <w:rPr>
          <w:rFonts w:asciiTheme="minorHAnsi" w:hAnsiTheme="minorHAnsi"/>
          <w:szCs w:val="24"/>
        </w:rPr>
        <w:t xml:space="preserve">. The Applicant states </w:t>
      </w:r>
      <w:r w:rsidR="009A2657">
        <w:rPr>
          <w:rFonts w:asciiTheme="minorHAnsi" w:hAnsiTheme="minorHAnsi"/>
          <w:szCs w:val="24"/>
        </w:rPr>
        <w:t>t</w:t>
      </w:r>
      <w:r w:rsidR="00C26041">
        <w:rPr>
          <w:rFonts w:asciiTheme="minorHAnsi" w:hAnsiTheme="minorHAnsi"/>
          <w:szCs w:val="24"/>
        </w:rPr>
        <w:t>hat the</w:t>
      </w:r>
      <w:r w:rsidR="009A2657">
        <w:rPr>
          <w:rFonts w:asciiTheme="minorHAnsi" w:hAnsiTheme="minorHAnsi"/>
          <w:szCs w:val="24"/>
        </w:rPr>
        <w:t>se</w:t>
      </w:r>
      <w:r w:rsidR="00C26041">
        <w:rPr>
          <w:rFonts w:asciiTheme="minorHAnsi" w:hAnsiTheme="minorHAnsi"/>
          <w:szCs w:val="24"/>
        </w:rPr>
        <w:t xml:space="preserve"> discharge staff</w:t>
      </w:r>
      <w:r w:rsidR="009A2657">
        <w:rPr>
          <w:rFonts w:asciiTheme="minorHAnsi" w:hAnsiTheme="minorHAnsi"/>
          <w:szCs w:val="24"/>
        </w:rPr>
        <w:t xml:space="preserve"> with specialized </w:t>
      </w:r>
      <w:r w:rsidR="00901CD4">
        <w:rPr>
          <w:rFonts w:asciiTheme="minorHAnsi" w:hAnsiTheme="minorHAnsi"/>
          <w:szCs w:val="24"/>
        </w:rPr>
        <w:t>training</w:t>
      </w:r>
      <w:r>
        <w:rPr>
          <w:rFonts w:asciiTheme="minorHAnsi" w:hAnsiTheme="minorHAnsi"/>
          <w:szCs w:val="24"/>
        </w:rPr>
        <w:t xml:space="preserve"> will work to dec</w:t>
      </w:r>
      <w:r w:rsidR="00C26041">
        <w:rPr>
          <w:rFonts w:asciiTheme="minorHAnsi" w:hAnsiTheme="minorHAnsi"/>
          <w:szCs w:val="24"/>
        </w:rPr>
        <w:t>r</w:t>
      </w:r>
      <w:r>
        <w:rPr>
          <w:rFonts w:asciiTheme="minorHAnsi" w:hAnsiTheme="minorHAnsi"/>
          <w:szCs w:val="24"/>
        </w:rPr>
        <w:t xml:space="preserve">ease inefficiencies for patients </w:t>
      </w:r>
      <w:r w:rsidR="009A2657">
        <w:rPr>
          <w:rFonts w:asciiTheme="minorHAnsi" w:hAnsiTheme="minorHAnsi"/>
          <w:szCs w:val="24"/>
        </w:rPr>
        <w:t xml:space="preserve">with cancer who are </w:t>
      </w:r>
      <w:r>
        <w:rPr>
          <w:rFonts w:asciiTheme="minorHAnsi" w:hAnsiTheme="minorHAnsi"/>
          <w:szCs w:val="24"/>
        </w:rPr>
        <w:t xml:space="preserve">transferred to post-acute sites. </w:t>
      </w:r>
    </w:p>
    <w:p w14:paraId="24E8186E" w14:textId="77777777" w:rsidR="006C0848" w:rsidRDefault="006C0848" w:rsidP="00BA2054">
      <w:pPr>
        <w:rPr>
          <w:rFonts w:asciiTheme="minorHAnsi" w:hAnsiTheme="minorHAnsi"/>
          <w:szCs w:val="24"/>
        </w:rPr>
      </w:pPr>
    </w:p>
    <w:p w14:paraId="5BEDBC09" w14:textId="3E873E40" w:rsidR="006C0848" w:rsidRPr="00B07AF5" w:rsidRDefault="006C0848" w:rsidP="00BA2054">
      <w:pPr>
        <w:rPr>
          <w:rFonts w:asciiTheme="minorHAnsi" w:hAnsiTheme="minorHAnsi"/>
          <w:i/>
          <w:iCs/>
          <w:szCs w:val="24"/>
          <w:u w:val="single"/>
        </w:rPr>
      </w:pPr>
      <w:r w:rsidRPr="00B07AF5">
        <w:rPr>
          <w:rFonts w:asciiTheme="minorHAnsi" w:hAnsiTheme="minorHAnsi"/>
          <w:i/>
          <w:iCs/>
          <w:szCs w:val="24"/>
          <w:u w:val="single"/>
        </w:rPr>
        <w:t xml:space="preserve">National Need for Inpatient Cancer Beds </w:t>
      </w:r>
    </w:p>
    <w:p w14:paraId="55BE68C7" w14:textId="11B6E20A" w:rsidR="006C0848" w:rsidRPr="008632A5" w:rsidRDefault="001641D0" w:rsidP="006C0848">
      <w:pPr>
        <w:rPr>
          <w:rFonts w:asciiTheme="minorHAnsi" w:hAnsiTheme="minorHAnsi"/>
          <w:b/>
          <w:szCs w:val="24"/>
        </w:rPr>
      </w:pPr>
      <w:r w:rsidRPr="001641D0">
        <w:rPr>
          <w:rFonts w:asciiTheme="minorHAnsi" w:hAnsiTheme="minorHAnsi"/>
          <w:szCs w:val="24"/>
        </w:rPr>
        <w:t>The Applicant</w:t>
      </w:r>
      <w:r w:rsidR="005E24D8">
        <w:rPr>
          <w:rFonts w:asciiTheme="minorHAnsi" w:hAnsiTheme="minorHAnsi"/>
          <w:szCs w:val="24"/>
        </w:rPr>
        <w:t xml:space="preserve"> </w:t>
      </w:r>
      <w:r w:rsidRPr="001641D0">
        <w:rPr>
          <w:rFonts w:asciiTheme="minorHAnsi" w:hAnsiTheme="minorHAnsi"/>
          <w:szCs w:val="24"/>
        </w:rPr>
        <w:t xml:space="preserve">states that it has a significant patient base outside of the Commonwealth, and that patients travel from around the country and the world to receive the Applicant’s care. For this reason, </w:t>
      </w:r>
      <w:r>
        <w:rPr>
          <w:rFonts w:asciiTheme="minorHAnsi" w:hAnsiTheme="minorHAnsi"/>
          <w:szCs w:val="24"/>
        </w:rPr>
        <w:t>the</w:t>
      </w:r>
      <w:r w:rsidR="00FE4EEA">
        <w:rPr>
          <w:rFonts w:asciiTheme="minorHAnsi" w:hAnsiTheme="minorHAnsi"/>
          <w:szCs w:val="24"/>
        </w:rPr>
        <w:t xml:space="preserve"> Applicant states that </w:t>
      </w:r>
      <w:r w:rsidR="006C0848">
        <w:rPr>
          <w:rFonts w:asciiTheme="minorHAnsi" w:hAnsiTheme="minorHAnsi"/>
          <w:szCs w:val="24"/>
        </w:rPr>
        <w:t xml:space="preserve">its </w:t>
      </w:r>
      <w:r w:rsidR="00493137">
        <w:rPr>
          <w:rFonts w:asciiTheme="minorHAnsi" w:hAnsiTheme="minorHAnsi"/>
          <w:szCs w:val="24"/>
        </w:rPr>
        <w:t xml:space="preserve">most comparable </w:t>
      </w:r>
      <w:r w:rsidR="006C0848">
        <w:rPr>
          <w:rFonts w:asciiTheme="minorHAnsi" w:hAnsiTheme="minorHAnsi"/>
          <w:szCs w:val="24"/>
        </w:rPr>
        <w:t>peers</w:t>
      </w:r>
      <w:r w:rsidR="006C0848" w:rsidDel="00FE4EEA">
        <w:rPr>
          <w:rFonts w:asciiTheme="minorHAnsi" w:hAnsiTheme="minorHAnsi"/>
          <w:szCs w:val="24"/>
        </w:rPr>
        <w:t xml:space="preserve"> </w:t>
      </w:r>
      <w:r w:rsidR="002D6969">
        <w:rPr>
          <w:rFonts w:asciiTheme="minorHAnsi" w:hAnsiTheme="minorHAnsi"/>
          <w:szCs w:val="24"/>
        </w:rPr>
        <w:t xml:space="preserve">are </w:t>
      </w:r>
      <w:r w:rsidR="00E75B19">
        <w:rPr>
          <w:rFonts w:asciiTheme="minorHAnsi" w:hAnsiTheme="minorHAnsi"/>
          <w:szCs w:val="24"/>
        </w:rPr>
        <w:t>NCI-designated Comprehensive Cancer Centers</w:t>
      </w:r>
      <w:r w:rsidR="0007648B">
        <w:rPr>
          <w:rFonts w:asciiTheme="minorHAnsi" w:hAnsiTheme="minorHAnsi"/>
          <w:szCs w:val="24"/>
        </w:rPr>
        <w:t xml:space="preserve"> beyond the greater Boston area</w:t>
      </w:r>
      <w:r w:rsidR="005D7857">
        <w:rPr>
          <w:rFonts w:asciiTheme="minorHAnsi" w:hAnsiTheme="minorHAnsi"/>
          <w:szCs w:val="24"/>
        </w:rPr>
        <w:t xml:space="preserve"> and </w:t>
      </w:r>
      <w:r w:rsidR="0007648B">
        <w:rPr>
          <w:rFonts w:asciiTheme="minorHAnsi" w:hAnsiTheme="minorHAnsi"/>
          <w:szCs w:val="24"/>
        </w:rPr>
        <w:t>includ</w:t>
      </w:r>
      <w:r w:rsidR="005D7857">
        <w:rPr>
          <w:rFonts w:asciiTheme="minorHAnsi" w:hAnsiTheme="minorHAnsi"/>
          <w:szCs w:val="24"/>
        </w:rPr>
        <w:t>e</w:t>
      </w:r>
      <w:r w:rsidR="0007648B">
        <w:rPr>
          <w:rFonts w:asciiTheme="minorHAnsi" w:hAnsiTheme="minorHAnsi"/>
          <w:szCs w:val="24"/>
        </w:rPr>
        <w:t xml:space="preserve"> </w:t>
      </w:r>
      <w:r w:rsidR="0007648B" w:rsidRPr="0007648B">
        <w:rPr>
          <w:rFonts w:asciiTheme="minorHAnsi" w:hAnsiTheme="minorHAnsi"/>
          <w:bCs/>
          <w:szCs w:val="24"/>
        </w:rPr>
        <w:t>Memorial Sloan Kettering Cancer Center; Moffitt Cancer Center; MD Anderson Cancer Center; City of Hope; and The James Cancer Hospital and Solove Research Institute</w:t>
      </w:r>
      <w:r w:rsidR="00FA3451">
        <w:rPr>
          <w:rFonts w:asciiTheme="minorHAnsi" w:hAnsiTheme="minorHAnsi"/>
          <w:bCs/>
          <w:szCs w:val="24"/>
        </w:rPr>
        <w:t xml:space="preserve">. </w:t>
      </w:r>
      <w:r w:rsidR="00AA6CCB">
        <w:rPr>
          <w:rFonts w:asciiTheme="minorHAnsi" w:hAnsiTheme="minorHAnsi"/>
          <w:szCs w:val="24"/>
        </w:rPr>
        <w:t xml:space="preserve">The Applicant states that its national peers </w:t>
      </w:r>
      <w:r w:rsidR="003D0D10">
        <w:rPr>
          <w:rFonts w:asciiTheme="minorHAnsi" w:hAnsiTheme="minorHAnsi"/>
          <w:szCs w:val="24"/>
        </w:rPr>
        <w:t>have</w:t>
      </w:r>
      <w:r w:rsidR="00F21A46">
        <w:rPr>
          <w:rFonts w:asciiTheme="minorHAnsi" w:hAnsiTheme="minorHAnsi"/>
          <w:szCs w:val="24"/>
        </w:rPr>
        <w:t xml:space="preserve"> or are currently</w:t>
      </w:r>
      <w:r w:rsidR="003D0D10">
        <w:rPr>
          <w:rFonts w:asciiTheme="minorHAnsi" w:hAnsiTheme="minorHAnsi"/>
          <w:szCs w:val="24"/>
        </w:rPr>
        <w:t xml:space="preserve"> </w:t>
      </w:r>
      <w:r w:rsidR="0007254A">
        <w:rPr>
          <w:rFonts w:asciiTheme="minorHAnsi" w:hAnsiTheme="minorHAnsi"/>
          <w:szCs w:val="24"/>
        </w:rPr>
        <w:t>undergoing significant inpatient</w:t>
      </w:r>
      <w:r w:rsidR="003D0D10">
        <w:rPr>
          <w:rFonts w:asciiTheme="minorHAnsi" w:hAnsiTheme="minorHAnsi"/>
          <w:szCs w:val="24"/>
        </w:rPr>
        <w:t xml:space="preserve"> expansions</w:t>
      </w:r>
      <w:r w:rsidR="00CF2E52">
        <w:rPr>
          <w:rFonts w:asciiTheme="minorHAnsi" w:hAnsiTheme="minorHAnsi"/>
          <w:szCs w:val="24"/>
        </w:rPr>
        <w:t xml:space="preserve"> that include up-to-date technology and treatment tools</w:t>
      </w:r>
      <w:r w:rsidR="003D0D10">
        <w:rPr>
          <w:rFonts w:asciiTheme="minorHAnsi" w:hAnsiTheme="minorHAnsi"/>
          <w:szCs w:val="24"/>
        </w:rPr>
        <w:t xml:space="preserve">, to </w:t>
      </w:r>
      <w:r w:rsidR="00D21FA2">
        <w:rPr>
          <w:rFonts w:asciiTheme="minorHAnsi" w:hAnsiTheme="minorHAnsi"/>
          <w:szCs w:val="24"/>
        </w:rPr>
        <w:t xml:space="preserve">respond to </w:t>
      </w:r>
      <w:r w:rsidR="000902F4">
        <w:rPr>
          <w:rFonts w:asciiTheme="minorHAnsi" w:hAnsiTheme="minorHAnsi"/>
          <w:szCs w:val="24"/>
        </w:rPr>
        <w:t xml:space="preserve">projected increases in </w:t>
      </w:r>
      <w:r w:rsidR="00AF4ABC">
        <w:rPr>
          <w:rFonts w:asciiTheme="minorHAnsi" w:hAnsiTheme="minorHAnsi"/>
          <w:szCs w:val="24"/>
        </w:rPr>
        <w:t xml:space="preserve">cancer </w:t>
      </w:r>
      <w:r w:rsidR="00F9796D">
        <w:rPr>
          <w:rFonts w:asciiTheme="minorHAnsi" w:hAnsiTheme="minorHAnsi"/>
          <w:szCs w:val="24"/>
        </w:rPr>
        <w:t>rates</w:t>
      </w:r>
      <w:r w:rsidR="00B4354B">
        <w:rPr>
          <w:rFonts w:asciiTheme="minorHAnsi" w:hAnsiTheme="minorHAnsi"/>
          <w:szCs w:val="24"/>
        </w:rPr>
        <w:t xml:space="preserve"> and need for </w:t>
      </w:r>
      <w:r w:rsidR="00FA1918">
        <w:rPr>
          <w:rFonts w:asciiTheme="minorHAnsi" w:hAnsiTheme="minorHAnsi"/>
          <w:szCs w:val="24"/>
        </w:rPr>
        <w:t xml:space="preserve">inpatient </w:t>
      </w:r>
      <w:r w:rsidR="00B4354B">
        <w:rPr>
          <w:rFonts w:asciiTheme="minorHAnsi" w:hAnsiTheme="minorHAnsi"/>
          <w:szCs w:val="24"/>
        </w:rPr>
        <w:t>treatment</w:t>
      </w:r>
      <w:r w:rsidR="003D0D10">
        <w:rPr>
          <w:rFonts w:asciiTheme="minorHAnsi" w:hAnsiTheme="minorHAnsi"/>
          <w:szCs w:val="24"/>
        </w:rPr>
        <w:t>.</w:t>
      </w:r>
      <w:r w:rsidR="006C0848" w:rsidDel="000C50AE">
        <w:rPr>
          <w:rFonts w:asciiTheme="minorHAnsi" w:hAnsiTheme="minorHAnsi"/>
          <w:szCs w:val="24"/>
        </w:rPr>
        <w:t xml:space="preserve"> </w:t>
      </w:r>
    </w:p>
    <w:p w14:paraId="451785EB" w14:textId="77777777" w:rsidR="006C0848" w:rsidRDefault="006C0848" w:rsidP="006C0848">
      <w:pPr>
        <w:rPr>
          <w:rFonts w:asciiTheme="minorHAnsi" w:hAnsiTheme="minorHAnsi"/>
          <w:szCs w:val="24"/>
        </w:rPr>
      </w:pPr>
    </w:p>
    <w:p w14:paraId="12EAB721" w14:textId="773A41A2" w:rsidR="0070763A" w:rsidRPr="0070763A" w:rsidRDefault="006C0848" w:rsidP="0070763A">
      <w:pPr>
        <w:rPr>
          <w:rFonts w:asciiTheme="minorHAnsi" w:hAnsiTheme="minorHAnsi"/>
          <w:szCs w:val="24"/>
        </w:rPr>
      </w:pPr>
      <w:r>
        <w:rPr>
          <w:rFonts w:asciiTheme="minorHAnsi" w:hAnsiTheme="minorHAnsi"/>
          <w:szCs w:val="24"/>
        </w:rPr>
        <w:t>In response to staff inquiry about the factors that were compared across its national peers when evaluating the Applicant’s Patient Panel need, the Applicant cite</w:t>
      </w:r>
      <w:r w:rsidR="00493DB1">
        <w:rPr>
          <w:rFonts w:asciiTheme="minorHAnsi" w:hAnsiTheme="minorHAnsi"/>
          <w:szCs w:val="24"/>
        </w:rPr>
        <w:t>d</w:t>
      </w:r>
      <w:r>
        <w:rPr>
          <w:rFonts w:asciiTheme="minorHAnsi" w:hAnsiTheme="minorHAnsi"/>
          <w:szCs w:val="24"/>
        </w:rPr>
        <w:t xml:space="preserve"> the higher average age of New England oncology patients </w:t>
      </w:r>
      <w:r w:rsidR="005D368C">
        <w:rPr>
          <w:rFonts w:asciiTheme="minorHAnsi" w:hAnsiTheme="minorHAnsi"/>
          <w:szCs w:val="24"/>
        </w:rPr>
        <w:t>w</w:t>
      </w:r>
      <w:r w:rsidR="00AC0B49">
        <w:rPr>
          <w:rFonts w:asciiTheme="minorHAnsi" w:hAnsiTheme="minorHAnsi"/>
          <w:szCs w:val="24"/>
        </w:rPr>
        <w:t>here</w:t>
      </w:r>
      <w:r w:rsidR="005D368C">
        <w:rPr>
          <w:rFonts w:asciiTheme="minorHAnsi" w:hAnsiTheme="minorHAnsi"/>
          <w:szCs w:val="24"/>
        </w:rPr>
        <w:t xml:space="preserve"> </w:t>
      </w:r>
      <w:r>
        <w:rPr>
          <w:rFonts w:asciiTheme="minorHAnsi" w:hAnsiTheme="minorHAnsi"/>
          <w:szCs w:val="24"/>
        </w:rPr>
        <w:t>19%</w:t>
      </w:r>
      <w:r w:rsidR="005D368C">
        <w:rPr>
          <w:rFonts w:asciiTheme="minorHAnsi" w:hAnsiTheme="minorHAnsi"/>
          <w:szCs w:val="24"/>
        </w:rPr>
        <w:t xml:space="preserve"> of oncology patients </w:t>
      </w:r>
      <w:r w:rsidR="00AC0B49">
        <w:rPr>
          <w:rFonts w:asciiTheme="minorHAnsi" w:hAnsiTheme="minorHAnsi"/>
          <w:szCs w:val="24"/>
        </w:rPr>
        <w:t xml:space="preserve">are </w:t>
      </w:r>
      <w:r w:rsidR="005D368C">
        <w:rPr>
          <w:rFonts w:asciiTheme="minorHAnsi" w:hAnsiTheme="minorHAnsi"/>
          <w:szCs w:val="24"/>
        </w:rPr>
        <w:t xml:space="preserve">aged 65 and older </w:t>
      </w:r>
      <w:r>
        <w:rPr>
          <w:rFonts w:asciiTheme="minorHAnsi" w:hAnsiTheme="minorHAnsi"/>
          <w:szCs w:val="24"/>
        </w:rPr>
        <w:t xml:space="preserve">as compared to </w:t>
      </w:r>
      <w:r w:rsidR="005D368C">
        <w:rPr>
          <w:rFonts w:asciiTheme="minorHAnsi" w:hAnsiTheme="minorHAnsi"/>
          <w:szCs w:val="24"/>
        </w:rPr>
        <w:lastRenderedPageBreak/>
        <w:t>17.3% n</w:t>
      </w:r>
      <w:r>
        <w:rPr>
          <w:rFonts w:asciiTheme="minorHAnsi" w:hAnsiTheme="minorHAnsi"/>
          <w:szCs w:val="24"/>
        </w:rPr>
        <w:t>ationally.</w:t>
      </w:r>
      <w:r>
        <w:rPr>
          <w:rStyle w:val="EndnoteReference"/>
          <w:rFonts w:asciiTheme="minorHAnsi" w:hAnsiTheme="minorHAnsi"/>
          <w:szCs w:val="24"/>
        </w:rPr>
        <w:endnoteReference w:id="31"/>
      </w:r>
      <w:r>
        <w:rPr>
          <w:rFonts w:asciiTheme="minorHAnsi" w:hAnsiTheme="minorHAnsi"/>
          <w:szCs w:val="24"/>
        </w:rPr>
        <w:t xml:space="preserve"> </w:t>
      </w:r>
      <w:r w:rsidR="00781CE4">
        <w:rPr>
          <w:rFonts w:asciiTheme="minorHAnsi" w:hAnsiTheme="minorHAnsi"/>
          <w:szCs w:val="24"/>
        </w:rPr>
        <w:t>The Applicant states that it was not able to examine existing statewide inpatient capacity for advanced cancer care amongst its national peers because comparative data were no</w:t>
      </w:r>
      <w:r w:rsidR="006915D7">
        <w:rPr>
          <w:rFonts w:asciiTheme="minorHAnsi" w:hAnsiTheme="minorHAnsi"/>
          <w:szCs w:val="24"/>
        </w:rPr>
        <w:t>t</w:t>
      </w:r>
      <w:r w:rsidR="00781CE4">
        <w:rPr>
          <w:rFonts w:asciiTheme="minorHAnsi" w:hAnsiTheme="minorHAnsi"/>
          <w:szCs w:val="24"/>
        </w:rPr>
        <w:t xml:space="preserve"> readily available. </w:t>
      </w:r>
      <w:r w:rsidR="0070763A">
        <w:rPr>
          <w:rFonts w:asciiTheme="minorHAnsi" w:hAnsiTheme="minorHAnsi"/>
          <w:szCs w:val="24"/>
        </w:rPr>
        <w:t xml:space="preserve">The Applicant states further that it </w:t>
      </w:r>
      <w:r w:rsidR="008412F5" w:rsidRPr="008412F5">
        <w:rPr>
          <w:rFonts w:asciiTheme="minorHAnsi" w:hAnsiTheme="minorHAnsi"/>
          <w:szCs w:val="24"/>
        </w:rPr>
        <w:t>has not modeled its out-of-state and international market share</w:t>
      </w:r>
      <w:r w:rsidR="008412F5">
        <w:rPr>
          <w:rFonts w:asciiTheme="minorHAnsi" w:hAnsiTheme="minorHAnsi"/>
          <w:szCs w:val="24"/>
        </w:rPr>
        <w:t>.</w:t>
      </w:r>
    </w:p>
    <w:p w14:paraId="51801560" w14:textId="77777777" w:rsidR="0070763A" w:rsidRPr="0070763A" w:rsidRDefault="0070763A" w:rsidP="0070763A">
      <w:pPr>
        <w:rPr>
          <w:rFonts w:asciiTheme="minorHAnsi" w:hAnsiTheme="minorHAnsi"/>
          <w:szCs w:val="24"/>
        </w:rPr>
      </w:pPr>
    </w:p>
    <w:p w14:paraId="03F35195" w14:textId="133E281F" w:rsidR="00253BAA" w:rsidRPr="00D0750C" w:rsidRDefault="000D2EB8" w:rsidP="00BA2054">
      <w:pPr>
        <w:rPr>
          <w:rFonts w:asciiTheme="minorHAnsi" w:hAnsiTheme="minorHAnsi"/>
          <w:b/>
          <w:bCs/>
          <w:szCs w:val="24"/>
        </w:rPr>
      </w:pPr>
      <w:r>
        <w:rPr>
          <w:rFonts w:asciiTheme="minorHAnsi" w:hAnsiTheme="minorHAnsi"/>
          <w:b/>
          <w:bCs/>
          <w:szCs w:val="24"/>
        </w:rPr>
        <w:t>PROJECTED BED NEED</w:t>
      </w:r>
    </w:p>
    <w:p w14:paraId="3079AE48" w14:textId="5BDA9E07" w:rsidR="00760CCF" w:rsidRDefault="00A10849" w:rsidP="00BA2054">
      <w:pPr>
        <w:rPr>
          <w:rFonts w:asciiTheme="minorHAnsi" w:hAnsiTheme="minorHAnsi"/>
          <w:bCs/>
          <w:szCs w:val="24"/>
        </w:rPr>
      </w:pPr>
      <w:r w:rsidRPr="00A10849">
        <w:rPr>
          <w:rFonts w:asciiTheme="minorHAnsi" w:hAnsiTheme="minorHAnsi"/>
          <w:bCs/>
          <w:szCs w:val="24"/>
        </w:rPr>
        <w:t xml:space="preserve">The Applicant projects that by 2032, there will be a need by its </w:t>
      </w:r>
      <w:r w:rsidR="00C432E5">
        <w:rPr>
          <w:rFonts w:asciiTheme="minorHAnsi" w:hAnsiTheme="minorHAnsi"/>
          <w:bCs/>
          <w:szCs w:val="24"/>
        </w:rPr>
        <w:t>P</w:t>
      </w:r>
      <w:r w:rsidRPr="00A10849">
        <w:rPr>
          <w:rFonts w:asciiTheme="minorHAnsi" w:hAnsiTheme="minorHAnsi"/>
          <w:bCs/>
          <w:szCs w:val="24"/>
        </w:rPr>
        <w:t xml:space="preserve">atient </w:t>
      </w:r>
      <w:r w:rsidR="00C432E5">
        <w:rPr>
          <w:rFonts w:asciiTheme="minorHAnsi" w:hAnsiTheme="minorHAnsi"/>
          <w:bCs/>
          <w:szCs w:val="24"/>
        </w:rPr>
        <w:t>P</w:t>
      </w:r>
      <w:r w:rsidRPr="00A10849">
        <w:rPr>
          <w:rFonts w:asciiTheme="minorHAnsi" w:hAnsiTheme="minorHAnsi"/>
          <w:bCs/>
          <w:szCs w:val="24"/>
        </w:rPr>
        <w:t xml:space="preserve">anel for approximately 384 inpatient beds dedicated to the advanced cancer care </w:t>
      </w:r>
      <w:r w:rsidR="00FE6209">
        <w:rPr>
          <w:rFonts w:asciiTheme="minorHAnsi" w:hAnsiTheme="minorHAnsi"/>
          <w:bCs/>
          <w:szCs w:val="24"/>
        </w:rPr>
        <w:t>that the Applicant provides</w:t>
      </w:r>
      <w:r>
        <w:rPr>
          <w:rFonts w:asciiTheme="minorHAnsi" w:hAnsiTheme="minorHAnsi"/>
          <w:bCs/>
          <w:szCs w:val="24"/>
        </w:rPr>
        <w:t>.</w:t>
      </w:r>
      <w:r w:rsidR="007D2C34">
        <w:rPr>
          <w:rFonts w:asciiTheme="minorHAnsi" w:hAnsiTheme="minorHAnsi"/>
          <w:bCs/>
          <w:szCs w:val="24"/>
        </w:rPr>
        <w:t xml:space="preserve"> This is shown in Table </w:t>
      </w:r>
      <w:r w:rsidR="008C1FFE">
        <w:rPr>
          <w:rFonts w:asciiTheme="minorHAnsi" w:hAnsiTheme="minorHAnsi"/>
          <w:bCs/>
          <w:szCs w:val="24"/>
        </w:rPr>
        <w:t>1</w:t>
      </w:r>
      <w:r w:rsidR="00066D93">
        <w:rPr>
          <w:rFonts w:asciiTheme="minorHAnsi" w:hAnsiTheme="minorHAnsi"/>
          <w:bCs/>
          <w:szCs w:val="24"/>
        </w:rPr>
        <w:t>8</w:t>
      </w:r>
      <w:r w:rsidR="00F57EEE">
        <w:rPr>
          <w:rFonts w:asciiTheme="minorHAnsi" w:hAnsiTheme="minorHAnsi"/>
          <w:bCs/>
          <w:szCs w:val="24"/>
        </w:rPr>
        <w:t xml:space="preserve">, which </w:t>
      </w:r>
      <w:r w:rsidR="00392B75">
        <w:rPr>
          <w:rFonts w:asciiTheme="minorHAnsi" w:hAnsiTheme="minorHAnsi"/>
          <w:bCs/>
          <w:szCs w:val="24"/>
        </w:rPr>
        <w:t xml:space="preserve">was included in the Applicant’s DoN application submission. </w:t>
      </w:r>
    </w:p>
    <w:p w14:paraId="28D049A9" w14:textId="77777777" w:rsidR="007A2ECD" w:rsidRDefault="007A2ECD" w:rsidP="00BA2054">
      <w:pPr>
        <w:rPr>
          <w:rFonts w:asciiTheme="minorHAnsi" w:hAnsiTheme="minorHAnsi"/>
          <w:bCs/>
          <w:szCs w:val="24"/>
        </w:rPr>
      </w:pPr>
    </w:p>
    <w:p w14:paraId="767EB087" w14:textId="77777777" w:rsidR="007A2ECD" w:rsidRDefault="007A2ECD" w:rsidP="00BA2054">
      <w:pPr>
        <w:rPr>
          <w:rFonts w:asciiTheme="minorHAnsi" w:hAnsiTheme="minorHAnsi"/>
          <w:bCs/>
          <w:szCs w:val="24"/>
        </w:rPr>
      </w:pPr>
    </w:p>
    <w:p w14:paraId="70CDF205" w14:textId="77777777" w:rsidR="003F4E54" w:rsidRDefault="003F4E54" w:rsidP="00BA2054">
      <w:pPr>
        <w:rPr>
          <w:rFonts w:asciiTheme="minorHAnsi" w:hAnsiTheme="minorHAnsi"/>
          <w:bCs/>
          <w:szCs w:val="24"/>
        </w:rPr>
      </w:pPr>
    </w:p>
    <w:p w14:paraId="2313FE1E" w14:textId="77777777" w:rsidR="003F4E54" w:rsidRDefault="003F4E54" w:rsidP="00BA2054">
      <w:pPr>
        <w:rPr>
          <w:rFonts w:asciiTheme="minorHAnsi" w:hAnsiTheme="minorHAnsi"/>
          <w:bCs/>
          <w:szCs w:val="24"/>
        </w:rPr>
      </w:pPr>
    </w:p>
    <w:p w14:paraId="49C8FC18" w14:textId="77777777" w:rsidR="003F4E54" w:rsidRDefault="003F4E54" w:rsidP="00BA2054">
      <w:pPr>
        <w:rPr>
          <w:rFonts w:asciiTheme="minorHAnsi" w:hAnsiTheme="minorHAnsi"/>
          <w:bCs/>
          <w:szCs w:val="24"/>
        </w:rPr>
      </w:pPr>
    </w:p>
    <w:p w14:paraId="32DE6BDD" w14:textId="5B8F6CD2" w:rsidR="00760CCF" w:rsidRPr="00EE6B7E" w:rsidRDefault="00760CCF" w:rsidP="00760CCF">
      <w:pPr>
        <w:ind w:left="-576"/>
        <w:rPr>
          <w:rFonts w:asciiTheme="minorHAnsi" w:hAnsiTheme="minorHAnsi"/>
          <w:b/>
          <w:szCs w:val="24"/>
        </w:rPr>
      </w:pPr>
      <w:r w:rsidRPr="00EE6B7E">
        <w:rPr>
          <w:rFonts w:asciiTheme="minorHAnsi" w:hAnsiTheme="minorHAnsi"/>
          <w:b/>
          <w:bCs/>
          <w:szCs w:val="24"/>
          <w:u w:val="single"/>
        </w:rPr>
        <w:t xml:space="preserve">Table </w:t>
      </w:r>
      <w:r w:rsidR="008C1FFE">
        <w:rPr>
          <w:rFonts w:asciiTheme="minorHAnsi" w:hAnsiTheme="minorHAnsi"/>
          <w:b/>
          <w:bCs/>
          <w:szCs w:val="24"/>
          <w:u w:val="single"/>
        </w:rPr>
        <w:t>1</w:t>
      </w:r>
      <w:r w:rsidR="00066D93">
        <w:rPr>
          <w:rFonts w:asciiTheme="minorHAnsi" w:hAnsiTheme="minorHAnsi"/>
          <w:b/>
          <w:bCs/>
          <w:szCs w:val="24"/>
          <w:u w:val="single"/>
        </w:rPr>
        <w:t>8</w:t>
      </w:r>
      <w:r w:rsidRPr="00EE6B7E">
        <w:rPr>
          <w:rFonts w:asciiTheme="minorHAnsi" w:hAnsiTheme="minorHAnsi"/>
          <w:b/>
          <w:bCs/>
          <w:szCs w:val="24"/>
        </w:rPr>
        <w:t>:</w:t>
      </w:r>
      <w:r>
        <w:rPr>
          <w:rFonts w:asciiTheme="minorHAnsi" w:hAnsiTheme="minorHAnsi"/>
          <w:szCs w:val="24"/>
        </w:rPr>
        <w:t xml:space="preserve"> </w:t>
      </w:r>
      <w:r w:rsidRPr="00EE6B7E">
        <w:rPr>
          <w:rFonts w:asciiTheme="minorHAnsi" w:hAnsiTheme="minorHAnsi"/>
          <w:b/>
          <w:szCs w:val="24"/>
        </w:rPr>
        <w:t xml:space="preserve">Projected Inpatient Bed </w:t>
      </w:r>
      <w:r w:rsidR="00670503">
        <w:rPr>
          <w:rFonts w:asciiTheme="minorHAnsi" w:hAnsiTheme="minorHAnsi"/>
          <w:b/>
          <w:szCs w:val="24"/>
        </w:rPr>
        <w:t>Need</w:t>
      </w:r>
      <w:r w:rsidRPr="00EE6B7E">
        <w:rPr>
          <w:rFonts w:asciiTheme="minorHAnsi" w:hAnsiTheme="minorHAnsi"/>
          <w:b/>
          <w:bCs/>
          <w:szCs w:val="24"/>
          <w:vertAlign w:val="superscript"/>
        </w:rPr>
        <w:footnoteReference w:id="46"/>
      </w:r>
      <w:r w:rsidRPr="00EE6B7E">
        <w:rPr>
          <w:rFonts w:asciiTheme="minorHAnsi" w:hAnsiTheme="minorHAnsi"/>
          <w:b/>
          <w:szCs w:val="24"/>
          <w:vertAlign w:val="superscript"/>
        </w:rPr>
        <w:t>,</w:t>
      </w:r>
      <w:r w:rsidRPr="00EE6B7E">
        <w:rPr>
          <w:rFonts w:asciiTheme="minorHAnsi" w:hAnsiTheme="minorHAnsi"/>
          <w:b/>
          <w:szCs w:val="24"/>
          <w:vertAlign w:val="superscript"/>
        </w:rPr>
        <w:footnoteReference w:id="47"/>
      </w:r>
    </w:p>
    <w:tbl>
      <w:tblPr>
        <w:tblStyle w:val="TableGrid"/>
        <w:tblW w:w="5629" w:type="pct"/>
        <w:jc w:val="center"/>
        <w:tblLayout w:type="fixed"/>
        <w:tblLook w:val="04A0" w:firstRow="1" w:lastRow="0" w:firstColumn="1" w:lastColumn="0" w:noHBand="0" w:noVBand="1"/>
      </w:tblPr>
      <w:tblGrid>
        <w:gridCol w:w="2327"/>
        <w:gridCol w:w="1428"/>
        <w:gridCol w:w="904"/>
        <w:gridCol w:w="904"/>
        <w:gridCol w:w="1079"/>
        <w:gridCol w:w="1175"/>
        <w:gridCol w:w="1174"/>
        <w:gridCol w:w="1174"/>
        <w:gridCol w:w="879"/>
      </w:tblGrid>
      <w:tr w:rsidR="00760CCF" w:rsidRPr="00DB1329" w14:paraId="0FB3D4F6" w14:textId="77777777" w:rsidTr="003A0857">
        <w:trPr>
          <w:cantSplit/>
          <w:trHeight w:val="101"/>
          <w:tblHeader/>
          <w:jc w:val="center"/>
        </w:trPr>
        <w:tc>
          <w:tcPr>
            <w:tcW w:w="2327" w:type="dxa"/>
            <w:shd w:val="clear" w:color="auto" w:fill="DBE5F1" w:themeFill="accent1" w:themeFillTint="33"/>
            <w:noWrap/>
            <w:vAlign w:val="center"/>
          </w:tcPr>
          <w:p w14:paraId="19DCD39B"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#1</w:t>
            </w:r>
          </w:p>
        </w:tc>
        <w:tc>
          <w:tcPr>
            <w:tcW w:w="1428" w:type="dxa"/>
            <w:shd w:val="clear" w:color="auto" w:fill="DBE5F1" w:themeFill="accent1" w:themeFillTint="33"/>
            <w:vAlign w:val="center"/>
          </w:tcPr>
          <w:p w14:paraId="47AE9E60"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#2</w:t>
            </w:r>
          </w:p>
        </w:tc>
        <w:tc>
          <w:tcPr>
            <w:tcW w:w="904" w:type="dxa"/>
            <w:shd w:val="clear" w:color="auto" w:fill="DBE5F1" w:themeFill="accent1" w:themeFillTint="33"/>
            <w:vAlign w:val="center"/>
          </w:tcPr>
          <w:p w14:paraId="10FEA424"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#3</w:t>
            </w:r>
          </w:p>
        </w:tc>
        <w:tc>
          <w:tcPr>
            <w:tcW w:w="904" w:type="dxa"/>
            <w:shd w:val="clear" w:color="auto" w:fill="DBE5F1" w:themeFill="accent1" w:themeFillTint="33"/>
            <w:vAlign w:val="center"/>
          </w:tcPr>
          <w:p w14:paraId="13EBB5B3"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#4</w:t>
            </w:r>
          </w:p>
        </w:tc>
        <w:tc>
          <w:tcPr>
            <w:tcW w:w="1079" w:type="dxa"/>
            <w:shd w:val="clear" w:color="auto" w:fill="DBE5F1" w:themeFill="accent1" w:themeFillTint="33"/>
            <w:vAlign w:val="center"/>
          </w:tcPr>
          <w:p w14:paraId="54A6457B"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#5</w:t>
            </w:r>
          </w:p>
        </w:tc>
        <w:tc>
          <w:tcPr>
            <w:tcW w:w="1175" w:type="dxa"/>
            <w:shd w:val="clear" w:color="auto" w:fill="DBE5F1" w:themeFill="accent1" w:themeFillTint="33"/>
            <w:vAlign w:val="center"/>
          </w:tcPr>
          <w:p w14:paraId="09C45508"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#6</w:t>
            </w:r>
          </w:p>
        </w:tc>
        <w:tc>
          <w:tcPr>
            <w:tcW w:w="1174" w:type="dxa"/>
            <w:shd w:val="clear" w:color="auto" w:fill="DBE5F1" w:themeFill="accent1" w:themeFillTint="33"/>
            <w:noWrap/>
            <w:vAlign w:val="center"/>
          </w:tcPr>
          <w:p w14:paraId="4BFEC31C"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#7</w:t>
            </w:r>
          </w:p>
        </w:tc>
        <w:tc>
          <w:tcPr>
            <w:tcW w:w="1174" w:type="dxa"/>
            <w:shd w:val="clear" w:color="auto" w:fill="DBE5F1" w:themeFill="accent1" w:themeFillTint="33"/>
            <w:noWrap/>
            <w:vAlign w:val="center"/>
          </w:tcPr>
          <w:p w14:paraId="078FF3A6"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#8</w:t>
            </w:r>
          </w:p>
        </w:tc>
        <w:tc>
          <w:tcPr>
            <w:tcW w:w="879" w:type="dxa"/>
            <w:shd w:val="clear" w:color="auto" w:fill="DBE5F1" w:themeFill="accent1" w:themeFillTint="33"/>
            <w:vAlign w:val="center"/>
          </w:tcPr>
          <w:p w14:paraId="3882DF0D"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#9</w:t>
            </w:r>
          </w:p>
        </w:tc>
      </w:tr>
      <w:tr w:rsidR="009B7B11" w:rsidRPr="00DB1329" w14:paraId="3668C926" w14:textId="77777777" w:rsidTr="003A0857">
        <w:trPr>
          <w:cantSplit/>
          <w:trHeight w:val="855"/>
          <w:tblHeader/>
          <w:jc w:val="center"/>
        </w:trPr>
        <w:tc>
          <w:tcPr>
            <w:tcW w:w="2327" w:type="dxa"/>
            <w:tcBorders>
              <w:bottom w:val="single" w:sz="4" w:space="0" w:color="auto"/>
            </w:tcBorders>
            <w:shd w:val="clear" w:color="auto" w:fill="DBE5F1" w:themeFill="accent1" w:themeFillTint="33"/>
            <w:noWrap/>
            <w:vAlign w:val="center"/>
            <w:hideMark/>
          </w:tcPr>
          <w:p w14:paraId="00FD8FAD" w14:textId="77777777" w:rsidR="00760CCF" w:rsidRPr="00DB1329" w:rsidRDefault="00760CCF">
            <w:pPr>
              <w:jc w:val="center"/>
              <w:rPr>
                <w:rFonts w:asciiTheme="minorHAnsi" w:hAnsiTheme="minorHAnsi"/>
                <w:b/>
                <w:bCs/>
                <w:sz w:val="22"/>
                <w:szCs w:val="22"/>
                <w:u w:val="single"/>
              </w:rPr>
            </w:pPr>
            <w:bookmarkStart w:id="10" w:name="_Hlk146966737"/>
            <w:r w:rsidRPr="00DB1329">
              <w:rPr>
                <w:rFonts w:asciiTheme="minorHAnsi" w:hAnsiTheme="minorHAnsi"/>
                <w:b/>
                <w:bCs/>
                <w:sz w:val="22"/>
                <w:szCs w:val="22"/>
                <w:u w:val="single"/>
              </w:rPr>
              <w:t>Bed Types</w:t>
            </w:r>
          </w:p>
        </w:tc>
        <w:tc>
          <w:tcPr>
            <w:tcW w:w="1428" w:type="dxa"/>
            <w:tcBorders>
              <w:bottom w:val="single" w:sz="4" w:space="0" w:color="auto"/>
            </w:tcBorders>
            <w:shd w:val="clear" w:color="auto" w:fill="DBE5F1" w:themeFill="accent1" w:themeFillTint="33"/>
            <w:vAlign w:val="center"/>
          </w:tcPr>
          <w:p w14:paraId="1A7D9D11"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2022</w:t>
            </w:r>
          </w:p>
          <w:p w14:paraId="5FFF5803"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Discharges</w:t>
            </w:r>
            <w:r w:rsidRPr="00DB1329">
              <w:rPr>
                <w:rStyle w:val="FootnoteReference"/>
                <w:rFonts w:asciiTheme="minorHAnsi" w:hAnsiTheme="minorHAnsi"/>
                <w:sz w:val="22"/>
                <w:szCs w:val="22"/>
              </w:rPr>
              <w:footnoteReference w:id="48"/>
            </w:r>
          </w:p>
        </w:tc>
        <w:tc>
          <w:tcPr>
            <w:tcW w:w="904" w:type="dxa"/>
            <w:tcBorders>
              <w:bottom w:val="single" w:sz="4" w:space="0" w:color="auto"/>
            </w:tcBorders>
            <w:shd w:val="clear" w:color="auto" w:fill="DBE5F1" w:themeFill="accent1" w:themeFillTint="33"/>
            <w:vAlign w:val="center"/>
          </w:tcPr>
          <w:p w14:paraId="61E05154"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ALOS</w:t>
            </w:r>
          </w:p>
        </w:tc>
        <w:tc>
          <w:tcPr>
            <w:tcW w:w="904" w:type="dxa"/>
            <w:tcBorders>
              <w:bottom w:val="single" w:sz="4" w:space="0" w:color="auto"/>
            </w:tcBorders>
            <w:shd w:val="clear" w:color="auto" w:fill="DBE5F1" w:themeFill="accent1" w:themeFillTint="33"/>
            <w:vAlign w:val="center"/>
          </w:tcPr>
          <w:p w14:paraId="759CEAC4" w14:textId="3FD6B499"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2022 ADC</w:t>
            </w:r>
            <w:r w:rsidR="002C5174">
              <w:rPr>
                <w:rStyle w:val="FootnoteReference"/>
                <w:rFonts w:asciiTheme="minorHAnsi" w:hAnsiTheme="minorHAnsi"/>
                <w:b/>
                <w:bCs/>
                <w:sz w:val="22"/>
                <w:szCs w:val="22"/>
                <w:u w:val="single"/>
              </w:rPr>
              <w:footnoteReference w:id="49"/>
            </w:r>
          </w:p>
        </w:tc>
        <w:tc>
          <w:tcPr>
            <w:tcW w:w="1079" w:type="dxa"/>
            <w:tcBorders>
              <w:bottom w:val="single" w:sz="4" w:space="0" w:color="auto"/>
            </w:tcBorders>
            <w:shd w:val="clear" w:color="auto" w:fill="DBE5F1" w:themeFill="accent1" w:themeFillTint="33"/>
            <w:vAlign w:val="center"/>
          </w:tcPr>
          <w:p w14:paraId="1FE74695"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10-year growth rate</w:t>
            </w:r>
          </w:p>
        </w:tc>
        <w:tc>
          <w:tcPr>
            <w:tcW w:w="1175" w:type="dxa"/>
            <w:tcBorders>
              <w:bottom w:val="single" w:sz="4" w:space="0" w:color="auto"/>
            </w:tcBorders>
            <w:shd w:val="clear" w:color="auto" w:fill="DBE5F1" w:themeFill="accent1" w:themeFillTint="33"/>
            <w:vAlign w:val="center"/>
          </w:tcPr>
          <w:p w14:paraId="068B92D5"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Projected 2032 Discharges</w:t>
            </w:r>
          </w:p>
        </w:tc>
        <w:tc>
          <w:tcPr>
            <w:tcW w:w="1174" w:type="dxa"/>
            <w:tcBorders>
              <w:bottom w:val="single" w:sz="4" w:space="0" w:color="auto"/>
            </w:tcBorders>
            <w:shd w:val="clear" w:color="auto" w:fill="DBE5F1" w:themeFill="accent1" w:themeFillTint="33"/>
            <w:noWrap/>
            <w:vAlign w:val="center"/>
            <w:hideMark/>
          </w:tcPr>
          <w:p w14:paraId="338C9A8B" w14:textId="2890E84B"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Projected 2032 ADC</w:t>
            </w:r>
            <w:r w:rsidR="00DB24BC">
              <w:rPr>
                <w:rStyle w:val="FootnoteReference"/>
                <w:rFonts w:asciiTheme="minorHAnsi" w:hAnsiTheme="minorHAnsi"/>
                <w:b/>
                <w:bCs/>
                <w:sz w:val="22"/>
                <w:szCs w:val="22"/>
                <w:u w:val="single"/>
              </w:rPr>
              <w:footnoteReference w:id="50"/>
            </w:r>
          </w:p>
        </w:tc>
        <w:tc>
          <w:tcPr>
            <w:tcW w:w="1174" w:type="dxa"/>
            <w:tcBorders>
              <w:bottom w:val="single" w:sz="4" w:space="0" w:color="auto"/>
            </w:tcBorders>
            <w:shd w:val="clear" w:color="auto" w:fill="DBE5F1" w:themeFill="accent1" w:themeFillTint="33"/>
            <w:noWrap/>
            <w:vAlign w:val="center"/>
            <w:hideMark/>
          </w:tcPr>
          <w:p w14:paraId="3411A3EF"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Projected 2032 bed need</w:t>
            </w:r>
          </w:p>
        </w:tc>
        <w:tc>
          <w:tcPr>
            <w:tcW w:w="879" w:type="dxa"/>
            <w:tcBorders>
              <w:bottom w:val="single" w:sz="4" w:space="0" w:color="auto"/>
            </w:tcBorders>
            <w:shd w:val="clear" w:color="auto" w:fill="DBE5F1" w:themeFill="accent1" w:themeFillTint="33"/>
            <w:vAlign w:val="center"/>
          </w:tcPr>
          <w:p w14:paraId="23CACEB5"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85% Occ</w:t>
            </w:r>
          </w:p>
        </w:tc>
      </w:tr>
      <w:tr w:rsidR="009B7B11" w:rsidRPr="00DB1329" w14:paraId="3E23309F" w14:textId="77777777" w:rsidTr="003A0857">
        <w:trPr>
          <w:cantSplit/>
          <w:trHeight w:val="315"/>
          <w:jc w:val="center"/>
        </w:trPr>
        <w:tc>
          <w:tcPr>
            <w:tcW w:w="2327" w:type="dxa"/>
            <w:tcBorders>
              <w:right w:val="nil"/>
            </w:tcBorders>
            <w:shd w:val="clear" w:color="auto" w:fill="F2F2F2" w:themeFill="background1" w:themeFillShade="F2"/>
            <w:noWrap/>
            <w:vAlign w:val="center"/>
            <w:hideMark/>
          </w:tcPr>
          <w:p w14:paraId="47C58383" w14:textId="77777777" w:rsidR="003C0910" w:rsidRPr="00DB1329" w:rsidRDefault="003C0910">
            <w:pPr>
              <w:rPr>
                <w:rFonts w:asciiTheme="minorHAnsi" w:hAnsiTheme="minorHAnsi"/>
                <w:b/>
                <w:bCs/>
                <w:sz w:val="22"/>
                <w:szCs w:val="22"/>
                <w:u w:val="single"/>
              </w:rPr>
            </w:pPr>
            <w:r w:rsidRPr="00DB1329">
              <w:rPr>
                <w:rFonts w:asciiTheme="minorHAnsi" w:hAnsiTheme="minorHAnsi"/>
                <w:b/>
                <w:bCs/>
                <w:sz w:val="22"/>
                <w:szCs w:val="22"/>
              </w:rPr>
              <w:t>Medical Oncology Beds</w:t>
            </w:r>
          </w:p>
        </w:tc>
        <w:tc>
          <w:tcPr>
            <w:tcW w:w="1428" w:type="dxa"/>
            <w:tcBorders>
              <w:left w:val="nil"/>
              <w:right w:val="nil"/>
            </w:tcBorders>
            <w:shd w:val="clear" w:color="auto" w:fill="F2F2F2" w:themeFill="background1" w:themeFillShade="F2"/>
            <w:vAlign w:val="center"/>
          </w:tcPr>
          <w:p w14:paraId="7F530E28" w14:textId="77777777" w:rsidR="003C0910" w:rsidRPr="00DB1329" w:rsidRDefault="003C0910">
            <w:pPr>
              <w:rPr>
                <w:rFonts w:asciiTheme="minorHAnsi" w:hAnsiTheme="minorHAnsi"/>
                <w:b/>
                <w:bCs/>
                <w:sz w:val="22"/>
                <w:szCs w:val="22"/>
                <w:u w:val="single"/>
              </w:rPr>
            </w:pPr>
          </w:p>
        </w:tc>
        <w:tc>
          <w:tcPr>
            <w:tcW w:w="904" w:type="dxa"/>
            <w:tcBorders>
              <w:left w:val="nil"/>
              <w:right w:val="nil"/>
            </w:tcBorders>
            <w:shd w:val="clear" w:color="auto" w:fill="F2F2F2" w:themeFill="background1" w:themeFillShade="F2"/>
            <w:vAlign w:val="center"/>
          </w:tcPr>
          <w:p w14:paraId="3052FF01" w14:textId="77777777" w:rsidR="003C0910" w:rsidRPr="00DB1329" w:rsidRDefault="003C0910">
            <w:pPr>
              <w:rPr>
                <w:rFonts w:asciiTheme="minorHAnsi" w:hAnsiTheme="minorHAnsi"/>
                <w:b/>
                <w:bCs/>
                <w:sz w:val="22"/>
                <w:szCs w:val="22"/>
                <w:u w:val="single"/>
              </w:rPr>
            </w:pPr>
          </w:p>
        </w:tc>
        <w:tc>
          <w:tcPr>
            <w:tcW w:w="904" w:type="dxa"/>
            <w:tcBorders>
              <w:left w:val="nil"/>
              <w:right w:val="nil"/>
            </w:tcBorders>
            <w:shd w:val="clear" w:color="auto" w:fill="F2F2F2" w:themeFill="background1" w:themeFillShade="F2"/>
            <w:vAlign w:val="center"/>
          </w:tcPr>
          <w:p w14:paraId="7B0DA78B" w14:textId="77777777" w:rsidR="003C0910" w:rsidRPr="00DB1329" w:rsidRDefault="003C0910">
            <w:pPr>
              <w:rPr>
                <w:rFonts w:asciiTheme="minorHAnsi" w:hAnsiTheme="minorHAnsi"/>
                <w:b/>
                <w:bCs/>
                <w:sz w:val="22"/>
                <w:szCs w:val="22"/>
                <w:u w:val="single"/>
              </w:rPr>
            </w:pPr>
          </w:p>
        </w:tc>
        <w:tc>
          <w:tcPr>
            <w:tcW w:w="1079" w:type="dxa"/>
            <w:tcBorders>
              <w:left w:val="nil"/>
              <w:right w:val="nil"/>
            </w:tcBorders>
            <w:shd w:val="clear" w:color="auto" w:fill="F2F2F2" w:themeFill="background1" w:themeFillShade="F2"/>
            <w:vAlign w:val="center"/>
          </w:tcPr>
          <w:p w14:paraId="55E18C10" w14:textId="77777777" w:rsidR="003C0910" w:rsidRPr="00DB1329" w:rsidRDefault="003C0910">
            <w:pPr>
              <w:rPr>
                <w:rFonts w:asciiTheme="minorHAnsi" w:hAnsiTheme="minorHAnsi"/>
                <w:b/>
                <w:bCs/>
                <w:sz w:val="22"/>
                <w:szCs w:val="22"/>
                <w:u w:val="single"/>
              </w:rPr>
            </w:pPr>
          </w:p>
        </w:tc>
        <w:tc>
          <w:tcPr>
            <w:tcW w:w="1175" w:type="dxa"/>
            <w:tcBorders>
              <w:left w:val="nil"/>
              <w:right w:val="nil"/>
            </w:tcBorders>
            <w:shd w:val="clear" w:color="auto" w:fill="F2F2F2" w:themeFill="background1" w:themeFillShade="F2"/>
            <w:vAlign w:val="center"/>
          </w:tcPr>
          <w:p w14:paraId="48C7125C" w14:textId="77777777" w:rsidR="003C0910" w:rsidRPr="00DB1329" w:rsidRDefault="003C0910">
            <w:pPr>
              <w:rPr>
                <w:rFonts w:asciiTheme="minorHAnsi" w:hAnsiTheme="minorHAnsi"/>
                <w:b/>
                <w:bCs/>
                <w:sz w:val="22"/>
                <w:szCs w:val="22"/>
                <w:u w:val="single"/>
              </w:rPr>
            </w:pPr>
          </w:p>
        </w:tc>
        <w:tc>
          <w:tcPr>
            <w:tcW w:w="1174" w:type="dxa"/>
            <w:tcBorders>
              <w:left w:val="nil"/>
              <w:right w:val="nil"/>
            </w:tcBorders>
            <w:shd w:val="clear" w:color="auto" w:fill="F2F2F2" w:themeFill="background1" w:themeFillShade="F2"/>
            <w:vAlign w:val="center"/>
          </w:tcPr>
          <w:p w14:paraId="18183761" w14:textId="77777777" w:rsidR="003C0910" w:rsidRPr="00DB1329" w:rsidRDefault="003C0910">
            <w:pPr>
              <w:rPr>
                <w:rFonts w:asciiTheme="minorHAnsi" w:hAnsiTheme="minorHAnsi"/>
                <w:b/>
                <w:bCs/>
                <w:sz w:val="22"/>
                <w:szCs w:val="22"/>
                <w:u w:val="single"/>
              </w:rPr>
            </w:pPr>
          </w:p>
        </w:tc>
        <w:tc>
          <w:tcPr>
            <w:tcW w:w="1174" w:type="dxa"/>
            <w:tcBorders>
              <w:left w:val="nil"/>
              <w:right w:val="nil"/>
            </w:tcBorders>
            <w:shd w:val="clear" w:color="auto" w:fill="F2F2F2" w:themeFill="background1" w:themeFillShade="F2"/>
            <w:vAlign w:val="center"/>
          </w:tcPr>
          <w:p w14:paraId="7411438D" w14:textId="77777777" w:rsidR="003C0910" w:rsidRPr="00DB1329" w:rsidRDefault="003C0910">
            <w:pPr>
              <w:rPr>
                <w:rFonts w:asciiTheme="minorHAnsi" w:hAnsiTheme="minorHAnsi"/>
                <w:b/>
                <w:bCs/>
                <w:sz w:val="22"/>
                <w:szCs w:val="22"/>
                <w:u w:val="single"/>
              </w:rPr>
            </w:pPr>
          </w:p>
        </w:tc>
        <w:tc>
          <w:tcPr>
            <w:tcW w:w="879" w:type="dxa"/>
            <w:tcBorders>
              <w:left w:val="nil"/>
            </w:tcBorders>
            <w:shd w:val="clear" w:color="auto" w:fill="F2F2F2" w:themeFill="background1" w:themeFillShade="F2"/>
            <w:vAlign w:val="center"/>
          </w:tcPr>
          <w:p w14:paraId="6CF99703" w14:textId="3FE4CE27" w:rsidR="003C0910" w:rsidRPr="00DB1329" w:rsidRDefault="003C0910">
            <w:pPr>
              <w:rPr>
                <w:rFonts w:asciiTheme="minorHAnsi" w:hAnsiTheme="minorHAnsi"/>
                <w:b/>
                <w:bCs/>
                <w:sz w:val="22"/>
                <w:szCs w:val="22"/>
                <w:u w:val="single"/>
              </w:rPr>
            </w:pPr>
          </w:p>
        </w:tc>
      </w:tr>
      <w:tr w:rsidR="00760CCF" w:rsidRPr="00DB1329" w14:paraId="645CBD27" w14:textId="77777777" w:rsidTr="003A0857">
        <w:trPr>
          <w:cantSplit/>
          <w:trHeight w:val="300"/>
          <w:jc w:val="center"/>
        </w:trPr>
        <w:tc>
          <w:tcPr>
            <w:tcW w:w="2327" w:type="dxa"/>
            <w:noWrap/>
            <w:vAlign w:val="center"/>
            <w:hideMark/>
          </w:tcPr>
          <w:p w14:paraId="670D1834" w14:textId="77777777" w:rsidR="00760CCF" w:rsidRPr="00DB1329" w:rsidRDefault="00760CCF">
            <w:pPr>
              <w:ind w:left="144"/>
              <w:rPr>
                <w:rFonts w:asciiTheme="minorHAnsi" w:hAnsiTheme="minorHAnsi"/>
                <w:bCs/>
                <w:sz w:val="22"/>
                <w:szCs w:val="22"/>
              </w:rPr>
            </w:pPr>
            <w:r w:rsidRPr="00DB1329">
              <w:rPr>
                <w:rFonts w:asciiTheme="minorHAnsi" w:hAnsiTheme="minorHAnsi"/>
                <w:bCs/>
                <w:sz w:val="22"/>
                <w:szCs w:val="22"/>
              </w:rPr>
              <w:t>Cell Therapies (BMT &amp; CAR)</w:t>
            </w:r>
          </w:p>
        </w:tc>
        <w:tc>
          <w:tcPr>
            <w:tcW w:w="1428" w:type="dxa"/>
            <w:vAlign w:val="center"/>
          </w:tcPr>
          <w:p w14:paraId="7C6677ED"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464</w:t>
            </w:r>
          </w:p>
        </w:tc>
        <w:tc>
          <w:tcPr>
            <w:tcW w:w="904" w:type="dxa"/>
            <w:vAlign w:val="center"/>
          </w:tcPr>
          <w:p w14:paraId="0213B4AA"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23.9</w:t>
            </w:r>
          </w:p>
        </w:tc>
        <w:tc>
          <w:tcPr>
            <w:tcW w:w="904" w:type="dxa"/>
            <w:vAlign w:val="center"/>
          </w:tcPr>
          <w:p w14:paraId="49069115"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30.4</w:t>
            </w:r>
          </w:p>
        </w:tc>
        <w:tc>
          <w:tcPr>
            <w:tcW w:w="1079" w:type="dxa"/>
            <w:vAlign w:val="center"/>
          </w:tcPr>
          <w:p w14:paraId="1BF8BCBB" w14:textId="77777777" w:rsidR="00760CCF" w:rsidRPr="00DB1329" w:rsidRDefault="00760CCF">
            <w:pPr>
              <w:ind w:right="51"/>
              <w:jc w:val="center"/>
              <w:rPr>
                <w:rFonts w:asciiTheme="minorHAnsi" w:hAnsiTheme="minorHAnsi"/>
                <w:bCs/>
                <w:sz w:val="22"/>
                <w:szCs w:val="22"/>
              </w:rPr>
            </w:pPr>
            <w:r w:rsidRPr="00DB1329">
              <w:rPr>
                <w:rFonts w:asciiTheme="minorHAnsi" w:hAnsiTheme="minorHAnsi"/>
                <w:bCs/>
                <w:sz w:val="22"/>
                <w:szCs w:val="22"/>
              </w:rPr>
              <w:t>46.0%*</w:t>
            </w:r>
          </w:p>
        </w:tc>
        <w:tc>
          <w:tcPr>
            <w:tcW w:w="1175" w:type="dxa"/>
            <w:vAlign w:val="center"/>
          </w:tcPr>
          <w:p w14:paraId="306D2435"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678</w:t>
            </w:r>
          </w:p>
        </w:tc>
        <w:tc>
          <w:tcPr>
            <w:tcW w:w="1174" w:type="dxa"/>
            <w:noWrap/>
            <w:vAlign w:val="center"/>
            <w:hideMark/>
          </w:tcPr>
          <w:p w14:paraId="6612C9A9"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44.4</w:t>
            </w:r>
          </w:p>
        </w:tc>
        <w:tc>
          <w:tcPr>
            <w:tcW w:w="1174" w:type="dxa"/>
            <w:noWrap/>
            <w:vAlign w:val="center"/>
            <w:hideMark/>
          </w:tcPr>
          <w:p w14:paraId="79CF5260"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53</w:t>
            </w:r>
          </w:p>
        </w:tc>
        <w:tc>
          <w:tcPr>
            <w:tcW w:w="879" w:type="dxa"/>
            <w:vAlign w:val="center"/>
          </w:tcPr>
          <w:p w14:paraId="219821FD"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52.2</w:t>
            </w:r>
          </w:p>
        </w:tc>
      </w:tr>
      <w:tr w:rsidR="00760CCF" w:rsidRPr="00DB1329" w14:paraId="5CE62F92" w14:textId="77777777" w:rsidTr="003A0857">
        <w:trPr>
          <w:cantSplit/>
          <w:trHeight w:val="300"/>
          <w:jc w:val="center"/>
        </w:trPr>
        <w:tc>
          <w:tcPr>
            <w:tcW w:w="2327" w:type="dxa"/>
            <w:noWrap/>
            <w:vAlign w:val="center"/>
            <w:hideMark/>
          </w:tcPr>
          <w:p w14:paraId="54D15DA1" w14:textId="77777777" w:rsidR="00760CCF" w:rsidRPr="00DB1329" w:rsidRDefault="00760CCF">
            <w:pPr>
              <w:ind w:left="144"/>
              <w:rPr>
                <w:rFonts w:asciiTheme="minorHAnsi" w:hAnsiTheme="minorHAnsi"/>
                <w:bCs/>
                <w:sz w:val="22"/>
                <w:szCs w:val="22"/>
              </w:rPr>
            </w:pPr>
            <w:r w:rsidRPr="00DB1329">
              <w:rPr>
                <w:rFonts w:asciiTheme="minorHAnsi" w:hAnsiTheme="minorHAnsi"/>
                <w:bCs/>
                <w:sz w:val="22"/>
                <w:szCs w:val="22"/>
              </w:rPr>
              <w:t>Neuro Oncology</w:t>
            </w:r>
          </w:p>
        </w:tc>
        <w:tc>
          <w:tcPr>
            <w:tcW w:w="1428" w:type="dxa"/>
            <w:vAlign w:val="center"/>
          </w:tcPr>
          <w:p w14:paraId="7F01C8DE"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828</w:t>
            </w:r>
          </w:p>
        </w:tc>
        <w:tc>
          <w:tcPr>
            <w:tcW w:w="904" w:type="dxa"/>
            <w:vAlign w:val="center"/>
          </w:tcPr>
          <w:p w14:paraId="0283F59F"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7.1</w:t>
            </w:r>
          </w:p>
        </w:tc>
        <w:tc>
          <w:tcPr>
            <w:tcW w:w="904" w:type="dxa"/>
            <w:vAlign w:val="center"/>
          </w:tcPr>
          <w:p w14:paraId="1B7289BD"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16.0</w:t>
            </w:r>
          </w:p>
        </w:tc>
        <w:tc>
          <w:tcPr>
            <w:tcW w:w="1079" w:type="dxa"/>
            <w:vAlign w:val="center"/>
          </w:tcPr>
          <w:p w14:paraId="141ADB40"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10.8%**</w:t>
            </w:r>
          </w:p>
        </w:tc>
        <w:tc>
          <w:tcPr>
            <w:tcW w:w="1175" w:type="dxa"/>
            <w:vAlign w:val="center"/>
          </w:tcPr>
          <w:p w14:paraId="6559EA95"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917</w:t>
            </w:r>
          </w:p>
        </w:tc>
        <w:tc>
          <w:tcPr>
            <w:tcW w:w="1174" w:type="dxa"/>
            <w:noWrap/>
            <w:vAlign w:val="center"/>
            <w:hideMark/>
          </w:tcPr>
          <w:p w14:paraId="45894925" w14:textId="77777777" w:rsidR="00760CCF" w:rsidRPr="00DB1329" w:rsidRDefault="00760CCF">
            <w:pPr>
              <w:jc w:val="center"/>
              <w:rPr>
                <w:rFonts w:asciiTheme="minorHAnsi" w:hAnsiTheme="minorHAnsi"/>
                <w:bCs/>
                <w:sz w:val="22"/>
                <w:szCs w:val="22"/>
              </w:rPr>
            </w:pPr>
            <w:r w:rsidRPr="001668BA">
              <w:rPr>
                <w:rFonts w:asciiTheme="minorHAnsi" w:hAnsiTheme="minorHAnsi"/>
                <w:sz w:val="22"/>
                <w:szCs w:val="22"/>
              </w:rPr>
              <w:t>17.7</w:t>
            </w:r>
          </w:p>
        </w:tc>
        <w:tc>
          <w:tcPr>
            <w:tcW w:w="1174" w:type="dxa"/>
            <w:noWrap/>
            <w:vAlign w:val="center"/>
            <w:hideMark/>
          </w:tcPr>
          <w:p w14:paraId="3EC7E350"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23</w:t>
            </w:r>
          </w:p>
        </w:tc>
        <w:tc>
          <w:tcPr>
            <w:tcW w:w="879" w:type="dxa"/>
            <w:vAlign w:val="center"/>
          </w:tcPr>
          <w:p w14:paraId="156849DC"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20.8</w:t>
            </w:r>
          </w:p>
        </w:tc>
      </w:tr>
      <w:tr w:rsidR="00760CCF" w:rsidRPr="00DB1329" w14:paraId="6E59239A" w14:textId="77777777" w:rsidTr="003A0857">
        <w:trPr>
          <w:cantSplit/>
          <w:trHeight w:val="300"/>
          <w:jc w:val="center"/>
        </w:trPr>
        <w:tc>
          <w:tcPr>
            <w:tcW w:w="2327" w:type="dxa"/>
            <w:noWrap/>
            <w:vAlign w:val="center"/>
            <w:hideMark/>
          </w:tcPr>
          <w:p w14:paraId="05BBEC27" w14:textId="77777777" w:rsidR="00760CCF" w:rsidRPr="00DB1329" w:rsidRDefault="00760CCF">
            <w:pPr>
              <w:ind w:left="144"/>
              <w:rPr>
                <w:rFonts w:asciiTheme="minorHAnsi" w:hAnsiTheme="minorHAnsi"/>
                <w:bCs/>
                <w:sz w:val="22"/>
                <w:szCs w:val="22"/>
              </w:rPr>
            </w:pPr>
            <w:r w:rsidRPr="00DB1329">
              <w:rPr>
                <w:rFonts w:asciiTheme="minorHAnsi" w:hAnsiTheme="minorHAnsi"/>
                <w:bCs/>
                <w:sz w:val="22"/>
                <w:szCs w:val="22"/>
              </w:rPr>
              <w:t>Palliative Care</w:t>
            </w:r>
          </w:p>
        </w:tc>
        <w:tc>
          <w:tcPr>
            <w:tcW w:w="1428" w:type="dxa"/>
            <w:vAlign w:val="center"/>
          </w:tcPr>
          <w:p w14:paraId="155F4E2A"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953</w:t>
            </w:r>
          </w:p>
        </w:tc>
        <w:tc>
          <w:tcPr>
            <w:tcW w:w="904" w:type="dxa"/>
            <w:vAlign w:val="center"/>
          </w:tcPr>
          <w:p w14:paraId="04466B5E"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10.0</w:t>
            </w:r>
          </w:p>
        </w:tc>
        <w:tc>
          <w:tcPr>
            <w:tcW w:w="904" w:type="dxa"/>
            <w:vAlign w:val="center"/>
          </w:tcPr>
          <w:p w14:paraId="1C919AEA"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26.1</w:t>
            </w:r>
          </w:p>
        </w:tc>
        <w:tc>
          <w:tcPr>
            <w:tcW w:w="1079" w:type="dxa"/>
            <w:vAlign w:val="center"/>
          </w:tcPr>
          <w:p w14:paraId="18F0CB77"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10.8%**</w:t>
            </w:r>
          </w:p>
        </w:tc>
        <w:tc>
          <w:tcPr>
            <w:tcW w:w="1175" w:type="dxa"/>
            <w:vAlign w:val="center"/>
          </w:tcPr>
          <w:p w14:paraId="68BA6081"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1,055</w:t>
            </w:r>
          </w:p>
        </w:tc>
        <w:tc>
          <w:tcPr>
            <w:tcW w:w="1174" w:type="dxa"/>
            <w:noWrap/>
            <w:vAlign w:val="center"/>
            <w:hideMark/>
          </w:tcPr>
          <w:p w14:paraId="5115319E"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28.9</w:t>
            </w:r>
          </w:p>
        </w:tc>
        <w:tc>
          <w:tcPr>
            <w:tcW w:w="1174" w:type="dxa"/>
            <w:noWrap/>
            <w:vAlign w:val="center"/>
            <w:hideMark/>
          </w:tcPr>
          <w:p w14:paraId="351D64CC"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36</w:t>
            </w:r>
          </w:p>
        </w:tc>
        <w:tc>
          <w:tcPr>
            <w:tcW w:w="879" w:type="dxa"/>
            <w:vAlign w:val="center"/>
          </w:tcPr>
          <w:p w14:paraId="43B0BD40"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34.0</w:t>
            </w:r>
          </w:p>
        </w:tc>
      </w:tr>
      <w:tr w:rsidR="00760CCF" w:rsidRPr="00DB1329" w14:paraId="77808DC5" w14:textId="77777777" w:rsidTr="003A0857">
        <w:trPr>
          <w:cantSplit/>
          <w:trHeight w:val="300"/>
          <w:jc w:val="center"/>
        </w:trPr>
        <w:tc>
          <w:tcPr>
            <w:tcW w:w="2327" w:type="dxa"/>
            <w:noWrap/>
            <w:vAlign w:val="center"/>
            <w:hideMark/>
          </w:tcPr>
          <w:p w14:paraId="6CB7C59A" w14:textId="77777777" w:rsidR="00760CCF" w:rsidRPr="00DB1329" w:rsidRDefault="00760CCF">
            <w:pPr>
              <w:ind w:left="144"/>
              <w:rPr>
                <w:rFonts w:asciiTheme="minorHAnsi" w:hAnsiTheme="minorHAnsi"/>
                <w:bCs/>
                <w:sz w:val="22"/>
                <w:szCs w:val="22"/>
              </w:rPr>
            </w:pPr>
            <w:r w:rsidRPr="00DB1329">
              <w:rPr>
                <w:rFonts w:asciiTheme="minorHAnsi" w:hAnsiTheme="minorHAnsi"/>
                <w:bCs/>
                <w:sz w:val="22"/>
                <w:szCs w:val="22"/>
              </w:rPr>
              <w:t>Young Adult Oncology</w:t>
            </w:r>
          </w:p>
        </w:tc>
        <w:tc>
          <w:tcPr>
            <w:tcW w:w="1428" w:type="dxa"/>
            <w:vAlign w:val="center"/>
          </w:tcPr>
          <w:p w14:paraId="61248C1F"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875</w:t>
            </w:r>
          </w:p>
        </w:tc>
        <w:tc>
          <w:tcPr>
            <w:tcW w:w="904" w:type="dxa"/>
            <w:vAlign w:val="center"/>
          </w:tcPr>
          <w:p w14:paraId="52205FBF"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8.4</w:t>
            </w:r>
          </w:p>
        </w:tc>
        <w:tc>
          <w:tcPr>
            <w:tcW w:w="904" w:type="dxa"/>
            <w:vAlign w:val="center"/>
          </w:tcPr>
          <w:p w14:paraId="3F05FE19" w14:textId="77777777" w:rsidR="00760CCF" w:rsidRPr="00DB1329" w:rsidRDefault="00760CCF">
            <w:pPr>
              <w:jc w:val="center"/>
              <w:rPr>
                <w:rFonts w:asciiTheme="minorHAnsi" w:hAnsiTheme="minorHAnsi"/>
                <w:bCs/>
                <w:sz w:val="22"/>
                <w:szCs w:val="22"/>
              </w:rPr>
            </w:pPr>
            <w:r w:rsidRPr="001668BA">
              <w:rPr>
                <w:rFonts w:asciiTheme="minorHAnsi" w:hAnsiTheme="minorHAnsi"/>
                <w:sz w:val="22"/>
                <w:szCs w:val="22"/>
              </w:rPr>
              <w:t>20.2</w:t>
            </w:r>
          </w:p>
        </w:tc>
        <w:tc>
          <w:tcPr>
            <w:tcW w:w="1079" w:type="dxa"/>
            <w:vAlign w:val="center"/>
          </w:tcPr>
          <w:p w14:paraId="63F1EB82"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18.5%**</w:t>
            </w:r>
          </w:p>
        </w:tc>
        <w:tc>
          <w:tcPr>
            <w:tcW w:w="1175" w:type="dxa"/>
            <w:vAlign w:val="center"/>
          </w:tcPr>
          <w:p w14:paraId="52E4BFAE"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1,041</w:t>
            </w:r>
          </w:p>
        </w:tc>
        <w:tc>
          <w:tcPr>
            <w:tcW w:w="1174" w:type="dxa"/>
            <w:noWrap/>
            <w:vAlign w:val="center"/>
            <w:hideMark/>
          </w:tcPr>
          <w:p w14:paraId="2C9A4DCE"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23.9</w:t>
            </w:r>
          </w:p>
        </w:tc>
        <w:tc>
          <w:tcPr>
            <w:tcW w:w="1174" w:type="dxa"/>
            <w:noWrap/>
            <w:vAlign w:val="center"/>
            <w:hideMark/>
          </w:tcPr>
          <w:p w14:paraId="36A79846"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30</w:t>
            </w:r>
          </w:p>
        </w:tc>
        <w:tc>
          <w:tcPr>
            <w:tcW w:w="879" w:type="dxa"/>
            <w:vAlign w:val="center"/>
          </w:tcPr>
          <w:p w14:paraId="5689975C"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28.2</w:t>
            </w:r>
          </w:p>
        </w:tc>
      </w:tr>
      <w:tr w:rsidR="00760CCF" w:rsidRPr="00DB1329" w14:paraId="4840CE4B" w14:textId="77777777" w:rsidTr="003A0857">
        <w:trPr>
          <w:cantSplit/>
          <w:trHeight w:val="300"/>
          <w:jc w:val="center"/>
        </w:trPr>
        <w:tc>
          <w:tcPr>
            <w:tcW w:w="2327" w:type="dxa"/>
            <w:noWrap/>
            <w:vAlign w:val="center"/>
            <w:hideMark/>
          </w:tcPr>
          <w:p w14:paraId="19CBA73E" w14:textId="77777777" w:rsidR="00760CCF" w:rsidRPr="00DB1329" w:rsidRDefault="00760CCF">
            <w:pPr>
              <w:ind w:left="144"/>
              <w:rPr>
                <w:rFonts w:asciiTheme="minorHAnsi" w:hAnsiTheme="minorHAnsi"/>
                <w:bCs/>
                <w:sz w:val="22"/>
                <w:szCs w:val="22"/>
              </w:rPr>
            </w:pPr>
            <w:r w:rsidRPr="00DB1329">
              <w:rPr>
                <w:rFonts w:asciiTheme="minorHAnsi" w:hAnsiTheme="minorHAnsi"/>
                <w:bCs/>
                <w:sz w:val="22"/>
                <w:szCs w:val="22"/>
              </w:rPr>
              <w:t>Geriatric Oncology</w:t>
            </w:r>
          </w:p>
        </w:tc>
        <w:tc>
          <w:tcPr>
            <w:tcW w:w="1428" w:type="dxa"/>
            <w:vAlign w:val="center"/>
          </w:tcPr>
          <w:p w14:paraId="34DBC5EC"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1,371</w:t>
            </w:r>
          </w:p>
        </w:tc>
        <w:tc>
          <w:tcPr>
            <w:tcW w:w="904" w:type="dxa"/>
            <w:vAlign w:val="center"/>
          </w:tcPr>
          <w:p w14:paraId="6E44C4C0"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7.9</w:t>
            </w:r>
          </w:p>
        </w:tc>
        <w:tc>
          <w:tcPr>
            <w:tcW w:w="904" w:type="dxa"/>
            <w:vAlign w:val="center"/>
          </w:tcPr>
          <w:p w14:paraId="5F3CE7AB"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29.7</w:t>
            </w:r>
          </w:p>
        </w:tc>
        <w:tc>
          <w:tcPr>
            <w:tcW w:w="1079" w:type="dxa"/>
            <w:vAlign w:val="center"/>
          </w:tcPr>
          <w:p w14:paraId="3E9076F1"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34.8%**</w:t>
            </w:r>
          </w:p>
        </w:tc>
        <w:tc>
          <w:tcPr>
            <w:tcW w:w="1175" w:type="dxa"/>
            <w:vAlign w:val="center"/>
          </w:tcPr>
          <w:p w14:paraId="472FE400"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1,848</w:t>
            </w:r>
          </w:p>
        </w:tc>
        <w:tc>
          <w:tcPr>
            <w:tcW w:w="1174" w:type="dxa"/>
            <w:noWrap/>
            <w:vAlign w:val="center"/>
            <w:hideMark/>
          </w:tcPr>
          <w:p w14:paraId="134AB5C9"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40.0</w:t>
            </w:r>
          </w:p>
        </w:tc>
        <w:tc>
          <w:tcPr>
            <w:tcW w:w="1174" w:type="dxa"/>
            <w:noWrap/>
            <w:vAlign w:val="center"/>
            <w:hideMark/>
          </w:tcPr>
          <w:p w14:paraId="342C9512"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48</w:t>
            </w:r>
          </w:p>
        </w:tc>
        <w:tc>
          <w:tcPr>
            <w:tcW w:w="879" w:type="dxa"/>
            <w:vAlign w:val="center"/>
          </w:tcPr>
          <w:p w14:paraId="2D5F9E18"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47.1</w:t>
            </w:r>
          </w:p>
        </w:tc>
      </w:tr>
      <w:tr w:rsidR="00760CCF" w:rsidRPr="00DB1329" w14:paraId="63ABB0F1" w14:textId="77777777" w:rsidTr="008961E1">
        <w:trPr>
          <w:cantSplit/>
          <w:trHeight w:val="315"/>
          <w:jc w:val="center"/>
        </w:trPr>
        <w:tc>
          <w:tcPr>
            <w:tcW w:w="2327" w:type="dxa"/>
            <w:tcBorders>
              <w:bottom w:val="single" w:sz="4" w:space="0" w:color="auto"/>
            </w:tcBorders>
            <w:noWrap/>
            <w:vAlign w:val="center"/>
            <w:hideMark/>
          </w:tcPr>
          <w:p w14:paraId="7936E956" w14:textId="77777777" w:rsidR="00760CCF" w:rsidRPr="00DB1329" w:rsidRDefault="00760CCF">
            <w:pPr>
              <w:ind w:left="144"/>
              <w:rPr>
                <w:rFonts w:asciiTheme="minorHAnsi" w:hAnsiTheme="minorHAnsi"/>
                <w:bCs/>
                <w:sz w:val="22"/>
                <w:szCs w:val="22"/>
              </w:rPr>
            </w:pPr>
            <w:r w:rsidRPr="00DB1329">
              <w:rPr>
                <w:rFonts w:asciiTheme="minorHAnsi" w:hAnsiTheme="minorHAnsi"/>
                <w:bCs/>
                <w:sz w:val="22"/>
                <w:szCs w:val="22"/>
              </w:rPr>
              <w:t>Medical Oncology</w:t>
            </w:r>
          </w:p>
        </w:tc>
        <w:tc>
          <w:tcPr>
            <w:tcW w:w="1428" w:type="dxa"/>
            <w:tcBorders>
              <w:bottom w:val="single" w:sz="4" w:space="0" w:color="auto"/>
            </w:tcBorders>
            <w:vAlign w:val="center"/>
          </w:tcPr>
          <w:p w14:paraId="4AA27D21"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7,085</w:t>
            </w:r>
          </w:p>
        </w:tc>
        <w:tc>
          <w:tcPr>
            <w:tcW w:w="904" w:type="dxa"/>
            <w:tcBorders>
              <w:bottom w:val="single" w:sz="4" w:space="0" w:color="auto"/>
            </w:tcBorders>
            <w:vAlign w:val="center"/>
          </w:tcPr>
          <w:p w14:paraId="56A7429D"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6.9</w:t>
            </w:r>
          </w:p>
        </w:tc>
        <w:tc>
          <w:tcPr>
            <w:tcW w:w="904" w:type="dxa"/>
            <w:tcBorders>
              <w:bottom w:val="single" w:sz="4" w:space="0" w:color="auto"/>
            </w:tcBorders>
            <w:vAlign w:val="center"/>
          </w:tcPr>
          <w:p w14:paraId="69B362E4" w14:textId="77777777" w:rsidR="00760CCF" w:rsidRPr="00DB1329" w:rsidRDefault="00760CCF">
            <w:pPr>
              <w:jc w:val="center"/>
              <w:rPr>
                <w:rFonts w:asciiTheme="minorHAnsi" w:hAnsiTheme="minorHAnsi"/>
                <w:bCs/>
                <w:sz w:val="22"/>
                <w:szCs w:val="22"/>
              </w:rPr>
            </w:pPr>
            <w:r w:rsidRPr="001668BA">
              <w:rPr>
                <w:rFonts w:asciiTheme="minorHAnsi" w:hAnsiTheme="minorHAnsi"/>
                <w:sz w:val="22"/>
                <w:szCs w:val="22"/>
              </w:rPr>
              <w:t>134.2</w:t>
            </w:r>
          </w:p>
        </w:tc>
        <w:tc>
          <w:tcPr>
            <w:tcW w:w="1079" w:type="dxa"/>
            <w:tcBorders>
              <w:bottom w:val="single" w:sz="4" w:space="0" w:color="auto"/>
            </w:tcBorders>
            <w:vAlign w:val="center"/>
          </w:tcPr>
          <w:p w14:paraId="21E5A736"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10.8%**</w:t>
            </w:r>
          </w:p>
        </w:tc>
        <w:tc>
          <w:tcPr>
            <w:tcW w:w="1175" w:type="dxa"/>
            <w:tcBorders>
              <w:bottom w:val="single" w:sz="4" w:space="0" w:color="auto"/>
            </w:tcBorders>
            <w:vAlign w:val="center"/>
          </w:tcPr>
          <w:p w14:paraId="024C890E"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7,861</w:t>
            </w:r>
          </w:p>
        </w:tc>
        <w:tc>
          <w:tcPr>
            <w:tcW w:w="1174" w:type="dxa"/>
            <w:tcBorders>
              <w:bottom w:val="single" w:sz="4" w:space="0" w:color="auto"/>
            </w:tcBorders>
            <w:noWrap/>
            <w:vAlign w:val="center"/>
            <w:hideMark/>
          </w:tcPr>
          <w:p w14:paraId="4D3287AC"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148.7</w:t>
            </w:r>
          </w:p>
        </w:tc>
        <w:tc>
          <w:tcPr>
            <w:tcW w:w="1174" w:type="dxa"/>
            <w:tcBorders>
              <w:bottom w:val="single" w:sz="4" w:space="0" w:color="auto"/>
            </w:tcBorders>
            <w:noWrap/>
            <w:vAlign w:val="center"/>
            <w:hideMark/>
          </w:tcPr>
          <w:p w14:paraId="268BA40F"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169</w:t>
            </w:r>
          </w:p>
        </w:tc>
        <w:tc>
          <w:tcPr>
            <w:tcW w:w="879" w:type="dxa"/>
            <w:tcBorders>
              <w:bottom w:val="single" w:sz="4" w:space="0" w:color="auto"/>
            </w:tcBorders>
            <w:vAlign w:val="center"/>
          </w:tcPr>
          <w:p w14:paraId="5621A45F"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174.9</w:t>
            </w:r>
          </w:p>
        </w:tc>
      </w:tr>
      <w:tr w:rsidR="003A0857" w:rsidRPr="00DB1329" w14:paraId="17BC25EB" w14:textId="77777777" w:rsidTr="008961E1">
        <w:trPr>
          <w:cantSplit/>
          <w:trHeight w:val="315"/>
          <w:jc w:val="center"/>
        </w:trPr>
        <w:tc>
          <w:tcPr>
            <w:tcW w:w="2327" w:type="dxa"/>
            <w:tcBorders>
              <w:right w:val="nil"/>
            </w:tcBorders>
            <w:shd w:val="clear" w:color="auto" w:fill="F2F2F2" w:themeFill="background1" w:themeFillShade="F2"/>
            <w:noWrap/>
            <w:vAlign w:val="center"/>
            <w:hideMark/>
          </w:tcPr>
          <w:p w14:paraId="5937C7D8" w14:textId="77777777" w:rsidR="003A0857" w:rsidRPr="00DB1329" w:rsidRDefault="003A0857">
            <w:pPr>
              <w:rPr>
                <w:rFonts w:asciiTheme="minorHAnsi" w:hAnsiTheme="minorHAnsi"/>
                <w:bCs/>
                <w:sz w:val="22"/>
                <w:szCs w:val="22"/>
              </w:rPr>
            </w:pPr>
            <w:r w:rsidRPr="00DB1329">
              <w:rPr>
                <w:rFonts w:asciiTheme="minorHAnsi" w:hAnsiTheme="minorHAnsi"/>
                <w:b/>
                <w:bCs/>
                <w:sz w:val="22"/>
                <w:szCs w:val="22"/>
              </w:rPr>
              <w:t>Intensive Care Beds</w:t>
            </w:r>
          </w:p>
        </w:tc>
        <w:tc>
          <w:tcPr>
            <w:tcW w:w="1428" w:type="dxa"/>
            <w:tcBorders>
              <w:left w:val="nil"/>
              <w:right w:val="nil"/>
            </w:tcBorders>
            <w:shd w:val="clear" w:color="auto" w:fill="F2F2F2" w:themeFill="background1" w:themeFillShade="F2"/>
            <w:vAlign w:val="center"/>
          </w:tcPr>
          <w:p w14:paraId="4BFA8DF2" w14:textId="77777777" w:rsidR="003A0857" w:rsidRPr="00DB1329" w:rsidRDefault="003A0857">
            <w:pPr>
              <w:rPr>
                <w:rFonts w:asciiTheme="minorHAnsi" w:hAnsiTheme="minorHAnsi"/>
                <w:bCs/>
                <w:sz w:val="22"/>
                <w:szCs w:val="22"/>
              </w:rPr>
            </w:pPr>
          </w:p>
        </w:tc>
        <w:tc>
          <w:tcPr>
            <w:tcW w:w="904" w:type="dxa"/>
            <w:tcBorders>
              <w:left w:val="nil"/>
              <w:right w:val="nil"/>
            </w:tcBorders>
            <w:shd w:val="clear" w:color="auto" w:fill="F2F2F2" w:themeFill="background1" w:themeFillShade="F2"/>
            <w:vAlign w:val="center"/>
          </w:tcPr>
          <w:p w14:paraId="66246D01" w14:textId="77777777" w:rsidR="003A0857" w:rsidRPr="00DB1329" w:rsidRDefault="003A0857">
            <w:pPr>
              <w:rPr>
                <w:rFonts w:asciiTheme="minorHAnsi" w:hAnsiTheme="minorHAnsi"/>
                <w:bCs/>
                <w:sz w:val="22"/>
                <w:szCs w:val="22"/>
              </w:rPr>
            </w:pPr>
          </w:p>
        </w:tc>
        <w:tc>
          <w:tcPr>
            <w:tcW w:w="904" w:type="dxa"/>
            <w:tcBorders>
              <w:left w:val="nil"/>
              <w:right w:val="nil"/>
            </w:tcBorders>
            <w:shd w:val="clear" w:color="auto" w:fill="F2F2F2" w:themeFill="background1" w:themeFillShade="F2"/>
            <w:vAlign w:val="center"/>
          </w:tcPr>
          <w:p w14:paraId="1E76B561" w14:textId="77777777" w:rsidR="003A0857" w:rsidRPr="00DB1329" w:rsidRDefault="003A0857">
            <w:pPr>
              <w:rPr>
                <w:rFonts w:asciiTheme="minorHAnsi" w:hAnsiTheme="minorHAnsi"/>
                <w:bCs/>
                <w:sz w:val="22"/>
                <w:szCs w:val="22"/>
              </w:rPr>
            </w:pPr>
          </w:p>
        </w:tc>
        <w:tc>
          <w:tcPr>
            <w:tcW w:w="1079" w:type="dxa"/>
            <w:tcBorders>
              <w:left w:val="nil"/>
              <w:right w:val="nil"/>
            </w:tcBorders>
            <w:shd w:val="clear" w:color="auto" w:fill="F2F2F2" w:themeFill="background1" w:themeFillShade="F2"/>
            <w:vAlign w:val="center"/>
          </w:tcPr>
          <w:p w14:paraId="4B1900F0" w14:textId="77777777" w:rsidR="003A0857" w:rsidRPr="00DB1329" w:rsidRDefault="003A0857">
            <w:pPr>
              <w:rPr>
                <w:rFonts w:asciiTheme="minorHAnsi" w:hAnsiTheme="minorHAnsi"/>
                <w:bCs/>
                <w:sz w:val="22"/>
                <w:szCs w:val="22"/>
              </w:rPr>
            </w:pPr>
          </w:p>
        </w:tc>
        <w:tc>
          <w:tcPr>
            <w:tcW w:w="1175" w:type="dxa"/>
            <w:tcBorders>
              <w:left w:val="nil"/>
              <w:right w:val="nil"/>
            </w:tcBorders>
            <w:shd w:val="clear" w:color="auto" w:fill="F2F2F2" w:themeFill="background1" w:themeFillShade="F2"/>
            <w:vAlign w:val="center"/>
          </w:tcPr>
          <w:p w14:paraId="1945C198" w14:textId="77777777" w:rsidR="003A0857" w:rsidRPr="00DB1329" w:rsidRDefault="003A0857">
            <w:pPr>
              <w:rPr>
                <w:rFonts w:asciiTheme="minorHAnsi" w:hAnsiTheme="minorHAnsi"/>
                <w:bCs/>
                <w:sz w:val="22"/>
                <w:szCs w:val="22"/>
              </w:rPr>
            </w:pPr>
          </w:p>
        </w:tc>
        <w:tc>
          <w:tcPr>
            <w:tcW w:w="1174" w:type="dxa"/>
            <w:tcBorders>
              <w:left w:val="nil"/>
              <w:right w:val="nil"/>
            </w:tcBorders>
            <w:shd w:val="clear" w:color="auto" w:fill="F2F2F2" w:themeFill="background1" w:themeFillShade="F2"/>
            <w:vAlign w:val="center"/>
          </w:tcPr>
          <w:p w14:paraId="4B1DE155" w14:textId="77777777" w:rsidR="003A0857" w:rsidRPr="00DB1329" w:rsidRDefault="003A0857">
            <w:pPr>
              <w:rPr>
                <w:rFonts w:asciiTheme="minorHAnsi" w:hAnsiTheme="minorHAnsi"/>
                <w:bCs/>
                <w:sz w:val="22"/>
                <w:szCs w:val="22"/>
              </w:rPr>
            </w:pPr>
          </w:p>
        </w:tc>
        <w:tc>
          <w:tcPr>
            <w:tcW w:w="1174" w:type="dxa"/>
            <w:tcBorders>
              <w:left w:val="nil"/>
              <w:right w:val="nil"/>
            </w:tcBorders>
            <w:shd w:val="clear" w:color="auto" w:fill="F2F2F2" w:themeFill="background1" w:themeFillShade="F2"/>
            <w:vAlign w:val="center"/>
          </w:tcPr>
          <w:p w14:paraId="60A7BF5E" w14:textId="77777777" w:rsidR="003A0857" w:rsidRPr="00DB1329" w:rsidRDefault="003A0857">
            <w:pPr>
              <w:rPr>
                <w:rFonts w:asciiTheme="minorHAnsi" w:hAnsiTheme="minorHAnsi"/>
                <w:bCs/>
                <w:sz w:val="22"/>
                <w:szCs w:val="22"/>
              </w:rPr>
            </w:pPr>
          </w:p>
        </w:tc>
        <w:tc>
          <w:tcPr>
            <w:tcW w:w="879" w:type="dxa"/>
            <w:tcBorders>
              <w:left w:val="nil"/>
            </w:tcBorders>
            <w:shd w:val="clear" w:color="auto" w:fill="F2F2F2" w:themeFill="background1" w:themeFillShade="F2"/>
            <w:vAlign w:val="center"/>
          </w:tcPr>
          <w:p w14:paraId="4CB004FC" w14:textId="5B18C76E" w:rsidR="003A0857" w:rsidRPr="00DB1329" w:rsidRDefault="003A0857">
            <w:pPr>
              <w:rPr>
                <w:rFonts w:asciiTheme="minorHAnsi" w:hAnsiTheme="minorHAnsi"/>
                <w:bCs/>
                <w:sz w:val="22"/>
                <w:szCs w:val="22"/>
              </w:rPr>
            </w:pPr>
          </w:p>
        </w:tc>
      </w:tr>
      <w:tr w:rsidR="00760CCF" w:rsidRPr="00DB1329" w14:paraId="06917CE9" w14:textId="77777777" w:rsidTr="003A0857">
        <w:trPr>
          <w:cantSplit/>
          <w:trHeight w:val="315"/>
          <w:jc w:val="center"/>
        </w:trPr>
        <w:tc>
          <w:tcPr>
            <w:tcW w:w="2327" w:type="dxa"/>
            <w:tcBorders>
              <w:bottom w:val="single" w:sz="4" w:space="0" w:color="auto"/>
              <w:right w:val="single" w:sz="4" w:space="0" w:color="auto"/>
            </w:tcBorders>
            <w:noWrap/>
            <w:vAlign w:val="center"/>
            <w:hideMark/>
          </w:tcPr>
          <w:p w14:paraId="28077134" w14:textId="77777777" w:rsidR="00760CCF" w:rsidRPr="00DB1329" w:rsidRDefault="00760CCF">
            <w:pPr>
              <w:ind w:left="144"/>
              <w:rPr>
                <w:rFonts w:asciiTheme="minorHAnsi" w:hAnsiTheme="minorHAnsi"/>
                <w:bCs/>
                <w:sz w:val="22"/>
                <w:szCs w:val="22"/>
              </w:rPr>
            </w:pPr>
            <w:r w:rsidRPr="00DB1329">
              <w:rPr>
                <w:rFonts w:asciiTheme="minorHAnsi" w:hAnsiTheme="minorHAnsi"/>
                <w:bCs/>
                <w:sz w:val="22"/>
                <w:szCs w:val="22"/>
              </w:rPr>
              <w:lastRenderedPageBreak/>
              <w:t>Oncology ICU</w:t>
            </w:r>
            <w:r w:rsidRPr="00DB1329">
              <w:rPr>
                <w:rStyle w:val="FootnoteReference"/>
                <w:rFonts w:asciiTheme="minorHAnsi" w:hAnsiTheme="minorHAnsi"/>
                <w:bCs/>
                <w:sz w:val="22"/>
                <w:szCs w:val="22"/>
              </w:rPr>
              <w:footnoteReference w:id="51"/>
            </w:r>
          </w:p>
        </w:tc>
        <w:tc>
          <w:tcPr>
            <w:tcW w:w="142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8EA0A5" w14:textId="77777777" w:rsidR="00760CCF" w:rsidRPr="00DB1329" w:rsidRDefault="00760CCF">
            <w:pPr>
              <w:jc w:val="center"/>
              <w:rPr>
                <w:rFonts w:asciiTheme="minorHAnsi" w:hAnsiTheme="minorHAnsi"/>
                <w:bCs/>
                <w:sz w:val="22"/>
                <w:szCs w:val="22"/>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3AB5C218"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4.1</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69E3D8A0"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16.2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4FA5E05"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10.8%**</w:t>
            </w:r>
          </w:p>
        </w:tc>
        <w:tc>
          <w:tcPr>
            <w:tcW w:w="117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F5D53B" w14:textId="77777777" w:rsidR="00760CCF" w:rsidRPr="00DB1329" w:rsidRDefault="00760CCF">
            <w:pPr>
              <w:jc w:val="center"/>
              <w:rPr>
                <w:rFonts w:asciiTheme="minorHAnsi" w:hAnsiTheme="minorHAnsi"/>
                <w:bCs/>
                <w:sz w:val="22"/>
                <w:szCs w:val="22"/>
              </w:rPr>
            </w:pPr>
          </w:p>
        </w:tc>
        <w:tc>
          <w:tcPr>
            <w:tcW w:w="1174" w:type="dxa"/>
            <w:tcBorders>
              <w:left w:val="single" w:sz="4" w:space="0" w:color="auto"/>
              <w:bottom w:val="single" w:sz="4" w:space="0" w:color="auto"/>
            </w:tcBorders>
            <w:noWrap/>
            <w:vAlign w:val="center"/>
            <w:hideMark/>
          </w:tcPr>
          <w:p w14:paraId="39023C75"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18.0</w:t>
            </w:r>
          </w:p>
        </w:tc>
        <w:tc>
          <w:tcPr>
            <w:tcW w:w="1174" w:type="dxa"/>
            <w:tcBorders>
              <w:bottom w:val="single" w:sz="4" w:space="0" w:color="auto"/>
            </w:tcBorders>
            <w:noWrap/>
            <w:vAlign w:val="center"/>
            <w:hideMark/>
          </w:tcPr>
          <w:p w14:paraId="25D63071"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25</w:t>
            </w:r>
          </w:p>
        </w:tc>
        <w:tc>
          <w:tcPr>
            <w:tcW w:w="879" w:type="dxa"/>
            <w:tcBorders>
              <w:bottom w:val="single" w:sz="4" w:space="0" w:color="auto"/>
            </w:tcBorders>
            <w:vAlign w:val="center"/>
          </w:tcPr>
          <w:p w14:paraId="250D3405" w14:textId="77777777" w:rsidR="00760CCF" w:rsidRPr="00DB1329" w:rsidRDefault="00760CCF">
            <w:pPr>
              <w:jc w:val="center"/>
              <w:rPr>
                <w:rFonts w:asciiTheme="minorHAnsi" w:hAnsiTheme="minorHAnsi"/>
                <w:bCs/>
                <w:sz w:val="22"/>
                <w:szCs w:val="22"/>
              </w:rPr>
            </w:pPr>
            <w:r w:rsidRPr="00DB1329">
              <w:rPr>
                <w:rFonts w:asciiTheme="minorHAnsi" w:hAnsiTheme="minorHAnsi"/>
                <w:bCs/>
                <w:sz w:val="22"/>
                <w:szCs w:val="22"/>
              </w:rPr>
              <w:t>21.1</w:t>
            </w:r>
          </w:p>
        </w:tc>
      </w:tr>
      <w:tr w:rsidR="00760CCF" w:rsidRPr="00DB1329" w14:paraId="1CBB1597" w14:textId="77777777" w:rsidTr="003A0857">
        <w:trPr>
          <w:cantSplit/>
          <w:trHeight w:val="315"/>
          <w:jc w:val="center"/>
        </w:trPr>
        <w:tc>
          <w:tcPr>
            <w:tcW w:w="2327" w:type="dxa"/>
            <w:tcBorders>
              <w:bottom w:val="single" w:sz="4" w:space="0" w:color="auto"/>
            </w:tcBorders>
            <w:noWrap/>
            <w:vAlign w:val="center"/>
            <w:hideMark/>
          </w:tcPr>
          <w:p w14:paraId="1671A900" w14:textId="77777777" w:rsidR="00760CCF" w:rsidRPr="00DB1329" w:rsidRDefault="00760CCF">
            <w:pPr>
              <w:jc w:val="center"/>
              <w:rPr>
                <w:rFonts w:asciiTheme="minorHAnsi" w:hAnsiTheme="minorHAnsi"/>
                <w:b/>
                <w:bCs/>
                <w:sz w:val="22"/>
                <w:szCs w:val="22"/>
                <w:u w:val="single"/>
              </w:rPr>
            </w:pPr>
            <w:r w:rsidRPr="00DB1329">
              <w:rPr>
                <w:rFonts w:asciiTheme="minorHAnsi" w:hAnsiTheme="minorHAnsi"/>
                <w:b/>
                <w:bCs/>
                <w:sz w:val="22"/>
                <w:szCs w:val="22"/>
                <w:u w:val="single"/>
              </w:rPr>
              <w:t>TOTAL/AVERAGE</w:t>
            </w:r>
          </w:p>
        </w:tc>
        <w:tc>
          <w:tcPr>
            <w:tcW w:w="1428" w:type="dxa"/>
            <w:tcBorders>
              <w:top w:val="single" w:sz="4" w:space="0" w:color="auto"/>
              <w:bottom w:val="single" w:sz="4" w:space="0" w:color="auto"/>
            </w:tcBorders>
            <w:vAlign w:val="center"/>
          </w:tcPr>
          <w:p w14:paraId="216D1AE0" w14:textId="77777777" w:rsidR="00760CCF" w:rsidRPr="00DB1329" w:rsidRDefault="00760CCF">
            <w:pPr>
              <w:jc w:val="center"/>
              <w:rPr>
                <w:rFonts w:asciiTheme="minorHAnsi" w:hAnsiTheme="minorHAnsi"/>
                <w:b/>
                <w:bCs/>
                <w:sz w:val="22"/>
                <w:szCs w:val="22"/>
              </w:rPr>
            </w:pPr>
            <w:r w:rsidRPr="00DB1329">
              <w:rPr>
                <w:rFonts w:asciiTheme="minorHAnsi" w:hAnsiTheme="minorHAnsi"/>
                <w:b/>
                <w:bCs/>
                <w:sz w:val="22"/>
                <w:szCs w:val="22"/>
              </w:rPr>
              <w:t>11,576</w:t>
            </w:r>
          </w:p>
        </w:tc>
        <w:tc>
          <w:tcPr>
            <w:tcW w:w="904" w:type="dxa"/>
            <w:tcBorders>
              <w:top w:val="single" w:sz="4" w:space="0" w:color="auto"/>
              <w:bottom w:val="single" w:sz="4" w:space="0" w:color="auto"/>
            </w:tcBorders>
            <w:vAlign w:val="center"/>
          </w:tcPr>
          <w:p w14:paraId="71ACCDDA" w14:textId="77777777" w:rsidR="00760CCF" w:rsidRPr="00DB1329" w:rsidRDefault="00760CCF">
            <w:pPr>
              <w:jc w:val="center"/>
              <w:rPr>
                <w:rFonts w:asciiTheme="minorHAnsi" w:hAnsiTheme="minorHAnsi"/>
                <w:b/>
                <w:bCs/>
                <w:sz w:val="22"/>
                <w:szCs w:val="22"/>
              </w:rPr>
            </w:pPr>
            <w:r w:rsidRPr="00DB1329">
              <w:rPr>
                <w:rFonts w:asciiTheme="minorHAnsi" w:hAnsiTheme="minorHAnsi"/>
                <w:b/>
                <w:bCs/>
                <w:sz w:val="22"/>
                <w:szCs w:val="22"/>
              </w:rPr>
              <w:t>8.6</w:t>
            </w:r>
          </w:p>
        </w:tc>
        <w:tc>
          <w:tcPr>
            <w:tcW w:w="904" w:type="dxa"/>
            <w:tcBorders>
              <w:top w:val="single" w:sz="4" w:space="0" w:color="auto"/>
              <w:bottom w:val="single" w:sz="4" w:space="0" w:color="auto"/>
            </w:tcBorders>
            <w:vAlign w:val="center"/>
          </w:tcPr>
          <w:p w14:paraId="0D62132B" w14:textId="04D2FD3B" w:rsidR="00760CCF" w:rsidRPr="00DB1329" w:rsidRDefault="00760CCF">
            <w:pPr>
              <w:jc w:val="center"/>
              <w:rPr>
                <w:rFonts w:asciiTheme="minorHAnsi" w:hAnsiTheme="minorHAnsi"/>
                <w:b/>
                <w:bCs/>
                <w:sz w:val="22"/>
                <w:szCs w:val="22"/>
              </w:rPr>
            </w:pPr>
            <w:r w:rsidRPr="00DB1329">
              <w:rPr>
                <w:rFonts w:asciiTheme="minorHAnsi" w:hAnsiTheme="minorHAnsi"/>
                <w:b/>
                <w:bCs/>
                <w:sz w:val="22"/>
                <w:szCs w:val="22"/>
              </w:rPr>
              <w:t>272.9</w:t>
            </w:r>
            <w:r w:rsidR="00786D40">
              <w:rPr>
                <w:rStyle w:val="FootnoteReference"/>
                <w:rFonts w:asciiTheme="minorHAnsi" w:hAnsiTheme="minorHAnsi"/>
                <w:b/>
                <w:bCs/>
                <w:sz w:val="22"/>
                <w:szCs w:val="22"/>
              </w:rPr>
              <w:footnoteReference w:id="52"/>
            </w:r>
          </w:p>
        </w:tc>
        <w:tc>
          <w:tcPr>
            <w:tcW w:w="1079" w:type="dxa"/>
            <w:tcBorders>
              <w:top w:val="single" w:sz="4" w:space="0" w:color="auto"/>
              <w:bottom w:val="single" w:sz="4" w:space="0" w:color="auto"/>
            </w:tcBorders>
            <w:vAlign w:val="center"/>
          </w:tcPr>
          <w:p w14:paraId="06860C8D" w14:textId="77777777" w:rsidR="00760CCF" w:rsidRPr="00DB1329" w:rsidRDefault="00760CCF">
            <w:pPr>
              <w:ind w:right="51"/>
              <w:jc w:val="center"/>
              <w:rPr>
                <w:rFonts w:asciiTheme="minorHAnsi" w:hAnsiTheme="minorHAnsi"/>
                <w:b/>
                <w:bCs/>
                <w:sz w:val="22"/>
                <w:szCs w:val="22"/>
              </w:rPr>
            </w:pPr>
            <w:r w:rsidRPr="00DB1329">
              <w:rPr>
                <w:rFonts w:asciiTheme="minorHAnsi" w:hAnsiTheme="minorHAnsi"/>
                <w:b/>
                <w:bCs/>
                <w:sz w:val="22"/>
                <w:szCs w:val="22"/>
              </w:rPr>
              <w:t>17.9%</w:t>
            </w:r>
          </w:p>
        </w:tc>
        <w:tc>
          <w:tcPr>
            <w:tcW w:w="1175" w:type="dxa"/>
            <w:tcBorders>
              <w:top w:val="single" w:sz="4" w:space="0" w:color="auto"/>
              <w:bottom w:val="single" w:sz="4" w:space="0" w:color="auto"/>
            </w:tcBorders>
            <w:vAlign w:val="center"/>
          </w:tcPr>
          <w:p w14:paraId="5F9C2BFA" w14:textId="77777777" w:rsidR="00760CCF" w:rsidRPr="00DB1329" w:rsidRDefault="00760CCF">
            <w:pPr>
              <w:jc w:val="center"/>
              <w:rPr>
                <w:rFonts w:asciiTheme="minorHAnsi" w:hAnsiTheme="minorHAnsi"/>
                <w:b/>
                <w:bCs/>
                <w:sz w:val="22"/>
                <w:szCs w:val="22"/>
              </w:rPr>
            </w:pPr>
            <w:r w:rsidRPr="00DB1329">
              <w:rPr>
                <w:rFonts w:asciiTheme="minorHAnsi" w:hAnsiTheme="minorHAnsi"/>
                <w:b/>
                <w:bCs/>
                <w:sz w:val="22"/>
                <w:szCs w:val="22"/>
              </w:rPr>
              <w:t>13,400</w:t>
            </w:r>
          </w:p>
        </w:tc>
        <w:tc>
          <w:tcPr>
            <w:tcW w:w="1174" w:type="dxa"/>
            <w:tcBorders>
              <w:bottom w:val="single" w:sz="4" w:space="0" w:color="auto"/>
            </w:tcBorders>
            <w:noWrap/>
            <w:vAlign w:val="center"/>
            <w:hideMark/>
          </w:tcPr>
          <w:p w14:paraId="054FFCDA" w14:textId="77777777" w:rsidR="00760CCF" w:rsidRPr="00DB1329" w:rsidRDefault="00760CCF">
            <w:pPr>
              <w:jc w:val="center"/>
              <w:rPr>
                <w:rFonts w:asciiTheme="minorHAnsi" w:hAnsiTheme="minorHAnsi"/>
                <w:b/>
                <w:bCs/>
                <w:sz w:val="22"/>
                <w:szCs w:val="22"/>
              </w:rPr>
            </w:pPr>
            <w:r w:rsidRPr="00DB1329">
              <w:rPr>
                <w:rFonts w:asciiTheme="minorHAnsi" w:hAnsiTheme="minorHAnsi"/>
                <w:b/>
                <w:bCs/>
                <w:sz w:val="22"/>
                <w:szCs w:val="22"/>
              </w:rPr>
              <w:t>321.6</w:t>
            </w:r>
          </w:p>
        </w:tc>
        <w:tc>
          <w:tcPr>
            <w:tcW w:w="1174" w:type="dxa"/>
            <w:tcBorders>
              <w:bottom w:val="single" w:sz="4" w:space="0" w:color="auto"/>
            </w:tcBorders>
            <w:noWrap/>
            <w:vAlign w:val="center"/>
            <w:hideMark/>
          </w:tcPr>
          <w:p w14:paraId="68A3E14E" w14:textId="77777777" w:rsidR="00760CCF" w:rsidRPr="00DB1329" w:rsidRDefault="00760CCF">
            <w:pPr>
              <w:jc w:val="center"/>
              <w:rPr>
                <w:rFonts w:asciiTheme="minorHAnsi" w:hAnsiTheme="minorHAnsi"/>
                <w:b/>
                <w:bCs/>
                <w:sz w:val="22"/>
                <w:szCs w:val="22"/>
              </w:rPr>
            </w:pPr>
            <w:r w:rsidRPr="00DB1329">
              <w:rPr>
                <w:rFonts w:asciiTheme="minorHAnsi" w:hAnsiTheme="minorHAnsi"/>
                <w:b/>
                <w:bCs/>
                <w:sz w:val="22"/>
                <w:szCs w:val="22"/>
              </w:rPr>
              <w:t>384</w:t>
            </w:r>
          </w:p>
        </w:tc>
        <w:tc>
          <w:tcPr>
            <w:tcW w:w="879" w:type="dxa"/>
            <w:tcBorders>
              <w:bottom w:val="single" w:sz="4" w:space="0" w:color="auto"/>
            </w:tcBorders>
            <w:vAlign w:val="center"/>
          </w:tcPr>
          <w:p w14:paraId="72074A52" w14:textId="77777777" w:rsidR="00760CCF" w:rsidRPr="00DB1329" w:rsidRDefault="00760CCF">
            <w:pPr>
              <w:jc w:val="center"/>
              <w:rPr>
                <w:rFonts w:asciiTheme="minorHAnsi" w:hAnsiTheme="minorHAnsi"/>
                <w:b/>
                <w:bCs/>
                <w:sz w:val="22"/>
                <w:szCs w:val="22"/>
              </w:rPr>
            </w:pPr>
            <w:r w:rsidRPr="00DB1329">
              <w:rPr>
                <w:rFonts w:asciiTheme="minorHAnsi" w:hAnsiTheme="minorHAnsi"/>
                <w:b/>
                <w:bCs/>
                <w:sz w:val="22"/>
                <w:szCs w:val="22"/>
              </w:rPr>
              <w:t>378.4</w:t>
            </w:r>
          </w:p>
        </w:tc>
      </w:tr>
    </w:tbl>
    <w:bookmarkEnd w:id="10"/>
    <w:p w14:paraId="5038079D" w14:textId="77777777" w:rsidR="00760CCF" w:rsidRPr="00787F27" w:rsidRDefault="00760CCF" w:rsidP="00760CCF">
      <w:pPr>
        <w:rPr>
          <w:rFonts w:asciiTheme="minorHAnsi" w:hAnsiTheme="minorHAnsi"/>
          <w:sz w:val="20"/>
        </w:rPr>
      </w:pPr>
      <w:r w:rsidRPr="00787F27">
        <w:rPr>
          <w:rFonts w:asciiTheme="minorHAnsi" w:hAnsiTheme="minorHAnsi"/>
          <w:sz w:val="20"/>
        </w:rPr>
        <w:t xml:space="preserve">* Source: Sg2 </w:t>
      </w:r>
    </w:p>
    <w:p w14:paraId="1088F000" w14:textId="77777777" w:rsidR="00760CCF" w:rsidRPr="00982A22" w:rsidRDefault="00760CCF" w:rsidP="00760CCF">
      <w:pPr>
        <w:rPr>
          <w:rFonts w:asciiTheme="minorHAnsi" w:hAnsiTheme="minorHAnsi"/>
          <w:sz w:val="20"/>
        </w:rPr>
      </w:pPr>
      <w:r w:rsidRPr="00982A22">
        <w:rPr>
          <w:rFonts w:asciiTheme="minorHAnsi" w:hAnsiTheme="minorHAnsi"/>
          <w:sz w:val="20"/>
        </w:rPr>
        <w:t>**Source: The Advisory Board Company, adjusted for certain factors included in The Advisory Board Company growth rates applicable only to community hospital providers.</w:t>
      </w:r>
    </w:p>
    <w:p w14:paraId="619027CF" w14:textId="77777777" w:rsidR="00760CCF" w:rsidRDefault="00760CCF" w:rsidP="00350588">
      <w:pPr>
        <w:rPr>
          <w:rFonts w:asciiTheme="minorHAnsi" w:hAnsiTheme="minorHAnsi"/>
          <w:bCs/>
          <w:szCs w:val="24"/>
        </w:rPr>
      </w:pPr>
    </w:p>
    <w:p w14:paraId="32CF4DB4" w14:textId="22BCF238" w:rsidR="00BC6186" w:rsidRDefault="00BC6186" w:rsidP="00BA2054">
      <w:pPr>
        <w:rPr>
          <w:rFonts w:asciiTheme="minorHAnsi" w:hAnsiTheme="minorHAnsi"/>
          <w:bCs/>
          <w:szCs w:val="24"/>
        </w:rPr>
      </w:pPr>
      <w:r>
        <w:rPr>
          <w:rFonts w:asciiTheme="minorHAnsi" w:hAnsiTheme="minorHAnsi"/>
          <w:bCs/>
          <w:szCs w:val="24"/>
        </w:rPr>
        <w:t xml:space="preserve">The Applicant states that projected need for inpatient beds is based on conservative assumptions, and does not account for </w:t>
      </w:r>
      <w:r w:rsidR="001727BD">
        <w:rPr>
          <w:rFonts w:asciiTheme="minorHAnsi" w:hAnsiTheme="minorHAnsi"/>
          <w:bCs/>
          <w:szCs w:val="24"/>
        </w:rPr>
        <w:t xml:space="preserve">higher census days, above the average, </w:t>
      </w:r>
      <w:r w:rsidR="00B347D8">
        <w:rPr>
          <w:rFonts w:asciiTheme="minorHAnsi" w:hAnsiTheme="minorHAnsi"/>
          <w:bCs/>
          <w:szCs w:val="24"/>
        </w:rPr>
        <w:t>no</w:t>
      </w:r>
      <w:r w:rsidR="00C70D11">
        <w:rPr>
          <w:rFonts w:asciiTheme="minorHAnsi" w:hAnsiTheme="minorHAnsi"/>
          <w:bCs/>
          <w:szCs w:val="24"/>
        </w:rPr>
        <w:t>r</w:t>
      </w:r>
      <w:r w:rsidR="00B347D8">
        <w:rPr>
          <w:rFonts w:asciiTheme="minorHAnsi" w:hAnsiTheme="minorHAnsi"/>
          <w:bCs/>
          <w:szCs w:val="24"/>
        </w:rPr>
        <w:t xml:space="preserve"> does it </w:t>
      </w:r>
      <w:r w:rsidR="00D82A56">
        <w:rPr>
          <w:rFonts w:asciiTheme="minorHAnsi" w:hAnsiTheme="minorHAnsi"/>
          <w:bCs/>
          <w:szCs w:val="24"/>
        </w:rPr>
        <w:t xml:space="preserve">account for </w:t>
      </w:r>
      <w:r w:rsidR="00B347D8">
        <w:rPr>
          <w:rFonts w:asciiTheme="minorHAnsi" w:hAnsiTheme="minorHAnsi"/>
          <w:bCs/>
          <w:szCs w:val="24"/>
        </w:rPr>
        <w:t xml:space="preserve">future growth </w:t>
      </w:r>
      <w:r w:rsidR="003B3EFF">
        <w:rPr>
          <w:rFonts w:asciiTheme="minorHAnsi" w:hAnsiTheme="minorHAnsi"/>
          <w:bCs/>
          <w:szCs w:val="24"/>
        </w:rPr>
        <w:t xml:space="preserve">stemming </w:t>
      </w:r>
      <w:r w:rsidR="00B347D8">
        <w:rPr>
          <w:rFonts w:asciiTheme="minorHAnsi" w:hAnsiTheme="minorHAnsi"/>
          <w:bCs/>
          <w:szCs w:val="24"/>
        </w:rPr>
        <w:t xml:space="preserve">from increasing cancer rates. </w:t>
      </w:r>
    </w:p>
    <w:p w14:paraId="508858B3" w14:textId="77777777" w:rsidR="00B347D8" w:rsidRDefault="00B347D8" w:rsidP="00BA2054">
      <w:pPr>
        <w:rPr>
          <w:rFonts w:asciiTheme="minorHAnsi" w:hAnsiTheme="minorHAnsi"/>
          <w:bCs/>
          <w:szCs w:val="24"/>
        </w:rPr>
      </w:pPr>
    </w:p>
    <w:p w14:paraId="68F8DC48" w14:textId="04EA7D23" w:rsidR="00E859DC" w:rsidRDefault="00C548D5" w:rsidP="00BA2054">
      <w:pPr>
        <w:rPr>
          <w:rFonts w:asciiTheme="minorHAnsi" w:hAnsiTheme="minorHAnsi"/>
          <w:bCs/>
          <w:szCs w:val="24"/>
        </w:rPr>
      </w:pPr>
      <w:r>
        <w:rPr>
          <w:rFonts w:asciiTheme="minorHAnsi" w:hAnsiTheme="minorHAnsi"/>
          <w:bCs/>
          <w:szCs w:val="24"/>
        </w:rPr>
        <w:t xml:space="preserve">The Applicant </w:t>
      </w:r>
      <w:r w:rsidRPr="00C548D5">
        <w:rPr>
          <w:rFonts w:asciiTheme="minorHAnsi" w:hAnsiTheme="minorHAnsi"/>
          <w:bCs/>
          <w:szCs w:val="24"/>
        </w:rPr>
        <w:t xml:space="preserve">anticipates </w:t>
      </w:r>
      <w:r w:rsidR="00E31F08">
        <w:rPr>
          <w:rFonts w:asciiTheme="minorHAnsi" w:hAnsiTheme="minorHAnsi"/>
          <w:bCs/>
          <w:szCs w:val="24"/>
        </w:rPr>
        <w:t xml:space="preserve">that </w:t>
      </w:r>
      <w:r w:rsidRPr="00C548D5">
        <w:rPr>
          <w:rFonts w:asciiTheme="minorHAnsi" w:hAnsiTheme="minorHAnsi"/>
          <w:bCs/>
          <w:szCs w:val="24"/>
        </w:rPr>
        <w:t xml:space="preserve">the </w:t>
      </w:r>
      <w:r>
        <w:rPr>
          <w:rFonts w:asciiTheme="minorHAnsi" w:hAnsiTheme="minorHAnsi"/>
          <w:bCs/>
          <w:szCs w:val="24"/>
        </w:rPr>
        <w:t xml:space="preserve">proposed </w:t>
      </w:r>
      <w:r w:rsidR="00985F25">
        <w:rPr>
          <w:rFonts w:asciiTheme="minorHAnsi" w:hAnsiTheme="minorHAnsi"/>
          <w:bCs/>
          <w:szCs w:val="24"/>
        </w:rPr>
        <w:t>h</w:t>
      </w:r>
      <w:r>
        <w:rPr>
          <w:rFonts w:asciiTheme="minorHAnsi" w:hAnsiTheme="minorHAnsi"/>
          <w:bCs/>
          <w:szCs w:val="24"/>
        </w:rPr>
        <w:t>ospital</w:t>
      </w:r>
      <w:r w:rsidRPr="00C548D5">
        <w:rPr>
          <w:rFonts w:asciiTheme="minorHAnsi" w:hAnsiTheme="minorHAnsi"/>
          <w:bCs/>
          <w:szCs w:val="24"/>
        </w:rPr>
        <w:t xml:space="preserve"> </w:t>
      </w:r>
      <w:r w:rsidR="00E31F08">
        <w:rPr>
          <w:rFonts w:asciiTheme="minorHAnsi" w:hAnsiTheme="minorHAnsi"/>
          <w:bCs/>
          <w:szCs w:val="24"/>
        </w:rPr>
        <w:t xml:space="preserve">will </w:t>
      </w:r>
      <w:r w:rsidRPr="00C548D5">
        <w:rPr>
          <w:rFonts w:asciiTheme="minorHAnsi" w:hAnsiTheme="minorHAnsi"/>
          <w:bCs/>
          <w:szCs w:val="24"/>
        </w:rPr>
        <w:t>open approximately four years from the receipt of required regulatory approvals and completion of demolition of the existing building at 1 Joslin Place.</w:t>
      </w:r>
      <w:r>
        <w:rPr>
          <w:rFonts w:asciiTheme="minorHAnsi" w:hAnsiTheme="minorHAnsi"/>
          <w:bCs/>
          <w:szCs w:val="24"/>
        </w:rPr>
        <w:t xml:space="preserve"> </w:t>
      </w:r>
      <w:r w:rsidR="00FF3040">
        <w:rPr>
          <w:rFonts w:asciiTheme="minorHAnsi" w:hAnsiTheme="minorHAnsi"/>
          <w:bCs/>
          <w:szCs w:val="24"/>
        </w:rPr>
        <w:t xml:space="preserve">Table </w:t>
      </w:r>
      <w:r w:rsidR="00066D93">
        <w:rPr>
          <w:rFonts w:asciiTheme="minorHAnsi" w:hAnsiTheme="minorHAnsi"/>
          <w:bCs/>
          <w:szCs w:val="24"/>
        </w:rPr>
        <w:t>19</w:t>
      </w:r>
      <w:r w:rsidR="00FF3040">
        <w:rPr>
          <w:rFonts w:asciiTheme="minorHAnsi" w:hAnsiTheme="minorHAnsi"/>
          <w:bCs/>
          <w:szCs w:val="24"/>
        </w:rPr>
        <w:t xml:space="preserve"> shows the Applicant’s projected discharges from Year I through Year 5 of project implementation. </w:t>
      </w:r>
    </w:p>
    <w:p w14:paraId="284C2C64" w14:textId="1F026310" w:rsidR="00FF3040" w:rsidRPr="00FF3040" w:rsidRDefault="00FF3040" w:rsidP="00350588">
      <w:pPr>
        <w:rPr>
          <w:rFonts w:asciiTheme="minorHAnsi" w:hAnsiTheme="minorHAnsi"/>
          <w:b/>
          <w:szCs w:val="24"/>
        </w:rPr>
      </w:pPr>
      <w:r w:rsidRPr="00FF3040">
        <w:rPr>
          <w:rFonts w:asciiTheme="minorHAnsi" w:hAnsiTheme="minorHAnsi"/>
          <w:b/>
          <w:szCs w:val="24"/>
          <w:u w:val="single"/>
        </w:rPr>
        <w:t xml:space="preserve">Table </w:t>
      </w:r>
      <w:r w:rsidR="00066D93">
        <w:rPr>
          <w:rFonts w:asciiTheme="minorHAnsi" w:hAnsiTheme="minorHAnsi"/>
          <w:b/>
          <w:szCs w:val="24"/>
          <w:u w:val="single"/>
        </w:rPr>
        <w:t>19</w:t>
      </w:r>
      <w:r w:rsidRPr="00FF3040">
        <w:rPr>
          <w:rFonts w:asciiTheme="minorHAnsi" w:hAnsiTheme="minorHAnsi"/>
          <w:b/>
          <w:szCs w:val="24"/>
        </w:rPr>
        <w:t xml:space="preserve">: Projected Discharges </w:t>
      </w:r>
    </w:p>
    <w:tbl>
      <w:tblPr>
        <w:tblStyle w:val="TableGrid"/>
        <w:tblW w:w="0" w:type="auto"/>
        <w:tblLook w:val="04A0" w:firstRow="1" w:lastRow="0" w:firstColumn="1" w:lastColumn="0" w:noHBand="0" w:noVBand="1"/>
      </w:tblPr>
      <w:tblGrid>
        <w:gridCol w:w="2209"/>
        <w:gridCol w:w="842"/>
        <w:gridCol w:w="885"/>
        <w:gridCol w:w="885"/>
        <w:gridCol w:w="885"/>
        <w:gridCol w:w="885"/>
        <w:gridCol w:w="1183"/>
      </w:tblGrid>
      <w:tr w:rsidR="00031190" w14:paraId="33619362" w14:textId="6F901BFB">
        <w:tc>
          <w:tcPr>
            <w:tcW w:w="0" w:type="auto"/>
          </w:tcPr>
          <w:p w14:paraId="18192C14" w14:textId="77777777" w:rsidR="00031190" w:rsidRDefault="00031190" w:rsidP="00350588">
            <w:pPr>
              <w:rPr>
                <w:rFonts w:asciiTheme="minorHAnsi" w:hAnsiTheme="minorHAnsi"/>
                <w:bCs/>
                <w:szCs w:val="24"/>
              </w:rPr>
            </w:pPr>
          </w:p>
        </w:tc>
        <w:tc>
          <w:tcPr>
            <w:tcW w:w="0" w:type="auto"/>
            <w:shd w:val="clear" w:color="auto" w:fill="DBE5F1" w:themeFill="accent1" w:themeFillTint="33"/>
          </w:tcPr>
          <w:p w14:paraId="12024F7A" w14:textId="77777777" w:rsidR="00031190" w:rsidRDefault="00031190" w:rsidP="00A461CA">
            <w:pPr>
              <w:jc w:val="center"/>
              <w:rPr>
                <w:rFonts w:asciiTheme="minorHAnsi" w:hAnsiTheme="minorHAnsi"/>
                <w:b/>
                <w:szCs w:val="24"/>
              </w:rPr>
            </w:pPr>
            <w:r w:rsidRPr="00FF3040">
              <w:rPr>
                <w:rFonts w:asciiTheme="minorHAnsi" w:hAnsiTheme="minorHAnsi"/>
                <w:b/>
                <w:szCs w:val="24"/>
              </w:rPr>
              <w:t>Year 1</w:t>
            </w:r>
          </w:p>
          <w:p w14:paraId="18BCC2FA" w14:textId="11AC1426" w:rsidR="00031190" w:rsidRPr="00FF3040" w:rsidRDefault="00031190" w:rsidP="00A461CA">
            <w:pPr>
              <w:jc w:val="center"/>
              <w:rPr>
                <w:rFonts w:asciiTheme="minorHAnsi" w:hAnsiTheme="minorHAnsi"/>
                <w:b/>
                <w:szCs w:val="24"/>
              </w:rPr>
            </w:pPr>
            <w:r>
              <w:rPr>
                <w:rFonts w:asciiTheme="minorHAnsi" w:hAnsiTheme="minorHAnsi"/>
                <w:b/>
                <w:szCs w:val="24"/>
              </w:rPr>
              <w:t>2028</w:t>
            </w:r>
          </w:p>
        </w:tc>
        <w:tc>
          <w:tcPr>
            <w:tcW w:w="0" w:type="auto"/>
            <w:shd w:val="clear" w:color="auto" w:fill="DBE5F1" w:themeFill="accent1" w:themeFillTint="33"/>
          </w:tcPr>
          <w:p w14:paraId="05AC1DEA" w14:textId="77777777" w:rsidR="00031190" w:rsidRDefault="00031190" w:rsidP="00A461CA">
            <w:pPr>
              <w:jc w:val="center"/>
              <w:rPr>
                <w:rFonts w:asciiTheme="minorHAnsi" w:hAnsiTheme="minorHAnsi"/>
                <w:b/>
                <w:szCs w:val="24"/>
              </w:rPr>
            </w:pPr>
            <w:r w:rsidRPr="00FF3040">
              <w:rPr>
                <w:rFonts w:asciiTheme="minorHAnsi" w:hAnsiTheme="minorHAnsi"/>
                <w:b/>
                <w:szCs w:val="24"/>
              </w:rPr>
              <w:t>Year 2</w:t>
            </w:r>
          </w:p>
          <w:p w14:paraId="1C909DC8" w14:textId="589D1D66" w:rsidR="00031190" w:rsidRPr="00FF3040" w:rsidRDefault="00031190" w:rsidP="00A461CA">
            <w:pPr>
              <w:jc w:val="center"/>
              <w:rPr>
                <w:rFonts w:asciiTheme="minorHAnsi" w:hAnsiTheme="minorHAnsi"/>
                <w:b/>
                <w:szCs w:val="24"/>
              </w:rPr>
            </w:pPr>
            <w:r>
              <w:rPr>
                <w:rFonts w:asciiTheme="minorHAnsi" w:hAnsiTheme="minorHAnsi"/>
                <w:b/>
                <w:szCs w:val="24"/>
              </w:rPr>
              <w:t>2029</w:t>
            </w:r>
          </w:p>
        </w:tc>
        <w:tc>
          <w:tcPr>
            <w:tcW w:w="0" w:type="auto"/>
            <w:shd w:val="clear" w:color="auto" w:fill="DBE5F1" w:themeFill="accent1" w:themeFillTint="33"/>
          </w:tcPr>
          <w:p w14:paraId="5854A98C" w14:textId="77777777" w:rsidR="00031190" w:rsidRDefault="00031190" w:rsidP="00A461CA">
            <w:pPr>
              <w:jc w:val="center"/>
              <w:rPr>
                <w:rFonts w:asciiTheme="minorHAnsi" w:hAnsiTheme="minorHAnsi"/>
                <w:b/>
                <w:szCs w:val="24"/>
              </w:rPr>
            </w:pPr>
            <w:r w:rsidRPr="00FF3040">
              <w:rPr>
                <w:rFonts w:asciiTheme="minorHAnsi" w:hAnsiTheme="minorHAnsi"/>
                <w:b/>
                <w:szCs w:val="24"/>
              </w:rPr>
              <w:t>Year 3</w:t>
            </w:r>
          </w:p>
          <w:p w14:paraId="7301B488" w14:textId="07AF6680" w:rsidR="00031190" w:rsidRPr="00FF3040" w:rsidRDefault="00031190" w:rsidP="00A461CA">
            <w:pPr>
              <w:jc w:val="center"/>
              <w:rPr>
                <w:rFonts w:asciiTheme="minorHAnsi" w:hAnsiTheme="minorHAnsi"/>
                <w:b/>
                <w:szCs w:val="24"/>
              </w:rPr>
            </w:pPr>
            <w:r>
              <w:rPr>
                <w:rFonts w:asciiTheme="minorHAnsi" w:hAnsiTheme="minorHAnsi"/>
                <w:b/>
                <w:szCs w:val="24"/>
              </w:rPr>
              <w:t>2030</w:t>
            </w:r>
          </w:p>
        </w:tc>
        <w:tc>
          <w:tcPr>
            <w:tcW w:w="0" w:type="auto"/>
            <w:shd w:val="clear" w:color="auto" w:fill="DBE5F1" w:themeFill="accent1" w:themeFillTint="33"/>
          </w:tcPr>
          <w:p w14:paraId="4F9459A0" w14:textId="77777777" w:rsidR="00031190" w:rsidRDefault="00031190" w:rsidP="00A461CA">
            <w:pPr>
              <w:jc w:val="center"/>
              <w:rPr>
                <w:rFonts w:asciiTheme="minorHAnsi" w:hAnsiTheme="minorHAnsi"/>
                <w:b/>
                <w:szCs w:val="24"/>
              </w:rPr>
            </w:pPr>
            <w:r w:rsidRPr="00FF3040">
              <w:rPr>
                <w:rFonts w:asciiTheme="minorHAnsi" w:hAnsiTheme="minorHAnsi"/>
                <w:b/>
                <w:szCs w:val="24"/>
              </w:rPr>
              <w:t>Year 4</w:t>
            </w:r>
          </w:p>
          <w:p w14:paraId="2377AC0F" w14:textId="54FA2273" w:rsidR="00031190" w:rsidRPr="00FF3040" w:rsidRDefault="00031190" w:rsidP="00A461CA">
            <w:pPr>
              <w:jc w:val="center"/>
              <w:rPr>
                <w:rFonts w:asciiTheme="minorHAnsi" w:hAnsiTheme="minorHAnsi"/>
                <w:b/>
                <w:szCs w:val="24"/>
              </w:rPr>
            </w:pPr>
            <w:r>
              <w:rPr>
                <w:rFonts w:asciiTheme="minorHAnsi" w:hAnsiTheme="minorHAnsi"/>
                <w:b/>
                <w:szCs w:val="24"/>
              </w:rPr>
              <w:t>2031</w:t>
            </w:r>
          </w:p>
        </w:tc>
        <w:tc>
          <w:tcPr>
            <w:tcW w:w="0" w:type="auto"/>
            <w:shd w:val="clear" w:color="auto" w:fill="DBE5F1" w:themeFill="accent1" w:themeFillTint="33"/>
          </w:tcPr>
          <w:p w14:paraId="31D0A27B" w14:textId="77777777" w:rsidR="00031190" w:rsidRDefault="00031190" w:rsidP="00A461CA">
            <w:pPr>
              <w:jc w:val="center"/>
              <w:rPr>
                <w:rFonts w:asciiTheme="minorHAnsi" w:hAnsiTheme="minorHAnsi"/>
                <w:b/>
                <w:szCs w:val="24"/>
              </w:rPr>
            </w:pPr>
            <w:r w:rsidRPr="00FF3040">
              <w:rPr>
                <w:rFonts w:asciiTheme="minorHAnsi" w:hAnsiTheme="minorHAnsi"/>
                <w:b/>
                <w:szCs w:val="24"/>
              </w:rPr>
              <w:t>Year 5</w:t>
            </w:r>
          </w:p>
          <w:p w14:paraId="41108F98" w14:textId="24877FDA" w:rsidR="00031190" w:rsidRPr="00FF3040" w:rsidRDefault="00031190" w:rsidP="00A461CA">
            <w:pPr>
              <w:jc w:val="center"/>
              <w:rPr>
                <w:rFonts w:asciiTheme="minorHAnsi" w:hAnsiTheme="minorHAnsi"/>
                <w:b/>
                <w:szCs w:val="24"/>
              </w:rPr>
            </w:pPr>
            <w:r>
              <w:rPr>
                <w:rFonts w:asciiTheme="minorHAnsi" w:hAnsiTheme="minorHAnsi"/>
                <w:b/>
                <w:szCs w:val="24"/>
              </w:rPr>
              <w:t>2032</w:t>
            </w:r>
          </w:p>
        </w:tc>
        <w:tc>
          <w:tcPr>
            <w:tcW w:w="0" w:type="auto"/>
            <w:shd w:val="clear" w:color="auto" w:fill="DBE5F1" w:themeFill="accent1" w:themeFillTint="33"/>
          </w:tcPr>
          <w:p w14:paraId="7B0669B8" w14:textId="77777777" w:rsidR="00031190" w:rsidRDefault="00031190" w:rsidP="00A461CA">
            <w:pPr>
              <w:jc w:val="center"/>
              <w:rPr>
                <w:rFonts w:asciiTheme="minorHAnsi" w:hAnsiTheme="minorHAnsi"/>
                <w:b/>
                <w:szCs w:val="24"/>
              </w:rPr>
            </w:pPr>
            <w:r>
              <w:rPr>
                <w:rFonts w:asciiTheme="minorHAnsi" w:hAnsiTheme="minorHAnsi"/>
                <w:b/>
                <w:szCs w:val="24"/>
              </w:rPr>
              <w:t>% Change</w:t>
            </w:r>
          </w:p>
          <w:p w14:paraId="068E52FD" w14:textId="5FF6DC30" w:rsidR="00031190" w:rsidRPr="00FF3040" w:rsidRDefault="00031190" w:rsidP="00A461CA">
            <w:pPr>
              <w:jc w:val="center"/>
              <w:rPr>
                <w:rFonts w:asciiTheme="minorHAnsi" w:hAnsiTheme="minorHAnsi"/>
                <w:b/>
                <w:szCs w:val="24"/>
              </w:rPr>
            </w:pPr>
            <w:r>
              <w:rPr>
                <w:rFonts w:asciiTheme="minorHAnsi" w:hAnsiTheme="minorHAnsi"/>
                <w:b/>
                <w:szCs w:val="24"/>
              </w:rPr>
              <w:t>Y1-Y5</w:t>
            </w:r>
          </w:p>
        </w:tc>
      </w:tr>
      <w:tr w:rsidR="00031190" w14:paraId="7894DF53" w14:textId="572D7CCB">
        <w:tc>
          <w:tcPr>
            <w:tcW w:w="0" w:type="auto"/>
          </w:tcPr>
          <w:p w14:paraId="415FF649" w14:textId="0859E036" w:rsidR="00031190" w:rsidRDefault="00031190" w:rsidP="00350588">
            <w:pPr>
              <w:rPr>
                <w:rFonts w:asciiTheme="minorHAnsi" w:hAnsiTheme="minorHAnsi"/>
                <w:bCs/>
                <w:szCs w:val="24"/>
              </w:rPr>
            </w:pPr>
            <w:r>
              <w:rPr>
                <w:rFonts w:asciiTheme="minorHAnsi" w:hAnsiTheme="minorHAnsi"/>
                <w:bCs/>
                <w:szCs w:val="24"/>
              </w:rPr>
              <w:t>Inpatient Discharges</w:t>
            </w:r>
          </w:p>
        </w:tc>
        <w:tc>
          <w:tcPr>
            <w:tcW w:w="0" w:type="auto"/>
          </w:tcPr>
          <w:p w14:paraId="197826A3" w14:textId="42A5C409" w:rsidR="00031190" w:rsidRDefault="00031190" w:rsidP="00A461CA">
            <w:pPr>
              <w:jc w:val="center"/>
              <w:rPr>
                <w:rFonts w:asciiTheme="minorHAnsi" w:hAnsiTheme="minorHAnsi"/>
                <w:bCs/>
                <w:szCs w:val="24"/>
              </w:rPr>
            </w:pPr>
            <w:r>
              <w:rPr>
                <w:rFonts w:asciiTheme="minorHAnsi" w:hAnsiTheme="minorHAnsi"/>
                <w:bCs/>
                <w:szCs w:val="24"/>
              </w:rPr>
              <w:t>9,689</w:t>
            </w:r>
          </w:p>
        </w:tc>
        <w:tc>
          <w:tcPr>
            <w:tcW w:w="0" w:type="auto"/>
          </w:tcPr>
          <w:p w14:paraId="316F0612" w14:textId="613AD4E6" w:rsidR="00031190" w:rsidRDefault="00031190" w:rsidP="00A461CA">
            <w:pPr>
              <w:jc w:val="center"/>
              <w:rPr>
                <w:rFonts w:asciiTheme="minorHAnsi" w:hAnsiTheme="minorHAnsi"/>
                <w:bCs/>
                <w:szCs w:val="24"/>
              </w:rPr>
            </w:pPr>
            <w:r>
              <w:rPr>
                <w:rFonts w:asciiTheme="minorHAnsi" w:hAnsiTheme="minorHAnsi"/>
                <w:bCs/>
                <w:szCs w:val="24"/>
              </w:rPr>
              <w:t>11,832</w:t>
            </w:r>
          </w:p>
        </w:tc>
        <w:tc>
          <w:tcPr>
            <w:tcW w:w="0" w:type="auto"/>
          </w:tcPr>
          <w:p w14:paraId="0B48A5A0" w14:textId="44D8D387" w:rsidR="00031190" w:rsidRDefault="00031190" w:rsidP="00A461CA">
            <w:pPr>
              <w:jc w:val="center"/>
              <w:rPr>
                <w:rFonts w:asciiTheme="minorHAnsi" w:hAnsiTheme="minorHAnsi"/>
                <w:bCs/>
                <w:szCs w:val="24"/>
              </w:rPr>
            </w:pPr>
            <w:r>
              <w:rPr>
                <w:rFonts w:asciiTheme="minorHAnsi" w:hAnsiTheme="minorHAnsi"/>
                <w:bCs/>
                <w:szCs w:val="24"/>
              </w:rPr>
              <w:t>11,901</w:t>
            </w:r>
          </w:p>
        </w:tc>
        <w:tc>
          <w:tcPr>
            <w:tcW w:w="0" w:type="auto"/>
          </w:tcPr>
          <w:p w14:paraId="7D06B0BB" w14:textId="784B9A3D" w:rsidR="00031190" w:rsidRDefault="00031190" w:rsidP="00A461CA">
            <w:pPr>
              <w:jc w:val="center"/>
              <w:rPr>
                <w:rFonts w:asciiTheme="minorHAnsi" w:hAnsiTheme="minorHAnsi"/>
                <w:bCs/>
                <w:szCs w:val="24"/>
              </w:rPr>
            </w:pPr>
            <w:r>
              <w:rPr>
                <w:rFonts w:asciiTheme="minorHAnsi" w:hAnsiTheme="minorHAnsi"/>
                <w:bCs/>
                <w:szCs w:val="24"/>
              </w:rPr>
              <w:t>12,064</w:t>
            </w:r>
          </w:p>
        </w:tc>
        <w:tc>
          <w:tcPr>
            <w:tcW w:w="0" w:type="auto"/>
          </w:tcPr>
          <w:p w14:paraId="04B6EC53" w14:textId="53607E25" w:rsidR="00031190" w:rsidRDefault="00031190" w:rsidP="00A461CA">
            <w:pPr>
              <w:jc w:val="center"/>
              <w:rPr>
                <w:rFonts w:asciiTheme="minorHAnsi" w:hAnsiTheme="minorHAnsi"/>
                <w:bCs/>
                <w:szCs w:val="24"/>
              </w:rPr>
            </w:pPr>
            <w:r>
              <w:rPr>
                <w:rFonts w:asciiTheme="minorHAnsi" w:hAnsiTheme="minorHAnsi"/>
                <w:bCs/>
                <w:szCs w:val="24"/>
              </w:rPr>
              <w:t>12,111</w:t>
            </w:r>
          </w:p>
        </w:tc>
        <w:tc>
          <w:tcPr>
            <w:tcW w:w="0" w:type="auto"/>
          </w:tcPr>
          <w:p w14:paraId="07196E70" w14:textId="0C0F3C9E" w:rsidR="00031190" w:rsidRDefault="00913E74" w:rsidP="00A461CA">
            <w:pPr>
              <w:jc w:val="center"/>
              <w:rPr>
                <w:rFonts w:asciiTheme="minorHAnsi" w:hAnsiTheme="minorHAnsi"/>
                <w:bCs/>
                <w:szCs w:val="24"/>
              </w:rPr>
            </w:pPr>
            <w:r>
              <w:rPr>
                <w:rFonts w:asciiTheme="minorHAnsi" w:hAnsiTheme="minorHAnsi"/>
                <w:bCs/>
                <w:szCs w:val="24"/>
              </w:rPr>
              <w:t>25%</w:t>
            </w:r>
          </w:p>
        </w:tc>
      </w:tr>
    </w:tbl>
    <w:p w14:paraId="432D08DF" w14:textId="77777777" w:rsidR="00E859DC" w:rsidRDefault="00E859DC" w:rsidP="00350588">
      <w:pPr>
        <w:rPr>
          <w:rFonts w:asciiTheme="minorHAnsi" w:hAnsiTheme="minorHAnsi"/>
          <w:bCs/>
          <w:szCs w:val="24"/>
        </w:rPr>
      </w:pPr>
    </w:p>
    <w:p w14:paraId="4C3A5610" w14:textId="4E664C44" w:rsidR="00F104A9" w:rsidRDefault="00F104A9" w:rsidP="00BA2054">
      <w:pPr>
        <w:rPr>
          <w:rFonts w:asciiTheme="minorHAnsi" w:hAnsiTheme="minorHAnsi"/>
          <w:bCs/>
          <w:szCs w:val="24"/>
        </w:rPr>
      </w:pPr>
      <w:r w:rsidRPr="00F104A9">
        <w:rPr>
          <w:rFonts w:asciiTheme="minorHAnsi" w:hAnsiTheme="minorHAnsi"/>
          <w:bCs/>
          <w:szCs w:val="24"/>
        </w:rPr>
        <w:t xml:space="preserve">The Applicant states that it is proposing to construct a 300-bed inpatient hospital because that is </w:t>
      </w:r>
      <w:r w:rsidR="002864FC">
        <w:rPr>
          <w:rFonts w:asciiTheme="minorHAnsi" w:hAnsiTheme="minorHAnsi"/>
          <w:bCs/>
          <w:szCs w:val="24"/>
        </w:rPr>
        <w:t>the capacity that</w:t>
      </w:r>
      <w:r w:rsidRPr="00F104A9">
        <w:rPr>
          <w:rFonts w:asciiTheme="minorHAnsi" w:hAnsiTheme="minorHAnsi"/>
          <w:bCs/>
          <w:szCs w:val="24"/>
        </w:rPr>
        <w:t xml:space="preserve"> can be accommodated on the land available, given applicable budgeting, design, and permitting constraints. The proposed inpatient hospital does not include any shell space for future build out. </w:t>
      </w:r>
    </w:p>
    <w:p w14:paraId="017B15A4" w14:textId="77777777" w:rsidR="00FB1D5E" w:rsidRDefault="00FB1D5E" w:rsidP="00BA2054">
      <w:pPr>
        <w:rPr>
          <w:rFonts w:asciiTheme="minorHAnsi" w:hAnsiTheme="minorHAnsi"/>
          <w:bCs/>
          <w:szCs w:val="24"/>
        </w:rPr>
      </w:pPr>
    </w:p>
    <w:p w14:paraId="38FA5CFF" w14:textId="582FB23B" w:rsidR="00092AF2" w:rsidRDefault="6CEEA253" w:rsidP="00092AF2">
      <w:pPr>
        <w:rPr>
          <w:rFonts w:asciiTheme="minorHAnsi" w:hAnsiTheme="minorHAnsi"/>
        </w:rPr>
      </w:pPr>
      <w:r w:rsidRPr="67771AE9">
        <w:rPr>
          <w:rFonts w:asciiTheme="minorHAnsi" w:hAnsiTheme="minorHAnsi"/>
        </w:rPr>
        <w:t>T</w:t>
      </w:r>
      <w:r w:rsidR="59659D0D" w:rsidRPr="67771AE9">
        <w:rPr>
          <w:rFonts w:asciiTheme="minorHAnsi" w:hAnsiTheme="minorHAnsi"/>
        </w:rPr>
        <w:t xml:space="preserve">he Applicant expects its </w:t>
      </w:r>
      <w:r w:rsidR="4520E159" w:rsidRPr="67771AE9">
        <w:rPr>
          <w:rFonts w:asciiTheme="minorHAnsi" w:hAnsiTheme="minorHAnsi"/>
        </w:rPr>
        <w:t>P</w:t>
      </w:r>
      <w:r w:rsidR="59659D0D" w:rsidRPr="67771AE9">
        <w:rPr>
          <w:rFonts w:asciiTheme="minorHAnsi" w:hAnsiTheme="minorHAnsi"/>
        </w:rPr>
        <w:t xml:space="preserve">atient </w:t>
      </w:r>
      <w:r w:rsidR="4520E159" w:rsidRPr="67771AE9">
        <w:rPr>
          <w:rFonts w:asciiTheme="minorHAnsi" w:hAnsiTheme="minorHAnsi"/>
        </w:rPr>
        <w:t>P</w:t>
      </w:r>
      <w:r w:rsidR="59659D0D" w:rsidRPr="67771AE9">
        <w:rPr>
          <w:rFonts w:asciiTheme="minorHAnsi" w:hAnsiTheme="minorHAnsi"/>
        </w:rPr>
        <w:t>anel will include the</w:t>
      </w:r>
      <w:r w:rsidR="2F3F4011" w:rsidRPr="67771AE9">
        <w:rPr>
          <w:rFonts w:asciiTheme="minorHAnsi" w:hAnsiTheme="minorHAnsi"/>
        </w:rPr>
        <w:t xml:space="preserve"> patients with</w:t>
      </w:r>
      <w:r w:rsidR="59659D0D" w:rsidRPr="67771AE9">
        <w:rPr>
          <w:rFonts w:asciiTheme="minorHAnsi" w:hAnsiTheme="minorHAnsi"/>
        </w:rPr>
        <w:t xml:space="preserve"> cancer it has historically cared for, as well as </w:t>
      </w:r>
      <w:r w:rsidR="2F3F4011" w:rsidRPr="67771AE9">
        <w:rPr>
          <w:rFonts w:asciiTheme="minorHAnsi" w:hAnsiTheme="minorHAnsi"/>
        </w:rPr>
        <w:t xml:space="preserve">patients with </w:t>
      </w:r>
      <w:r w:rsidR="59659D0D" w:rsidRPr="67771AE9">
        <w:rPr>
          <w:rFonts w:asciiTheme="minorHAnsi" w:hAnsiTheme="minorHAnsi"/>
        </w:rPr>
        <w:t xml:space="preserve">cancer previously admitted to BIDMC but who require the sort of advanced cancer care the Applicant will provide at the </w:t>
      </w:r>
      <w:r w:rsidR="34E5EDBC" w:rsidRPr="67771AE9">
        <w:rPr>
          <w:rFonts w:asciiTheme="minorHAnsi" w:hAnsiTheme="minorHAnsi"/>
        </w:rPr>
        <w:t xml:space="preserve">proposed </w:t>
      </w:r>
      <w:r w:rsidR="26E885E7" w:rsidRPr="67771AE9">
        <w:rPr>
          <w:rFonts w:asciiTheme="minorHAnsi" w:hAnsiTheme="minorHAnsi"/>
        </w:rPr>
        <w:t>hospital</w:t>
      </w:r>
      <w:r w:rsidR="59659D0D" w:rsidRPr="67771AE9">
        <w:rPr>
          <w:rFonts w:asciiTheme="minorHAnsi" w:hAnsiTheme="minorHAnsi"/>
        </w:rPr>
        <w:t>.</w:t>
      </w:r>
      <w:r w:rsidR="41D42BA6" w:rsidRPr="67771AE9">
        <w:rPr>
          <w:rFonts w:asciiTheme="minorHAnsi" w:hAnsiTheme="minorHAnsi"/>
        </w:rPr>
        <w:t xml:space="preserve"> </w:t>
      </w:r>
      <w:r w:rsidR="00C909DE">
        <w:rPr>
          <w:rFonts w:asciiTheme="minorHAnsi" w:hAnsiTheme="minorHAnsi"/>
        </w:rPr>
        <w:t xml:space="preserve">The Applicant </w:t>
      </w:r>
      <w:r w:rsidR="001634AE">
        <w:rPr>
          <w:rFonts w:asciiTheme="minorHAnsi" w:hAnsiTheme="minorHAnsi"/>
        </w:rPr>
        <w:t xml:space="preserve">states that it </w:t>
      </w:r>
      <w:r w:rsidR="00C909DE">
        <w:rPr>
          <w:rFonts w:asciiTheme="minorHAnsi" w:hAnsiTheme="minorHAnsi"/>
        </w:rPr>
        <w:t xml:space="preserve">expects that the hospital will absorb all inpatient medical oncology from BIDMC. </w:t>
      </w:r>
      <w:r w:rsidR="009B0692">
        <w:rPr>
          <w:rFonts w:asciiTheme="minorHAnsi" w:hAnsiTheme="minorHAnsi"/>
        </w:rPr>
        <w:t>The proposed hospital</w:t>
      </w:r>
      <w:r w:rsidR="009B0692" w:rsidRPr="009B0692">
        <w:rPr>
          <w:rFonts w:asciiTheme="minorHAnsi" w:hAnsiTheme="minorHAnsi"/>
        </w:rPr>
        <w:t xml:space="preserve"> will not have surgical capabilities</w:t>
      </w:r>
      <w:r w:rsidR="009B0692">
        <w:rPr>
          <w:rFonts w:asciiTheme="minorHAnsi" w:hAnsiTheme="minorHAnsi"/>
        </w:rPr>
        <w:t xml:space="preserve">. </w:t>
      </w:r>
      <w:r w:rsidR="00092AF2" w:rsidRPr="00092AF2">
        <w:rPr>
          <w:rFonts w:asciiTheme="minorHAnsi" w:hAnsiTheme="minorHAnsi"/>
        </w:rPr>
        <w:t xml:space="preserve">BIDMC </w:t>
      </w:r>
      <w:r w:rsidR="009B0692">
        <w:rPr>
          <w:rFonts w:asciiTheme="minorHAnsi" w:hAnsiTheme="minorHAnsi"/>
        </w:rPr>
        <w:t>will serve as</w:t>
      </w:r>
      <w:r w:rsidR="00092AF2" w:rsidRPr="00092AF2">
        <w:rPr>
          <w:rFonts w:asciiTheme="minorHAnsi" w:hAnsiTheme="minorHAnsi"/>
        </w:rPr>
        <w:t xml:space="preserve"> the Applicant’s clinical partner for surgical oncology services. The Applicant </w:t>
      </w:r>
      <w:r w:rsidR="001634AE">
        <w:rPr>
          <w:rFonts w:asciiTheme="minorHAnsi" w:hAnsiTheme="minorHAnsi"/>
        </w:rPr>
        <w:t xml:space="preserve">states that it </w:t>
      </w:r>
      <w:r w:rsidR="00092AF2" w:rsidRPr="00092AF2">
        <w:rPr>
          <w:rFonts w:asciiTheme="minorHAnsi" w:hAnsiTheme="minorHAnsi"/>
        </w:rPr>
        <w:t xml:space="preserve">anticipates that a significant percentage of patients currently receiving surgical oncology services at BWH and some receiving surgical oncology services at </w:t>
      </w:r>
      <w:r w:rsidR="001C1433" w:rsidRPr="00092AF2">
        <w:rPr>
          <w:rFonts w:asciiTheme="minorHAnsi" w:hAnsiTheme="minorHAnsi"/>
        </w:rPr>
        <w:t>MGH</w:t>
      </w:r>
      <w:r w:rsidR="00092AF2" w:rsidRPr="00092AF2">
        <w:rPr>
          <w:rFonts w:asciiTheme="minorHAnsi" w:hAnsiTheme="minorHAnsi"/>
        </w:rPr>
        <w:t xml:space="preserve"> will begin receiving such services from BIDMC. </w:t>
      </w:r>
    </w:p>
    <w:p w14:paraId="6DEAEDAD" w14:textId="77777777" w:rsidR="009B0692" w:rsidRPr="00092AF2" w:rsidRDefault="009B0692" w:rsidP="00092AF2">
      <w:pPr>
        <w:rPr>
          <w:rFonts w:asciiTheme="minorHAnsi" w:hAnsiTheme="minorHAnsi"/>
        </w:rPr>
      </w:pPr>
    </w:p>
    <w:p w14:paraId="626D8B30" w14:textId="64A8146E" w:rsidR="002522C7" w:rsidRDefault="41D42BA6" w:rsidP="67771AE9">
      <w:pPr>
        <w:rPr>
          <w:rFonts w:asciiTheme="minorHAnsi" w:hAnsiTheme="minorHAnsi"/>
        </w:rPr>
      </w:pPr>
      <w:r w:rsidRPr="67771AE9">
        <w:rPr>
          <w:rFonts w:asciiTheme="minorHAnsi" w:hAnsiTheme="minorHAnsi"/>
        </w:rPr>
        <w:t xml:space="preserve">The proposed </w:t>
      </w:r>
      <w:r w:rsidR="26E885E7" w:rsidRPr="67771AE9">
        <w:rPr>
          <w:rFonts w:asciiTheme="minorHAnsi" w:hAnsiTheme="minorHAnsi"/>
        </w:rPr>
        <w:t>hospital</w:t>
      </w:r>
      <w:r w:rsidRPr="67771AE9">
        <w:rPr>
          <w:rFonts w:asciiTheme="minorHAnsi" w:hAnsiTheme="minorHAnsi"/>
        </w:rPr>
        <w:t xml:space="preserve"> will not treat pediatric patients. </w:t>
      </w:r>
      <w:r w:rsidR="00A62C5E">
        <w:rPr>
          <w:rFonts w:asciiTheme="minorHAnsi" w:hAnsiTheme="minorHAnsi"/>
        </w:rPr>
        <w:t xml:space="preserve">The Applicant states that it has a longstanding collaboration with Boston Children’s Hospital whereby inpatient pediatric oncology </w:t>
      </w:r>
      <w:r w:rsidR="00A62C5E">
        <w:rPr>
          <w:rFonts w:asciiTheme="minorHAnsi" w:hAnsiTheme="minorHAnsi"/>
        </w:rPr>
        <w:lastRenderedPageBreak/>
        <w:t>care is provided at Boston Children’s</w:t>
      </w:r>
      <w:r w:rsidR="00783199">
        <w:rPr>
          <w:rFonts w:asciiTheme="minorHAnsi" w:hAnsiTheme="minorHAnsi"/>
        </w:rPr>
        <w:t xml:space="preserve"> Hospital</w:t>
      </w:r>
      <w:r w:rsidR="00A62C5E">
        <w:rPr>
          <w:rFonts w:asciiTheme="minorHAnsi" w:hAnsiTheme="minorHAnsi"/>
        </w:rPr>
        <w:t>. The Applicant cited a published study on the importance of children’s hospitals, and their focus on the unique needs of pediatric patients</w:t>
      </w:r>
      <w:r w:rsidR="002864FC">
        <w:rPr>
          <w:rFonts w:asciiTheme="minorHAnsi" w:hAnsiTheme="minorHAnsi"/>
        </w:rPr>
        <w:t xml:space="preserve"> to demonstrate the importance of the collaboration with Boston Children’s Hospital for the provision of inpatient pediatric oncology care</w:t>
      </w:r>
      <w:r w:rsidR="00A62C5E">
        <w:rPr>
          <w:rFonts w:asciiTheme="minorHAnsi" w:hAnsiTheme="minorHAnsi"/>
        </w:rPr>
        <w:t>.</w:t>
      </w:r>
      <w:r w:rsidR="00A62C5E">
        <w:rPr>
          <w:rStyle w:val="EndnoteReference"/>
          <w:rFonts w:asciiTheme="minorHAnsi" w:hAnsiTheme="minorHAnsi"/>
        </w:rPr>
        <w:endnoteReference w:id="32"/>
      </w:r>
      <w:r w:rsidR="00A62C5E">
        <w:rPr>
          <w:rFonts w:asciiTheme="minorHAnsi" w:hAnsiTheme="minorHAnsi"/>
        </w:rPr>
        <w:t xml:space="preserve"> </w:t>
      </w:r>
      <w:r w:rsidR="003B56E9">
        <w:rPr>
          <w:rFonts w:asciiTheme="minorHAnsi" w:hAnsiTheme="minorHAnsi"/>
        </w:rPr>
        <w:t>Th</w:t>
      </w:r>
      <w:r w:rsidR="00A62C5E">
        <w:rPr>
          <w:rFonts w:asciiTheme="minorHAnsi" w:hAnsiTheme="minorHAnsi"/>
        </w:rPr>
        <w:t>e study</w:t>
      </w:r>
      <w:r w:rsidR="003B56E9">
        <w:rPr>
          <w:rFonts w:asciiTheme="minorHAnsi" w:hAnsiTheme="minorHAnsi"/>
        </w:rPr>
        <w:t>, published in 2019,</w:t>
      </w:r>
      <w:r w:rsidR="00A62C5E">
        <w:rPr>
          <w:rFonts w:asciiTheme="minorHAnsi" w:hAnsiTheme="minorHAnsi"/>
        </w:rPr>
        <w:t xml:space="preserve"> notes that </w:t>
      </w:r>
      <w:r w:rsidR="003B56E9">
        <w:rPr>
          <w:rFonts w:asciiTheme="minorHAnsi" w:hAnsiTheme="minorHAnsi"/>
        </w:rPr>
        <w:t>i</w:t>
      </w:r>
      <w:r w:rsidR="003B56E9" w:rsidRPr="003B56E9">
        <w:rPr>
          <w:rFonts w:asciiTheme="minorHAnsi" w:hAnsiTheme="minorHAnsi"/>
        </w:rPr>
        <w:t>n the U</w:t>
      </w:r>
      <w:r w:rsidR="002864FC">
        <w:rPr>
          <w:rFonts w:asciiTheme="minorHAnsi" w:hAnsiTheme="minorHAnsi"/>
        </w:rPr>
        <w:t>nited States</w:t>
      </w:r>
      <w:r w:rsidR="003B56E9" w:rsidRPr="003B56E9">
        <w:rPr>
          <w:rFonts w:asciiTheme="minorHAnsi" w:hAnsiTheme="minorHAnsi"/>
        </w:rPr>
        <w:t xml:space="preserve">, </w:t>
      </w:r>
      <w:r w:rsidR="003B56E9">
        <w:rPr>
          <w:rFonts w:asciiTheme="minorHAnsi" w:hAnsiTheme="minorHAnsi"/>
        </w:rPr>
        <w:t xml:space="preserve">children’s hospitals </w:t>
      </w:r>
      <w:r w:rsidR="003B56E9" w:rsidRPr="003B56E9">
        <w:rPr>
          <w:rFonts w:asciiTheme="minorHAnsi" w:hAnsiTheme="minorHAnsi"/>
        </w:rPr>
        <w:t>perform 90% of all pediatric cancer care.</w:t>
      </w:r>
      <w:r w:rsidR="003B56E9">
        <w:rPr>
          <w:rFonts w:asciiTheme="minorHAnsi" w:hAnsiTheme="minorHAnsi"/>
        </w:rPr>
        <w:t xml:space="preserve"> </w:t>
      </w:r>
    </w:p>
    <w:p w14:paraId="7CC671F4" w14:textId="77777777" w:rsidR="00D14317" w:rsidRDefault="00D14317" w:rsidP="67771AE9">
      <w:pPr>
        <w:rPr>
          <w:rFonts w:asciiTheme="minorHAnsi" w:hAnsiTheme="minorHAnsi"/>
        </w:rPr>
      </w:pPr>
    </w:p>
    <w:p w14:paraId="17BB0E41" w14:textId="3B6B14EA" w:rsidR="00CA49BD" w:rsidRPr="00CA49BD" w:rsidRDefault="00CA49BD" w:rsidP="00CA49BD">
      <w:pPr>
        <w:rPr>
          <w:rFonts w:asciiTheme="minorHAnsi" w:hAnsiTheme="minorHAnsi"/>
        </w:rPr>
      </w:pPr>
      <w:r w:rsidRPr="667490C1">
        <w:rPr>
          <w:rFonts w:asciiTheme="minorHAnsi" w:hAnsiTheme="minorHAnsi"/>
        </w:rPr>
        <w:t>The Applicant maintains that need for the Proposed Project is demonstrated in its patient population</w:t>
      </w:r>
      <w:r w:rsidR="7E7E68B6" w:rsidRPr="667490C1">
        <w:rPr>
          <w:rFonts w:asciiTheme="minorHAnsi" w:hAnsiTheme="minorHAnsi"/>
        </w:rPr>
        <w:t>,</w:t>
      </w:r>
      <w:r w:rsidRPr="667490C1">
        <w:rPr>
          <w:rFonts w:asciiTheme="minorHAnsi" w:hAnsiTheme="minorHAnsi"/>
        </w:rPr>
        <w:t xml:space="preserve"> and </w:t>
      </w:r>
      <w:r w:rsidR="00717655" w:rsidRPr="667490C1">
        <w:rPr>
          <w:rFonts w:asciiTheme="minorHAnsi" w:hAnsiTheme="minorHAnsi"/>
        </w:rPr>
        <w:t xml:space="preserve">in </w:t>
      </w:r>
      <w:r w:rsidRPr="667490C1">
        <w:rPr>
          <w:rFonts w:asciiTheme="minorHAnsi" w:hAnsiTheme="minorHAnsi"/>
        </w:rPr>
        <w:t xml:space="preserve">that of BIDMC, and therefore it does not anticipate that the proposed hospital will draw patients from other hospitals. The Applicant discussed </w:t>
      </w:r>
      <w:r w:rsidR="002864FC" w:rsidRPr="667490C1">
        <w:rPr>
          <w:rFonts w:asciiTheme="minorHAnsi" w:hAnsiTheme="minorHAnsi"/>
        </w:rPr>
        <w:t xml:space="preserve">existing </w:t>
      </w:r>
      <w:r w:rsidRPr="667490C1">
        <w:rPr>
          <w:rFonts w:asciiTheme="minorHAnsi" w:hAnsiTheme="minorHAnsi"/>
        </w:rPr>
        <w:t>processes in place to keep care local,</w:t>
      </w:r>
      <w:r w:rsidR="00F477D6" w:rsidRPr="667490C1">
        <w:rPr>
          <w:rFonts w:asciiTheme="minorHAnsi" w:hAnsiTheme="minorHAnsi"/>
        </w:rPr>
        <w:t xml:space="preserve"> processes that </w:t>
      </w:r>
      <w:r w:rsidR="00004359" w:rsidRPr="667490C1">
        <w:rPr>
          <w:rFonts w:asciiTheme="minorHAnsi" w:hAnsiTheme="minorHAnsi"/>
        </w:rPr>
        <w:t xml:space="preserve">it states </w:t>
      </w:r>
      <w:r w:rsidR="00F477D6" w:rsidRPr="667490C1">
        <w:rPr>
          <w:rFonts w:asciiTheme="minorHAnsi" w:hAnsiTheme="minorHAnsi"/>
        </w:rPr>
        <w:t xml:space="preserve">will </w:t>
      </w:r>
      <w:r w:rsidR="005F7291" w:rsidRPr="667490C1">
        <w:rPr>
          <w:rFonts w:asciiTheme="minorHAnsi" w:hAnsiTheme="minorHAnsi"/>
        </w:rPr>
        <w:t>be expanded on through the Proposed Project. Th</w:t>
      </w:r>
      <w:r w:rsidR="002A2B75" w:rsidRPr="667490C1">
        <w:rPr>
          <w:rFonts w:asciiTheme="minorHAnsi" w:hAnsiTheme="minorHAnsi"/>
        </w:rPr>
        <w:t>ese</w:t>
      </w:r>
      <w:r w:rsidR="005F7291" w:rsidRPr="667490C1">
        <w:rPr>
          <w:rFonts w:asciiTheme="minorHAnsi" w:hAnsiTheme="minorHAnsi"/>
        </w:rPr>
        <w:t xml:space="preserve"> include</w:t>
      </w:r>
      <w:r w:rsidRPr="667490C1">
        <w:rPr>
          <w:rFonts w:asciiTheme="minorHAnsi" w:hAnsiTheme="minorHAnsi"/>
        </w:rPr>
        <w:t xml:space="preserve"> providing consultations with other providers in the Commonwealth, and </w:t>
      </w:r>
      <w:r w:rsidR="005F7291" w:rsidRPr="667490C1">
        <w:rPr>
          <w:rFonts w:asciiTheme="minorHAnsi" w:hAnsiTheme="minorHAnsi"/>
        </w:rPr>
        <w:t xml:space="preserve">a review by the Applicant’s attending physicians of all outside hospital transfers to </w:t>
      </w:r>
      <w:r w:rsidRPr="667490C1">
        <w:rPr>
          <w:rFonts w:asciiTheme="minorHAnsi" w:hAnsiTheme="minorHAnsi"/>
        </w:rPr>
        <w:t>ensur</w:t>
      </w:r>
      <w:r w:rsidR="005F7291" w:rsidRPr="667490C1">
        <w:rPr>
          <w:rFonts w:asciiTheme="minorHAnsi" w:hAnsiTheme="minorHAnsi"/>
        </w:rPr>
        <w:t>e</w:t>
      </w:r>
      <w:r w:rsidRPr="667490C1">
        <w:rPr>
          <w:rFonts w:asciiTheme="minorHAnsi" w:hAnsiTheme="minorHAnsi"/>
        </w:rPr>
        <w:t xml:space="preserve"> that the care delivered on Longwood Medical campus and in the hospital is appropriate</w:t>
      </w:r>
      <w:r w:rsidR="005F7291" w:rsidRPr="667490C1">
        <w:rPr>
          <w:rFonts w:asciiTheme="minorHAnsi" w:hAnsiTheme="minorHAnsi"/>
        </w:rPr>
        <w:t>.</w:t>
      </w:r>
      <w:r w:rsidRPr="667490C1">
        <w:rPr>
          <w:rFonts w:asciiTheme="minorHAnsi" w:hAnsiTheme="minorHAnsi"/>
        </w:rPr>
        <w:t xml:space="preserve"> </w:t>
      </w:r>
    </w:p>
    <w:p w14:paraId="1BD1B2B9" w14:textId="77777777" w:rsidR="00A60CE4" w:rsidRDefault="00A60CE4" w:rsidP="00AC772A">
      <w:pPr>
        <w:rPr>
          <w:rFonts w:asciiTheme="minorHAnsi" w:hAnsiTheme="minorHAnsi"/>
          <w:b/>
          <w:szCs w:val="24"/>
          <w:u w:val="single"/>
        </w:rPr>
      </w:pPr>
    </w:p>
    <w:p w14:paraId="017D083B" w14:textId="298A96E2" w:rsidR="00E4177B" w:rsidRPr="008D499F" w:rsidRDefault="00030085" w:rsidP="00BA2054">
      <w:pPr>
        <w:rPr>
          <w:rFonts w:asciiTheme="minorHAnsi" w:hAnsiTheme="minorHAnsi"/>
          <w:bCs/>
          <w:i/>
          <w:iCs/>
          <w:szCs w:val="24"/>
        </w:rPr>
      </w:pPr>
      <w:r>
        <w:rPr>
          <w:rFonts w:asciiTheme="minorHAnsi" w:hAnsiTheme="minorHAnsi"/>
          <w:bCs/>
          <w:i/>
          <w:iCs/>
          <w:szCs w:val="24"/>
        </w:rPr>
        <w:t xml:space="preserve">Inpatient </w:t>
      </w:r>
      <w:r w:rsidR="008D499F" w:rsidRPr="008D499F">
        <w:rPr>
          <w:rFonts w:asciiTheme="minorHAnsi" w:hAnsiTheme="minorHAnsi"/>
          <w:bCs/>
          <w:i/>
          <w:iCs/>
          <w:szCs w:val="24"/>
        </w:rPr>
        <w:t>Bed Need Methodology</w:t>
      </w:r>
    </w:p>
    <w:p w14:paraId="3A5B2583" w14:textId="7D7B65F5" w:rsidR="00575CFC" w:rsidRDefault="00F159AA" w:rsidP="00BA2054">
      <w:pPr>
        <w:rPr>
          <w:rFonts w:asciiTheme="minorHAnsi" w:hAnsiTheme="minorHAnsi"/>
          <w:bCs/>
          <w:szCs w:val="24"/>
        </w:rPr>
      </w:pPr>
      <w:r>
        <w:rPr>
          <w:rFonts w:asciiTheme="minorHAnsi" w:hAnsiTheme="minorHAnsi"/>
          <w:bCs/>
          <w:szCs w:val="24"/>
        </w:rPr>
        <w:t>Included below is a</w:t>
      </w:r>
      <w:r w:rsidR="00A64339">
        <w:rPr>
          <w:rFonts w:asciiTheme="minorHAnsi" w:hAnsiTheme="minorHAnsi"/>
          <w:bCs/>
          <w:szCs w:val="24"/>
        </w:rPr>
        <w:t>n overview</w:t>
      </w:r>
      <w:r w:rsidR="007C46B0">
        <w:rPr>
          <w:rFonts w:asciiTheme="minorHAnsi" w:hAnsiTheme="minorHAnsi"/>
          <w:bCs/>
          <w:szCs w:val="24"/>
        </w:rPr>
        <w:t xml:space="preserve"> of the steps the Applicant undertook t</w:t>
      </w:r>
      <w:r w:rsidR="00CD4F18" w:rsidRPr="00CB741F">
        <w:rPr>
          <w:rFonts w:asciiTheme="minorHAnsi" w:hAnsiTheme="minorHAnsi"/>
          <w:bCs/>
          <w:szCs w:val="24"/>
        </w:rPr>
        <w:t xml:space="preserve">o project the need by </w:t>
      </w:r>
      <w:r w:rsidR="007B2195" w:rsidRPr="00CB741F">
        <w:rPr>
          <w:rFonts w:asciiTheme="minorHAnsi" w:hAnsiTheme="minorHAnsi"/>
          <w:bCs/>
          <w:szCs w:val="24"/>
        </w:rPr>
        <w:t>its</w:t>
      </w:r>
      <w:r w:rsidR="00CD4F18" w:rsidRPr="00CB741F">
        <w:rPr>
          <w:rFonts w:asciiTheme="minorHAnsi" w:hAnsiTheme="minorHAnsi"/>
          <w:bCs/>
          <w:szCs w:val="24"/>
        </w:rPr>
        <w:t xml:space="preserve"> Patient Panel</w:t>
      </w:r>
      <w:r w:rsidR="00575CFC">
        <w:rPr>
          <w:rFonts w:asciiTheme="minorHAnsi" w:hAnsiTheme="minorHAnsi"/>
          <w:bCs/>
          <w:szCs w:val="24"/>
        </w:rPr>
        <w:t>:</w:t>
      </w:r>
    </w:p>
    <w:p w14:paraId="51B2432E" w14:textId="282891F1" w:rsidR="00E202C7" w:rsidRPr="00E202C7" w:rsidRDefault="00575CFC" w:rsidP="00F91720">
      <w:pPr>
        <w:pStyle w:val="ListParagraph"/>
        <w:numPr>
          <w:ilvl w:val="0"/>
          <w:numId w:val="12"/>
        </w:numPr>
        <w:rPr>
          <w:rFonts w:asciiTheme="minorHAnsi" w:hAnsiTheme="minorHAnsi"/>
          <w:szCs w:val="24"/>
        </w:rPr>
      </w:pPr>
      <w:r>
        <w:rPr>
          <w:rFonts w:asciiTheme="minorHAnsi" w:hAnsiTheme="minorHAnsi"/>
          <w:bCs/>
          <w:szCs w:val="24"/>
        </w:rPr>
        <w:t>E</w:t>
      </w:r>
      <w:r w:rsidR="00B6350D" w:rsidRPr="00575CFC">
        <w:rPr>
          <w:rFonts w:asciiTheme="minorHAnsi" w:hAnsiTheme="minorHAnsi"/>
          <w:bCs/>
          <w:szCs w:val="24"/>
        </w:rPr>
        <w:t>stimated 2022 discharges</w:t>
      </w:r>
      <w:r w:rsidR="009F37A3" w:rsidRPr="00575CFC">
        <w:rPr>
          <w:rFonts w:asciiTheme="minorHAnsi" w:hAnsiTheme="minorHAnsi"/>
          <w:bCs/>
          <w:szCs w:val="24"/>
        </w:rPr>
        <w:t xml:space="preserve"> (</w:t>
      </w:r>
      <w:r w:rsidR="00B6350D" w:rsidRPr="00575CFC">
        <w:rPr>
          <w:rFonts w:asciiTheme="minorHAnsi" w:hAnsiTheme="minorHAnsi"/>
          <w:bCs/>
          <w:szCs w:val="24"/>
        </w:rPr>
        <w:t>column #2</w:t>
      </w:r>
      <w:r w:rsidR="009F37A3" w:rsidRPr="00575CFC">
        <w:rPr>
          <w:rFonts w:asciiTheme="minorHAnsi" w:hAnsiTheme="minorHAnsi"/>
          <w:bCs/>
          <w:szCs w:val="24"/>
        </w:rPr>
        <w:t>)</w:t>
      </w:r>
      <w:r w:rsidR="00B6350D" w:rsidRPr="00575CFC">
        <w:rPr>
          <w:rFonts w:asciiTheme="minorHAnsi" w:hAnsiTheme="minorHAnsi"/>
          <w:bCs/>
          <w:szCs w:val="24"/>
        </w:rPr>
        <w:t>, based on specific discharge level ICD-10 diagnoses codes for patients seen by the Applicant</w:t>
      </w:r>
      <w:r w:rsidR="00967F5A">
        <w:rPr>
          <w:rFonts w:asciiTheme="minorHAnsi" w:hAnsiTheme="minorHAnsi"/>
          <w:bCs/>
          <w:szCs w:val="24"/>
        </w:rPr>
        <w:t>’s medical oncologists</w:t>
      </w:r>
      <w:r w:rsidR="00B6350D" w:rsidRPr="00575CFC">
        <w:rPr>
          <w:rFonts w:asciiTheme="minorHAnsi" w:hAnsiTheme="minorHAnsi"/>
          <w:bCs/>
          <w:szCs w:val="24"/>
        </w:rPr>
        <w:t xml:space="preserve"> and BIDMC</w:t>
      </w:r>
      <w:r w:rsidR="007C01A1" w:rsidRPr="00575CFC">
        <w:rPr>
          <w:rFonts w:asciiTheme="minorHAnsi" w:hAnsiTheme="minorHAnsi"/>
          <w:bCs/>
          <w:szCs w:val="24"/>
        </w:rPr>
        <w:t xml:space="preserve"> who would require the sort of inpatient cancer care that will be provided at the </w:t>
      </w:r>
      <w:r w:rsidR="0005222E">
        <w:rPr>
          <w:rFonts w:asciiTheme="minorHAnsi" w:hAnsiTheme="minorHAnsi"/>
          <w:bCs/>
          <w:szCs w:val="24"/>
        </w:rPr>
        <w:t>p</w:t>
      </w:r>
      <w:r w:rsidR="007C01A1" w:rsidRPr="00575CFC">
        <w:rPr>
          <w:rFonts w:asciiTheme="minorHAnsi" w:hAnsiTheme="minorHAnsi"/>
          <w:bCs/>
          <w:szCs w:val="24"/>
        </w:rPr>
        <w:t xml:space="preserve">roposed </w:t>
      </w:r>
      <w:r w:rsidR="00921D53" w:rsidRPr="00575CFC">
        <w:rPr>
          <w:rFonts w:asciiTheme="minorHAnsi" w:hAnsiTheme="minorHAnsi"/>
          <w:bCs/>
          <w:szCs w:val="24"/>
        </w:rPr>
        <w:t>hospital</w:t>
      </w:r>
      <w:r w:rsidR="00AC4252">
        <w:rPr>
          <w:rFonts w:asciiTheme="minorHAnsi" w:hAnsiTheme="minorHAnsi"/>
          <w:bCs/>
          <w:szCs w:val="24"/>
        </w:rPr>
        <w:t>.</w:t>
      </w:r>
      <w:r w:rsidR="00BB6D5F" w:rsidRPr="00575CFC">
        <w:rPr>
          <w:rFonts w:asciiTheme="minorHAnsi" w:hAnsiTheme="minorHAnsi"/>
          <w:bCs/>
          <w:szCs w:val="24"/>
        </w:rPr>
        <w:t xml:space="preserve"> </w:t>
      </w:r>
    </w:p>
    <w:p w14:paraId="2D6DCAB1" w14:textId="30B9B3A8" w:rsidR="00E202C7" w:rsidRDefault="00E202C7" w:rsidP="00F91720">
      <w:pPr>
        <w:pStyle w:val="ListParagraph"/>
        <w:numPr>
          <w:ilvl w:val="0"/>
          <w:numId w:val="12"/>
        </w:numPr>
        <w:rPr>
          <w:rFonts w:asciiTheme="minorHAnsi" w:hAnsiTheme="minorHAnsi"/>
        </w:rPr>
      </w:pPr>
      <w:r w:rsidRPr="016DFD9A">
        <w:rPr>
          <w:rFonts w:asciiTheme="minorHAnsi" w:hAnsiTheme="minorHAnsi"/>
        </w:rPr>
        <w:t>C</w:t>
      </w:r>
      <w:r w:rsidR="00BB6D5F" w:rsidRPr="016DFD9A">
        <w:rPr>
          <w:rFonts w:asciiTheme="minorHAnsi" w:hAnsiTheme="minorHAnsi"/>
        </w:rPr>
        <w:t>alculated</w:t>
      </w:r>
      <w:r w:rsidR="00B6350D" w:rsidRPr="016DFD9A">
        <w:rPr>
          <w:rFonts w:asciiTheme="minorHAnsi" w:hAnsiTheme="minorHAnsi"/>
        </w:rPr>
        <w:t xml:space="preserve"> </w:t>
      </w:r>
      <w:r w:rsidR="00BB6D5F" w:rsidRPr="016DFD9A">
        <w:rPr>
          <w:rFonts w:asciiTheme="minorHAnsi" w:hAnsiTheme="minorHAnsi"/>
        </w:rPr>
        <w:t>2022 ADC</w:t>
      </w:r>
      <w:r w:rsidR="009F37A3" w:rsidRPr="016DFD9A">
        <w:rPr>
          <w:rFonts w:asciiTheme="minorHAnsi" w:hAnsiTheme="minorHAnsi"/>
        </w:rPr>
        <w:t xml:space="preserve"> (</w:t>
      </w:r>
      <w:r w:rsidR="00BB6D5F" w:rsidRPr="016DFD9A">
        <w:rPr>
          <w:rFonts w:asciiTheme="minorHAnsi" w:hAnsiTheme="minorHAnsi"/>
        </w:rPr>
        <w:t>column #4</w:t>
      </w:r>
      <w:r w:rsidR="009F37A3" w:rsidRPr="016DFD9A">
        <w:rPr>
          <w:rFonts w:asciiTheme="minorHAnsi" w:hAnsiTheme="minorHAnsi"/>
        </w:rPr>
        <w:t>)</w:t>
      </w:r>
      <w:r w:rsidR="00BB6D5F" w:rsidRPr="016DFD9A">
        <w:rPr>
          <w:rFonts w:asciiTheme="minorHAnsi" w:hAnsiTheme="minorHAnsi"/>
        </w:rPr>
        <w:t>,</w:t>
      </w:r>
      <w:r w:rsidR="00FB4B6A" w:rsidRPr="016DFD9A">
        <w:rPr>
          <w:rFonts w:asciiTheme="minorHAnsi" w:hAnsiTheme="minorHAnsi"/>
        </w:rPr>
        <w:t xml:space="preserve"> by multiplying 2022 discharges by the Applicant’s historical ALOS and dividing by 365</w:t>
      </w:r>
      <w:r w:rsidR="00BB6D5F" w:rsidRPr="016DFD9A">
        <w:rPr>
          <w:rFonts w:asciiTheme="minorHAnsi" w:hAnsiTheme="minorHAnsi"/>
        </w:rPr>
        <w:t xml:space="preserve">. </w:t>
      </w:r>
      <w:r w:rsidR="002C6BF7">
        <w:rPr>
          <w:rFonts w:asciiTheme="minorHAnsi" w:hAnsiTheme="minorHAnsi"/>
        </w:rPr>
        <w:t>T</w:t>
      </w:r>
      <w:r w:rsidR="002C6BF7" w:rsidRPr="002C6BF7">
        <w:rPr>
          <w:rFonts w:asciiTheme="minorHAnsi" w:hAnsiTheme="minorHAnsi"/>
        </w:rPr>
        <w:t xml:space="preserve">he </w:t>
      </w:r>
      <w:r w:rsidR="002C6BF7">
        <w:rPr>
          <w:rFonts w:asciiTheme="minorHAnsi" w:hAnsiTheme="minorHAnsi"/>
        </w:rPr>
        <w:t xml:space="preserve">Applicant states that </w:t>
      </w:r>
      <w:r w:rsidR="002C6BF7" w:rsidRPr="002C6BF7">
        <w:rPr>
          <w:rFonts w:asciiTheme="minorHAnsi" w:hAnsiTheme="minorHAnsi"/>
        </w:rPr>
        <w:t xml:space="preserve">level of patient discharges and the ADC derived from these calculations are consistent with the Applicant’s internal data, which </w:t>
      </w:r>
      <w:r w:rsidR="00780063">
        <w:rPr>
          <w:rFonts w:asciiTheme="minorHAnsi" w:hAnsiTheme="minorHAnsi"/>
        </w:rPr>
        <w:t>the Applicant</w:t>
      </w:r>
      <w:r w:rsidR="002C6BF7" w:rsidRPr="002C6BF7">
        <w:rPr>
          <w:rFonts w:asciiTheme="minorHAnsi" w:hAnsiTheme="minorHAnsi"/>
        </w:rPr>
        <w:t xml:space="preserve"> cannot </w:t>
      </w:r>
      <w:r w:rsidR="00780063">
        <w:rPr>
          <w:rFonts w:asciiTheme="minorHAnsi" w:hAnsiTheme="minorHAnsi"/>
        </w:rPr>
        <w:t>disclose</w:t>
      </w:r>
      <w:r w:rsidR="002C6BF7" w:rsidRPr="002C6BF7">
        <w:rPr>
          <w:rFonts w:asciiTheme="minorHAnsi" w:hAnsiTheme="minorHAnsi"/>
        </w:rPr>
        <w:t xml:space="preserve"> due to confidentiality restrictions. </w:t>
      </w:r>
      <w:r w:rsidR="00100FD3" w:rsidRPr="016DFD9A">
        <w:rPr>
          <w:rFonts w:asciiTheme="minorHAnsi" w:hAnsiTheme="minorHAnsi"/>
        </w:rPr>
        <w:t>Approximately 30-35% of the historic ADC shown in column #4 is attributable to patients with cancer discharged from BIDMC</w:t>
      </w:r>
      <w:r w:rsidR="00CE25E5" w:rsidRPr="016DFD9A">
        <w:rPr>
          <w:rFonts w:asciiTheme="minorHAnsi" w:hAnsiTheme="minorHAnsi"/>
        </w:rPr>
        <w:t>.</w:t>
      </w:r>
      <w:r w:rsidR="00AD578D">
        <w:rPr>
          <w:rStyle w:val="FootnoteReference"/>
          <w:rFonts w:asciiTheme="minorHAnsi" w:hAnsiTheme="minorHAnsi"/>
        </w:rPr>
        <w:footnoteReference w:id="53"/>
      </w:r>
      <w:r w:rsidR="00CE25E5" w:rsidRPr="016DFD9A">
        <w:rPr>
          <w:rFonts w:asciiTheme="minorHAnsi" w:hAnsiTheme="minorHAnsi"/>
        </w:rPr>
        <w:t xml:space="preserve"> </w:t>
      </w:r>
    </w:p>
    <w:p w14:paraId="01C8625D" w14:textId="6179B1DB" w:rsidR="00E202C7" w:rsidRPr="00E202C7" w:rsidRDefault="00E202C7" w:rsidP="00F91720">
      <w:pPr>
        <w:pStyle w:val="ListParagraph"/>
        <w:numPr>
          <w:ilvl w:val="0"/>
          <w:numId w:val="12"/>
        </w:numPr>
        <w:rPr>
          <w:rFonts w:asciiTheme="minorHAnsi" w:hAnsiTheme="minorHAnsi"/>
          <w:szCs w:val="24"/>
        </w:rPr>
      </w:pPr>
      <w:r>
        <w:rPr>
          <w:rFonts w:asciiTheme="minorHAnsi" w:hAnsiTheme="minorHAnsi"/>
          <w:bCs/>
          <w:szCs w:val="24"/>
        </w:rPr>
        <w:t>P</w:t>
      </w:r>
      <w:r w:rsidR="00BB6D5F" w:rsidRPr="00575CFC">
        <w:rPr>
          <w:rFonts w:asciiTheme="minorHAnsi" w:hAnsiTheme="minorHAnsi"/>
          <w:bCs/>
          <w:szCs w:val="24"/>
        </w:rPr>
        <w:t>roject</w:t>
      </w:r>
      <w:r w:rsidR="0060633E">
        <w:rPr>
          <w:rFonts w:asciiTheme="minorHAnsi" w:hAnsiTheme="minorHAnsi"/>
          <w:bCs/>
          <w:szCs w:val="24"/>
        </w:rPr>
        <w:t>ed</w:t>
      </w:r>
      <w:r w:rsidR="00BB6D5F" w:rsidRPr="00575CFC">
        <w:rPr>
          <w:rFonts w:asciiTheme="minorHAnsi" w:hAnsiTheme="minorHAnsi"/>
          <w:bCs/>
          <w:szCs w:val="24"/>
        </w:rPr>
        <w:t xml:space="preserve"> 2032 ADC (column #7), </w:t>
      </w:r>
      <w:r>
        <w:rPr>
          <w:rFonts w:asciiTheme="minorHAnsi" w:hAnsiTheme="minorHAnsi"/>
          <w:bCs/>
          <w:szCs w:val="24"/>
        </w:rPr>
        <w:t xml:space="preserve">by applying </w:t>
      </w:r>
      <w:r w:rsidR="00CD4F18" w:rsidRPr="00575CFC">
        <w:rPr>
          <w:rFonts w:asciiTheme="minorHAnsi" w:hAnsiTheme="minorHAnsi"/>
          <w:bCs/>
          <w:szCs w:val="24"/>
        </w:rPr>
        <w:t xml:space="preserve">national industry average 10-year growth rates </w:t>
      </w:r>
      <w:r w:rsidR="00B6350D" w:rsidRPr="00575CFC">
        <w:rPr>
          <w:rFonts w:asciiTheme="minorHAnsi" w:hAnsiTheme="minorHAnsi"/>
          <w:bCs/>
          <w:szCs w:val="24"/>
        </w:rPr>
        <w:t xml:space="preserve">sourced from Sg2 and The Advisory Board Company </w:t>
      </w:r>
      <w:r w:rsidR="00CD4F18" w:rsidRPr="00575CFC">
        <w:rPr>
          <w:rFonts w:asciiTheme="minorHAnsi" w:hAnsiTheme="minorHAnsi"/>
          <w:bCs/>
          <w:szCs w:val="24"/>
        </w:rPr>
        <w:t>to the ADC</w:t>
      </w:r>
      <w:r w:rsidR="00B6350D" w:rsidRPr="00575CFC">
        <w:rPr>
          <w:rFonts w:asciiTheme="minorHAnsi" w:hAnsiTheme="minorHAnsi"/>
          <w:bCs/>
          <w:szCs w:val="24"/>
        </w:rPr>
        <w:t xml:space="preserve">. </w:t>
      </w:r>
    </w:p>
    <w:p w14:paraId="5EFACC98" w14:textId="12A44428" w:rsidR="006D1669" w:rsidRPr="00575CFC" w:rsidRDefault="00E202C7" w:rsidP="00F91720">
      <w:pPr>
        <w:pStyle w:val="ListParagraph"/>
        <w:numPr>
          <w:ilvl w:val="0"/>
          <w:numId w:val="12"/>
        </w:numPr>
        <w:rPr>
          <w:rFonts w:asciiTheme="minorHAnsi" w:hAnsiTheme="minorHAnsi"/>
          <w:szCs w:val="24"/>
        </w:rPr>
      </w:pPr>
      <w:r>
        <w:rPr>
          <w:rFonts w:asciiTheme="minorHAnsi" w:hAnsiTheme="minorHAnsi"/>
          <w:bCs/>
          <w:szCs w:val="24"/>
        </w:rPr>
        <w:t>C</w:t>
      </w:r>
      <w:r w:rsidR="00CD4F18" w:rsidRPr="00575CFC">
        <w:rPr>
          <w:rFonts w:asciiTheme="minorHAnsi" w:hAnsiTheme="minorHAnsi"/>
          <w:bCs/>
          <w:szCs w:val="24"/>
        </w:rPr>
        <w:t>alculated the minimum number of beds needed</w:t>
      </w:r>
      <w:r w:rsidR="00186FA1" w:rsidRPr="00575CFC">
        <w:rPr>
          <w:rFonts w:asciiTheme="minorHAnsi" w:hAnsiTheme="minorHAnsi"/>
          <w:bCs/>
          <w:szCs w:val="24"/>
        </w:rPr>
        <w:t xml:space="preserve"> (column #8)</w:t>
      </w:r>
      <w:r w:rsidR="00CD4F18" w:rsidRPr="00575CFC">
        <w:rPr>
          <w:rFonts w:asciiTheme="minorHAnsi" w:hAnsiTheme="minorHAnsi"/>
          <w:bCs/>
          <w:szCs w:val="24"/>
        </w:rPr>
        <w:t xml:space="preserve"> to accommodate th</w:t>
      </w:r>
      <w:r w:rsidR="00760CCF" w:rsidRPr="00575CFC">
        <w:rPr>
          <w:rFonts w:asciiTheme="minorHAnsi" w:hAnsiTheme="minorHAnsi"/>
          <w:bCs/>
          <w:szCs w:val="24"/>
        </w:rPr>
        <w:t xml:space="preserve">e </w:t>
      </w:r>
      <w:r w:rsidR="00CD4F18" w:rsidRPr="00575CFC">
        <w:rPr>
          <w:rFonts w:asciiTheme="minorHAnsi" w:hAnsiTheme="minorHAnsi"/>
          <w:bCs/>
          <w:szCs w:val="24"/>
        </w:rPr>
        <w:t xml:space="preserve">projected 2032 </w:t>
      </w:r>
      <w:r w:rsidR="00863D65" w:rsidRPr="00575CFC">
        <w:rPr>
          <w:rFonts w:asciiTheme="minorHAnsi" w:hAnsiTheme="minorHAnsi"/>
          <w:bCs/>
          <w:szCs w:val="24"/>
        </w:rPr>
        <w:t>ADC</w:t>
      </w:r>
      <w:r w:rsidR="00CD4F18" w:rsidRPr="00575CFC">
        <w:rPr>
          <w:rFonts w:asciiTheme="minorHAnsi" w:hAnsiTheme="minorHAnsi"/>
          <w:bCs/>
          <w:szCs w:val="24"/>
        </w:rPr>
        <w:t xml:space="preserve"> using an industry standard statistical analysis</w:t>
      </w:r>
      <w:r w:rsidR="00760CCF" w:rsidRPr="00575CFC">
        <w:rPr>
          <w:rFonts w:eastAsiaTheme="minorEastAsia" w:cs="Calibri"/>
          <w:szCs w:val="24"/>
          <w:lang w:eastAsia="zh-CN"/>
        </w:rPr>
        <w:t>, a Poisson distribution model, using a 90% confidence interval.</w:t>
      </w:r>
      <w:r w:rsidR="00760CCF" w:rsidRPr="00575CFC">
        <w:rPr>
          <w:rFonts w:ascii="Times New Roman" w:eastAsiaTheme="minorEastAsia" w:hAnsi="Times New Roman" w:cs="Times New Roman"/>
          <w:szCs w:val="24"/>
          <w:lang w:eastAsia="zh-CN"/>
        </w:rPr>
        <w:t xml:space="preserve"> </w:t>
      </w:r>
      <w:r w:rsidR="006D1669" w:rsidRPr="00575CFC">
        <w:rPr>
          <w:rFonts w:asciiTheme="minorHAnsi" w:hAnsiTheme="minorHAnsi"/>
          <w:szCs w:val="24"/>
        </w:rPr>
        <w:t>Column #9 shows projected bed need based on occupancy rate (85%), which is another calculation commonly used to evidence need.</w:t>
      </w:r>
      <w:r w:rsidR="006D1669">
        <w:rPr>
          <w:rStyle w:val="EndnoteReference"/>
          <w:rFonts w:asciiTheme="minorHAnsi" w:hAnsiTheme="minorHAnsi"/>
          <w:szCs w:val="24"/>
        </w:rPr>
        <w:endnoteReference w:id="33"/>
      </w:r>
      <w:r w:rsidR="006D1669" w:rsidRPr="00575CFC">
        <w:rPr>
          <w:rFonts w:asciiTheme="minorHAnsi" w:hAnsiTheme="minorHAnsi"/>
          <w:szCs w:val="24"/>
        </w:rPr>
        <w:t xml:space="preserve"> </w:t>
      </w:r>
    </w:p>
    <w:p w14:paraId="2F8D0BDD" w14:textId="77777777" w:rsidR="00B00F76" w:rsidRDefault="00B00F76" w:rsidP="00BA2054">
      <w:pPr>
        <w:rPr>
          <w:rFonts w:asciiTheme="minorHAnsi" w:hAnsiTheme="minorHAnsi"/>
          <w:i/>
          <w:iCs/>
          <w:szCs w:val="24"/>
        </w:rPr>
      </w:pPr>
    </w:p>
    <w:p w14:paraId="01BF5ECD" w14:textId="5792A33C" w:rsidR="008C316C" w:rsidRPr="008C316C" w:rsidRDefault="008C316C" w:rsidP="00BA2054">
      <w:pPr>
        <w:rPr>
          <w:rFonts w:asciiTheme="minorHAnsi" w:hAnsiTheme="minorHAnsi"/>
          <w:i/>
          <w:iCs/>
          <w:szCs w:val="24"/>
        </w:rPr>
      </w:pPr>
      <w:r w:rsidRPr="008C316C">
        <w:rPr>
          <w:rFonts w:asciiTheme="minorHAnsi" w:hAnsiTheme="minorHAnsi"/>
          <w:i/>
          <w:iCs/>
          <w:szCs w:val="24"/>
        </w:rPr>
        <w:t>ICU Bed Methodology</w:t>
      </w:r>
    </w:p>
    <w:p w14:paraId="0F13652B" w14:textId="78ADA181" w:rsidR="007348DF" w:rsidRDefault="00794FDF" w:rsidP="00BA2054">
      <w:pPr>
        <w:rPr>
          <w:rFonts w:asciiTheme="minorHAnsi" w:hAnsiTheme="minorHAnsi"/>
          <w:bCs/>
          <w:szCs w:val="24"/>
        </w:rPr>
      </w:pPr>
      <w:r w:rsidRPr="00794FDF">
        <w:rPr>
          <w:rFonts w:asciiTheme="minorHAnsi" w:hAnsiTheme="minorHAnsi"/>
          <w:szCs w:val="24"/>
        </w:rPr>
        <w:t>The Applicant states that a portion of admitted patients will require intensive care.</w:t>
      </w:r>
      <w:r w:rsidR="007C46B0">
        <w:rPr>
          <w:rFonts w:asciiTheme="minorHAnsi" w:hAnsiTheme="minorHAnsi"/>
          <w:szCs w:val="24"/>
        </w:rPr>
        <w:t xml:space="preserve"> </w:t>
      </w:r>
      <w:r w:rsidR="00F159AA">
        <w:rPr>
          <w:rFonts w:asciiTheme="minorHAnsi" w:hAnsiTheme="minorHAnsi"/>
          <w:szCs w:val="24"/>
        </w:rPr>
        <w:t>Included below</w:t>
      </w:r>
      <w:r w:rsidR="007C46B0">
        <w:rPr>
          <w:rFonts w:asciiTheme="minorHAnsi" w:hAnsiTheme="minorHAnsi"/>
          <w:szCs w:val="24"/>
        </w:rPr>
        <w:t xml:space="preserve"> is a</w:t>
      </w:r>
      <w:r w:rsidR="00F30B06">
        <w:rPr>
          <w:rFonts w:asciiTheme="minorHAnsi" w:hAnsiTheme="minorHAnsi"/>
          <w:szCs w:val="24"/>
        </w:rPr>
        <w:t>n overview</w:t>
      </w:r>
      <w:r w:rsidR="007C46B0">
        <w:rPr>
          <w:rFonts w:asciiTheme="minorHAnsi" w:hAnsiTheme="minorHAnsi"/>
          <w:szCs w:val="24"/>
        </w:rPr>
        <w:t xml:space="preserve"> of the steps the Applicant took to</w:t>
      </w:r>
      <w:r w:rsidR="007348DF" w:rsidRPr="00CB5AA3">
        <w:rPr>
          <w:rFonts w:asciiTheme="minorHAnsi" w:hAnsiTheme="minorHAnsi"/>
          <w:bCs/>
          <w:szCs w:val="24"/>
        </w:rPr>
        <w:t xml:space="preserve"> project the need by its Patient Panel </w:t>
      </w:r>
      <w:r w:rsidR="007348DF" w:rsidRPr="007348DF">
        <w:rPr>
          <w:rFonts w:asciiTheme="minorHAnsi" w:hAnsiTheme="minorHAnsi"/>
          <w:bCs/>
          <w:szCs w:val="24"/>
        </w:rPr>
        <w:t xml:space="preserve">for </w:t>
      </w:r>
      <w:r w:rsidR="007348DF">
        <w:rPr>
          <w:rFonts w:asciiTheme="minorHAnsi" w:hAnsiTheme="minorHAnsi"/>
          <w:bCs/>
          <w:szCs w:val="24"/>
        </w:rPr>
        <w:t>20 ICU beds:</w:t>
      </w:r>
    </w:p>
    <w:p w14:paraId="0FB0991F" w14:textId="49DDF4AC" w:rsidR="007E6064" w:rsidRDefault="007348DF" w:rsidP="00F91720">
      <w:pPr>
        <w:pStyle w:val="ListParagraph"/>
        <w:numPr>
          <w:ilvl w:val="0"/>
          <w:numId w:val="21"/>
        </w:numPr>
        <w:rPr>
          <w:rFonts w:asciiTheme="minorHAnsi" w:hAnsiTheme="minorHAnsi"/>
          <w:szCs w:val="24"/>
        </w:rPr>
      </w:pPr>
      <w:r>
        <w:rPr>
          <w:rFonts w:asciiTheme="minorHAnsi" w:hAnsiTheme="minorHAnsi"/>
          <w:szCs w:val="24"/>
        </w:rPr>
        <w:t>R</w:t>
      </w:r>
      <w:r w:rsidR="00794FDF" w:rsidRPr="007348DF">
        <w:rPr>
          <w:rFonts w:asciiTheme="minorHAnsi" w:hAnsiTheme="minorHAnsi"/>
          <w:szCs w:val="24"/>
        </w:rPr>
        <w:t>eviewed Medicare cost report data for certain of its peer comprehensive cancer centers and found that the ICU census of those hospitals ranged from 7% to 14% of total ADC</w:t>
      </w:r>
    </w:p>
    <w:p w14:paraId="79F927AF" w14:textId="5CF542DC" w:rsidR="00F159AA" w:rsidRDefault="007E6064" w:rsidP="00F91720">
      <w:pPr>
        <w:pStyle w:val="ListParagraph"/>
        <w:numPr>
          <w:ilvl w:val="0"/>
          <w:numId w:val="21"/>
        </w:numPr>
        <w:rPr>
          <w:rFonts w:asciiTheme="minorHAnsi" w:hAnsiTheme="minorHAnsi"/>
          <w:szCs w:val="24"/>
        </w:rPr>
      </w:pPr>
      <w:r>
        <w:rPr>
          <w:rFonts w:asciiTheme="minorHAnsi" w:hAnsiTheme="minorHAnsi"/>
          <w:szCs w:val="24"/>
        </w:rPr>
        <w:lastRenderedPageBreak/>
        <w:t>A</w:t>
      </w:r>
      <w:r w:rsidR="00794FDF" w:rsidRPr="007348DF">
        <w:rPr>
          <w:rFonts w:asciiTheme="minorHAnsi" w:hAnsiTheme="minorHAnsi"/>
          <w:szCs w:val="24"/>
        </w:rPr>
        <w:t>ssumed a census of 7.5%</w:t>
      </w:r>
      <w:r>
        <w:rPr>
          <w:rFonts w:asciiTheme="minorHAnsi" w:hAnsiTheme="minorHAnsi"/>
          <w:szCs w:val="24"/>
        </w:rPr>
        <w:t>, b</w:t>
      </w:r>
      <w:r w:rsidRPr="007E6064">
        <w:rPr>
          <w:rFonts w:asciiTheme="minorHAnsi" w:hAnsiTheme="minorHAnsi"/>
          <w:szCs w:val="24"/>
        </w:rPr>
        <w:t>ecause a number of those peer hospitals perform surgeries within their inpatient facilities, requiring somewhat greater ICU capacity</w:t>
      </w:r>
      <w:r w:rsidR="00B21DB5">
        <w:rPr>
          <w:rStyle w:val="FootnoteReference"/>
          <w:rFonts w:asciiTheme="minorHAnsi" w:hAnsiTheme="minorHAnsi"/>
          <w:szCs w:val="24"/>
        </w:rPr>
        <w:footnoteReference w:id="54"/>
      </w:r>
    </w:p>
    <w:p w14:paraId="66A978C2" w14:textId="77777777" w:rsidR="00794FDF" w:rsidRDefault="00794FDF" w:rsidP="00BA2054">
      <w:pPr>
        <w:rPr>
          <w:rFonts w:asciiTheme="minorHAnsi" w:hAnsiTheme="minorHAnsi"/>
          <w:szCs w:val="24"/>
        </w:rPr>
      </w:pPr>
    </w:p>
    <w:p w14:paraId="70D50132" w14:textId="67D7AFE3" w:rsidR="00C12EEF" w:rsidRPr="00030085" w:rsidRDefault="00030085" w:rsidP="00BA2054">
      <w:pPr>
        <w:rPr>
          <w:rFonts w:asciiTheme="minorHAnsi" w:hAnsiTheme="minorHAnsi"/>
          <w:i/>
          <w:iCs/>
          <w:szCs w:val="24"/>
        </w:rPr>
      </w:pPr>
      <w:r w:rsidRPr="00030085">
        <w:rPr>
          <w:rFonts w:asciiTheme="minorHAnsi" w:hAnsiTheme="minorHAnsi"/>
          <w:i/>
          <w:iCs/>
          <w:szCs w:val="24"/>
        </w:rPr>
        <w:t>Observation-level Bed Need Methodology</w:t>
      </w:r>
    </w:p>
    <w:p w14:paraId="3C47B2F3" w14:textId="68D2CF47" w:rsidR="0077762C" w:rsidRPr="00CB5AA3" w:rsidRDefault="00F159AA" w:rsidP="00BA2054">
      <w:pPr>
        <w:rPr>
          <w:rFonts w:asciiTheme="minorHAnsi" w:hAnsiTheme="minorHAnsi"/>
          <w:bCs/>
          <w:szCs w:val="24"/>
        </w:rPr>
      </w:pPr>
      <w:r>
        <w:rPr>
          <w:rFonts w:asciiTheme="minorHAnsi" w:hAnsiTheme="minorHAnsi"/>
          <w:bCs/>
          <w:szCs w:val="24"/>
        </w:rPr>
        <w:t>Included below is a</w:t>
      </w:r>
      <w:r w:rsidR="00F30B06">
        <w:rPr>
          <w:rFonts w:asciiTheme="minorHAnsi" w:hAnsiTheme="minorHAnsi"/>
          <w:bCs/>
          <w:szCs w:val="24"/>
        </w:rPr>
        <w:t>n overview</w:t>
      </w:r>
      <w:r>
        <w:rPr>
          <w:rFonts w:asciiTheme="minorHAnsi" w:hAnsiTheme="minorHAnsi"/>
          <w:bCs/>
          <w:szCs w:val="24"/>
        </w:rPr>
        <w:t xml:space="preserve"> of the steps the Applicant undertook t</w:t>
      </w:r>
      <w:r w:rsidR="00CB5AA3" w:rsidRPr="00CB5AA3">
        <w:rPr>
          <w:rFonts w:asciiTheme="minorHAnsi" w:hAnsiTheme="minorHAnsi"/>
          <w:bCs/>
          <w:szCs w:val="24"/>
        </w:rPr>
        <w:t xml:space="preserve">o project the need by its Patient Panel </w:t>
      </w:r>
      <w:r w:rsidR="00CB5AA3">
        <w:rPr>
          <w:rFonts w:asciiTheme="minorHAnsi" w:hAnsiTheme="minorHAnsi"/>
          <w:bCs/>
          <w:szCs w:val="24"/>
        </w:rPr>
        <w:t>for 20 observation beds</w:t>
      </w:r>
      <w:r w:rsidR="00030085">
        <w:rPr>
          <w:rFonts w:asciiTheme="minorHAnsi" w:hAnsiTheme="minorHAnsi"/>
          <w:szCs w:val="24"/>
        </w:rPr>
        <w:t>:</w:t>
      </w:r>
    </w:p>
    <w:p w14:paraId="1553FBEF" w14:textId="4ACB4851" w:rsidR="00BF10F4" w:rsidRDefault="00CB5AA3" w:rsidP="00F91720">
      <w:pPr>
        <w:pStyle w:val="ListParagraph"/>
        <w:numPr>
          <w:ilvl w:val="0"/>
          <w:numId w:val="11"/>
        </w:numPr>
        <w:rPr>
          <w:rFonts w:asciiTheme="minorHAnsi" w:hAnsiTheme="minorHAnsi"/>
          <w:szCs w:val="24"/>
        </w:rPr>
      </w:pPr>
      <w:r>
        <w:rPr>
          <w:rFonts w:asciiTheme="minorHAnsi" w:hAnsiTheme="minorHAnsi"/>
          <w:szCs w:val="24"/>
        </w:rPr>
        <w:t>U</w:t>
      </w:r>
      <w:r w:rsidR="00C12EEF" w:rsidRPr="0077762C">
        <w:rPr>
          <w:rFonts w:asciiTheme="minorHAnsi" w:hAnsiTheme="minorHAnsi"/>
          <w:szCs w:val="24"/>
        </w:rPr>
        <w:t xml:space="preserve">sed </w:t>
      </w:r>
      <w:r w:rsidR="00BF10F4">
        <w:rPr>
          <w:rFonts w:asciiTheme="minorHAnsi" w:hAnsiTheme="minorHAnsi"/>
          <w:szCs w:val="24"/>
        </w:rPr>
        <w:t xml:space="preserve">internal </w:t>
      </w:r>
      <w:r w:rsidR="00C12EEF" w:rsidRPr="0077762C">
        <w:rPr>
          <w:rFonts w:asciiTheme="minorHAnsi" w:hAnsiTheme="minorHAnsi"/>
          <w:szCs w:val="24"/>
        </w:rPr>
        <w:t xml:space="preserve">billing data for Dana-Farber to estimate the number of annual observation discharges in its licensed and managed beds and </w:t>
      </w:r>
      <w:r w:rsidR="00BF10F4">
        <w:rPr>
          <w:rFonts w:asciiTheme="minorHAnsi" w:hAnsiTheme="minorHAnsi"/>
          <w:szCs w:val="24"/>
        </w:rPr>
        <w:t xml:space="preserve">used </w:t>
      </w:r>
      <w:r w:rsidR="00BF10F4" w:rsidRPr="00BF10F4">
        <w:rPr>
          <w:rFonts w:asciiTheme="minorHAnsi" w:hAnsiTheme="minorHAnsi"/>
          <w:szCs w:val="24"/>
        </w:rPr>
        <w:t>CHIA data for BIDMC,</w:t>
      </w:r>
      <w:r w:rsidR="00BF10F4">
        <w:rPr>
          <w:rFonts w:asciiTheme="minorHAnsi" w:hAnsiTheme="minorHAnsi"/>
          <w:szCs w:val="24"/>
        </w:rPr>
        <w:t xml:space="preserve"> to estimate</w:t>
      </w:r>
      <w:r w:rsidR="00BF10F4" w:rsidRPr="00BF10F4">
        <w:rPr>
          <w:rFonts w:asciiTheme="minorHAnsi" w:hAnsiTheme="minorHAnsi"/>
          <w:szCs w:val="24"/>
        </w:rPr>
        <w:t xml:space="preserve"> </w:t>
      </w:r>
      <w:r w:rsidR="00C12EEF" w:rsidRPr="0077762C">
        <w:rPr>
          <w:rFonts w:asciiTheme="minorHAnsi" w:hAnsiTheme="minorHAnsi"/>
          <w:szCs w:val="24"/>
        </w:rPr>
        <w:t xml:space="preserve">the number of annual observation discharges at BIDMC attributable to patients with a cancer diagnosis </w:t>
      </w:r>
    </w:p>
    <w:p w14:paraId="35866C03" w14:textId="73A23359" w:rsidR="00BF10F4" w:rsidRDefault="00CB5AA3" w:rsidP="00F91720">
      <w:pPr>
        <w:pStyle w:val="ListParagraph"/>
        <w:numPr>
          <w:ilvl w:val="0"/>
          <w:numId w:val="11"/>
        </w:numPr>
        <w:rPr>
          <w:rFonts w:asciiTheme="minorHAnsi" w:hAnsiTheme="minorHAnsi"/>
          <w:szCs w:val="24"/>
        </w:rPr>
      </w:pPr>
      <w:r>
        <w:rPr>
          <w:rFonts w:asciiTheme="minorHAnsi" w:hAnsiTheme="minorHAnsi"/>
          <w:szCs w:val="24"/>
        </w:rPr>
        <w:t>A</w:t>
      </w:r>
      <w:r w:rsidR="00C12EEF" w:rsidRPr="0077762C">
        <w:rPr>
          <w:rFonts w:asciiTheme="minorHAnsi" w:hAnsiTheme="minorHAnsi"/>
          <w:szCs w:val="24"/>
        </w:rPr>
        <w:t xml:space="preserve">pplied an average growth rate assumption of 16% to arrive at an estimate of observation level </w:t>
      </w:r>
      <w:r w:rsidR="00BF10F4" w:rsidRPr="0077762C">
        <w:rPr>
          <w:rFonts w:asciiTheme="minorHAnsi" w:hAnsiTheme="minorHAnsi"/>
          <w:szCs w:val="24"/>
        </w:rPr>
        <w:t>discharges</w:t>
      </w:r>
      <w:r w:rsidR="00C12EEF" w:rsidRPr="0077762C">
        <w:rPr>
          <w:rFonts w:asciiTheme="minorHAnsi" w:hAnsiTheme="minorHAnsi"/>
          <w:szCs w:val="24"/>
        </w:rPr>
        <w:t xml:space="preserve"> in 2032</w:t>
      </w:r>
      <w:r w:rsidR="00931921">
        <w:rPr>
          <w:rStyle w:val="FootnoteReference"/>
          <w:rFonts w:asciiTheme="minorHAnsi" w:hAnsiTheme="minorHAnsi"/>
          <w:szCs w:val="24"/>
        </w:rPr>
        <w:footnoteReference w:id="55"/>
      </w:r>
      <w:r w:rsidR="00C12EEF" w:rsidRPr="0077762C">
        <w:rPr>
          <w:rFonts w:asciiTheme="minorHAnsi" w:hAnsiTheme="minorHAnsi"/>
          <w:szCs w:val="24"/>
        </w:rPr>
        <w:t xml:space="preserve"> </w:t>
      </w:r>
    </w:p>
    <w:p w14:paraId="29F0CE98" w14:textId="3098DB10" w:rsidR="00BF10F4" w:rsidRDefault="00CB5AA3" w:rsidP="00F91720">
      <w:pPr>
        <w:pStyle w:val="ListParagraph"/>
        <w:numPr>
          <w:ilvl w:val="0"/>
          <w:numId w:val="11"/>
        </w:numPr>
        <w:rPr>
          <w:rFonts w:asciiTheme="minorHAnsi" w:hAnsiTheme="minorHAnsi"/>
          <w:szCs w:val="24"/>
        </w:rPr>
      </w:pPr>
      <w:r>
        <w:rPr>
          <w:rFonts w:asciiTheme="minorHAnsi" w:hAnsiTheme="minorHAnsi"/>
          <w:szCs w:val="24"/>
        </w:rPr>
        <w:t>U</w:t>
      </w:r>
      <w:r w:rsidR="00C12EEF" w:rsidRPr="0077762C">
        <w:rPr>
          <w:rFonts w:asciiTheme="minorHAnsi" w:hAnsiTheme="minorHAnsi"/>
          <w:szCs w:val="24"/>
        </w:rPr>
        <w:t>sed an estimated ALOS of two days for observation-</w:t>
      </w:r>
      <w:r w:rsidR="00BF10F4">
        <w:rPr>
          <w:rFonts w:asciiTheme="minorHAnsi" w:hAnsiTheme="minorHAnsi"/>
          <w:szCs w:val="24"/>
        </w:rPr>
        <w:t>l</w:t>
      </w:r>
      <w:r w:rsidR="00C12EEF" w:rsidRPr="0077762C">
        <w:rPr>
          <w:rFonts w:asciiTheme="minorHAnsi" w:hAnsiTheme="minorHAnsi"/>
          <w:szCs w:val="24"/>
        </w:rPr>
        <w:t xml:space="preserve">evel </w:t>
      </w:r>
      <w:r w:rsidR="00BF10F4" w:rsidRPr="0077762C">
        <w:rPr>
          <w:rFonts w:asciiTheme="minorHAnsi" w:hAnsiTheme="minorHAnsi"/>
          <w:szCs w:val="24"/>
        </w:rPr>
        <w:t>patients</w:t>
      </w:r>
      <w:r w:rsidR="00C12EEF" w:rsidRPr="0077762C">
        <w:rPr>
          <w:rFonts w:asciiTheme="minorHAnsi" w:hAnsiTheme="minorHAnsi"/>
          <w:szCs w:val="24"/>
        </w:rPr>
        <w:t xml:space="preserve"> to estimate ADC of </w:t>
      </w:r>
      <w:r w:rsidR="00BF10F4" w:rsidRPr="0077762C">
        <w:rPr>
          <w:rFonts w:asciiTheme="minorHAnsi" w:hAnsiTheme="minorHAnsi"/>
          <w:szCs w:val="24"/>
        </w:rPr>
        <w:t>observation</w:t>
      </w:r>
      <w:r w:rsidR="00BF10F4">
        <w:rPr>
          <w:rFonts w:asciiTheme="minorHAnsi" w:hAnsiTheme="minorHAnsi"/>
          <w:szCs w:val="24"/>
        </w:rPr>
        <w:t>-</w:t>
      </w:r>
      <w:r w:rsidR="00C12EEF" w:rsidRPr="0077762C">
        <w:rPr>
          <w:rFonts w:asciiTheme="minorHAnsi" w:hAnsiTheme="minorHAnsi"/>
          <w:szCs w:val="24"/>
        </w:rPr>
        <w:t>level patients</w:t>
      </w:r>
    </w:p>
    <w:p w14:paraId="6E2C111E" w14:textId="77777777" w:rsidR="00C61260" w:rsidRDefault="00CB5AA3" w:rsidP="00F91720">
      <w:pPr>
        <w:pStyle w:val="ListParagraph"/>
        <w:numPr>
          <w:ilvl w:val="0"/>
          <w:numId w:val="11"/>
        </w:numPr>
        <w:rPr>
          <w:rFonts w:asciiTheme="minorHAnsi" w:hAnsiTheme="minorHAnsi"/>
          <w:szCs w:val="24"/>
        </w:rPr>
      </w:pPr>
      <w:r>
        <w:rPr>
          <w:rFonts w:asciiTheme="minorHAnsi" w:hAnsiTheme="minorHAnsi"/>
          <w:szCs w:val="24"/>
        </w:rPr>
        <w:t>U</w:t>
      </w:r>
      <w:r w:rsidR="00BF10F4">
        <w:rPr>
          <w:rFonts w:asciiTheme="minorHAnsi" w:hAnsiTheme="minorHAnsi"/>
          <w:szCs w:val="24"/>
        </w:rPr>
        <w:t>sed the ADC estimate to determine</w:t>
      </w:r>
      <w:r w:rsidR="00C12EEF" w:rsidRPr="0077762C">
        <w:rPr>
          <w:rFonts w:asciiTheme="minorHAnsi" w:hAnsiTheme="minorHAnsi"/>
          <w:szCs w:val="24"/>
        </w:rPr>
        <w:t xml:space="preserve"> the number of </w:t>
      </w:r>
      <w:r w:rsidR="00BF10F4">
        <w:rPr>
          <w:rFonts w:asciiTheme="minorHAnsi" w:hAnsiTheme="minorHAnsi"/>
          <w:szCs w:val="24"/>
        </w:rPr>
        <w:t xml:space="preserve">observation-level </w:t>
      </w:r>
      <w:r w:rsidR="00C12EEF" w:rsidRPr="0077762C">
        <w:rPr>
          <w:rFonts w:asciiTheme="minorHAnsi" w:hAnsiTheme="minorHAnsi"/>
          <w:szCs w:val="24"/>
        </w:rPr>
        <w:t xml:space="preserve">beds </w:t>
      </w:r>
      <w:r w:rsidR="00BF10F4" w:rsidRPr="0077762C">
        <w:rPr>
          <w:rFonts w:asciiTheme="minorHAnsi" w:hAnsiTheme="minorHAnsi"/>
          <w:szCs w:val="24"/>
        </w:rPr>
        <w:t>necessary</w:t>
      </w:r>
      <w:r w:rsidR="00C12EEF" w:rsidRPr="0077762C">
        <w:rPr>
          <w:rFonts w:asciiTheme="minorHAnsi" w:hAnsiTheme="minorHAnsi"/>
          <w:szCs w:val="24"/>
        </w:rPr>
        <w:t xml:space="preserve"> to </w:t>
      </w:r>
      <w:r w:rsidR="00BF10F4" w:rsidRPr="0077762C">
        <w:rPr>
          <w:rFonts w:asciiTheme="minorHAnsi" w:hAnsiTheme="minorHAnsi"/>
          <w:szCs w:val="24"/>
        </w:rPr>
        <w:t>satisfy</w:t>
      </w:r>
      <w:r w:rsidR="00C12EEF" w:rsidRPr="0077762C">
        <w:rPr>
          <w:rFonts w:asciiTheme="minorHAnsi" w:hAnsiTheme="minorHAnsi"/>
          <w:szCs w:val="24"/>
        </w:rPr>
        <w:t xml:space="preserve"> Patient Panel need</w:t>
      </w:r>
    </w:p>
    <w:p w14:paraId="0A403C45" w14:textId="77777777" w:rsidR="00C61260" w:rsidRDefault="00C61260" w:rsidP="00C61260">
      <w:pPr>
        <w:rPr>
          <w:rFonts w:asciiTheme="minorHAnsi" w:hAnsiTheme="minorHAnsi"/>
          <w:szCs w:val="24"/>
        </w:rPr>
      </w:pPr>
    </w:p>
    <w:p w14:paraId="130AC49B" w14:textId="0C46E4F0" w:rsidR="00C12EEF" w:rsidRDefault="00C8038E" w:rsidP="003B2CD4">
      <w:pPr>
        <w:rPr>
          <w:rFonts w:asciiTheme="minorHAnsi" w:hAnsiTheme="minorHAnsi"/>
          <w:szCs w:val="24"/>
        </w:rPr>
      </w:pPr>
      <w:r>
        <w:rPr>
          <w:rFonts w:asciiTheme="minorHAnsi" w:hAnsiTheme="minorHAnsi"/>
          <w:szCs w:val="24"/>
        </w:rPr>
        <w:t xml:space="preserve">The </w:t>
      </w:r>
      <w:r w:rsidR="00C61260">
        <w:rPr>
          <w:rFonts w:asciiTheme="minorHAnsi" w:hAnsiTheme="minorHAnsi"/>
          <w:szCs w:val="24"/>
        </w:rPr>
        <w:t xml:space="preserve"> DoN application materials and responses </w:t>
      </w:r>
      <w:r>
        <w:rPr>
          <w:rFonts w:asciiTheme="minorHAnsi" w:hAnsiTheme="minorHAnsi"/>
          <w:szCs w:val="24"/>
        </w:rPr>
        <w:t>include</w:t>
      </w:r>
      <w:r w:rsidR="00C61260">
        <w:rPr>
          <w:rFonts w:asciiTheme="minorHAnsi" w:hAnsiTheme="minorHAnsi"/>
          <w:szCs w:val="24"/>
        </w:rPr>
        <w:t xml:space="preserve"> </w:t>
      </w:r>
      <w:r w:rsidR="00895703">
        <w:rPr>
          <w:rFonts w:asciiTheme="minorHAnsi" w:hAnsiTheme="minorHAnsi"/>
          <w:szCs w:val="24"/>
        </w:rPr>
        <w:t>a</w:t>
      </w:r>
      <w:r w:rsidR="00C61260">
        <w:rPr>
          <w:rFonts w:asciiTheme="minorHAnsi" w:hAnsiTheme="minorHAnsi"/>
          <w:szCs w:val="24"/>
        </w:rPr>
        <w:t xml:space="preserve"> complete description of the Applicant’s methodology for calculating bed need. </w:t>
      </w:r>
      <w:r w:rsidR="00C12EEF" w:rsidRPr="003B2CD4">
        <w:rPr>
          <w:rFonts w:asciiTheme="minorHAnsi" w:hAnsiTheme="minorHAnsi"/>
          <w:szCs w:val="24"/>
        </w:rPr>
        <w:t xml:space="preserve"> </w:t>
      </w:r>
    </w:p>
    <w:p w14:paraId="7C2611EC" w14:textId="16C97959" w:rsidR="00C22360" w:rsidRPr="003B2CD4" w:rsidRDefault="00FA02ED" w:rsidP="008200D5">
      <w:pPr>
        <w:rPr>
          <w:rFonts w:asciiTheme="minorHAnsi" w:hAnsiTheme="minorHAnsi"/>
          <w:szCs w:val="24"/>
        </w:rPr>
      </w:pPr>
      <w:r>
        <w:rPr>
          <w:rFonts w:asciiTheme="minorHAnsi" w:hAnsiTheme="minorHAnsi"/>
          <w:szCs w:val="24"/>
        </w:rPr>
        <w:t xml:space="preserve">The Applicant states that the </w:t>
      </w:r>
      <w:r w:rsidR="00073E70">
        <w:rPr>
          <w:rFonts w:asciiTheme="minorHAnsi" w:hAnsiTheme="minorHAnsi"/>
          <w:szCs w:val="24"/>
        </w:rPr>
        <w:t xml:space="preserve">observation unit in the proposed hospital will complement the Applicant’s existing oncology-specific </w:t>
      </w:r>
      <w:r w:rsidR="00C1754C">
        <w:rPr>
          <w:rFonts w:asciiTheme="minorHAnsi" w:hAnsiTheme="minorHAnsi"/>
          <w:szCs w:val="24"/>
        </w:rPr>
        <w:t>A</w:t>
      </w:r>
      <w:r w:rsidR="00073E70">
        <w:rPr>
          <w:rFonts w:asciiTheme="minorHAnsi" w:hAnsiTheme="minorHAnsi"/>
          <w:szCs w:val="24"/>
        </w:rPr>
        <w:t xml:space="preserve">cute </w:t>
      </w:r>
      <w:r w:rsidR="00C1754C">
        <w:rPr>
          <w:rFonts w:asciiTheme="minorHAnsi" w:hAnsiTheme="minorHAnsi"/>
          <w:szCs w:val="24"/>
        </w:rPr>
        <w:t>C</w:t>
      </w:r>
      <w:r w:rsidR="00073E70">
        <w:rPr>
          <w:rFonts w:asciiTheme="minorHAnsi" w:hAnsiTheme="minorHAnsi"/>
          <w:szCs w:val="24"/>
        </w:rPr>
        <w:t xml:space="preserve">are </w:t>
      </w:r>
      <w:r w:rsidR="00C1754C">
        <w:rPr>
          <w:rFonts w:asciiTheme="minorHAnsi" w:hAnsiTheme="minorHAnsi"/>
          <w:szCs w:val="24"/>
        </w:rPr>
        <w:t>C</w:t>
      </w:r>
      <w:r w:rsidR="00073E70">
        <w:rPr>
          <w:rFonts w:asciiTheme="minorHAnsi" w:hAnsiTheme="minorHAnsi"/>
          <w:szCs w:val="24"/>
        </w:rPr>
        <w:t xml:space="preserve">linics by </w:t>
      </w:r>
      <w:r w:rsidR="00DB1994">
        <w:rPr>
          <w:rFonts w:asciiTheme="minorHAnsi" w:hAnsiTheme="minorHAnsi"/>
          <w:szCs w:val="24"/>
        </w:rPr>
        <w:t>providing an opportunity to expand upon the Applicant’s use of oncology-focused urgent treatment. The Appl</w:t>
      </w:r>
      <w:r w:rsidR="005763E1">
        <w:rPr>
          <w:rFonts w:asciiTheme="minorHAnsi" w:hAnsiTheme="minorHAnsi"/>
          <w:szCs w:val="24"/>
        </w:rPr>
        <w:t xml:space="preserve">icant </w:t>
      </w:r>
      <w:r w:rsidR="00F873E3">
        <w:rPr>
          <w:rFonts w:asciiTheme="minorHAnsi" w:hAnsiTheme="minorHAnsi"/>
          <w:szCs w:val="24"/>
        </w:rPr>
        <w:t xml:space="preserve">states that it currently operates two oncology-specific acute care clinics: </w:t>
      </w:r>
      <w:r w:rsidR="793CA841" w:rsidRPr="7029A87E">
        <w:rPr>
          <w:rFonts w:asciiTheme="minorHAnsi" w:hAnsiTheme="minorHAnsi"/>
        </w:rPr>
        <w:t>t</w:t>
      </w:r>
      <w:r w:rsidR="00F873E3" w:rsidRPr="7029A87E">
        <w:rPr>
          <w:rFonts w:asciiTheme="minorHAnsi" w:hAnsiTheme="minorHAnsi"/>
        </w:rPr>
        <w:t>he</w:t>
      </w:r>
      <w:r w:rsidR="00F873E3">
        <w:rPr>
          <w:rFonts w:asciiTheme="minorHAnsi" w:hAnsiTheme="minorHAnsi"/>
          <w:szCs w:val="24"/>
        </w:rPr>
        <w:t xml:space="preserve"> first</w:t>
      </w:r>
      <w:r w:rsidR="005763E1">
        <w:rPr>
          <w:rFonts w:asciiTheme="minorHAnsi" w:hAnsiTheme="minorHAnsi"/>
          <w:szCs w:val="24"/>
        </w:rPr>
        <w:t xml:space="preserve"> clinic </w:t>
      </w:r>
      <w:r w:rsidR="00F873E3">
        <w:rPr>
          <w:rFonts w:asciiTheme="minorHAnsi" w:hAnsiTheme="minorHAnsi"/>
          <w:szCs w:val="24"/>
        </w:rPr>
        <w:t xml:space="preserve">opened </w:t>
      </w:r>
      <w:r w:rsidR="005763E1">
        <w:rPr>
          <w:rFonts w:asciiTheme="minorHAnsi" w:hAnsiTheme="minorHAnsi"/>
          <w:szCs w:val="24"/>
        </w:rPr>
        <w:t xml:space="preserve">in 2018 </w:t>
      </w:r>
      <w:r w:rsidR="00F873E3">
        <w:rPr>
          <w:rFonts w:asciiTheme="minorHAnsi" w:hAnsiTheme="minorHAnsi"/>
          <w:szCs w:val="24"/>
        </w:rPr>
        <w:t xml:space="preserve">and </w:t>
      </w:r>
      <w:r w:rsidR="00C1754C">
        <w:rPr>
          <w:rFonts w:asciiTheme="minorHAnsi" w:hAnsiTheme="minorHAnsi"/>
          <w:szCs w:val="24"/>
        </w:rPr>
        <w:t>is located</w:t>
      </w:r>
      <w:r w:rsidR="00F873E3">
        <w:rPr>
          <w:rFonts w:asciiTheme="minorHAnsi" w:hAnsiTheme="minorHAnsi"/>
          <w:szCs w:val="24"/>
        </w:rPr>
        <w:t xml:space="preserve"> </w:t>
      </w:r>
      <w:r w:rsidR="005763E1">
        <w:rPr>
          <w:rFonts w:asciiTheme="minorHAnsi" w:hAnsiTheme="minorHAnsi"/>
          <w:szCs w:val="24"/>
        </w:rPr>
        <w:t xml:space="preserve">at the Yawkey Center for Cancer Care in the Longwood Medical Area, and </w:t>
      </w:r>
      <w:r w:rsidR="00F873E3">
        <w:rPr>
          <w:rFonts w:asciiTheme="minorHAnsi" w:hAnsiTheme="minorHAnsi"/>
          <w:szCs w:val="24"/>
        </w:rPr>
        <w:t xml:space="preserve">the second clinic opened </w:t>
      </w:r>
      <w:r w:rsidR="004301CE">
        <w:rPr>
          <w:rFonts w:asciiTheme="minorHAnsi" w:hAnsiTheme="minorHAnsi"/>
          <w:szCs w:val="24"/>
        </w:rPr>
        <w:t xml:space="preserve">in 2021 and is located at the Applicant’s adult practice site at Chestnut Hill. </w:t>
      </w:r>
      <w:r w:rsidR="00C22360">
        <w:rPr>
          <w:rFonts w:asciiTheme="minorHAnsi" w:hAnsiTheme="minorHAnsi"/>
          <w:szCs w:val="24"/>
        </w:rPr>
        <w:t>The Applicant states that the clinics operate Monday through Friday during regular business hours</w:t>
      </w:r>
      <w:r w:rsidR="006B0E8F">
        <w:rPr>
          <w:rFonts w:asciiTheme="minorHAnsi" w:hAnsiTheme="minorHAnsi"/>
          <w:szCs w:val="24"/>
        </w:rPr>
        <w:t xml:space="preserve">, and referrals to the clinic cannot be accepted past 5PM, because the clinic closes at 8:30PM. </w:t>
      </w:r>
      <w:r w:rsidR="000E7023">
        <w:rPr>
          <w:rFonts w:asciiTheme="minorHAnsi" w:hAnsiTheme="minorHAnsi"/>
          <w:szCs w:val="24"/>
        </w:rPr>
        <w:t>The Applicant states that the proposed observation unit will support continuity of care, and reduce unnecessary admissions, because it will provide</w:t>
      </w:r>
      <w:r w:rsidR="00FB756E">
        <w:rPr>
          <w:rFonts w:asciiTheme="minorHAnsi" w:hAnsiTheme="minorHAnsi"/>
          <w:szCs w:val="24"/>
        </w:rPr>
        <w:t xml:space="preserve"> care from oncology providers </w:t>
      </w:r>
      <w:r w:rsidR="008129D2" w:rsidRPr="008129D2">
        <w:rPr>
          <w:rFonts w:asciiTheme="minorHAnsi" w:hAnsiTheme="minorHAnsi"/>
          <w:szCs w:val="24"/>
        </w:rPr>
        <w:t xml:space="preserve">for patients who are seen in the clinic </w:t>
      </w:r>
      <w:r w:rsidR="00DE7E61">
        <w:rPr>
          <w:rFonts w:asciiTheme="minorHAnsi" w:hAnsiTheme="minorHAnsi"/>
          <w:szCs w:val="24"/>
        </w:rPr>
        <w:t>past the oncology-specific acute care clinics hours of operation</w:t>
      </w:r>
      <w:r w:rsidR="00957304">
        <w:rPr>
          <w:rFonts w:asciiTheme="minorHAnsi" w:hAnsiTheme="minorHAnsi"/>
          <w:szCs w:val="24"/>
        </w:rPr>
        <w:t xml:space="preserve"> </w:t>
      </w:r>
      <w:r w:rsidR="007F7E1C">
        <w:rPr>
          <w:rFonts w:asciiTheme="minorHAnsi" w:hAnsiTheme="minorHAnsi"/>
          <w:szCs w:val="24"/>
        </w:rPr>
        <w:t xml:space="preserve">but </w:t>
      </w:r>
      <w:r w:rsidR="00957304">
        <w:rPr>
          <w:rFonts w:asciiTheme="minorHAnsi" w:hAnsiTheme="minorHAnsi"/>
          <w:szCs w:val="24"/>
        </w:rPr>
        <w:t>who have not</w:t>
      </w:r>
      <w:r w:rsidR="007F7E1C">
        <w:rPr>
          <w:rFonts w:asciiTheme="minorHAnsi" w:hAnsiTheme="minorHAnsi"/>
          <w:szCs w:val="24"/>
        </w:rPr>
        <w:t xml:space="preserve"> yet</w:t>
      </w:r>
      <w:r w:rsidR="00957304">
        <w:rPr>
          <w:rFonts w:asciiTheme="minorHAnsi" w:hAnsiTheme="minorHAnsi"/>
          <w:szCs w:val="24"/>
        </w:rPr>
        <w:t xml:space="preserve"> </w:t>
      </w:r>
      <w:r w:rsidR="00EA4E54">
        <w:rPr>
          <w:rFonts w:asciiTheme="minorHAnsi" w:hAnsiTheme="minorHAnsi"/>
          <w:szCs w:val="24"/>
        </w:rPr>
        <w:t>had their workup</w:t>
      </w:r>
      <w:r w:rsidR="007F7E1C">
        <w:rPr>
          <w:rFonts w:asciiTheme="minorHAnsi" w:hAnsiTheme="minorHAnsi"/>
          <w:szCs w:val="24"/>
        </w:rPr>
        <w:t>s</w:t>
      </w:r>
      <w:r w:rsidR="00EA4E54">
        <w:rPr>
          <w:rFonts w:asciiTheme="minorHAnsi" w:hAnsiTheme="minorHAnsi"/>
          <w:szCs w:val="24"/>
        </w:rPr>
        <w:t xml:space="preserve"> completed</w:t>
      </w:r>
      <w:r w:rsidR="00DE7E61">
        <w:rPr>
          <w:rFonts w:asciiTheme="minorHAnsi" w:hAnsiTheme="minorHAnsi"/>
          <w:szCs w:val="24"/>
        </w:rPr>
        <w:t xml:space="preserve">. </w:t>
      </w:r>
      <w:r w:rsidR="00C555ED">
        <w:rPr>
          <w:rFonts w:asciiTheme="minorHAnsi" w:hAnsiTheme="minorHAnsi"/>
          <w:szCs w:val="24"/>
        </w:rPr>
        <w:t xml:space="preserve">There were </w:t>
      </w:r>
      <w:r w:rsidR="00C555ED" w:rsidRPr="00C555ED">
        <w:rPr>
          <w:rFonts w:asciiTheme="minorHAnsi" w:hAnsiTheme="minorHAnsi"/>
          <w:szCs w:val="24"/>
        </w:rPr>
        <w:t xml:space="preserve">734 </w:t>
      </w:r>
      <w:r w:rsidR="00B16365">
        <w:rPr>
          <w:rFonts w:asciiTheme="minorHAnsi" w:hAnsiTheme="minorHAnsi"/>
          <w:szCs w:val="24"/>
        </w:rPr>
        <w:t xml:space="preserve">visits </w:t>
      </w:r>
      <w:r w:rsidR="00C555ED" w:rsidRPr="00C555ED">
        <w:rPr>
          <w:rFonts w:asciiTheme="minorHAnsi" w:hAnsiTheme="minorHAnsi"/>
          <w:szCs w:val="24"/>
        </w:rPr>
        <w:t>at the Longwood clinic and 559</w:t>
      </w:r>
      <w:r w:rsidR="00B16365">
        <w:rPr>
          <w:rFonts w:asciiTheme="minorHAnsi" w:hAnsiTheme="minorHAnsi"/>
          <w:szCs w:val="24"/>
        </w:rPr>
        <w:t xml:space="preserve"> visits</w:t>
      </w:r>
      <w:r w:rsidR="00C555ED" w:rsidRPr="00C555ED">
        <w:rPr>
          <w:rFonts w:asciiTheme="minorHAnsi" w:hAnsiTheme="minorHAnsi"/>
          <w:szCs w:val="24"/>
        </w:rPr>
        <w:t xml:space="preserve"> at the Chestnut Hill clinic</w:t>
      </w:r>
      <w:r w:rsidR="00B16365">
        <w:rPr>
          <w:rFonts w:asciiTheme="minorHAnsi" w:hAnsiTheme="minorHAnsi"/>
          <w:szCs w:val="24"/>
        </w:rPr>
        <w:t xml:space="preserve"> between October 1, 2023 and September 30, 2024. </w:t>
      </w:r>
    </w:p>
    <w:p w14:paraId="5A0926C2" w14:textId="77777777" w:rsidR="008200D5" w:rsidRPr="003B2CD4" w:rsidRDefault="008200D5" w:rsidP="008200D5">
      <w:pPr>
        <w:rPr>
          <w:rFonts w:asciiTheme="minorHAnsi" w:hAnsiTheme="minorHAnsi"/>
          <w:szCs w:val="24"/>
        </w:rPr>
      </w:pPr>
    </w:p>
    <w:p w14:paraId="0D59DE81" w14:textId="28AA4D39" w:rsidR="008200D5" w:rsidRPr="001668BA" w:rsidRDefault="008200D5" w:rsidP="008200D5">
      <w:pPr>
        <w:rPr>
          <w:rFonts w:asciiTheme="minorHAnsi" w:hAnsiTheme="minorHAnsi"/>
        </w:rPr>
      </w:pPr>
      <w:r w:rsidRPr="5AC4FF5C">
        <w:rPr>
          <w:rFonts w:asciiTheme="minorHAnsi" w:hAnsiTheme="minorHAnsi"/>
        </w:rPr>
        <w:t xml:space="preserve">The Applicant </w:t>
      </w:r>
      <w:r w:rsidR="00EE1F73">
        <w:rPr>
          <w:rFonts w:asciiTheme="minorHAnsi" w:hAnsiTheme="minorHAnsi"/>
        </w:rPr>
        <w:t xml:space="preserve">states that it is one of only a few hospital </w:t>
      </w:r>
      <w:r w:rsidRPr="5AC4FF5C">
        <w:rPr>
          <w:rFonts w:asciiTheme="minorHAnsi" w:hAnsiTheme="minorHAnsi"/>
        </w:rPr>
        <w:t xml:space="preserve">in the Commonwealth </w:t>
      </w:r>
      <w:r w:rsidR="00EE1F73">
        <w:rPr>
          <w:rFonts w:asciiTheme="minorHAnsi" w:hAnsiTheme="minorHAnsi"/>
        </w:rPr>
        <w:t>that are equipped</w:t>
      </w:r>
      <w:r w:rsidRPr="5AC4FF5C">
        <w:rPr>
          <w:rFonts w:asciiTheme="minorHAnsi" w:hAnsiTheme="minorHAnsi"/>
        </w:rPr>
        <w:t xml:space="preserve"> to provide </w:t>
      </w:r>
      <w:r w:rsidR="00EE1F73">
        <w:rPr>
          <w:rFonts w:asciiTheme="minorHAnsi" w:hAnsiTheme="minorHAnsi"/>
        </w:rPr>
        <w:t>sophisticated and complex cancer therapies,</w:t>
      </w:r>
      <w:r w:rsidR="00077942">
        <w:rPr>
          <w:rFonts w:asciiTheme="minorHAnsi" w:hAnsiTheme="minorHAnsi"/>
        </w:rPr>
        <w:t xml:space="preserve"> and</w:t>
      </w:r>
      <w:r w:rsidR="00EE1F73">
        <w:rPr>
          <w:rFonts w:asciiTheme="minorHAnsi" w:hAnsiTheme="minorHAnsi"/>
        </w:rPr>
        <w:t xml:space="preserve"> </w:t>
      </w:r>
      <w:r w:rsidR="00CA4C65">
        <w:rPr>
          <w:rFonts w:asciiTheme="minorHAnsi" w:hAnsiTheme="minorHAnsi"/>
        </w:rPr>
        <w:t xml:space="preserve">that the few hospitals that </w:t>
      </w:r>
      <w:r w:rsidR="00AD2A01">
        <w:rPr>
          <w:rFonts w:asciiTheme="minorHAnsi" w:hAnsiTheme="minorHAnsi"/>
        </w:rPr>
        <w:t xml:space="preserve">do </w:t>
      </w:r>
      <w:r w:rsidR="00CA4C65">
        <w:rPr>
          <w:rFonts w:asciiTheme="minorHAnsi" w:hAnsiTheme="minorHAnsi"/>
        </w:rPr>
        <w:t>offer the</w:t>
      </w:r>
      <w:r w:rsidR="00AD2A01">
        <w:rPr>
          <w:rFonts w:asciiTheme="minorHAnsi" w:hAnsiTheme="minorHAnsi"/>
        </w:rPr>
        <w:t xml:space="preserve"> </w:t>
      </w:r>
      <w:r w:rsidRPr="5AC4FF5C">
        <w:rPr>
          <w:rFonts w:asciiTheme="minorHAnsi" w:hAnsiTheme="minorHAnsi"/>
        </w:rPr>
        <w:t xml:space="preserve">services </w:t>
      </w:r>
      <w:r w:rsidR="00CA4C65">
        <w:rPr>
          <w:rFonts w:asciiTheme="minorHAnsi" w:hAnsiTheme="minorHAnsi"/>
        </w:rPr>
        <w:t>are experiencing capacity constraints that limit</w:t>
      </w:r>
      <w:r w:rsidRPr="5AC4FF5C">
        <w:rPr>
          <w:rFonts w:asciiTheme="minorHAnsi" w:hAnsiTheme="minorHAnsi"/>
        </w:rPr>
        <w:t xml:space="preserve"> inpatient </w:t>
      </w:r>
      <w:r w:rsidR="003207FD">
        <w:rPr>
          <w:rFonts w:asciiTheme="minorHAnsi" w:hAnsiTheme="minorHAnsi"/>
        </w:rPr>
        <w:t>beds</w:t>
      </w:r>
      <w:r w:rsidR="003A1F74">
        <w:rPr>
          <w:rFonts w:asciiTheme="minorHAnsi" w:hAnsiTheme="minorHAnsi"/>
        </w:rPr>
        <w:t xml:space="preserve"> which then limits</w:t>
      </w:r>
      <w:r w:rsidR="00CA4C65">
        <w:rPr>
          <w:rFonts w:asciiTheme="minorHAnsi" w:hAnsiTheme="minorHAnsi"/>
        </w:rPr>
        <w:t xml:space="preserve"> their ability to offer </w:t>
      </w:r>
      <w:r w:rsidR="003A1F74">
        <w:rPr>
          <w:rFonts w:asciiTheme="minorHAnsi" w:hAnsiTheme="minorHAnsi"/>
        </w:rPr>
        <w:t xml:space="preserve">the </w:t>
      </w:r>
      <w:r w:rsidR="00321ED2">
        <w:rPr>
          <w:rFonts w:asciiTheme="minorHAnsi" w:hAnsiTheme="minorHAnsi"/>
        </w:rPr>
        <w:t xml:space="preserve">therapies than can require </w:t>
      </w:r>
      <w:r w:rsidR="00947921">
        <w:rPr>
          <w:rFonts w:asciiTheme="minorHAnsi" w:hAnsiTheme="minorHAnsi"/>
        </w:rPr>
        <w:t xml:space="preserve">a </w:t>
      </w:r>
      <w:r w:rsidR="00321ED2">
        <w:rPr>
          <w:rFonts w:asciiTheme="minorHAnsi" w:hAnsiTheme="minorHAnsi"/>
        </w:rPr>
        <w:t>lengthy inpatient stay</w:t>
      </w:r>
      <w:r w:rsidRPr="5AC4FF5C">
        <w:rPr>
          <w:rFonts w:asciiTheme="minorHAnsi" w:hAnsiTheme="minorHAnsi"/>
        </w:rPr>
        <w:t xml:space="preserve">. In terms of inpatient capacity, the Applicant states that inadequate capacity at general acute care hospitals in the Commonwealth is well-documented citing </w:t>
      </w:r>
      <w:r w:rsidR="008D19EF">
        <w:rPr>
          <w:rFonts w:asciiTheme="minorHAnsi" w:hAnsiTheme="minorHAnsi"/>
        </w:rPr>
        <w:t>articles</w:t>
      </w:r>
      <w:r w:rsidRPr="5AC4FF5C">
        <w:rPr>
          <w:rFonts w:asciiTheme="minorHAnsi" w:hAnsiTheme="minorHAnsi"/>
        </w:rPr>
        <w:t xml:space="preserve"> stating that the Department designated all hospitals in Eastern </w:t>
      </w:r>
      <w:r w:rsidRPr="5AC4FF5C">
        <w:rPr>
          <w:rFonts w:asciiTheme="minorHAnsi" w:hAnsiTheme="minorHAnsi"/>
        </w:rPr>
        <w:lastRenderedPageBreak/>
        <w:t>Massachusetts as “Tier 3” indicating a “high risk for or active constraints in capacity,”</w:t>
      </w:r>
      <w:r w:rsidRPr="5AC4FF5C">
        <w:rPr>
          <w:rFonts w:asciiTheme="minorHAnsi" w:hAnsiTheme="minorHAnsi"/>
          <w:vertAlign w:val="superscript"/>
        </w:rPr>
        <w:t xml:space="preserve"> </w:t>
      </w:r>
      <w:r w:rsidRPr="5AC4FF5C">
        <w:rPr>
          <w:rFonts w:asciiTheme="minorHAnsi" w:hAnsiTheme="minorHAnsi"/>
        </w:rPr>
        <w:t>with a capacity Tier of “0” indicat</w:t>
      </w:r>
      <w:r>
        <w:rPr>
          <w:rFonts w:asciiTheme="minorHAnsi" w:hAnsiTheme="minorHAnsi"/>
        </w:rPr>
        <w:t>ing</w:t>
      </w:r>
      <w:r w:rsidRPr="5AC4FF5C">
        <w:rPr>
          <w:rFonts w:asciiTheme="minorHAnsi" w:hAnsiTheme="minorHAnsi"/>
        </w:rPr>
        <w:t xml:space="preserve"> a steady state, and Tier 4, the highest, warranting Department intervention</w:t>
      </w:r>
      <w:r w:rsidRPr="5AC4FF5C">
        <w:rPr>
          <w:rFonts w:asciiTheme="minorHAnsi" w:hAnsiTheme="minorHAnsi"/>
          <w:vertAlign w:val="superscript"/>
        </w:rPr>
        <w:endnoteReference w:id="34"/>
      </w:r>
      <w:r w:rsidRPr="5AC4FF5C">
        <w:rPr>
          <w:rFonts w:asciiTheme="minorHAnsi" w:hAnsiTheme="minorHAnsi"/>
          <w:vertAlign w:val="superscript"/>
        </w:rPr>
        <w:t>,</w:t>
      </w:r>
      <w:r w:rsidRPr="005730E3">
        <w:rPr>
          <w:rFonts w:asciiTheme="minorHAnsi" w:hAnsiTheme="minorHAnsi"/>
          <w:vertAlign w:val="superscript"/>
        </w:rPr>
        <w:endnoteReference w:id="35"/>
      </w:r>
      <w:r w:rsidR="005730E3" w:rsidRPr="001668BA">
        <w:rPr>
          <w:rFonts w:asciiTheme="minorHAnsi" w:hAnsiTheme="minorHAnsi"/>
        </w:rPr>
        <w:t>,</w:t>
      </w:r>
      <w:r w:rsidRPr="5AC4FF5C">
        <w:rPr>
          <w:rFonts w:asciiTheme="minorHAnsi" w:hAnsiTheme="minorHAnsi"/>
          <w:vertAlign w:val="superscript"/>
        </w:rPr>
        <w:t xml:space="preserve">  </w:t>
      </w:r>
      <w:r w:rsidR="009378DE">
        <w:rPr>
          <w:rFonts w:asciiTheme="minorHAnsi" w:hAnsiTheme="minorHAnsi"/>
        </w:rPr>
        <w:t xml:space="preserve">and </w:t>
      </w:r>
      <w:r w:rsidR="00603773">
        <w:rPr>
          <w:rFonts w:asciiTheme="minorHAnsi" w:hAnsiTheme="minorHAnsi"/>
        </w:rPr>
        <w:t>that</w:t>
      </w:r>
      <w:r w:rsidR="00F273A2">
        <w:rPr>
          <w:rFonts w:asciiTheme="minorHAnsi" w:hAnsiTheme="minorHAnsi"/>
        </w:rPr>
        <w:t xml:space="preserve"> </w:t>
      </w:r>
      <w:r w:rsidR="00635F43">
        <w:rPr>
          <w:rFonts w:asciiTheme="minorHAnsi" w:hAnsiTheme="minorHAnsi"/>
        </w:rPr>
        <w:t xml:space="preserve">hospitals </w:t>
      </w:r>
      <w:r w:rsidR="00603773">
        <w:rPr>
          <w:rFonts w:asciiTheme="minorHAnsi" w:hAnsiTheme="minorHAnsi"/>
        </w:rPr>
        <w:t xml:space="preserve">are </w:t>
      </w:r>
      <w:r w:rsidR="00635F43">
        <w:rPr>
          <w:rFonts w:asciiTheme="minorHAnsi" w:hAnsiTheme="minorHAnsi"/>
        </w:rPr>
        <w:t>experienc</w:t>
      </w:r>
      <w:r w:rsidR="00B438D3">
        <w:rPr>
          <w:rFonts w:asciiTheme="minorHAnsi" w:hAnsiTheme="minorHAnsi"/>
        </w:rPr>
        <w:t>ing</w:t>
      </w:r>
      <w:r w:rsidR="00635F43">
        <w:rPr>
          <w:rFonts w:asciiTheme="minorHAnsi" w:hAnsiTheme="minorHAnsi"/>
        </w:rPr>
        <w:t xml:space="preserve"> ED crowding, and </w:t>
      </w:r>
      <w:r w:rsidR="00A31432">
        <w:rPr>
          <w:rFonts w:asciiTheme="minorHAnsi" w:hAnsiTheme="minorHAnsi"/>
        </w:rPr>
        <w:t xml:space="preserve">an </w:t>
      </w:r>
      <w:r w:rsidR="007652BE">
        <w:rPr>
          <w:rFonts w:asciiTheme="minorHAnsi" w:hAnsiTheme="minorHAnsi"/>
        </w:rPr>
        <w:t>increas</w:t>
      </w:r>
      <w:r w:rsidR="00A31432">
        <w:rPr>
          <w:rFonts w:asciiTheme="minorHAnsi" w:hAnsiTheme="minorHAnsi"/>
        </w:rPr>
        <w:t>e in</w:t>
      </w:r>
      <w:r w:rsidR="007652BE">
        <w:rPr>
          <w:rFonts w:asciiTheme="minorHAnsi" w:hAnsiTheme="minorHAnsi"/>
        </w:rPr>
        <w:t xml:space="preserve"> </w:t>
      </w:r>
      <w:r w:rsidR="00635F43">
        <w:rPr>
          <w:rFonts w:asciiTheme="minorHAnsi" w:hAnsiTheme="minorHAnsi"/>
        </w:rPr>
        <w:t>ED boarding.</w:t>
      </w:r>
      <w:r w:rsidR="00635F43">
        <w:rPr>
          <w:rStyle w:val="EndnoteReference"/>
          <w:rFonts w:asciiTheme="minorHAnsi" w:hAnsiTheme="minorHAnsi"/>
        </w:rPr>
        <w:endnoteReference w:id="36"/>
      </w:r>
    </w:p>
    <w:p w14:paraId="4BB9A007" w14:textId="77777777" w:rsidR="008200D5" w:rsidRDefault="008200D5" w:rsidP="008200D5">
      <w:pPr>
        <w:rPr>
          <w:rFonts w:asciiTheme="minorHAnsi" w:hAnsiTheme="minorHAnsi"/>
          <w:vertAlign w:val="superscript"/>
        </w:rPr>
      </w:pPr>
    </w:p>
    <w:p w14:paraId="2B3D157B" w14:textId="4286D41C" w:rsidR="008200D5" w:rsidRDefault="008200D5" w:rsidP="008200D5">
      <w:pPr>
        <w:rPr>
          <w:rFonts w:asciiTheme="minorHAnsi" w:hAnsiTheme="minorHAnsi"/>
        </w:rPr>
      </w:pPr>
      <w:r w:rsidRPr="00813A1B">
        <w:rPr>
          <w:rFonts w:asciiTheme="minorHAnsi" w:hAnsiTheme="minorHAnsi"/>
        </w:rPr>
        <w:t>Staff examined the number of staffed</w:t>
      </w:r>
      <w:r w:rsidRPr="00813A1B">
        <w:rPr>
          <w:rFonts w:asciiTheme="minorHAnsi" w:hAnsiTheme="minorHAnsi"/>
          <w:vertAlign w:val="superscript"/>
        </w:rPr>
        <w:footnoteReference w:id="56"/>
      </w:r>
      <w:r w:rsidRPr="00813A1B">
        <w:rPr>
          <w:rFonts w:asciiTheme="minorHAnsi" w:hAnsiTheme="minorHAnsi"/>
        </w:rPr>
        <w:t xml:space="preserve"> and occupied</w:t>
      </w:r>
      <w:r w:rsidRPr="00813A1B">
        <w:rPr>
          <w:rFonts w:asciiTheme="minorHAnsi" w:hAnsiTheme="minorHAnsi"/>
          <w:vertAlign w:val="superscript"/>
        </w:rPr>
        <w:footnoteReference w:id="57"/>
      </w:r>
      <w:r w:rsidRPr="00813A1B">
        <w:rPr>
          <w:rFonts w:asciiTheme="minorHAnsi" w:hAnsiTheme="minorHAnsi"/>
        </w:rPr>
        <w:t xml:space="preserve"> M/S and ICU beds at Academic Medical Centers (AMCs)</w:t>
      </w:r>
      <w:r w:rsidRPr="00813A1B">
        <w:rPr>
          <w:rFonts w:asciiTheme="minorHAnsi" w:hAnsiTheme="minorHAnsi"/>
          <w:vertAlign w:val="superscript"/>
        </w:rPr>
        <w:footnoteReference w:id="58"/>
      </w:r>
      <w:r w:rsidRPr="00813A1B">
        <w:rPr>
          <w:rFonts w:asciiTheme="minorHAnsi" w:hAnsiTheme="minorHAnsi"/>
        </w:rPr>
        <w:t xml:space="preserve"> in Massachusetts from January 2022 to August 2024</w:t>
      </w:r>
      <w:r w:rsidRPr="00813A1B">
        <w:rPr>
          <w:rFonts w:asciiTheme="minorHAnsi" w:hAnsiTheme="minorHAnsi"/>
          <w:vertAlign w:val="superscript"/>
        </w:rPr>
        <w:footnoteReference w:id="59"/>
      </w:r>
      <w:r w:rsidRPr="00813A1B">
        <w:rPr>
          <w:rFonts w:asciiTheme="minorHAnsi" w:hAnsiTheme="minorHAnsi"/>
        </w:rPr>
        <w:t xml:space="preserve"> to better understand </w:t>
      </w:r>
      <w:r w:rsidR="005C071B">
        <w:rPr>
          <w:rFonts w:asciiTheme="minorHAnsi" w:hAnsiTheme="minorHAnsi"/>
        </w:rPr>
        <w:t>bed occupancy rates</w:t>
      </w:r>
      <w:r w:rsidRPr="00813A1B">
        <w:rPr>
          <w:rFonts w:asciiTheme="minorHAnsi" w:hAnsiTheme="minorHAnsi"/>
        </w:rPr>
        <w:t xml:space="preserve"> at </w:t>
      </w:r>
      <w:r>
        <w:rPr>
          <w:rFonts w:asciiTheme="minorHAnsi" w:hAnsiTheme="minorHAnsi"/>
        </w:rPr>
        <w:t xml:space="preserve">these </w:t>
      </w:r>
      <w:r w:rsidRPr="00813A1B">
        <w:rPr>
          <w:rFonts w:asciiTheme="minorHAnsi" w:hAnsiTheme="minorHAnsi"/>
        </w:rPr>
        <w:t>hospitals that provide</w:t>
      </w:r>
      <w:r>
        <w:rPr>
          <w:rFonts w:asciiTheme="minorHAnsi" w:hAnsiTheme="minorHAnsi"/>
        </w:rPr>
        <w:t xml:space="preserve"> some of</w:t>
      </w:r>
      <w:r w:rsidRPr="00813A1B">
        <w:rPr>
          <w:rFonts w:asciiTheme="minorHAnsi" w:hAnsiTheme="minorHAnsi"/>
        </w:rPr>
        <w:t xml:space="preserve"> the same specialized services as the Applicant. The hospitals included in the analysis are listed in Table </w:t>
      </w:r>
      <w:r>
        <w:rPr>
          <w:rFonts w:asciiTheme="minorHAnsi" w:hAnsiTheme="minorHAnsi"/>
        </w:rPr>
        <w:t>20</w:t>
      </w:r>
      <w:r w:rsidRPr="00813A1B">
        <w:rPr>
          <w:rFonts w:asciiTheme="minorHAnsi" w:hAnsiTheme="minorHAnsi"/>
        </w:rPr>
        <w:t xml:space="preserve">. </w:t>
      </w:r>
    </w:p>
    <w:p w14:paraId="7EF7E075" w14:textId="77777777" w:rsidR="008200D5" w:rsidRDefault="008200D5" w:rsidP="008200D5">
      <w:pPr>
        <w:rPr>
          <w:rFonts w:asciiTheme="minorHAnsi" w:hAnsiTheme="minorHAnsi"/>
        </w:rPr>
      </w:pPr>
    </w:p>
    <w:p w14:paraId="1DFCC4DB" w14:textId="77777777" w:rsidR="00AF1C09" w:rsidRDefault="00AF1C09" w:rsidP="008200D5">
      <w:pPr>
        <w:rPr>
          <w:rFonts w:asciiTheme="minorHAnsi" w:hAnsiTheme="minorHAnsi"/>
        </w:rPr>
      </w:pPr>
    </w:p>
    <w:p w14:paraId="217C5490" w14:textId="77777777" w:rsidR="00AF1C09" w:rsidRDefault="00AF1C09" w:rsidP="008200D5">
      <w:pPr>
        <w:rPr>
          <w:rFonts w:asciiTheme="minorHAnsi" w:hAnsiTheme="minorHAnsi"/>
        </w:rPr>
      </w:pPr>
    </w:p>
    <w:p w14:paraId="50DE729E" w14:textId="77777777" w:rsidR="00AF1C09" w:rsidRDefault="00AF1C09" w:rsidP="008200D5">
      <w:pPr>
        <w:rPr>
          <w:rFonts w:asciiTheme="minorHAnsi" w:hAnsiTheme="minorHAnsi"/>
        </w:rPr>
      </w:pPr>
    </w:p>
    <w:p w14:paraId="2D66DE1B" w14:textId="77777777" w:rsidR="00AF1C09" w:rsidRDefault="00AF1C09" w:rsidP="008200D5">
      <w:pPr>
        <w:rPr>
          <w:rFonts w:asciiTheme="minorHAnsi" w:hAnsiTheme="minorHAnsi"/>
        </w:rPr>
      </w:pPr>
    </w:p>
    <w:p w14:paraId="28F49EE1" w14:textId="77777777" w:rsidR="00AF1C09" w:rsidRDefault="00AF1C09" w:rsidP="008200D5">
      <w:pPr>
        <w:rPr>
          <w:rFonts w:asciiTheme="minorHAnsi" w:hAnsiTheme="minorHAnsi"/>
        </w:rPr>
      </w:pPr>
    </w:p>
    <w:p w14:paraId="06F65E31" w14:textId="77777777" w:rsidR="00AF1C09" w:rsidRDefault="00AF1C09" w:rsidP="008200D5">
      <w:pPr>
        <w:rPr>
          <w:rFonts w:asciiTheme="minorHAnsi" w:hAnsiTheme="minorHAnsi"/>
        </w:rPr>
      </w:pPr>
    </w:p>
    <w:p w14:paraId="686F9B9C" w14:textId="77777777" w:rsidR="00AF1C09" w:rsidRDefault="00AF1C09" w:rsidP="008200D5">
      <w:pPr>
        <w:rPr>
          <w:rFonts w:asciiTheme="minorHAnsi" w:hAnsiTheme="minorHAnsi"/>
        </w:rPr>
      </w:pPr>
    </w:p>
    <w:p w14:paraId="63A744BB" w14:textId="77777777" w:rsidR="00AF1C09" w:rsidRDefault="00AF1C09" w:rsidP="008200D5">
      <w:pPr>
        <w:rPr>
          <w:rFonts w:asciiTheme="minorHAnsi" w:hAnsiTheme="minorHAnsi"/>
        </w:rPr>
      </w:pPr>
    </w:p>
    <w:p w14:paraId="060F91C8" w14:textId="77777777" w:rsidR="00AF1C09" w:rsidRDefault="00AF1C09" w:rsidP="008200D5">
      <w:pPr>
        <w:rPr>
          <w:rFonts w:asciiTheme="minorHAnsi" w:hAnsiTheme="minorHAnsi"/>
        </w:rPr>
      </w:pPr>
    </w:p>
    <w:p w14:paraId="5000B2B9" w14:textId="77777777" w:rsidR="008200D5" w:rsidRPr="00813A1B" w:rsidRDefault="008200D5" w:rsidP="008200D5">
      <w:pPr>
        <w:rPr>
          <w:rFonts w:asciiTheme="minorHAnsi" w:hAnsiTheme="minorHAnsi"/>
          <w:b/>
          <w:bCs/>
        </w:rPr>
      </w:pPr>
      <w:r w:rsidRPr="00813A1B">
        <w:rPr>
          <w:rFonts w:asciiTheme="minorHAnsi" w:hAnsiTheme="minorHAnsi"/>
          <w:b/>
          <w:bCs/>
          <w:u w:val="single"/>
        </w:rPr>
        <w:t xml:space="preserve">Table </w:t>
      </w:r>
      <w:r>
        <w:rPr>
          <w:rFonts w:asciiTheme="minorHAnsi" w:hAnsiTheme="minorHAnsi"/>
          <w:b/>
          <w:bCs/>
          <w:u w:val="single"/>
        </w:rPr>
        <w:t>20</w:t>
      </w:r>
      <w:r w:rsidRPr="00813A1B">
        <w:rPr>
          <w:rFonts w:asciiTheme="minorHAnsi" w:hAnsiTheme="minorHAnsi"/>
          <w:b/>
          <w:bCs/>
        </w:rPr>
        <w:t>: Massachusetts Academic Medical Centers (AMCs)</w:t>
      </w:r>
    </w:p>
    <w:tbl>
      <w:tblPr>
        <w:tblStyle w:val="TableGrid"/>
        <w:tblW w:w="0" w:type="auto"/>
        <w:jc w:val="center"/>
        <w:tblLook w:val="04A0" w:firstRow="1" w:lastRow="0" w:firstColumn="1" w:lastColumn="0" w:noHBand="0" w:noVBand="1"/>
      </w:tblPr>
      <w:tblGrid>
        <w:gridCol w:w="1591"/>
        <w:gridCol w:w="2409"/>
        <w:gridCol w:w="1071"/>
        <w:gridCol w:w="1153"/>
        <w:gridCol w:w="984"/>
        <w:gridCol w:w="1128"/>
        <w:gridCol w:w="744"/>
        <w:gridCol w:w="730"/>
      </w:tblGrid>
      <w:tr w:rsidR="008200D5" w:rsidRPr="00736E56" w14:paraId="65244AD0" w14:textId="77777777" w:rsidTr="00EF3B4C">
        <w:trPr>
          <w:cantSplit/>
          <w:tblHeader/>
          <w:jc w:val="center"/>
        </w:trPr>
        <w:tc>
          <w:tcPr>
            <w:tcW w:w="0" w:type="auto"/>
            <w:shd w:val="clear" w:color="auto" w:fill="E1EBF7" w:themeFill="text2" w:themeFillTint="1A"/>
          </w:tcPr>
          <w:p w14:paraId="45D54151"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Health System</w:t>
            </w:r>
          </w:p>
        </w:tc>
        <w:tc>
          <w:tcPr>
            <w:tcW w:w="0" w:type="auto"/>
            <w:shd w:val="clear" w:color="auto" w:fill="E1EBF7" w:themeFill="text2" w:themeFillTint="1A"/>
          </w:tcPr>
          <w:p w14:paraId="21379FA9"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Hospital Name</w:t>
            </w:r>
          </w:p>
        </w:tc>
        <w:tc>
          <w:tcPr>
            <w:tcW w:w="0" w:type="auto"/>
            <w:shd w:val="clear" w:color="auto" w:fill="E1EBF7" w:themeFill="text2" w:themeFillTint="1A"/>
          </w:tcPr>
          <w:p w14:paraId="6DF4EB10"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Hospital Type</w:t>
            </w:r>
          </w:p>
        </w:tc>
        <w:tc>
          <w:tcPr>
            <w:tcW w:w="0" w:type="auto"/>
            <w:shd w:val="clear" w:color="auto" w:fill="E1EBF7" w:themeFill="text2" w:themeFillTint="1A"/>
          </w:tcPr>
          <w:p w14:paraId="67EAA864"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Location</w:t>
            </w:r>
          </w:p>
        </w:tc>
        <w:tc>
          <w:tcPr>
            <w:tcW w:w="0" w:type="auto"/>
            <w:shd w:val="clear" w:color="auto" w:fill="E1EBF7" w:themeFill="text2" w:themeFillTint="1A"/>
          </w:tcPr>
          <w:p w14:paraId="304AED9B"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CHIA Region</w:t>
            </w:r>
          </w:p>
        </w:tc>
        <w:tc>
          <w:tcPr>
            <w:tcW w:w="0" w:type="auto"/>
            <w:shd w:val="clear" w:color="auto" w:fill="E1EBF7" w:themeFill="text2" w:themeFillTint="1A"/>
          </w:tcPr>
          <w:p w14:paraId="458A0EA7"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Licensed Beds</w:t>
            </w:r>
            <w:r w:rsidRPr="003B2CD4">
              <w:rPr>
                <w:rFonts w:asciiTheme="minorHAnsi" w:hAnsiTheme="minorHAnsi"/>
                <w:b/>
                <w:bCs/>
                <w:sz w:val="22"/>
                <w:szCs w:val="22"/>
                <w:vertAlign w:val="superscript"/>
              </w:rPr>
              <w:footnoteReference w:id="60"/>
            </w:r>
          </w:p>
        </w:tc>
        <w:tc>
          <w:tcPr>
            <w:tcW w:w="0" w:type="auto"/>
            <w:shd w:val="clear" w:color="auto" w:fill="E1EBF7" w:themeFill="text2" w:themeFillTint="1A"/>
          </w:tcPr>
          <w:p w14:paraId="5C60F11C"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M/S Beds</w:t>
            </w:r>
          </w:p>
        </w:tc>
        <w:tc>
          <w:tcPr>
            <w:tcW w:w="0" w:type="auto"/>
            <w:shd w:val="clear" w:color="auto" w:fill="E1EBF7" w:themeFill="text2" w:themeFillTint="1A"/>
          </w:tcPr>
          <w:p w14:paraId="0E0EB437" w14:textId="77777777" w:rsidR="008200D5" w:rsidRPr="003B2CD4" w:rsidRDefault="008200D5">
            <w:pPr>
              <w:jc w:val="center"/>
              <w:rPr>
                <w:rFonts w:asciiTheme="minorHAnsi" w:hAnsiTheme="minorHAnsi"/>
                <w:b/>
                <w:bCs/>
                <w:sz w:val="22"/>
                <w:szCs w:val="22"/>
              </w:rPr>
            </w:pPr>
            <w:r w:rsidRPr="003B2CD4">
              <w:rPr>
                <w:rFonts w:asciiTheme="minorHAnsi" w:hAnsiTheme="minorHAnsi"/>
                <w:b/>
                <w:bCs/>
                <w:sz w:val="22"/>
                <w:szCs w:val="22"/>
              </w:rPr>
              <w:t>ICU Beds</w:t>
            </w:r>
          </w:p>
        </w:tc>
      </w:tr>
      <w:tr w:rsidR="008200D5" w:rsidRPr="00736E56" w14:paraId="01A23454" w14:textId="77777777" w:rsidTr="00EF3B4C">
        <w:trPr>
          <w:cantSplit/>
          <w:trHeight w:val="521"/>
          <w:jc w:val="center"/>
        </w:trPr>
        <w:tc>
          <w:tcPr>
            <w:tcW w:w="0" w:type="auto"/>
          </w:tcPr>
          <w:p w14:paraId="3C570D8A"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Beth Israel Lahey Health</w:t>
            </w:r>
          </w:p>
        </w:tc>
        <w:tc>
          <w:tcPr>
            <w:tcW w:w="0" w:type="auto"/>
          </w:tcPr>
          <w:p w14:paraId="72AF4A43"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Beth Israel Deaconess Medical</w:t>
            </w:r>
          </w:p>
          <w:p w14:paraId="49C0D218"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Center (BIDMC)</w:t>
            </w:r>
          </w:p>
        </w:tc>
        <w:tc>
          <w:tcPr>
            <w:tcW w:w="0" w:type="auto"/>
          </w:tcPr>
          <w:p w14:paraId="0548AFF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AMC</w:t>
            </w:r>
          </w:p>
        </w:tc>
        <w:tc>
          <w:tcPr>
            <w:tcW w:w="0" w:type="auto"/>
          </w:tcPr>
          <w:p w14:paraId="5093A15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Boston</w:t>
            </w:r>
          </w:p>
          <w:p w14:paraId="4AA1AE85" w14:textId="77777777" w:rsidR="008200D5" w:rsidRPr="003B2CD4" w:rsidRDefault="008200D5">
            <w:pPr>
              <w:jc w:val="center"/>
              <w:rPr>
                <w:rFonts w:asciiTheme="minorHAnsi" w:hAnsiTheme="minorHAnsi"/>
                <w:sz w:val="22"/>
                <w:szCs w:val="22"/>
              </w:rPr>
            </w:pPr>
          </w:p>
          <w:p w14:paraId="37B10054" w14:textId="77777777" w:rsidR="008200D5" w:rsidRPr="003B2CD4" w:rsidRDefault="008200D5">
            <w:pPr>
              <w:jc w:val="center"/>
              <w:rPr>
                <w:rFonts w:asciiTheme="minorHAnsi" w:hAnsiTheme="minorHAnsi"/>
                <w:sz w:val="22"/>
                <w:szCs w:val="22"/>
              </w:rPr>
            </w:pPr>
          </w:p>
        </w:tc>
        <w:tc>
          <w:tcPr>
            <w:tcW w:w="0" w:type="auto"/>
          </w:tcPr>
          <w:p w14:paraId="1C667275"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Metro Boston</w:t>
            </w:r>
          </w:p>
        </w:tc>
        <w:tc>
          <w:tcPr>
            <w:tcW w:w="0" w:type="auto"/>
          </w:tcPr>
          <w:p w14:paraId="2141A11D"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766</w:t>
            </w:r>
          </w:p>
        </w:tc>
        <w:tc>
          <w:tcPr>
            <w:tcW w:w="0" w:type="auto"/>
          </w:tcPr>
          <w:p w14:paraId="6DCE8842"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556</w:t>
            </w:r>
          </w:p>
        </w:tc>
        <w:tc>
          <w:tcPr>
            <w:tcW w:w="0" w:type="auto"/>
          </w:tcPr>
          <w:p w14:paraId="274E4B0F"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92</w:t>
            </w:r>
          </w:p>
        </w:tc>
      </w:tr>
      <w:tr w:rsidR="008200D5" w:rsidRPr="00736E56" w14:paraId="56B00CD8" w14:textId="77777777" w:rsidTr="00EF3B4C">
        <w:trPr>
          <w:cantSplit/>
          <w:jc w:val="center"/>
        </w:trPr>
        <w:tc>
          <w:tcPr>
            <w:tcW w:w="0" w:type="auto"/>
          </w:tcPr>
          <w:p w14:paraId="46BE1EA2"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Boston Medical Center Health System</w:t>
            </w:r>
          </w:p>
        </w:tc>
        <w:tc>
          <w:tcPr>
            <w:tcW w:w="0" w:type="auto"/>
          </w:tcPr>
          <w:p w14:paraId="06A9F576"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Boston Medical Center Menino Pavilion</w:t>
            </w:r>
            <w:r w:rsidRPr="003B2CD4">
              <w:rPr>
                <w:rFonts w:asciiTheme="minorHAnsi" w:hAnsiTheme="minorHAnsi"/>
                <w:sz w:val="22"/>
                <w:szCs w:val="22"/>
                <w:vertAlign w:val="superscript"/>
              </w:rPr>
              <w:footnoteReference w:id="61"/>
            </w:r>
            <w:r w:rsidRPr="003B2CD4">
              <w:rPr>
                <w:rFonts w:asciiTheme="minorHAnsi" w:hAnsiTheme="minorHAnsi"/>
                <w:sz w:val="22"/>
                <w:szCs w:val="22"/>
              </w:rPr>
              <w:t xml:space="preserve"> (BMC)</w:t>
            </w:r>
          </w:p>
        </w:tc>
        <w:tc>
          <w:tcPr>
            <w:tcW w:w="0" w:type="auto"/>
          </w:tcPr>
          <w:p w14:paraId="413A6F2F"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AMC</w:t>
            </w:r>
          </w:p>
        </w:tc>
        <w:tc>
          <w:tcPr>
            <w:tcW w:w="0" w:type="auto"/>
          </w:tcPr>
          <w:p w14:paraId="79C82434"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Boston</w:t>
            </w:r>
          </w:p>
          <w:p w14:paraId="0E21DFB2" w14:textId="77777777" w:rsidR="008200D5" w:rsidRPr="003B2CD4" w:rsidRDefault="008200D5">
            <w:pPr>
              <w:jc w:val="center"/>
              <w:rPr>
                <w:rFonts w:asciiTheme="minorHAnsi" w:hAnsiTheme="minorHAnsi"/>
                <w:sz w:val="22"/>
                <w:szCs w:val="22"/>
              </w:rPr>
            </w:pPr>
          </w:p>
        </w:tc>
        <w:tc>
          <w:tcPr>
            <w:tcW w:w="0" w:type="auto"/>
          </w:tcPr>
          <w:p w14:paraId="448F6C6E"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Metro Boston</w:t>
            </w:r>
          </w:p>
        </w:tc>
        <w:tc>
          <w:tcPr>
            <w:tcW w:w="0" w:type="auto"/>
          </w:tcPr>
          <w:p w14:paraId="4D3F9DB7" w14:textId="6F5CA9F5" w:rsidR="008200D5" w:rsidRPr="003B2CD4" w:rsidRDefault="00745770">
            <w:pPr>
              <w:jc w:val="center"/>
              <w:rPr>
                <w:rFonts w:asciiTheme="minorHAnsi" w:hAnsiTheme="minorHAnsi"/>
                <w:sz w:val="22"/>
                <w:szCs w:val="22"/>
              </w:rPr>
            </w:pPr>
            <w:r w:rsidRPr="00DF2B69">
              <w:rPr>
                <w:rFonts w:asciiTheme="minorHAnsi" w:hAnsiTheme="minorHAnsi"/>
                <w:sz w:val="22"/>
                <w:szCs w:val="22"/>
              </w:rPr>
              <w:t>594</w:t>
            </w:r>
          </w:p>
        </w:tc>
        <w:tc>
          <w:tcPr>
            <w:tcW w:w="0" w:type="auto"/>
          </w:tcPr>
          <w:p w14:paraId="1C924296"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265</w:t>
            </w:r>
          </w:p>
        </w:tc>
        <w:tc>
          <w:tcPr>
            <w:tcW w:w="0" w:type="auto"/>
          </w:tcPr>
          <w:p w14:paraId="32112473"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55</w:t>
            </w:r>
          </w:p>
        </w:tc>
      </w:tr>
      <w:tr w:rsidR="008200D5" w:rsidRPr="00736E56" w14:paraId="45961730" w14:textId="77777777" w:rsidTr="00EF3B4C">
        <w:trPr>
          <w:cantSplit/>
          <w:jc w:val="center"/>
        </w:trPr>
        <w:tc>
          <w:tcPr>
            <w:tcW w:w="0" w:type="auto"/>
          </w:tcPr>
          <w:p w14:paraId="3AE995BB"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Mass General Brigham</w:t>
            </w:r>
          </w:p>
        </w:tc>
        <w:tc>
          <w:tcPr>
            <w:tcW w:w="0" w:type="auto"/>
          </w:tcPr>
          <w:p w14:paraId="2E2209EA"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Brigham and Women’s Hospital (BWH)</w:t>
            </w:r>
          </w:p>
        </w:tc>
        <w:tc>
          <w:tcPr>
            <w:tcW w:w="0" w:type="auto"/>
          </w:tcPr>
          <w:p w14:paraId="6AE32DD2"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AMC</w:t>
            </w:r>
          </w:p>
        </w:tc>
        <w:tc>
          <w:tcPr>
            <w:tcW w:w="0" w:type="auto"/>
          </w:tcPr>
          <w:p w14:paraId="2861CCFF"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Boston</w:t>
            </w:r>
          </w:p>
          <w:p w14:paraId="4B022848" w14:textId="77777777" w:rsidR="008200D5" w:rsidRPr="003B2CD4" w:rsidRDefault="008200D5">
            <w:pPr>
              <w:jc w:val="center"/>
              <w:rPr>
                <w:rFonts w:asciiTheme="minorHAnsi" w:hAnsiTheme="minorHAnsi"/>
                <w:sz w:val="22"/>
                <w:szCs w:val="22"/>
              </w:rPr>
            </w:pPr>
          </w:p>
        </w:tc>
        <w:tc>
          <w:tcPr>
            <w:tcW w:w="0" w:type="auto"/>
          </w:tcPr>
          <w:p w14:paraId="2CD01D3C"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Metro Boston</w:t>
            </w:r>
          </w:p>
        </w:tc>
        <w:tc>
          <w:tcPr>
            <w:tcW w:w="0" w:type="auto"/>
          </w:tcPr>
          <w:p w14:paraId="46FE60C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826</w:t>
            </w:r>
          </w:p>
        </w:tc>
        <w:tc>
          <w:tcPr>
            <w:tcW w:w="0" w:type="auto"/>
          </w:tcPr>
          <w:p w14:paraId="27D3DEA1"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620</w:t>
            </w:r>
          </w:p>
        </w:tc>
        <w:tc>
          <w:tcPr>
            <w:tcW w:w="0" w:type="auto"/>
          </w:tcPr>
          <w:p w14:paraId="061097A4"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89</w:t>
            </w:r>
          </w:p>
        </w:tc>
      </w:tr>
      <w:tr w:rsidR="008200D5" w:rsidRPr="00736E56" w14:paraId="6FC522B0" w14:textId="77777777" w:rsidTr="00EF3B4C">
        <w:trPr>
          <w:cantSplit/>
          <w:jc w:val="center"/>
        </w:trPr>
        <w:tc>
          <w:tcPr>
            <w:tcW w:w="0" w:type="auto"/>
          </w:tcPr>
          <w:p w14:paraId="2A047783"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Mass General Brigham</w:t>
            </w:r>
          </w:p>
        </w:tc>
        <w:tc>
          <w:tcPr>
            <w:tcW w:w="0" w:type="auto"/>
          </w:tcPr>
          <w:p w14:paraId="0869A5B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Massachusetts General Hospital (MGH)</w:t>
            </w:r>
          </w:p>
        </w:tc>
        <w:tc>
          <w:tcPr>
            <w:tcW w:w="0" w:type="auto"/>
          </w:tcPr>
          <w:p w14:paraId="5807687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AMC</w:t>
            </w:r>
          </w:p>
        </w:tc>
        <w:tc>
          <w:tcPr>
            <w:tcW w:w="0" w:type="auto"/>
          </w:tcPr>
          <w:p w14:paraId="2F3FC1A0"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Boston</w:t>
            </w:r>
          </w:p>
          <w:p w14:paraId="3BF3DE88" w14:textId="77777777" w:rsidR="008200D5" w:rsidRPr="003B2CD4" w:rsidRDefault="008200D5">
            <w:pPr>
              <w:jc w:val="center"/>
              <w:rPr>
                <w:rFonts w:asciiTheme="minorHAnsi" w:hAnsiTheme="minorHAnsi"/>
                <w:sz w:val="22"/>
                <w:szCs w:val="22"/>
              </w:rPr>
            </w:pPr>
          </w:p>
        </w:tc>
        <w:tc>
          <w:tcPr>
            <w:tcW w:w="0" w:type="auto"/>
          </w:tcPr>
          <w:p w14:paraId="15ACE538"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Metro Boston</w:t>
            </w:r>
          </w:p>
        </w:tc>
        <w:tc>
          <w:tcPr>
            <w:tcW w:w="0" w:type="auto"/>
          </w:tcPr>
          <w:p w14:paraId="24E258B5"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1,045</w:t>
            </w:r>
          </w:p>
        </w:tc>
        <w:tc>
          <w:tcPr>
            <w:tcW w:w="0" w:type="auto"/>
          </w:tcPr>
          <w:p w14:paraId="1A71D68C"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789</w:t>
            </w:r>
          </w:p>
        </w:tc>
        <w:tc>
          <w:tcPr>
            <w:tcW w:w="0" w:type="auto"/>
          </w:tcPr>
          <w:p w14:paraId="1C407494"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101</w:t>
            </w:r>
          </w:p>
        </w:tc>
      </w:tr>
      <w:tr w:rsidR="008200D5" w:rsidRPr="00736E56" w14:paraId="3BD6B4A9" w14:textId="77777777" w:rsidTr="00EF3B4C">
        <w:trPr>
          <w:cantSplit/>
          <w:jc w:val="center"/>
        </w:trPr>
        <w:tc>
          <w:tcPr>
            <w:tcW w:w="0" w:type="auto"/>
          </w:tcPr>
          <w:p w14:paraId="78D09A5E"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Tufts Medicine</w:t>
            </w:r>
          </w:p>
        </w:tc>
        <w:tc>
          <w:tcPr>
            <w:tcW w:w="0" w:type="auto"/>
          </w:tcPr>
          <w:p w14:paraId="75BEFFA8"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Tufts Medical Center (TMC)</w:t>
            </w:r>
          </w:p>
        </w:tc>
        <w:tc>
          <w:tcPr>
            <w:tcW w:w="0" w:type="auto"/>
          </w:tcPr>
          <w:p w14:paraId="3B62C572"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AMC</w:t>
            </w:r>
          </w:p>
        </w:tc>
        <w:tc>
          <w:tcPr>
            <w:tcW w:w="0" w:type="auto"/>
          </w:tcPr>
          <w:p w14:paraId="573D722A"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Boston</w:t>
            </w:r>
          </w:p>
        </w:tc>
        <w:tc>
          <w:tcPr>
            <w:tcW w:w="0" w:type="auto"/>
          </w:tcPr>
          <w:p w14:paraId="6B51A79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Metro Boston</w:t>
            </w:r>
          </w:p>
        </w:tc>
        <w:tc>
          <w:tcPr>
            <w:tcW w:w="0" w:type="auto"/>
          </w:tcPr>
          <w:p w14:paraId="36977977"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346</w:t>
            </w:r>
          </w:p>
        </w:tc>
        <w:tc>
          <w:tcPr>
            <w:tcW w:w="0" w:type="auto"/>
          </w:tcPr>
          <w:p w14:paraId="6C1B9ED2"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192</w:t>
            </w:r>
          </w:p>
        </w:tc>
        <w:tc>
          <w:tcPr>
            <w:tcW w:w="0" w:type="auto"/>
          </w:tcPr>
          <w:p w14:paraId="7AA8E143"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50</w:t>
            </w:r>
          </w:p>
        </w:tc>
      </w:tr>
      <w:tr w:rsidR="008200D5" w:rsidRPr="00736E56" w14:paraId="35B803D1" w14:textId="77777777" w:rsidTr="00EF3B4C">
        <w:trPr>
          <w:cantSplit/>
          <w:jc w:val="center"/>
        </w:trPr>
        <w:tc>
          <w:tcPr>
            <w:tcW w:w="0" w:type="auto"/>
          </w:tcPr>
          <w:p w14:paraId="36DD91D5"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lastRenderedPageBreak/>
              <w:t>UMass Memorial Health Care</w:t>
            </w:r>
          </w:p>
        </w:tc>
        <w:tc>
          <w:tcPr>
            <w:tcW w:w="0" w:type="auto"/>
          </w:tcPr>
          <w:p w14:paraId="6D307B6F"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UMass Memorial Medical Center/ MEM Campus (UMass MEM)</w:t>
            </w:r>
          </w:p>
        </w:tc>
        <w:tc>
          <w:tcPr>
            <w:tcW w:w="0" w:type="auto"/>
          </w:tcPr>
          <w:p w14:paraId="77FC301B"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AMC</w:t>
            </w:r>
          </w:p>
        </w:tc>
        <w:tc>
          <w:tcPr>
            <w:tcW w:w="0" w:type="auto"/>
          </w:tcPr>
          <w:p w14:paraId="20CE737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Worcester</w:t>
            </w:r>
          </w:p>
        </w:tc>
        <w:tc>
          <w:tcPr>
            <w:tcW w:w="0" w:type="auto"/>
          </w:tcPr>
          <w:p w14:paraId="2B309F95"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Central MA</w:t>
            </w:r>
          </w:p>
        </w:tc>
        <w:tc>
          <w:tcPr>
            <w:tcW w:w="0" w:type="auto"/>
          </w:tcPr>
          <w:p w14:paraId="0366DA92"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302</w:t>
            </w:r>
          </w:p>
        </w:tc>
        <w:tc>
          <w:tcPr>
            <w:tcW w:w="0" w:type="auto"/>
          </w:tcPr>
          <w:p w14:paraId="1BDBB270"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187</w:t>
            </w:r>
          </w:p>
        </w:tc>
        <w:tc>
          <w:tcPr>
            <w:tcW w:w="0" w:type="auto"/>
          </w:tcPr>
          <w:p w14:paraId="56592A49"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9</w:t>
            </w:r>
          </w:p>
        </w:tc>
      </w:tr>
      <w:tr w:rsidR="008200D5" w:rsidRPr="00736E56" w14:paraId="7FC6FFC1" w14:textId="77777777" w:rsidTr="00EF3B4C">
        <w:trPr>
          <w:cantSplit/>
          <w:jc w:val="center"/>
        </w:trPr>
        <w:tc>
          <w:tcPr>
            <w:tcW w:w="0" w:type="auto"/>
          </w:tcPr>
          <w:p w14:paraId="6F7745D6"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UMass Memorial Health Care</w:t>
            </w:r>
          </w:p>
        </w:tc>
        <w:tc>
          <w:tcPr>
            <w:tcW w:w="0" w:type="auto"/>
          </w:tcPr>
          <w:p w14:paraId="4DBF0592"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UMass Memorial Medical Center/ Univ Campus (UMass Univ)</w:t>
            </w:r>
          </w:p>
        </w:tc>
        <w:tc>
          <w:tcPr>
            <w:tcW w:w="0" w:type="auto"/>
          </w:tcPr>
          <w:p w14:paraId="3445A25C"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AMC</w:t>
            </w:r>
          </w:p>
        </w:tc>
        <w:tc>
          <w:tcPr>
            <w:tcW w:w="0" w:type="auto"/>
          </w:tcPr>
          <w:p w14:paraId="6E72619C"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Worcester</w:t>
            </w:r>
          </w:p>
        </w:tc>
        <w:tc>
          <w:tcPr>
            <w:tcW w:w="0" w:type="auto"/>
          </w:tcPr>
          <w:p w14:paraId="351794BC"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Central MA</w:t>
            </w:r>
          </w:p>
        </w:tc>
        <w:tc>
          <w:tcPr>
            <w:tcW w:w="0" w:type="auto"/>
          </w:tcPr>
          <w:p w14:paraId="64B1BBE6"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421</w:t>
            </w:r>
          </w:p>
        </w:tc>
        <w:tc>
          <w:tcPr>
            <w:tcW w:w="0" w:type="auto"/>
          </w:tcPr>
          <w:p w14:paraId="11824AF6"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275</w:t>
            </w:r>
          </w:p>
        </w:tc>
        <w:tc>
          <w:tcPr>
            <w:tcW w:w="0" w:type="auto"/>
          </w:tcPr>
          <w:p w14:paraId="4E828221" w14:textId="77777777" w:rsidR="008200D5" w:rsidRPr="003B2CD4" w:rsidRDefault="008200D5">
            <w:pPr>
              <w:jc w:val="center"/>
              <w:rPr>
                <w:rFonts w:asciiTheme="minorHAnsi" w:hAnsiTheme="minorHAnsi"/>
                <w:sz w:val="22"/>
                <w:szCs w:val="22"/>
              </w:rPr>
            </w:pPr>
            <w:r w:rsidRPr="003B2CD4">
              <w:rPr>
                <w:rFonts w:asciiTheme="minorHAnsi" w:hAnsiTheme="minorHAnsi"/>
                <w:sz w:val="22"/>
                <w:szCs w:val="22"/>
              </w:rPr>
              <w:t>64</w:t>
            </w:r>
          </w:p>
        </w:tc>
      </w:tr>
    </w:tbl>
    <w:p w14:paraId="104E922B" w14:textId="77777777" w:rsidR="008200D5" w:rsidRPr="00813A1B" w:rsidRDefault="008200D5" w:rsidP="008200D5">
      <w:pPr>
        <w:rPr>
          <w:rFonts w:asciiTheme="minorHAnsi" w:hAnsiTheme="minorHAnsi"/>
        </w:rPr>
      </w:pPr>
    </w:p>
    <w:p w14:paraId="314A2342" w14:textId="77777777" w:rsidR="008200D5" w:rsidRPr="00813A1B" w:rsidRDefault="008200D5" w:rsidP="008200D5">
      <w:pPr>
        <w:rPr>
          <w:rFonts w:asciiTheme="minorHAnsi" w:hAnsiTheme="minorHAnsi"/>
        </w:rPr>
      </w:pPr>
      <w:r>
        <w:rPr>
          <w:rFonts w:asciiTheme="minorHAnsi" w:hAnsiTheme="minorHAnsi"/>
        </w:rPr>
        <w:t>S</w:t>
      </w:r>
      <w:r w:rsidRPr="00813A1B">
        <w:rPr>
          <w:rFonts w:asciiTheme="minorHAnsi" w:hAnsiTheme="minorHAnsi"/>
        </w:rPr>
        <w:t xml:space="preserve">taff analysis of AMC inpatient capacity </w:t>
      </w:r>
      <w:r>
        <w:rPr>
          <w:rFonts w:asciiTheme="minorHAnsi" w:hAnsiTheme="minorHAnsi"/>
        </w:rPr>
        <w:t xml:space="preserve">based on occupancy rates </w:t>
      </w:r>
      <w:r w:rsidRPr="00813A1B">
        <w:rPr>
          <w:rFonts w:asciiTheme="minorHAnsi" w:hAnsiTheme="minorHAnsi"/>
        </w:rPr>
        <w:t>was limited to licensed, staffed and occupied M/S and ICU beds</w:t>
      </w:r>
      <w:r w:rsidRPr="00D7573C">
        <w:rPr>
          <w:rFonts w:asciiTheme="minorHAnsi" w:hAnsiTheme="minorHAnsi"/>
        </w:rPr>
        <w:t xml:space="preserve"> </w:t>
      </w:r>
      <w:r>
        <w:rPr>
          <w:rFonts w:asciiTheme="minorHAnsi" w:hAnsiTheme="minorHAnsi"/>
        </w:rPr>
        <w:t>b</w:t>
      </w:r>
      <w:r w:rsidRPr="00D7573C">
        <w:rPr>
          <w:rFonts w:asciiTheme="minorHAnsi" w:hAnsiTheme="minorHAnsi"/>
        </w:rPr>
        <w:t>ecause the Proposed Project is focused on the addition of M/S and ICU beds</w:t>
      </w:r>
      <w:r w:rsidRPr="00813A1B">
        <w:rPr>
          <w:rFonts w:asciiTheme="minorHAnsi" w:hAnsiTheme="minorHAnsi"/>
        </w:rPr>
        <w:t xml:space="preserve">. To assess each AMC’s capacity for additional patients requiring inpatient cancer care, staff calculated occupancy </w:t>
      </w:r>
      <w:r w:rsidRPr="55066454">
        <w:rPr>
          <w:rFonts w:asciiTheme="minorHAnsi" w:hAnsiTheme="minorHAnsi"/>
        </w:rPr>
        <w:t>rates</w:t>
      </w:r>
      <w:r w:rsidRPr="00813A1B">
        <w:rPr>
          <w:rFonts w:asciiTheme="minorHAnsi" w:hAnsiTheme="minorHAnsi"/>
        </w:rPr>
        <w:t xml:space="preserve"> based on the monthly average licensed, staffed and occupied M/S and ICU bed counts.</w:t>
      </w:r>
      <w:r w:rsidRPr="00813A1B">
        <w:rPr>
          <w:rFonts w:asciiTheme="minorHAnsi" w:hAnsiTheme="minorHAnsi"/>
          <w:vertAlign w:val="superscript"/>
        </w:rPr>
        <w:footnoteReference w:id="62"/>
      </w:r>
      <w:r w:rsidRPr="00813A1B">
        <w:rPr>
          <w:rFonts w:asciiTheme="minorHAnsi" w:hAnsiTheme="minorHAnsi"/>
        </w:rPr>
        <w:t xml:space="preserve"> Surge beds were included.</w:t>
      </w:r>
      <w:r w:rsidRPr="00813A1B">
        <w:rPr>
          <w:rFonts w:asciiTheme="minorHAnsi" w:hAnsiTheme="minorHAnsi"/>
          <w:vertAlign w:val="superscript"/>
        </w:rPr>
        <w:footnoteReference w:id="63"/>
      </w:r>
      <w:r w:rsidRPr="00813A1B">
        <w:rPr>
          <w:rFonts w:asciiTheme="minorHAnsi" w:hAnsiTheme="minorHAnsi"/>
        </w:rPr>
        <w:t xml:space="preserve"> Staff considered hospitals above industry standard maximum occupancy rate of 85% for M/S beds and 75% for ICU beds. Staff assumed that the occupancy rate for each month is somewhere between the ratio of occupied to staffed beds, and the ratio of occupied beds to licensed beds. Staff found that of the AMCs under examination, most exceeded 85% occupancy for M/S beds and 75% occupancy for ICU beds for each of the months during the January 2022 to August 2024 time period under examination. Please see Appendix </w:t>
      </w:r>
      <w:r>
        <w:rPr>
          <w:rFonts w:asciiTheme="minorHAnsi" w:hAnsiTheme="minorHAnsi"/>
        </w:rPr>
        <w:t>II</w:t>
      </w:r>
      <w:r w:rsidRPr="00813A1B">
        <w:rPr>
          <w:rFonts w:asciiTheme="minorHAnsi" w:hAnsiTheme="minorHAnsi"/>
        </w:rPr>
        <w:t xml:space="preserve"> for average occupancy rates for each of the AMCs under consideration. </w:t>
      </w:r>
    </w:p>
    <w:p w14:paraId="04377831" w14:textId="77777777" w:rsidR="008200D5" w:rsidRPr="00EE0016" w:rsidRDefault="008200D5" w:rsidP="008200D5">
      <w:pPr>
        <w:rPr>
          <w:rFonts w:asciiTheme="minorHAnsi" w:hAnsiTheme="minorHAnsi"/>
        </w:rPr>
      </w:pPr>
    </w:p>
    <w:p w14:paraId="5F0AA1C7" w14:textId="15379D5D" w:rsidR="008200D5" w:rsidRPr="00461FAB" w:rsidRDefault="008200D5" w:rsidP="008200D5">
      <w:pPr>
        <w:rPr>
          <w:rFonts w:asciiTheme="minorHAnsi" w:hAnsiTheme="minorHAnsi"/>
          <w:bCs/>
          <w:szCs w:val="24"/>
        </w:rPr>
      </w:pPr>
      <w:r>
        <w:rPr>
          <w:rFonts w:asciiTheme="minorHAnsi" w:hAnsiTheme="minorHAnsi"/>
          <w:bCs/>
          <w:szCs w:val="24"/>
        </w:rPr>
        <w:t xml:space="preserve">The Applicant states that Dana-Farber provides access to complex and novel therapies, all of which the Applicant states require or may lead to potentially lengthy inpatient stays and are expanding in their </w:t>
      </w:r>
      <w:r w:rsidR="00F707BF">
        <w:rPr>
          <w:rFonts w:asciiTheme="minorHAnsi" w:hAnsiTheme="minorHAnsi"/>
          <w:bCs/>
          <w:szCs w:val="24"/>
        </w:rPr>
        <w:t>prevalence</w:t>
      </w:r>
      <w:r>
        <w:rPr>
          <w:rFonts w:asciiTheme="minorHAnsi" w:hAnsiTheme="minorHAnsi"/>
          <w:bCs/>
          <w:szCs w:val="24"/>
        </w:rPr>
        <w:t>. The Applicant provided the following examples of its expertise in the provision of the most complex, sophisticated, and innovative oncology care in the Commonwealth: Between 2022 and 2023, t</w:t>
      </w:r>
      <w:r w:rsidRPr="00B562E7">
        <w:rPr>
          <w:rFonts w:asciiTheme="minorHAnsi" w:hAnsiTheme="minorHAnsi"/>
          <w:bCs/>
          <w:szCs w:val="24"/>
        </w:rPr>
        <w:t>he Applicant performed more transplants than any other provider in the Commonwealth offering at least one of the two types of bone marrow transplants (allogeneic and autologous)</w:t>
      </w:r>
      <w:r>
        <w:rPr>
          <w:rFonts w:asciiTheme="minorHAnsi" w:hAnsiTheme="minorHAnsi"/>
          <w:bCs/>
          <w:szCs w:val="24"/>
        </w:rPr>
        <w:t xml:space="preserve">; the Applicant </w:t>
      </w:r>
      <w:r w:rsidRPr="00461FAB">
        <w:rPr>
          <w:rFonts w:asciiTheme="minorHAnsi" w:hAnsiTheme="minorHAnsi"/>
          <w:bCs/>
          <w:szCs w:val="24"/>
        </w:rPr>
        <w:t xml:space="preserve">performed more than 75% of all such transplants in the Commonwealth </w:t>
      </w:r>
      <w:r>
        <w:rPr>
          <w:rFonts w:asciiTheme="minorHAnsi" w:hAnsiTheme="minorHAnsi"/>
          <w:bCs/>
          <w:szCs w:val="24"/>
        </w:rPr>
        <w:t>between 2022 and 2023;</w:t>
      </w:r>
      <w:r w:rsidRPr="00461FAB">
        <w:rPr>
          <w:rFonts w:asciiTheme="minorHAnsi" w:hAnsiTheme="minorHAnsi"/>
          <w:bCs/>
          <w:szCs w:val="24"/>
        </w:rPr>
        <w:t xml:space="preserve"> and the Applicant performed more than five times the amount of the next most frequent provider</w:t>
      </w:r>
      <w:r>
        <w:rPr>
          <w:rFonts w:asciiTheme="minorHAnsi" w:hAnsiTheme="minorHAnsi"/>
          <w:bCs/>
          <w:szCs w:val="24"/>
        </w:rPr>
        <w:t>.</w:t>
      </w:r>
    </w:p>
    <w:p w14:paraId="35ED2F0D" w14:textId="77777777" w:rsidR="008200D5" w:rsidRDefault="008200D5" w:rsidP="008200D5">
      <w:pPr>
        <w:rPr>
          <w:rFonts w:asciiTheme="minorHAnsi" w:hAnsiTheme="minorHAnsi"/>
          <w:bCs/>
          <w:szCs w:val="24"/>
        </w:rPr>
      </w:pPr>
    </w:p>
    <w:p w14:paraId="6732E4CE" w14:textId="77777777" w:rsidR="008200D5" w:rsidRDefault="008200D5" w:rsidP="008200D5">
      <w:pPr>
        <w:rPr>
          <w:rFonts w:asciiTheme="minorHAnsi" w:hAnsiTheme="minorHAnsi"/>
          <w:bCs/>
          <w:szCs w:val="24"/>
        </w:rPr>
      </w:pPr>
      <w:r>
        <w:rPr>
          <w:rFonts w:asciiTheme="minorHAnsi" w:hAnsiTheme="minorHAnsi"/>
          <w:bCs/>
          <w:szCs w:val="24"/>
        </w:rPr>
        <w:t>Table 21 shows data obtained from a Directory of Transplant Centers, which was referenced by the Applicant. The table shows transplants performed from 2021 through 2023. Z</w:t>
      </w:r>
      <w:r w:rsidRPr="002B4C7A">
        <w:rPr>
          <w:rFonts w:asciiTheme="minorHAnsi" w:hAnsiTheme="minorHAnsi"/>
          <w:bCs/>
          <w:szCs w:val="24"/>
        </w:rPr>
        <w:t xml:space="preserve">eros </w:t>
      </w:r>
      <w:r>
        <w:rPr>
          <w:rFonts w:asciiTheme="minorHAnsi" w:hAnsiTheme="minorHAnsi"/>
          <w:bCs/>
          <w:szCs w:val="24"/>
        </w:rPr>
        <w:t xml:space="preserve">or blank cells </w:t>
      </w:r>
      <w:r w:rsidRPr="002B4C7A">
        <w:rPr>
          <w:rFonts w:asciiTheme="minorHAnsi" w:hAnsiTheme="minorHAnsi"/>
          <w:bCs/>
          <w:szCs w:val="24"/>
        </w:rPr>
        <w:t>mean the center has not yet provided data for that year.</w:t>
      </w:r>
    </w:p>
    <w:p w14:paraId="26809FEF" w14:textId="77777777" w:rsidR="008200D5" w:rsidRDefault="008200D5" w:rsidP="008200D5">
      <w:pPr>
        <w:rPr>
          <w:rFonts w:asciiTheme="minorHAnsi" w:hAnsiTheme="minorHAnsi"/>
          <w:bCs/>
          <w:szCs w:val="24"/>
        </w:rPr>
      </w:pPr>
    </w:p>
    <w:p w14:paraId="2F845949" w14:textId="1948F482" w:rsidR="008200D5" w:rsidRDefault="008200D5" w:rsidP="008200D5">
      <w:pPr>
        <w:rPr>
          <w:rFonts w:asciiTheme="minorHAnsi" w:hAnsiTheme="minorHAnsi"/>
          <w:b/>
          <w:szCs w:val="24"/>
          <w:u w:val="single"/>
        </w:rPr>
      </w:pPr>
      <w:r w:rsidRPr="00FC2831">
        <w:rPr>
          <w:rFonts w:asciiTheme="minorHAnsi" w:hAnsiTheme="minorHAnsi"/>
          <w:b/>
          <w:szCs w:val="24"/>
          <w:u w:val="single"/>
        </w:rPr>
        <w:t xml:space="preserve">Table </w:t>
      </w:r>
      <w:r>
        <w:rPr>
          <w:rFonts w:asciiTheme="minorHAnsi" w:hAnsiTheme="minorHAnsi"/>
          <w:b/>
          <w:szCs w:val="24"/>
          <w:u w:val="single"/>
        </w:rPr>
        <w:t>21</w:t>
      </w:r>
      <w:r w:rsidRPr="00FC2831">
        <w:rPr>
          <w:rFonts w:asciiTheme="minorHAnsi" w:hAnsiTheme="minorHAnsi"/>
          <w:b/>
          <w:szCs w:val="24"/>
          <w:u w:val="single"/>
        </w:rPr>
        <w:t>:</w:t>
      </w:r>
      <w:r>
        <w:rPr>
          <w:rFonts w:asciiTheme="minorHAnsi" w:hAnsiTheme="minorHAnsi"/>
          <w:b/>
          <w:szCs w:val="24"/>
          <w:u w:val="single"/>
        </w:rPr>
        <w:t xml:space="preserve"> Transplant Centers, Massachusetts</w:t>
      </w:r>
      <w:r w:rsidRPr="004C567A">
        <w:rPr>
          <w:rStyle w:val="EndnoteReference"/>
          <w:rFonts w:asciiTheme="minorHAnsi" w:hAnsiTheme="minorHAnsi"/>
          <w:b/>
          <w:szCs w:val="24"/>
        </w:rPr>
        <w:endnoteReference w:id="37"/>
      </w:r>
    </w:p>
    <w:tbl>
      <w:tblPr>
        <w:tblStyle w:val="TableGrid"/>
        <w:tblW w:w="0" w:type="auto"/>
        <w:tblLook w:val="04A0" w:firstRow="1" w:lastRow="0" w:firstColumn="1" w:lastColumn="0" w:noHBand="0" w:noVBand="1"/>
      </w:tblPr>
      <w:tblGrid>
        <w:gridCol w:w="3095"/>
        <w:gridCol w:w="1565"/>
        <w:gridCol w:w="1780"/>
        <w:gridCol w:w="1685"/>
        <w:gridCol w:w="1685"/>
      </w:tblGrid>
      <w:tr w:rsidR="005A729C" w:rsidRPr="00272E82" w14:paraId="22EC681F" w14:textId="77777777" w:rsidTr="00540A89">
        <w:trPr>
          <w:cantSplit/>
          <w:tblHeader/>
        </w:trPr>
        <w:tc>
          <w:tcPr>
            <w:tcW w:w="0" w:type="auto"/>
          </w:tcPr>
          <w:p w14:paraId="0362079C" w14:textId="77777777" w:rsidR="005A729C" w:rsidRPr="00272E82" w:rsidRDefault="005A729C">
            <w:pPr>
              <w:rPr>
                <w:rFonts w:asciiTheme="minorHAnsi" w:hAnsiTheme="minorHAnsi"/>
                <w:bCs/>
                <w:szCs w:val="24"/>
              </w:rPr>
            </w:pPr>
          </w:p>
        </w:tc>
        <w:tc>
          <w:tcPr>
            <w:tcW w:w="0" w:type="auto"/>
            <w:shd w:val="clear" w:color="auto" w:fill="DBE5F1" w:themeFill="accent1" w:themeFillTint="33"/>
          </w:tcPr>
          <w:p w14:paraId="62CAA717" w14:textId="77777777" w:rsidR="005A729C" w:rsidRPr="005E1949" w:rsidRDefault="005A729C">
            <w:pPr>
              <w:jc w:val="center"/>
              <w:rPr>
                <w:rFonts w:asciiTheme="minorHAnsi" w:hAnsiTheme="minorHAnsi"/>
                <w:b/>
                <w:szCs w:val="24"/>
              </w:rPr>
            </w:pPr>
            <w:r w:rsidRPr="005E1949">
              <w:rPr>
                <w:rFonts w:asciiTheme="minorHAnsi" w:hAnsiTheme="minorHAnsi"/>
                <w:b/>
                <w:szCs w:val="24"/>
              </w:rPr>
              <w:t>Transplant Program</w:t>
            </w:r>
          </w:p>
        </w:tc>
        <w:tc>
          <w:tcPr>
            <w:tcW w:w="0" w:type="auto"/>
            <w:shd w:val="clear" w:color="auto" w:fill="DBE5F1" w:themeFill="accent1" w:themeFillTint="33"/>
          </w:tcPr>
          <w:p w14:paraId="45305BE8" w14:textId="77777777" w:rsidR="005A729C" w:rsidRPr="005E1949" w:rsidRDefault="005A729C">
            <w:pPr>
              <w:jc w:val="center"/>
              <w:rPr>
                <w:rFonts w:asciiTheme="minorHAnsi" w:hAnsiTheme="minorHAnsi"/>
                <w:b/>
                <w:szCs w:val="24"/>
              </w:rPr>
            </w:pPr>
            <w:r w:rsidRPr="005E1949">
              <w:rPr>
                <w:rFonts w:asciiTheme="minorHAnsi" w:hAnsiTheme="minorHAnsi"/>
                <w:b/>
                <w:szCs w:val="24"/>
              </w:rPr>
              <w:t>Transplants Performed</w:t>
            </w:r>
            <w:r w:rsidRPr="005E1949">
              <w:rPr>
                <w:rStyle w:val="FootnoteReference"/>
                <w:rFonts w:asciiTheme="minorHAnsi" w:hAnsiTheme="minorHAnsi"/>
                <w:b/>
                <w:szCs w:val="24"/>
              </w:rPr>
              <w:footnoteReference w:id="64"/>
            </w:r>
          </w:p>
        </w:tc>
        <w:tc>
          <w:tcPr>
            <w:tcW w:w="0" w:type="auto"/>
            <w:shd w:val="clear" w:color="auto" w:fill="DBE5F1" w:themeFill="accent1" w:themeFillTint="33"/>
          </w:tcPr>
          <w:p w14:paraId="6B42AA56" w14:textId="0000499C" w:rsidR="005A729C" w:rsidRPr="005E1949" w:rsidRDefault="00540A89">
            <w:pPr>
              <w:jc w:val="center"/>
              <w:rPr>
                <w:rFonts w:asciiTheme="minorHAnsi" w:hAnsiTheme="minorHAnsi"/>
                <w:b/>
                <w:szCs w:val="24"/>
              </w:rPr>
            </w:pPr>
            <w:r w:rsidRPr="005E1949">
              <w:rPr>
                <w:rFonts w:asciiTheme="minorHAnsi" w:hAnsiTheme="minorHAnsi"/>
                <w:b/>
                <w:szCs w:val="24"/>
              </w:rPr>
              <w:t>Transplants Performed</w:t>
            </w:r>
          </w:p>
        </w:tc>
        <w:tc>
          <w:tcPr>
            <w:tcW w:w="0" w:type="auto"/>
            <w:shd w:val="clear" w:color="auto" w:fill="DBE5F1" w:themeFill="accent1" w:themeFillTint="33"/>
          </w:tcPr>
          <w:p w14:paraId="1378F8C5" w14:textId="26148BD0" w:rsidR="005A729C" w:rsidRPr="005E1949" w:rsidRDefault="00540A89">
            <w:pPr>
              <w:jc w:val="center"/>
              <w:rPr>
                <w:rFonts w:asciiTheme="minorHAnsi" w:hAnsiTheme="minorHAnsi"/>
                <w:b/>
                <w:szCs w:val="24"/>
              </w:rPr>
            </w:pPr>
            <w:r w:rsidRPr="005E1949">
              <w:rPr>
                <w:rFonts w:asciiTheme="minorHAnsi" w:hAnsiTheme="minorHAnsi"/>
                <w:b/>
                <w:szCs w:val="24"/>
              </w:rPr>
              <w:t>Transplants Performed</w:t>
            </w:r>
          </w:p>
        </w:tc>
      </w:tr>
      <w:tr w:rsidR="008200D5" w:rsidRPr="00272E82" w14:paraId="0A70F1C4" w14:textId="77777777" w:rsidTr="00540A89">
        <w:trPr>
          <w:cantSplit/>
          <w:tblHeader/>
        </w:trPr>
        <w:tc>
          <w:tcPr>
            <w:tcW w:w="0" w:type="auto"/>
            <w:shd w:val="clear" w:color="auto" w:fill="F2F2F2" w:themeFill="background1" w:themeFillShade="F2"/>
          </w:tcPr>
          <w:p w14:paraId="62633CD5" w14:textId="77777777" w:rsidR="008200D5" w:rsidRPr="00272E82" w:rsidRDefault="008200D5">
            <w:pPr>
              <w:rPr>
                <w:rFonts w:asciiTheme="minorHAnsi" w:hAnsiTheme="minorHAnsi"/>
                <w:b/>
                <w:szCs w:val="24"/>
              </w:rPr>
            </w:pPr>
            <w:r w:rsidRPr="00272E82">
              <w:rPr>
                <w:rFonts w:asciiTheme="minorHAnsi" w:hAnsiTheme="minorHAnsi"/>
                <w:b/>
                <w:szCs w:val="24"/>
              </w:rPr>
              <w:t xml:space="preserve">Center </w:t>
            </w:r>
          </w:p>
        </w:tc>
        <w:tc>
          <w:tcPr>
            <w:tcW w:w="0" w:type="auto"/>
            <w:shd w:val="clear" w:color="auto" w:fill="F2F2F2" w:themeFill="background1" w:themeFillShade="F2"/>
          </w:tcPr>
          <w:p w14:paraId="1421B3D6" w14:textId="77777777" w:rsidR="008200D5" w:rsidRPr="005E1949" w:rsidRDefault="008200D5">
            <w:pPr>
              <w:jc w:val="center"/>
              <w:rPr>
                <w:rFonts w:asciiTheme="minorHAnsi" w:hAnsiTheme="minorHAnsi"/>
                <w:b/>
                <w:szCs w:val="24"/>
              </w:rPr>
            </w:pPr>
            <w:r w:rsidRPr="005E1949">
              <w:rPr>
                <w:rFonts w:asciiTheme="minorHAnsi" w:hAnsiTheme="minorHAnsi"/>
                <w:b/>
                <w:szCs w:val="24"/>
              </w:rPr>
              <w:t>Type</w:t>
            </w:r>
          </w:p>
        </w:tc>
        <w:tc>
          <w:tcPr>
            <w:tcW w:w="0" w:type="auto"/>
            <w:shd w:val="clear" w:color="auto" w:fill="F2F2F2" w:themeFill="background1" w:themeFillShade="F2"/>
          </w:tcPr>
          <w:p w14:paraId="6BFCE744" w14:textId="77777777" w:rsidR="008200D5" w:rsidRPr="005E1949" w:rsidRDefault="008200D5">
            <w:pPr>
              <w:jc w:val="center"/>
              <w:rPr>
                <w:rFonts w:asciiTheme="minorHAnsi" w:hAnsiTheme="minorHAnsi"/>
                <w:b/>
                <w:szCs w:val="24"/>
              </w:rPr>
            </w:pPr>
            <w:r w:rsidRPr="005E1949">
              <w:rPr>
                <w:rFonts w:asciiTheme="minorHAnsi" w:hAnsiTheme="minorHAnsi"/>
                <w:b/>
                <w:szCs w:val="24"/>
              </w:rPr>
              <w:t>2021</w:t>
            </w:r>
          </w:p>
        </w:tc>
        <w:tc>
          <w:tcPr>
            <w:tcW w:w="0" w:type="auto"/>
            <w:shd w:val="clear" w:color="auto" w:fill="F2F2F2" w:themeFill="background1" w:themeFillShade="F2"/>
          </w:tcPr>
          <w:p w14:paraId="60410354" w14:textId="77777777" w:rsidR="008200D5" w:rsidRPr="005E1949" w:rsidRDefault="008200D5">
            <w:pPr>
              <w:jc w:val="center"/>
              <w:rPr>
                <w:rFonts w:asciiTheme="minorHAnsi" w:hAnsiTheme="minorHAnsi"/>
                <w:b/>
                <w:szCs w:val="24"/>
              </w:rPr>
            </w:pPr>
            <w:r w:rsidRPr="005E1949">
              <w:rPr>
                <w:rFonts w:asciiTheme="minorHAnsi" w:hAnsiTheme="minorHAnsi"/>
                <w:b/>
                <w:szCs w:val="24"/>
              </w:rPr>
              <w:t>2022</w:t>
            </w:r>
          </w:p>
        </w:tc>
        <w:tc>
          <w:tcPr>
            <w:tcW w:w="0" w:type="auto"/>
            <w:shd w:val="clear" w:color="auto" w:fill="F2F2F2" w:themeFill="background1" w:themeFillShade="F2"/>
          </w:tcPr>
          <w:p w14:paraId="39298F73" w14:textId="77777777" w:rsidR="008200D5" w:rsidRPr="005E1949" w:rsidRDefault="008200D5">
            <w:pPr>
              <w:jc w:val="center"/>
              <w:rPr>
                <w:rFonts w:asciiTheme="minorHAnsi" w:hAnsiTheme="minorHAnsi"/>
                <w:b/>
                <w:szCs w:val="24"/>
              </w:rPr>
            </w:pPr>
            <w:r w:rsidRPr="005E1949">
              <w:rPr>
                <w:rFonts w:asciiTheme="minorHAnsi" w:hAnsiTheme="minorHAnsi"/>
                <w:b/>
                <w:szCs w:val="24"/>
              </w:rPr>
              <w:t>2023</w:t>
            </w:r>
          </w:p>
        </w:tc>
      </w:tr>
      <w:tr w:rsidR="008200D5" w:rsidRPr="00272E82" w14:paraId="615C8DA2" w14:textId="77777777" w:rsidTr="00540A89">
        <w:trPr>
          <w:cantSplit/>
        </w:trPr>
        <w:tc>
          <w:tcPr>
            <w:tcW w:w="0" w:type="auto"/>
          </w:tcPr>
          <w:p w14:paraId="29F7AE84" w14:textId="53E5501B" w:rsidR="008200D5" w:rsidRPr="00912946" w:rsidRDefault="008200D5">
            <w:pPr>
              <w:rPr>
                <w:rFonts w:asciiTheme="minorHAnsi" w:hAnsiTheme="minorHAnsi"/>
                <w:bCs/>
                <w:szCs w:val="24"/>
              </w:rPr>
            </w:pPr>
            <w:r w:rsidRPr="00912946">
              <w:rPr>
                <w:rFonts w:asciiTheme="minorHAnsi" w:hAnsiTheme="minorHAnsi"/>
                <w:bCs/>
                <w:szCs w:val="24"/>
              </w:rPr>
              <w:t>Dana-Farber</w:t>
            </w:r>
            <w:r w:rsidR="00431053">
              <w:rPr>
                <w:rFonts w:asciiTheme="minorHAnsi" w:hAnsiTheme="minorHAnsi"/>
                <w:bCs/>
                <w:szCs w:val="24"/>
              </w:rPr>
              <w:t xml:space="preserve"> Cancer Institute</w:t>
            </w:r>
            <w:r w:rsidRPr="00912946">
              <w:rPr>
                <w:rFonts w:asciiTheme="minorHAnsi" w:hAnsiTheme="minorHAnsi"/>
                <w:bCs/>
                <w:szCs w:val="24"/>
              </w:rPr>
              <w:t xml:space="preserve">/Brigham &amp; Women's </w:t>
            </w:r>
            <w:r w:rsidR="00431053">
              <w:rPr>
                <w:rFonts w:asciiTheme="minorHAnsi" w:hAnsiTheme="minorHAnsi"/>
                <w:bCs/>
                <w:szCs w:val="24"/>
              </w:rPr>
              <w:t>Hospital</w:t>
            </w:r>
            <w:r w:rsidR="00195A7E">
              <w:rPr>
                <w:rStyle w:val="FootnoteReference"/>
                <w:rFonts w:asciiTheme="minorHAnsi" w:hAnsiTheme="minorHAnsi"/>
                <w:bCs/>
                <w:szCs w:val="24"/>
              </w:rPr>
              <w:footnoteReference w:id="65"/>
            </w:r>
          </w:p>
          <w:p w14:paraId="1DEECE47" w14:textId="77777777" w:rsidR="008200D5" w:rsidRPr="00272E82" w:rsidRDefault="008200D5">
            <w:pPr>
              <w:rPr>
                <w:rFonts w:asciiTheme="minorHAnsi" w:hAnsiTheme="minorHAnsi"/>
                <w:bCs/>
                <w:szCs w:val="24"/>
              </w:rPr>
            </w:pPr>
          </w:p>
        </w:tc>
        <w:tc>
          <w:tcPr>
            <w:tcW w:w="0" w:type="auto"/>
          </w:tcPr>
          <w:p w14:paraId="6D6C48D7"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Autologous</w:t>
            </w:r>
          </w:p>
          <w:p w14:paraId="6E335225"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Allogeneic</w:t>
            </w:r>
          </w:p>
        </w:tc>
        <w:tc>
          <w:tcPr>
            <w:tcW w:w="0" w:type="auto"/>
          </w:tcPr>
          <w:p w14:paraId="41E340F7"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193</w:t>
            </w:r>
          </w:p>
          <w:p w14:paraId="46401062"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265</w:t>
            </w:r>
          </w:p>
        </w:tc>
        <w:tc>
          <w:tcPr>
            <w:tcW w:w="0" w:type="auto"/>
          </w:tcPr>
          <w:p w14:paraId="22C15279"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190</w:t>
            </w:r>
          </w:p>
          <w:p w14:paraId="6D85C1BF"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281</w:t>
            </w:r>
          </w:p>
        </w:tc>
        <w:tc>
          <w:tcPr>
            <w:tcW w:w="0" w:type="auto"/>
          </w:tcPr>
          <w:p w14:paraId="3F66BBC4"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159</w:t>
            </w:r>
          </w:p>
          <w:p w14:paraId="633E1FF3"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281</w:t>
            </w:r>
          </w:p>
        </w:tc>
      </w:tr>
      <w:tr w:rsidR="008200D5" w:rsidRPr="00272E82" w14:paraId="5840B2B1" w14:textId="77777777" w:rsidTr="00540A89">
        <w:trPr>
          <w:cantSplit/>
        </w:trPr>
        <w:tc>
          <w:tcPr>
            <w:tcW w:w="0" w:type="auto"/>
          </w:tcPr>
          <w:p w14:paraId="36B27052" w14:textId="77777777" w:rsidR="008200D5" w:rsidRPr="00912946" w:rsidRDefault="008200D5">
            <w:pPr>
              <w:rPr>
                <w:rFonts w:asciiTheme="minorHAnsi" w:hAnsiTheme="minorHAnsi"/>
                <w:bCs/>
                <w:szCs w:val="24"/>
              </w:rPr>
            </w:pPr>
            <w:r w:rsidRPr="00912946">
              <w:rPr>
                <w:rFonts w:asciiTheme="minorHAnsi" w:hAnsiTheme="minorHAnsi"/>
                <w:bCs/>
                <w:szCs w:val="24"/>
              </w:rPr>
              <w:t>Massachusetts General Hospital</w:t>
            </w:r>
          </w:p>
          <w:p w14:paraId="768BC5EA" w14:textId="092CD667" w:rsidR="008200D5" w:rsidRPr="00272E82" w:rsidRDefault="008200D5">
            <w:pPr>
              <w:rPr>
                <w:rFonts w:asciiTheme="minorHAnsi" w:hAnsiTheme="minorHAnsi"/>
                <w:bCs/>
                <w:szCs w:val="24"/>
              </w:rPr>
            </w:pPr>
            <w:r w:rsidRPr="00912946">
              <w:rPr>
                <w:rFonts w:asciiTheme="minorHAnsi" w:hAnsiTheme="minorHAnsi"/>
                <w:bCs/>
                <w:szCs w:val="24"/>
              </w:rPr>
              <w:t>Bone Marrow Transplant Unit</w:t>
            </w:r>
            <w:r w:rsidR="009022CF">
              <w:rPr>
                <w:rStyle w:val="FootnoteReference"/>
                <w:rFonts w:asciiTheme="minorHAnsi" w:hAnsiTheme="minorHAnsi"/>
                <w:bCs/>
                <w:szCs w:val="24"/>
              </w:rPr>
              <w:footnoteReference w:id="66"/>
            </w:r>
          </w:p>
        </w:tc>
        <w:tc>
          <w:tcPr>
            <w:tcW w:w="0" w:type="auto"/>
          </w:tcPr>
          <w:p w14:paraId="6B3490D3"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Autologous</w:t>
            </w:r>
          </w:p>
          <w:p w14:paraId="5AA4E15E"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Allogeneic</w:t>
            </w:r>
          </w:p>
        </w:tc>
        <w:tc>
          <w:tcPr>
            <w:tcW w:w="0" w:type="auto"/>
          </w:tcPr>
          <w:p w14:paraId="0266B097"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62</w:t>
            </w:r>
          </w:p>
          <w:p w14:paraId="38913160"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99</w:t>
            </w:r>
          </w:p>
        </w:tc>
        <w:tc>
          <w:tcPr>
            <w:tcW w:w="0" w:type="auto"/>
          </w:tcPr>
          <w:p w14:paraId="35200346"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56</w:t>
            </w:r>
          </w:p>
          <w:p w14:paraId="282A6547"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107</w:t>
            </w:r>
          </w:p>
        </w:tc>
        <w:tc>
          <w:tcPr>
            <w:tcW w:w="0" w:type="auto"/>
          </w:tcPr>
          <w:p w14:paraId="7D7C2E41"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w:t>
            </w:r>
          </w:p>
          <w:p w14:paraId="20076F2C"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w:t>
            </w:r>
          </w:p>
        </w:tc>
      </w:tr>
      <w:tr w:rsidR="008200D5" w:rsidRPr="00272E82" w14:paraId="0A52FEAE" w14:textId="77777777" w:rsidTr="00540A89">
        <w:trPr>
          <w:cantSplit/>
        </w:trPr>
        <w:tc>
          <w:tcPr>
            <w:tcW w:w="0" w:type="auto"/>
          </w:tcPr>
          <w:p w14:paraId="4514039F" w14:textId="734F00B5" w:rsidR="008200D5" w:rsidRPr="00272E82" w:rsidRDefault="008200D5">
            <w:pPr>
              <w:rPr>
                <w:rFonts w:asciiTheme="minorHAnsi" w:hAnsiTheme="minorHAnsi"/>
                <w:bCs/>
                <w:szCs w:val="24"/>
              </w:rPr>
            </w:pPr>
            <w:r w:rsidRPr="00272E82">
              <w:rPr>
                <w:rFonts w:asciiTheme="minorHAnsi" w:hAnsiTheme="minorHAnsi"/>
                <w:bCs/>
                <w:szCs w:val="24"/>
              </w:rPr>
              <w:t>Beth Israel Deaconess Medical Center</w:t>
            </w:r>
            <w:r w:rsidR="0058263F">
              <w:rPr>
                <w:rStyle w:val="FootnoteReference"/>
                <w:rFonts w:asciiTheme="minorHAnsi" w:hAnsiTheme="minorHAnsi"/>
                <w:bCs/>
                <w:szCs w:val="24"/>
              </w:rPr>
              <w:footnoteReference w:id="67"/>
            </w:r>
          </w:p>
        </w:tc>
        <w:tc>
          <w:tcPr>
            <w:tcW w:w="0" w:type="auto"/>
          </w:tcPr>
          <w:p w14:paraId="2BDBC401"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Autologous</w:t>
            </w:r>
          </w:p>
          <w:p w14:paraId="28FB1AA7"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Allogeneic</w:t>
            </w:r>
          </w:p>
        </w:tc>
        <w:tc>
          <w:tcPr>
            <w:tcW w:w="0" w:type="auto"/>
          </w:tcPr>
          <w:p w14:paraId="443A4CAA"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21</w:t>
            </w:r>
          </w:p>
          <w:p w14:paraId="0B9BE0FD"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30</w:t>
            </w:r>
          </w:p>
        </w:tc>
        <w:tc>
          <w:tcPr>
            <w:tcW w:w="0" w:type="auto"/>
          </w:tcPr>
          <w:p w14:paraId="76130B78"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27</w:t>
            </w:r>
          </w:p>
          <w:p w14:paraId="53ABF853"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23</w:t>
            </w:r>
          </w:p>
        </w:tc>
        <w:tc>
          <w:tcPr>
            <w:tcW w:w="0" w:type="auto"/>
          </w:tcPr>
          <w:p w14:paraId="07625A34"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w:t>
            </w:r>
          </w:p>
          <w:p w14:paraId="632B2C65"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w:t>
            </w:r>
          </w:p>
        </w:tc>
      </w:tr>
      <w:tr w:rsidR="008200D5" w:rsidRPr="00272E82" w14:paraId="38859D9F" w14:textId="77777777" w:rsidTr="00540A89">
        <w:trPr>
          <w:cantSplit/>
        </w:trPr>
        <w:tc>
          <w:tcPr>
            <w:tcW w:w="0" w:type="auto"/>
          </w:tcPr>
          <w:p w14:paraId="2D01007A" w14:textId="546C684C" w:rsidR="008200D5" w:rsidRPr="00272E82" w:rsidRDefault="008200D5">
            <w:pPr>
              <w:rPr>
                <w:rFonts w:asciiTheme="minorHAnsi" w:hAnsiTheme="minorHAnsi"/>
                <w:bCs/>
                <w:szCs w:val="24"/>
              </w:rPr>
            </w:pPr>
            <w:r w:rsidRPr="00912946">
              <w:rPr>
                <w:rFonts w:asciiTheme="minorHAnsi" w:hAnsiTheme="minorHAnsi"/>
                <w:bCs/>
                <w:szCs w:val="24"/>
              </w:rPr>
              <w:t>UMass Memorial Medical Center</w:t>
            </w:r>
            <w:r w:rsidR="00C5108C">
              <w:rPr>
                <w:rStyle w:val="FootnoteReference"/>
                <w:rFonts w:asciiTheme="minorHAnsi" w:hAnsiTheme="minorHAnsi"/>
                <w:bCs/>
                <w:szCs w:val="24"/>
              </w:rPr>
              <w:footnoteReference w:id="68"/>
            </w:r>
          </w:p>
        </w:tc>
        <w:tc>
          <w:tcPr>
            <w:tcW w:w="0" w:type="auto"/>
          </w:tcPr>
          <w:p w14:paraId="1A7C02B1"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Autologous</w:t>
            </w:r>
          </w:p>
          <w:p w14:paraId="228006E3"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Allogeneic</w:t>
            </w:r>
          </w:p>
        </w:tc>
        <w:tc>
          <w:tcPr>
            <w:tcW w:w="0" w:type="auto"/>
          </w:tcPr>
          <w:p w14:paraId="2494E9FD"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27</w:t>
            </w:r>
          </w:p>
          <w:p w14:paraId="7FE1593C"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24</w:t>
            </w:r>
          </w:p>
        </w:tc>
        <w:tc>
          <w:tcPr>
            <w:tcW w:w="0" w:type="auto"/>
          </w:tcPr>
          <w:p w14:paraId="03295A32"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22</w:t>
            </w:r>
          </w:p>
          <w:p w14:paraId="6475EC54"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11</w:t>
            </w:r>
          </w:p>
        </w:tc>
        <w:tc>
          <w:tcPr>
            <w:tcW w:w="0" w:type="auto"/>
          </w:tcPr>
          <w:p w14:paraId="1AF84D41"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28</w:t>
            </w:r>
          </w:p>
          <w:p w14:paraId="42B86EF6"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15</w:t>
            </w:r>
          </w:p>
        </w:tc>
      </w:tr>
      <w:tr w:rsidR="008200D5" w:rsidRPr="00272E82" w14:paraId="1AB00039" w14:textId="77777777" w:rsidTr="00540A89">
        <w:trPr>
          <w:cantSplit/>
        </w:trPr>
        <w:tc>
          <w:tcPr>
            <w:tcW w:w="0" w:type="auto"/>
          </w:tcPr>
          <w:p w14:paraId="78FCB6D3" w14:textId="747D83B7" w:rsidR="008200D5" w:rsidRPr="00272E82" w:rsidRDefault="008200D5">
            <w:pPr>
              <w:rPr>
                <w:rFonts w:asciiTheme="minorHAnsi" w:hAnsiTheme="minorHAnsi"/>
                <w:bCs/>
                <w:szCs w:val="24"/>
              </w:rPr>
            </w:pPr>
            <w:r w:rsidRPr="00912946">
              <w:rPr>
                <w:rFonts w:asciiTheme="minorHAnsi" w:hAnsiTheme="minorHAnsi"/>
                <w:bCs/>
                <w:szCs w:val="24"/>
              </w:rPr>
              <w:t>Tufts Medical Center</w:t>
            </w:r>
            <w:r w:rsidR="00235F94">
              <w:rPr>
                <w:rStyle w:val="FootnoteReference"/>
                <w:rFonts w:asciiTheme="minorHAnsi" w:hAnsiTheme="minorHAnsi"/>
                <w:bCs/>
                <w:szCs w:val="24"/>
              </w:rPr>
              <w:footnoteReference w:id="69"/>
            </w:r>
          </w:p>
        </w:tc>
        <w:tc>
          <w:tcPr>
            <w:tcW w:w="0" w:type="auto"/>
          </w:tcPr>
          <w:p w14:paraId="11FEA33B"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Autologous</w:t>
            </w:r>
          </w:p>
          <w:p w14:paraId="70C8DB88"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Allogeneic</w:t>
            </w:r>
          </w:p>
        </w:tc>
        <w:tc>
          <w:tcPr>
            <w:tcW w:w="0" w:type="auto"/>
          </w:tcPr>
          <w:p w14:paraId="649AED16"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22</w:t>
            </w:r>
          </w:p>
          <w:p w14:paraId="2686486D"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8</w:t>
            </w:r>
          </w:p>
        </w:tc>
        <w:tc>
          <w:tcPr>
            <w:tcW w:w="0" w:type="auto"/>
          </w:tcPr>
          <w:p w14:paraId="08953280"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21</w:t>
            </w:r>
          </w:p>
          <w:p w14:paraId="5EBF151E"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8</w:t>
            </w:r>
          </w:p>
        </w:tc>
        <w:tc>
          <w:tcPr>
            <w:tcW w:w="0" w:type="auto"/>
          </w:tcPr>
          <w:p w14:paraId="6399F7B6"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w:t>
            </w:r>
          </w:p>
          <w:p w14:paraId="24C0FCD3"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w:t>
            </w:r>
          </w:p>
        </w:tc>
      </w:tr>
      <w:tr w:rsidR="008200D5" w:rsidRPr="00272E82" w14:paraId="0EC779A4" w14:textId="77777777" w:rsidTr="00540A89">
        <w:trPr>
          <w:cantSplit/>
        </w:trPr>
        <w:tc>
          <w:tcPr>
            <w:tcW w:w="0" w:type="auto"/>
          </w:tcPr>
          <w:p w14:paraId="6D054ED0" w14:textId="0EFD7266" w:rsidR="008200D5" w:rsidRPr="00272E82" w:rsidRDefault="008200D5">
            <w:pPr>
              <w:rPr>
                <w:rFonts w:asciiTheme="minorHAnsi" w:hAnsiTheme="minorHAnsi"/>
                <w:bCs/>
                <w:szCs w:val="24"/>
              </w:rPr>
            </w:pPr>
            <w:r w:rsidRPr="00272E82">
              <w:rPr>
                <w:rFonts w:asciiTheme="minorHAnsi" w:hAnsiTheme="minorHAnsi"/>
                <w:bCs/>
                <w:szCs w:val="24"/>
              </w:rPr>
              <w:t>Boston Medical Center</w:t>
            </w:r>
            <w:r w:rsidR="00EB2CBA">
              <w:rPr>
                <w:rStyle w:val="FootnoteReference"/>
                <w:rFonts w:asciiTheme="minorHAnsi" w:hAnsiTheme="minorHAnsi"/>
                <w:bCs/>
                <w:szCs w:val="24"/>
              </w:rPr>
              <w:footnoteReference w:id="70"/>
            </w:r>
          </w:p>
        </w:tc>
        <w:tc>
          <w:tcPr>
            <w:tcW w:w="0" w:type="auto"/>
          </w:tcPr>
          <w:p w14:paraId="7FAD8608"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Autologous</w:t>
            </w:r>
          </w:p>
        </w:tc>
        <w:tc>
          <w:tcPr>
            <w:tcW w:w="0" w:type="auto"/>
          </w:tcPr>
          <w:p w14:paraId="3EFBE681"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10</w:t>
            </w:r>
          </w:p>
        </w:tc>
        <w:tc>
          <w:tcPr>
            <w:tcW w:w="0" w:type="auto"/>
          </w:tcPr>
          <w:p w14:paraId="60C6B79B"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17</w:t>
            </w:r>
          </w:p>
        </w:tc>
        <w:tc>
          <w:tcPr>
            <w:tcW w:w="0" w:type="auto"/>
          </w:tcPr>
          <w:p w14:paraId="427E9FDB"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10</w:t>
            </w:r>
          </w:p>
        </w:tc>
      </w:tr>
      <w:tr w:rsidR="008200D5" w:rsidRPr="00272E82" w14:paraId="6826475F" w14:textId="77777777" w:rsidTr="00540A89">
        <w:trPr>
          <w:cantSplit/>
        </w:trPr>
        <w:tc>
          <w:tcPr>
            <w:tcW w:w="0" w:type="auto"/>
          </w:tcPr>
          <w:p w14:paraId="15923D55" w14:textId="6AF89A49" w:rsidR="008200D5" w:rsidRPr="00272E82" w:rsidRDefault="008200D5">
            <w:pPr>
              <w:rPr>
                <w:rFonts w:asciiTheme="minorHAnsi" w:hAnsiTheme="minorHAnsi"/>
                <w:bCs/>
                <w:szCs w:val="24"/>
              </w:rPr>
            </w:pPr>
            <w:r w:rsidRPr="00272E82">
              <w:rPr>
                <w:rFonts w:asciiTheme="minorHAnsi" w:hAnsiTheme="minorHAnsi"/>
                <w:bCs/>
                <w:szCs w:val="24"/>
              </w:rPr>
              <w:t>Lahey Hospital &amp; Medical Center</w:t>
            </w:r>
            <w:r w:rsidR="00601F2B">
              <w:rPr>
                <w:rStyle w:val="FootnoteReference"/>
                <w:rFonts w:asciiTheme="minorHAnsi" w:hAnsiTheme="minorHAnsi"/>
                <w:bCs/>
                <w:szCs w:val="24"/>
              </w:rPr>
              <w:footnoteReference w:id="71"/>
            </w:r>
          </w:p>
        </w:tc>
        <w:tc>
          <w:tcPr>
            <w:tcW w:w="0" w:type="auto"/>
          </w:tcPr>
          <w:p w14:paraId="26479490"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Autologous</w:t>
            </w:r>
          </w:p>
        </w:tc>
        <w:tc>
          <w:tcPr>
            <w:tcW w:w="0" w:type="auto"/>
          </w:tcPr>
          <w:p w14:paraId="231B1202"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13</w:t>
            </w:r>
          </w:p>
        </w:tc>
        <w:tc>
          <w:tcPr>
            <w:tcW w:w="0" w:type="auto"/>
          </w:tcPr>
          <w:p w14:paraId="608EAB52"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10</w:t>
            </w:r>
          </w:p>
        </w:tc>
        <w:tc>
          <w:tcPr>
            <w:tcW w:w="0" w:type="auto"/>
          </w:tcPr>
          <w:p w14:paraId="5C4F4566" w14:textId="77777777" w:rsidR="008200D5" w:rsidRPr="005E1949" w:rsidRDefault="008200D5">
            <w:pPr>
              <w:jc w:val="center"/>
              <w:rPr>
                <w:rFonts w:asciiTheme="minorHAnsi" w:hAnsiTheme="minorHAnsi"/>
                <w:bCs/>
                <w:szCs w:val="24"/>
              </w:rPr>
            </w:pPr>
            <w:r w:rsidRPr="005E1949">
              <w:rPr>
                <w:rFonts w:asciiTheme="minorHAnsi" w:hAnsiTheme="minorHAnsi"/>
                <w:bCs/>
                <w:szCs w:val="24"/>
              </w:rPr>
              <w:t>-</w:t>
            </w:r>
          </w:p>
        </w:tc>
      </w:tr>
    </w:tbl>
    <w:p w14:paraId="1F8D083E" w14:textId="77777777" w:rsidR="008200D5" w:rsidRDefault="008200D5" w:rsidP="008200D5">
      <w:pPr>
        <w:rPr>
          <w:rFonts w:asciiTheme="minorHAnsi" w:hAnsiTheme="minorHAnsi"/>
          <w:b/>
          <w:szCs w:val="24"/>
          <w:u w:val="single"/>
        </w:rPr>
      </w:pPr>
    </w:p>
    <w:p w14:paraId="0081E840" w14:textId="24EE4831" w:rsidR="008200D5" w:rsidRPr="00C736B3" w:rsidRDefault="008200D5" w:rsidP="008200D5">
      <w:pPr>
        <w:rPr>
          <w:rFonts w:asciiTheme="minorHAnsi" w:hAnsiTheme="minorHAnsi"/>
        </w:rPr>
      </w:pPr>
      <w:r w:rsidRPr="5D7E0CED">
        <w:rPr>
          <w:rFonts w:asciiTheme="minorHAnsi" w:hAnsiTheme="minorHAnsi"/>
        </w:rPr>
        <w:t xml:space="preserve">The Applicant provided data on the use of CAR T-cell therapy to demonstrate its expertise in the provision of this treatment. The Applicant states that between 2022 and 2023, </w:t>
      </w:r>
      <w:r>
        <w:rPr>
          <w:rFonts w:asciiTheme="minorHAnsi" w:hAnsiTheme="minorHAnsi"/>
        </w:rPr>
        <w:t xml:space="preserve">of the six CAR T-cell providers, </w:t>
      </w:r>
      <w:r w:rsidRPr="5D7E0CED">
        <w:rPr>
          <w:rFonts w:asciiTheme="minorHAnsi" w:hAnsiTheme="minorHAnsi"/>
        </w:rPr>
        <w:t xml:space="preserve">it was one of three providers of CAR T-cell therapy in the Commonwealth that offered the greatest variety of CAR T-cell products to patients; it performed more CAR T-cell therapy than any other provider; </w:t>
      </w:r>
      <w:r w:rsidR="00185247">
        <w:rPr>
          <w:rFonts w:asciiTheme="minorHAnsi" w:hAnsiTheme="minorHAnsi"/>
        </w:rPr>
        <w:t xml:space="preserve">and </w:t>
      </w:r>
      <w:r w:rsidRPr="5D7E0CED">
        <w:rPr>
          <w:rFonts w:asciiTheme="minorHAnsi" w:hAnsiTheme="minorHAnsi"/>
        </w:rPr>
        <w:t>it performed approximately 75% of all CAR T-cell therapy in the Commonwealth</w:t>
      </w:r>
      <w:r>
        <w:rPr>
          <w:rFonts w:asciiTheme="minorHAnsi" w:hAnsiTheme="minorHAnsi"/>
        </w:rPr>
        <w:t xml:space="preserve"> which is</w:t>
      </w:r>
      <w:r w:rsidRPr="5D7E0CED">
        <w:rPr>
          <w:rFonts w:asciiTheme="minorHAnsi" w:hAnsiTheme="minorHAnsi"/>
        </w:rPr>
        <w:t xml:space="preserve"> more than five times the amount of the next most frequent provider. </w:t>
      </w:r>
    </w:p>
    <w:p w14:paraId="12B79BCC" w14:textId="77777777" w:rsidR="008200D5" w:rsidRDefault="008200D5" w:rsidP="008200D5">
      <w:pPr>
        <w:rPr>
          <w:rFonts w:asciiTheme="minorHAnsi" w:hAnsiTheme="minorHAnsi"/>
          <w:bCs/>
          <w:szCs w:val="24"/>
        </w:rPr>
      </w:pPr>
    </w:p>
    <w:p w14:paraId="28E08B99" w14:textId="3E40CAC3" w:rsidR="008200D5" w:rsidRPr="0072474E" w:rsidRDefault="008200D5" w:rsidP="008200D5">
      <w:pPr>
        <w:rPr>
          <w:rFonts w:asciiTheme="minorHAnsi" w:hAnsiTheme="minorHAnsi"/>
        </w:rPr>
      </w:pPr>
      <w:r w:rsidRPr="499B78FC">
        <w:rPr>
          <w:rFonts w:asciiTheme="minorHAnsi" w:hAnsiTheme="minorHAnsi"/>
        </w:rPr>
        <w:t xml:space="preserve">Table </w:t>
      </w:r>
      <w:r>
        <w:rPr>
          <w:rFonts w:asciiTheme="minorHAnsi" w:hAnsiTheme="minorHAnsi"/>
        </w:rPr>
        <w:t>22</w:t>
      </w:r>
      <w:r w:rsidRPr="499B78FC">
        <w:rPr>
          <w:rFonts w:asciiTheme="minorHAnsi" w:hAnsiTheme="minorHAnsi"/>
        </w:rPr>
        <w:t xml:space="preserve"> shows data obtained from a Directory of CAR-T </w:t>
      </w:r>
      <w:r w:rsidR="00B559FE">
        <w:rPr>
          <w:rFonts w:asciiTheme="minorHAnsi" w:hAnsiTheme="minorHAnsi"/>
        </w:rPr>
        <w:t>cell</w:t>
      </w:r>
      <w:r w:rsidRPr="499B78FC">
        <w:rPr>
          <w:rFonts w:asciiTheme="minorHAnsi" w:hAnsiTheme="minorHAnsi"/>
        </w:rPr>
        <w:t xml:space="preserve"> Therapy Centers, which was referenced by the Applicant. Table </w:t>
      </w:r>
      <w:r>
        <w:rPr>
          <w:rFonts w:asciiTheme="minorHAnsi" w:hAnsiTheme="minorHAnsi"/>
        </w:rPr>
        <w:t xml:space="preserve">22 </w:t>
      </w:r>
      <w:r w:rsidRPr="499B78FC">
        <w:rPr>
          <w:rFonts w:asciiTheme="minorHAnsi" w:hAnsiTheme="minorHAnsi"/>
        </w:rPr>
        <w:t>shows CAR T-cell therapy performed from 2021, through 2023. Dashes or blank cells mean the center has not yet provided data for that year or the program had not yet been established.</w:t>
      </w:r>
    </w:p>
    <w:p w14:paraId="49582B2F" w14:textId="77777777" w:rsidR="008200D5" w:rsidRDefault="008200D5" w:rsidP="008200D5">
      <w:pPr>
        <w:rPr>
          <w:rFonts w:asciiTheme="minorHAnsi" w:hAnsiTheme="minorHAnsi"/>
          <w:bCs/>
          <w:szCs w:val="24"/>
        </w:rPr>
      </w:pPr>
    </w:p>
    <w:p w14:paraId="567D8DEA" w14:textId="77777777" w:rsidR="008200D5" w:rsidRDefault="008200D5" w:rsidP="008200D5">
      <w:pPr>
        <w:rPr>
          <w:rFonts w:asciiTheme="minorHAnsi" w:hAnsiTheme="minorHAnsi"/>
          <w:b/>
          <w:szCs w:val="24"/>
          <w:u w:val="single"/>
        </w:rPr>
      </w:pPr>
      <w:r w:rsidRPr="004C567A">
        <w:rPr>
          <w:rFonts w:asciiTheme="minorHAnsi" w:hAnsiTheme="minorHAnsi"/>
          <w:b/>
          <w:szCs w:val="24"/>
          <w:u w:val="single"/>
        </w:rPr>
        <w:t xml:space="preserve">Table </w:t>
      </w:r>
      <w:r>
        <w:rPr>
          <w:rFonts w:asciiTheme="minorHAnsi" w:hAnsiTheme="minorHAnsi"/>
          <w:b/>
          <w:szCs w:val="24"/>
          <w:u w:val="single"/>
        </w:rPr>
        <w:t>22</w:t>
      </w:r>
      <w:r w:rsidRPr="004C567A">
        <w:rPr>
          <w:rFonts w:asciiTheme="minorHAnsi" w:hAnsiTheme="minorHAnsi"/>
          <w:b/>
          <w:szCs w:val="24"/>
          <w:u w:val="single"/>
        </w:rPr>
        <w:t>:</w:t>
      </w:r>
      <w:r>
        <w:rPr>
          <w:rFonts w:asciiTheme="minorHAnsi" w:hAnsiTheme="minorHAnsi"/>
          <w:b/>
          <w:szCs w:val="24"/>
          <w:u w:val="single"/>
        </w:rPr>
        <w:t xml:space="preserve"> CAR T-Cell Therapy Centers, Massachusetts</w:t>
      </w:r>
      <w:r>
        <w:rPr>
          <w:rStyle w:val="EndnoteReference"/>
          <w:rFonts w:asciiTheme="minorHAnsi" w:hAnsiTheme="minorHAnsi"/>
          <w:b/>
          <w:szCs w:val="24"/>
          <w:u w:val="single"/>
        </w:rPr>
        <w:endnoteReference w:id="38"/>
      </w:r>
    </w:p>
    <w:tbl>
      <w:tblPr>
        <w:tblStyle w:val="TableGrid"/>
        <w:tblW w:w="0" w:type="auto"/>
        <w:tblLook w:val="04A0" w:firstRow="1" w:lastRow="0" w:firstColumn="1" w:lastColumn="0" w:noHBand="0" w:noVBand="1"/>
      </w:tblPr>
      <w:tblGrid>
        <w:gridCol w:w="2523"/>
        <w:gridCol w:w="2106"/>
        <w:gridCol w:w="1727"/>
        <w:gridCol w:w="1727"/>
        <w:gridCol w:w="1727"/>
      </w:tblGrid>
      <w:tr w:rsidR="00BE29C5" w:rsidRPr="00272E82" w14:paraId="55A69E99" w14:textId="77777777" w:rsidTr="00BE29C5">
        <w:trPr>
          <w:cantSplit/>
          <w:tblHeader/>
        </w:trPr>
        <w:tc>
          <w:tcPr>
            <w:tcW w:w="0" w:type="auto"/>
          </w:tcPr>
          <w:p w14:paraId="29BA3874" w14:textId="77777777" w:rsidR="00BE29C5" w:rsidRPr="00272E82" w:rsidRDefault="00BE29C5" w:rsidP="00BE29C5">
            <w:pPr>
              <w:rPr>
                <w:rFonts w:asciiTheme="minorHAnsi" w:hAnsiTheme="minorHAnsi"/>
                <w:bCs/>
                <w:szCs w:val="24"/>
              </w:rPr>
            </w:pPr>
          </w:p>
        </w:tc>
        <w:tc>
          <w:tcPr>
            <w:tcW w:w="0" w:type="auto"/>
            <w:shd w:val="clear" w:color="auto" w:fill="DBE5F1" w:themeFill="accent1" w:themeFillTint="33"/>
          </w:tcPr>
          <w:p w14:paraId="681489F0" w14:textId="5EEE1156" w:rsidR="00BE29C5" w:rsidRPr="00272E82" w:rsidRDefault="00BE29C5" w:rsidP="00BE29C5">
            <w:pPr>
              <w:jc w:val="center"/>
              <w:rPr>
                <w:rFonts w:asciiTheme="minorHAnsi" w:hAnsiTheme="minorHAnsi"/>
                <w:b/>
                <w:szCs w:val="24"/>
              </w:rPr>
            </w:pPr>
            <w:r w:rsidRPr="00272E82">
              <w:rPr>
                <w:rFonts w:asciiTheme="minorHAnsi" w:hAnsiTheme="minorHAnsi"/>
                <w:b/>
                <w:szCs w:val="24"/>
              </w:rPr>
              <w:t>CAR T-</w:t>
            </w:r>
            <w:r>
              <w:rPr>
                <w:rFonts w:asciiTheme="minorHAnsi" w:hAnsiTheme="minorHAnsi"/>
                <w:b/>
                <w:szCs w:val="24"/>
              </w:rPr>
              <w:t>c</w:t>
            </w:r>
            <w:r w:rsidRPr="00272E82">
              <w:rPr>
                <w:rFonts w:asciiTheme="minorHAnsi" w:hAnsiTheme="minorHAnsi"/>
                <w:b/>
                <w:szCs w:val="24"/>
              </w:rPr>
              <w:t>ell Products</w:t>
            </w:r>
          </w:p>
        </w:tc>
        <w:tc>
          <w:tcPr>
            <w:tcW w:w="0" w:type="auto"/>
            <w:shd w:val="clear" w:color="auto" w:fill="DBE5F1" w:themeFill="accent1" w:themeFillTint="33"/>
          </w:tcPr>
          <w:p w14:paraId="07E23E37" w14:textId="77777777" w:rsidR="00BE29C5" w:rsidRPr="00272E82" w:rsidRDefault="00BE29C5" w:rsidP="00BE29C5">
            <w:pPr>
              <w:jc w:val="center"/>
              <w:rPr>
                <w:rFonts w:asciiTheme="minorHAnsi" w:hAnsiTheme="minorHAnsi"/>
                <w:b/>
                <w:szCs w:val="24"/>
              </w:rPr>
            </w:pPr>
            <w:r w:rsidRPr="00272E82">
              <w:rPr>
                <w:rFonts w:asciiTheme="minorHAnsi" w:hAnsiTheme="minorHAnsi"/>
                <w:b/>
                <w:szCs w:val="24"/>
              </w:rPr>
              <w:t>CAR T-cell therapies performed</w:t>
            </w:r>
          </w:p>
        </w:tc>
        <w:tc>
          <w:tcPr>
            <w:tcW w:w="0" w:type="auto"/>
            <w:shd w:val="clear" w:color="auto" w:fill="DBE5F1" w:themeFill="accent1" w:themeFillTint="33"/>
          </w:tcPr>
          <w:p w14:paraId="0D79664D" w14:textId="701DFA1B" w:rsidR="00BE29C5" w:rsidRPr="00272E82" w:rsidRDefault="00BE29C5" w:rsidP="00BE29C5">
            <w:pPr>
              <w:jc w:val="center"/>
              <w:rPr>
                <w:rFonts w:asciiTheme="minorHAnsi" w:hAnsiTheme="minorHAnsi"/>
                <w:b/>
                <w:szCs w:val="24"/>
              </w:rPr>
            </w:pPr>
            <w:r w:rsidRPr="006521C5">
              <w:rPr>
                <w:rFonts w:asciiTheme="minorHAnsi" w:hAnsiTheme="minorHAnsi"/>
                <w:b/>
                <w:szCs w:val="24"/>
              </w:rPr>
              <w:t>CAR T-cell therapies performed</w:t>
            </w:r>
          </w:p>
        </w:tc>
        <w:tc>
          <w:tcPr>
            <w:tcW w:w="0" w:type="auto"/>
            <w:shd w:val="clear" w:color="auto" w:fill="DBE5F1" w:themeFill="accent1" w:themeFillTint="33"/>
          </w:tcPr>
          <w:p w14:paraId="76FCA72F" w14:textId="4910D445" w:rsidR="00BE29C5" w:rsidRPr="00272E82" w:rsidRDefault="00BE29C5" w:rsidP="00BE29C5">
            <w:pPr>
              <w:jc w:val="center"/>
              <w:rPr>
                <w:rFonts w:asciiTheme="minorHAnsi" w:hAnsiTheme="minorHAnsi"/>
                <w:b/>
                <w:szCs w:val="24"/>
              </w:rPr>
            </w:pPr>
            <w:r w:rsidRPr="006521C5">
              <w:rPr>
                <w:rFonts w:asciiTheme="minorHAnsi" w:hAnsiTheme="minorHAnsi"/>
                <w:b/>
                <w:szCs w:val="24"/>
              </w:rPr>
              <w:t>CAR T-cell therapies performed</w:t>
            </w:r>
          </w:p>
        </w:tc>
      </w:tr>
      <w:tr w:rsidR="008200D5" w:rsidRPr="00272E82" w14:paraId="13BFA194" w14:textId="77777777" w:rsidTr="00BE29C5">
        <w:trPr>
          <w:cantSplit/>
          <w:tblHeader/>
        </w:trPr>
        <w:tc>
          <w:tcPr>
            <w:tcW w:w="0" w:type="auto"/>
            <w:shd w:val="clear" w:color="auto" w:fill="F2F2F2" w:themeFill="background1" w:themeFillShade="F2"/>
          </w:tcPr>
          <w:p w14:paraId="741F3C67" w14:textId="77777777" w:rsidR="008200D5" w:rsidRPr="00272E82" w:rsidRDefault="008200D5">
            <w:pPr>
              <w:rPr>
                <w:rFonts w:asciiTheme="minorHAnsi" w:hAnsiTheme="minorHAnsi"/>
                <w:b/>
                <w:szCs w:val="24"/>
              </w:rPr>
            </w:pPr>
            <w:r w:rsidRPr="00272E82">
              <w:rPr>
                <w:rFonts w:asciiTheme="minorHAnsi" w:hAnsiTheme="minorHAnsi"/>
                <w:b/>
                <w:szCs w:val="24"/>
              </w:rPr>
              <w:t>Center</w:t>
            </w:r>
          </w:p>
        </w:tc>
        <w:tc>
          <w:tcPr>
            <w:tcW w:w="0" w:type="auto"/>
            <w:shd w:val="clear" w:color="auto" w:fill="F2F2F2" w:themeFill="background1" w:themeFillShade="F2"/>
          </w:tcPr>
          <w:p w14:paraId="6D5D400A" w14:textId="77777777" w:rsidR="008200D5" w:rsidRPr="00272E82" w:rsidRDefault="008200D5">
            <w:pPr>
              <w:jc w:val="center"/>
              <w:rPr>
                <w:rFonts w:asciiTheme="minorHAnsi" w:hAnsiTheme="minorHAnsi"/>
                <w:b/>
                <w:szCs w:val="24"/>
              </w:rPr>
            </w:pPr>
          </w:p>
        </w:tc>
        <w:tc>
          <w:tcPr>
            <w:tcW w:w="0" w:type="auto"/>
            <w:shd w:val="clear" w:color="auto" w:fill="F2F2F2" w:themeFill="background1" w:themeFillShade="F2"/>
          </w:tcPr>
          <w:p w14:paraId="2D6EACF4" w14:textId="77777777" w:rsidR="008200D5" w:rsidRPr="00272E82" w:rsidRDefault="008200D5">
            <w:pPr>
              <w:jc w:val="center"/>
              <w:rPr>
                <w:rFonts w:asciiTheme="minorHAnsi" w:hAnsiTheme="minorHAnsi"/>
                <w:b/>
                <w:szCs w:val="24"/>
              </w:rPr>
            </w:pPr>
            <w:r>
              <w:rPr>
                <w:rFonts w:asciiTheme="minorHAnsi" w:hAnsiTheme="minorHAnsi"/>
                <w:b/>
                <w:szCs w:val="24"/>
              </w:rPr>
              <w:t>2021</w:t>
            </w:r>
          </w:p>
        </w:tc>
        <w:tc>
          <w:tcPr>
            <w:tcW w:w="0" w:type="auto"/>
            <w:shd w:val="clear" w:color="auto" w:fill="F2F2F2" w:themeFill="background1" w:themeFillShade="F2"/>
          </w:tcPr>
          <w:p w14:paraId="09EDE715" w14:textId="77777777" w:rsidR="008200D5" w:rsidRPr="00272E82" w:rsidRDefault="008200D5">
            <w:pPr>
              <w:jc w:val="center"/>
              <w:rPr>
                <w:rFonts w:asciiTheme="minorHAnsi" w:hAnsiTheme="minorHAnsi"/>
                <w:b/>
                <w:szCs w:val="24"/>
              </w:rPr>
            </w:pPr>
            <w:r w:rsidRPr="00272E82">
              <w:rPr>
                <w:rFonts w:asciiTheme="minorHAnsi" w:hAnsiTheme="minorHAnsi"/>
                <w:b/>
                <w:szCs w:val="24"/>
              </w:rPr>
              <w:t>2022</w:t>
            </w:r>
          </w:p>
        </w:tc>
        <w:tc>
          <w:tcPr>
            <w:tcW w:w="0" w:type="auto"/>
            <w:shd w:val="clear" w:color="auto" w:fill="F2F2F2" w:themeFill="background1" w:themeFillShade="F2"/>
          </w:tcPr>
          <w:p w14:paraId="06C6CD53" w14:textId="77777777" w:rsidR="008200D5" w:rsidRPr="00272E82" w:rsidRDefault="008200D5">
            <w:pPr>
              <w:jc w:val="center"/>
              <w:rPr>
                <w:rFonts w:asciiTheme="minorHAnsi" w:hAnsiTheme="minorHAnsi"/>
                <w:b/>
                <w:szCs w:val="24"/>
              </w:rPr>
            </w:pPr>
            <w:r w:rsidRPr="00272E82">
              <w:rPr>
                <w:rFonts w:asciiTheme="minorHAnsi" w:hAnsiTheme="minorHAnsi"/>
                <w:b/>
                <w:szCs w:val="24"/>
              </w:rPr>
              <w:t>2023</w:t>
            </w:r>
          </w:p>
        </w:tc>
      </w:tr>
      <w:tr w:rsidR="008200D5" w:rsidRPr="00272E82" w14:paraId="2FCAAE2A" w14:textId="77777777" w:rsidTr="00BE29C5">
        <w:trPr>
          <w:cantSplit/>
        </w:trPr>
        <w:tc>
          <w:tcPr>
            <w:tcW w:w="0" w:type="auto"/>
          </w:tcPr>
          <w:p w14:paraId="39A655A0" w14:textId="77777777" w:rsidR="008200D5" w:rsidRPr="00272E82" w:rsidRDefault="008200D5">
            <w:pPr>
              <w:rPr>
                <w:rFonts w:asciiTheme="minorHAnsi" w:hAnsiTheme="minorHAnsi"/>
                <w:bCs/>
                <w:szCs w:val="24"/>
              </w:rPr>
            </w:pPr>
            <w:r w:rsidRPr="00912946">
              <w:rPr>
                <w:rFonts w:asciiTheme="minorHAnsi" w:hAnsiTheme="minorHAnsi"/>
                <w:bCs/>
                <w:szCs w:val="24"/>
              </w:rPr>
              <w:t>Dana-Farber/Brigham &amp; Women's Cancer Institute</w:t>
            </w:r>
            <w:r>
              <w:rPr>
                <w:rStyle w:val="FootnoteReference"/>
                <w:rFonts w:asciiTheme="minorHAnsi" w:hAnsiTheme="minorHAnsi"/>
                <w:bCs/>
                <w:szCs w:val="24"/>
              </w:rPr>
              <w:footnoteReference w:id="72"/>
            </w:r>
          </w:p>
        </w:tc>
        <w:tc>
          <w:tcPr>
            <w:tcW w:w="0" w:type="auto"/>
          </w:tcPr>
          <w:p w14:paraId="3D2FB111" w14:textId="77777777" w:rsidR="008200D5" w:rsidRPr="00272E82" w:rsidRDefault="008200D5">
            <w:pPr>
              <w:jc w:val="center"/>
              <w:rPr>
                <w:rFonts w:asciiTheme="minorHAnsi" w:hAnsiTheme="minorHAnsi"/>
                <w:bCs/>
                <w:szCs w:val="24"/>
              </w:rPr>
            </w:pPr>
            <w:r w:rsidRPr="00912946">
              <w:rPr>
                <w:rFonts w:asciiTheme="minorHAnsi" w:hAnsiTheme="minorHAnsi"/>
                <w:bCs/>
                <w:szCs w:val="24"/>
              </w:rPr>
              <w:t>Abecma, Breyanzi, Carvykti, Kymriah, Tecartus Yescarta</w:t>
            </w:r>
          </w:p>
        </w:tc>
        <w:tc>
          <w:tcPr>
            <w:tcW w:w="0" w:type="auto"/>
          </w:tcPr>
          <w:p w14:paraId="69A8C020" w14:textId="77777777" w:rsidR="008200D5" w:rsidRDefault="008200D5">
            <w:pPr>
              <w:jc w:val="center"/>
              <w:rPr>
                <w:rFonts w:asciiTheme="minorHAnsi" w:hAnsiTheme="minorHAnsi"/>
                <w:bCs/>
                <w:szCs w:val="24"/>
              </w:rPr>
            </w:pPr>
            <w:r w:rsidRPr="00EB6282">
              <w:t>103</w:t>
            </w:r>
          </w:p>
        </w:tc>
        <w:tc>
          <w:tcPr>
            <w:tcW w:w="0" w:type="auto"/>
          </w:tcPr>
          <w:p w14:paraId="09DF7B7F" w14:textId="77777777" w:rsidR="008200D5" w:rsidRPr="00272E82" w:rsidRDefault="008200D5">
            <w:pPr>
              <w:jc w:val="center"/>
              <w:rPr>
                <w:rFonts w:asciiTheme="minorHAnsi" w:hAnsiTheme="minorHAnsi"/>
                <w:bCs/>
                <w:szCs w:val="24"/>
              </w:rPr>
            </w:pPr>
            <w:r w:rsidRPr="00EB6282">
              <w:t>153</w:t>
            </w:r>
          </w:p>
        </w:tc>
        <w:tc>
          <w:tcPr>
            <w:tcW w:w="0" w:type="auto"/>
          </w:tcPr>
          <w:p w14:paraId="5D9171E1" w14:textId="77777777" w:rsidR="008200D5" w:rsidRPr="00272E82" w:rsidRDefault="008200D5">
            <w:pPr>
              <w:jc w:val="center"/>
              <w:rPr>
                <w:rFonts w:asciiTheme="minorHAnsi" w:hAnsiTheme="minorHAnsi"/>
                <w:bCs/>
                <w:szCs w:val="24"/>
              </w:rPr>
            </w:pPr>
            <w:r w:rsidRPr="00EB6282">
              <w:t>159</w:t>
            </w:r>
          </w:p>
        </w:tc>
      </w:tr>
      <w:tr w:rsidR="008200D5" w:rsidRPr="00272E82" w14:paraId="4B34E4D3" w14:textId="77777777" w:rsidTr="00BE29C5">
        <w:trPr>
          <w:cantSplit/>
        </w:trPr>
        <w:tc>
          <w:tcPr>
            <w:tcW w:w="0" w:type="auto"/>
          </w:tcPr>
          <w:p w14:paraId="0D884A8B" w14:textId="77777777" w:rsidR="008200D5" w:rsidRPr="00272E82" w:rsidRDefault="008200D5">
            <w:pPr>
              <w:rPr>
                <w:rFonts w:asciiTheme="minorHAnsi" w:hAnsiTheme="minorHAnsi"/>
                <w:bCs/>
                <w:szCs w:val="24"/>
              </w:rPr>
            </w:pPr>
            <w:r w:rsidRPr="00272E82">
              <w:rPr>
                <w:rFonts w:asciiTheme="minorHAnsi" w:hAnsiTheme="minorHAnsi"/>
                <w:bCs/>
                <w:szCs w:val="24"/>
              </w:rPr>
              <w:t>Massachusetts General Hospital</w:t>
            </w:r>
            <w:r>
              <w:rPr>
                <w:rStyle w:val="FootnoteReference"/>
                <w:rFonts w:asciiTheme="minorHAnsi" w:hAnsiTheme="minorHAnsi"/>
                <w:bCs/>
                <w:szCs w:val="24"/>
              </w:rPr>
              <w:footnoteReference w:id="73"/>
            </w:r>
          </w:p>
        </w:tc>
        <w:tc>
          <w:tcPr>
            <w:tcW w:w="0" w:type="auto"/>
          </w:tcPr>
          <w:p w14:paraId="40A05C56" w14:textId="77777777" w:rsidR="008200D5" w:rsidRPr="00272E82" w:rsidRDefault="008200D5">
            <w:pPr>
              <w:jc w:val="center"/>
              <w:rPr>
                <w:rFonts w:asciiTheme="minorHAnsi" w:hAnsiTheme="minorHAnsi"/>
                <w:bCs/>
                <w:szCs w:val="24"/>
              </w:rPr>
            </w:pPr>
            <w:r w:rsidRPr="00912946">
              <w:rPr>
                <w:rFonts w:asciiTheme="minorHAnsi" w:hAnsiTheme="minorHAnsi"/>
                <w:bCs/>
                <w:szCs w:val="24"/>
              </w:rPr>
              <w:t>Abecma, Breyanzi, Carvykti, Kymriah, Tecartus, Yescarta</w:t>
            </w:r>
          </w:p>
        </w:tc>
        <w:tc>
          <w:tcPr>
            <w:tcW w:w="0" w:type="auto"/>
          </w:tcPr>
          <w:p w14:paraId="63031EAA" w14:textId="77777777" w:rsidR="008200D5" w:rsidRDefault="008200D5">
            <w:pPr>
              <w:jc w:val="center"/>
              <w:rPr>
                <w:rFonts w:asciiTheme="minorHAnsi" w:hAnsiTheme="minorHAnsi"/>
                <w:bCs/>
                <w:szCs w:val="24"/>
              </w:rPr>
            </w:pPr>
            <w:r w:rsidRPr="00910335">
              <w:t>43</w:t>
            </w:r>
          </w:p>
        </w:tc>
        <w:tc>
          <w:tcPr>
            <w:tcW w:w="0" w:type="auto"/>
          </w:tcPr>
          <w:p w14:paraId="09BC4E48" w14:textId="77777777" w:rsidR="008200D5" w:rsidRPr="00272E82" w:rsidRDefault="008200D5">
            <w:pPr>
              <w:jc w:val="center"/>
              <w:rPr>
                <w:rFonts w:asciiTheme="minorHAnsi" w:hAnsiTheme="minorHAnsi"/>
                <w:bCs/>
                <w:szCs w:val="24"/>
              </w:rPr>
            </w:pPr>
            <w:r w:rsidRPr="00910335">
              <w:t>59</w:t>
            </w:r>
          </w:p>
        </w:tc>
        <w:tc>
          <w:tcPr>
            <w:tcW w:w="0" w:type="auto"/>
          </w:tcPr>
          <w:p w14:paraId="1813D090" w14:textId="77777777" w:rsidR="008200D5" w:rsidRPr="00272E82" w:rsidRDefault="008200D5">
            <w:pPr>
              <w:jc w:val="center"/>
              <w:rPr>
                <w:rFonts w:asciiTheme="minorHAnsi" w:hAnsiTheme="minorHAnsi"/>
                <w:bCs/>
                <w:szCs w:val="24"/>
              </w:rPr>
            </w:pPr>
            <w:r>
              <w:rPr>
                <w:rFonts w:asciiTheme="minorHAnsi" w:hAnsiTheme="minorHAnsi"/>
                <w:bCs/>
                <w:szCs w:val="24"/>
              </w:rPr>
              <w:t>-</w:t>
            </w:r>
          </w:p>
        </w:tc>
      </w:tr>
      <w:tr w:rsidR="008200D5" w:rsidRPr="00272E82" w14:paraId="2F5CD5D9" w14:textId="77777777" w:rsidTr="00BE29C5">
        <w:trPr>
          <w:cantSplit/>
        </w:trPr>
        <w:tc>
          <w:tcPr>
            <w:tcW w:w="0" w:type="auto"/>
          </w:tcPr>
          <w:p w14:paraId="473B5B8D" w14:textId="77777777" w:rsidR="008200D5" w:rsidRPr="00272E82" w:rsidRDefault="008200D5">
            <w:pPr>
              <w:rPr>
                <w:rFonts w:asciiTheme="minorHAnsi" w:hAnsiTheme="minorHAnsi"/>
                <w:bCs/>
                <w:szCs w:val="24"/>
              </w:rPr>
            </w:pPr>
            <w:r w:rsidRPr="00272E82">
              <w:rPr>
                <w:rFonts w:asciiTheme="minorHAnsi" w:hAnsiTheme="minorHAnsi"/>
                <w:bCs/>
                <w:szCs w:val="24"/>
              </w:rPr>
              <w:t>Beth Israel Deaconess Medical Center</w:t>
            </w:r>
            <w:r>
              <w:rPr>
                <w:rStyle w:val="FootnoteReference"/>
                <w:rFonts w:asciiTheme="minorHAnsi" w:hAnsiTheme="minorHAnsi"/>
                <w:bCs/>
                <w:szCs w:val="24"/>
              </w:rPr>
              <w:footnoteReference w:id="74"/>
            </w:r>
          </w:p>
        </w:tc>
        <w:tc>
          <w:tcPr>
            <w:tcW w:w="0" w:type="auto"/>
          </w:tcPr>
          <w:p w14:paraId="4B341573" w14:textId="77777777" w:rsidR="008200D5" w:rsidRPr="00272E82" w:rsidRDefault="008200D5">
            <w:pPr>
              <w:jc w:val="center"/>
              <w:rPr>
                <w:rFonts w:asciiTheme="minorHAnsi" w:hAnsiTheme="minorHAnsi"/>
                <w:bCs/>
                <w:szCs w:val="24"/>
              </w:rPr>
            </w:pPr>
            <w:r w:rsidRPr="00272E82">
              <w:rPr>
                <w:rFonts w:asciiTheme="minorHAnsi" w:hAnsiTheme="minorHAnsi"/>
                <w:bCs/>
                <w:szCs w:val="24"/>
              </w:rPr>
              <w:t>Abecma, Breyanzi, Carvykti, Kymriah,  Tecartus, Yescarta</w:t>
            </w:r>
          </w:p>
        </w:tc>
        <w:tc>
          <w:tcPr>
            <w:tcW w:w="0" w:type="auto"/>
          </w:tcPr>
          <w:p w14:paraId="2827C5D4" w14:textId="77777777" w:rsidR="008200D5" w:rsidRPr="00272E82" w:rsidRDefault="008200D5">
            <w:pPr>
              <w:jc w:val="center"/>
              <w:rPr>
                <w:rFonts w:asciiTheme="minorHAnsi" w:hAnsiTheme="minorHAnsi"/>
                <w:bCs/>
                <w:szCs w:val="24"/>
              </w:rPr>
            </w:pPr>
            <w:r>
              <w:rPr>
                <w:rFonts w:asciiTheme="minorHAnsi" w:hAnsiTheme="minorHAnsi"/>
                <w:bCs/>
                <w:szCs w:val="24"/>
              </w:rPr>
              <w:t>20</w:t>
            </w:r>
          </w:p>
        </w:tc>
        <w:tc>
          <w:tcPr>
            <w:tcW w:w="0" w:type="auto"/>
          </w:tcPr>
          <w:p w14:paraId="18DD22D2" w14:textId="77777777" w:rsidR="008200D5" w:rsidRPr="00272E82" w:rsidRDefault="008200D5">
            <w:pPr>
              <w:jc w:val="center"/>
              <w:rPr>
                <w:rFonts w:asciiTheme="minorHAnsi" w:hAnsiTheme="minorHAnsi"/>
                <w:bCs/>
                <w:szCs w:val="24"/>
              </w:rPr>
            </w:pPr>
            <w:r w:rsidRPr="00272E82">
              <w:rPr>
                <w:rFonts w:asciiTheme="minorHAnsi" w:hAnsiTheme="minorHAnsi"/>
                <w:bCs/>
                <w:szCs w:val="24"/>
              </w:rPr>
              <w:t>28</w:t>
            </w:r>
          </w:p>
        </w:tc>
        <w:tc>
          <w:tcPr>
            <w:tcW w:w="0" w:type="auto"/>
          </w:tcPr>
          <w:p w14:paraId="768D8CBB" w14:textId="77777777" w:rsidR="008200D5" w:rsidRPr="00272E82" w:rsidRDefault="008200D5">
            <w:pPr>
              <w:jc w:val="center"/>
              <w:rPr>
                <w:rFonts w:asciiTheme="minorHAnsi" w:hAnsiTheme="minorHAnsi"/>
                <w:bCs/>
                <w:szCs w:val="24"/>
              </w:rPr>
            </w:pPr>
            <w:r>
              <w:rPr>
                <w:rFonts w:asciiTheme="minorHAnsi" w:hAnsiTheme="minorHAnsi"/>
                <w:bCs/>
                <w:szCs w:val="24"/>
              </w:rPr>
              <w:t>-</w:t>
            </w:r>
          </w:p>
        </w:tc>
      </w:tr>
      <w:tr w:rsidR="008200D5" w:rsidRPr="00272E82" w14:paraId="12EBB73E" w14:textId="77777777" w:rsidTr="00BE29C5">
        <w:trPr>
          <w:cantSplit/>
        </w:trPr>
        <w:tc>
          <w:tcPr>
            <w:tcW w:w="0" w:type="auto"/>
          </w:tcPr>
          <w:p w14:paraId="1784BFAD" w14:textId="77777777" w:rsidR="008200D5" w:rsidRPr="00272E82" w:rsidRDefault="008200D5">
            <w:pPr>
              <w:rPr>
                <w:rFonts w:asciiTheme="minorHAnsi" w:hAnsiTheme="minorHAnsi"/>
                <w:bCs/>
                <w:szCs w:val="24"/>
              </w:rPr>
            </w:pPr>
            <w:r w:rsidRPr="00912946">
              <w:rPr>
                <w:rFonts w:asciiTheme="minorHAnsi" w:hAnsiTheme="minorHAnsi"/>
                <w:bCs/>
                <w:szCs w:val="24"/>
              </w:rPr>
              <w:t>UMass Memorial Medical Center</w:t>
            </w:r>
            <w:r w:rsidRPr="00912946">
              <w:rPr>
                <w:rFonts w:asciiTheme="minorHAnsi" w:hAnsiTheme="minorHAnsi"/>
                <w:bCs/>
                <w:szCs w:val="24"/>
                <w:vertAlign w:val="superscript"/>
              </w:rPr>
              <w:footnoteReference w:id="75"/>
            </w:r>
          </w:p>
        </w:tc>
        <w:tc>
          <w:tcPr>
            <w:tcW w:w="0" w:type="auto"/>
          </w:tcPr>
          <w:p w14:paraId="5AB9FB28" w14:textId="77777777" w:rsidR="008200D5" w:rsidRPr="00E04C2D" w:rsidRDefault="008200D5">
            <w:pPr>
              <w:tabs>
                <w:tab w:val="num" w:pos="720"/>
              </w:tabs>
              <w:jc w:val="center"/>
              <w:rPr>
                <w:rFonts w:asciiTheme="minorHAnsi" w:hAnsiTheme="minorHAnsi"/>
                <w:bCs/>
                <w:szCs w:val="24"/>
              </w:rPr>
            </w:pPr>
            <w:r w:rsidRPr="00912946">
              <w:rPr>
                <w:rFonts w:asciiTheme="minorHAnsi" w:hAnsiTheme="minorHAnsi"/>
                <w:bCs/>
                <w:szCs w:val="24"/>
              </w:rPr>
              <w:t>Kymriah, Tecartus, Yescarta</w:t>
            </w:r>
          </w:p>
        </w:tc>
        <w:tc>
          <w:tcPr>
            <w:tcW w:w="0" w:type="auto"/>
          </w:tcPr>
          <w:p w14:paraId="2BE506EC" w14:textId="77777777" w:rsidR="008200D5" w:rsidRDefault="008200D5">
            <w:pPr>
              <w:jc w:val="center"/>
              <w:rPr>
                <w:rFonts w:asciiTheme="minorHAnsi" w:hAnsiTheme="minorHAnsi"/>
                <w:bCs/>
                <w:szCs w:val="24"/>
              </w:rPr>
            </w:pPr>
            <w:r w:rsidRPr="00DD1891">
              <w:t>0</w:t>
            </w:r>
          </w:p>
        </w:tc>
        <w:tc>
          <w:tcPr>
            <w:tcW w:w="0" w:type="auto"/>
          </w:tcPr>
          <w:p w14:paraId="0C4759F7" w14:textId="77777777" w:rsidR="008200D5" w:rsidRDefault="008200D5">
            <w:pPr>
              <w:jc w:val="center"/>
              <w:rPr>
                <w:rFonts w:asciiTheme="minorHAnsi" w:hAnsiTheme="minorHAnsi"/>
                <w:bCs/>
                <w:szCs w:val="24"/>
              </w:rPr>
            </w:pPr>
            <w:r w:rsidRPr="00DD1891">
              <w:t>7</w:t>
            </w:r>
          </w:p>
        </w:tc>
        <w:tc>
          <w:tcPr>
            <w:tcW w:w="0" w:type="auto"/>
          </w:tcPr>
          <w:p w14:paraId="2852FE1F" w14:textId="77777777" w:rsidR="008200D5" w:rsidRPr="00272E82" w:rsidRDefault="008200D5">
            <w:pPr>
              <w:jc w:val="center"/>
              <w:rPr>
                <w:rFonts w:asciiTheme="minorHAnsi" w:hAnsiTheme="minorHAnsi"/>
                <w:bCs/>
                <w:szCs w:val="24"/>
              </w:rPr>
            </w:pPr>
            <w:r w:rsidRPr="00DD1891">
              <w:t>6</w:t>
            </w:r>
          </w:p>
        </w:tc>
      </w:tr>
      <w:tr w:rsidR="008200D5" w:rsidRPr="00272E82" w14:paraId="41818B36" w14:textId="77777777" w:rsidTr="00BE29C5">
        <w:trPr>
          <w:cantSplit/>
        </w:trPr>
        <w:tc>
          <w:tcPr>
            <w:tcW w:w="0" w:type="auto"/>
          </w:tcPr>
          <w:p w14:paraId="77E1800A" w14:textId="77777777" w:rsidR="008200D5" w:rsidRPr="00272E82" w:rsidRDefault="008200D5">
            <w:pPr>
              <w:rPr>
                <w:rFonts w:asciiTheme="minorHAnsi" w:hAnsiTheme="minorHAnsi"/>
                <w:bCs/>
                <w:szCs w:val="24"/>
              </w:rPr>
            </w:pPr>
            <w:r w:rsidRPr="00272E82">
              <w:rPr>
                <w:rFonts w:asciiTheme="minorHAnsi" w:hAnsiTheme="minorHAnsi"/>
                <w:bCs/>
                <w:szCs w:val="24"/>
              </w:rPr>
              <w:t>Boston Medical Center</w:t>
            </w:r>
            <w:r>
              <w:rPr>
                <w:rStyle w:val="FootnoteReference"/>
                <w:rFonts w:asciiTheme="minorHAnsi" w:hAnsiTheme="minorHAnsi"/>
                <w:bCs/>
                <w:szCs w:val="24"/>
              </w:rPr>
              <w:footnoteReference w:id="76"/>
            </w:r>
          </w:p>
        </w:tc>
        <w:tc>
          <w:tcPr>
            <w:tcW w:w="0" w:type="auto"/>
          </w:tcPr>
          <w:p w14:paraId="20F9FA84" w14:textId="77777777" w:rsidR="008200D5" w:rsidRPr="00272E82" w:rsidRDefault="008200D5">
            <w:pPr>
              <w:tabs>
                <w:tab w:val="num" w:pos="720"/>
              </w:tabs>
              <w:jc w:val="center"/>
              <w:rPr>
                <w:rFonts w:asciiTheme="minorHAnsi" w:hAnsiTheme="minorHAnsi"/>
                <w:bCs/>
                <w:szCs w:val="24"/>
              </w:rPr>
            </w:pPr>
            <w:r w:rsidRPr="00E04C2D">
              <w:rPr>
                <w:rFonts w:asciiTheme="minorHAnsi" w:hAnsiTheme="minorHAnsi"/>
                <w:bCs/>
                <w:szCs w:val="24"/>
              </w:rPr>
              <w:t>Abecma</w:t>
            </w:r>
            <w:r w:rsidRPr="00272E82">
              <w:rPr>
                <w:rFonts w:asciiTheme="minorHAnsi" w:hAnsiTheme="minorHAnsi"/>
                <w:bCs/>
                <w:szCs w:val="24"/>
              </w:rPr>
              <w:t xml:space="preserve">, </w:t>
            </w:r>
            <w:r w:rsidRPr="00E04C2D">
              <w:rPr>
                <w:rFonts w:asciiTheme="minorHAnsi" w:hAnsiTheme="minorHAnsi"/>
                <w:bCs/>
                <w:szCs w:val="24"/>
              </w:rPr>
              <w:t>Breyanzi</w:t>
            </w:r>
            <w:r w:rsidRPr="00272E82">
              <w:rPr>
                <w:rFonts w:asciiTheme="minorHAnsi" w:hAnsiTheme="minorHAnsi"/>
                <w:bCs/>
                <w:szCs w:val="24"/>
              </w:rPr>
              <w:t xml:space="preserve">, </w:t>
            </w:r>
            <w:r w:rsidRPr="00E04C2D">
              <w:rPr>
                <w:rFonts w:asciiTheme="minorHAnsi" w:hAnsiTheme="minorHAnsi"/>
                <w:bCs/>
                <w:szCs w:val="24"/>
              </w:rPr>
              <w:t>Kymriah</w:t>
            </w:r>
            <w:r w:rsidRPr="00272E82">
              <w:rPr>
                <w:rFonts w:asciiTheme="minorHAnsi" w:hAnsiTheme="minorHAnsi"/>
                <w:bCs/>
                <w:szCs w:val="24"/>
              </w:rPr>
              <w:t xml:space="preserve">, </w:t>
            </w:r>
            <w:r w:rsidRPr="00E04C2D">
              <w:rPr>
                <w:rFonts w:asciiTheme="minorHAnsi" w:hAnsiTheme="minorHAnsi"/>
                <w:bCs/>
                <w:szCs w:val="24"/>
              </w:rPr>
              <w:t>Tecartus</w:t>
            </w:r>
            <w:r w:rsidRPr="00272E82">
              <w:rPr>
                <w:rFonts w:asciiTheme="minorHAnsi" w:hAnsiTheme="minorHAnsi"/>
                <w:bCs/>
                <w:szCs w:val="24"/>
              </w:rPr>
              <w:t xml:space="preserve">, </w:t>
            </w:r>
            <w:r w:rsidRPr="00E04C2D">
              <w:rPr>
                <w:rFonts w:asciiTheme="minorHAnsi" w:hAnsiTheme="minorHAnsi"/>
                <w:bCs/>
                <w:szCs w:val="24"/>
              </w:rPr>
              <w:t>Yescarta</w:t>
            </w:r>
          </w:p>
        </w:tc>
        <w:tc>
          <w:tcPr>
            <w:tcW w:w="0" w:type="auto"/>
          </w:tcPr>
          <w:p w14:paraId="310C6F99" w14:textId="77777777" w:rsidR="008200D5" w:rsidRPr="00272E82" w:rsidRDefault="008200D5">
            <w:pPr>
              <w:jc w:val="center"/>
              <w:rPr>
                <w:rFonts w:asciiTheme="minorHAnsi" w:hAnsiTheme="minorHAnsi"/>
                <w:bCs/>
                <w:szCs w:val="24"/>
              </w:rPr>
            </w:pPr>
            <w:r>
              <w:rPr>
                <w:rFonts w:asciiTheme="minorHAnsi" w:hAnsiTheme="minorHAnsi"/>
                <w:bCs/>
                <w:szCs w:val="24"/>
              </w:rPr>
              <w:t>-</w:t>
            </w:r>
          </w:p>
        </w:tc>
        <w:tc>
          <w:tcPr>
            <w:tcW w:w="0" w:type="auto"/>
          </w:tcPr>
          <w:p w14:paraId="45220BA9" w14:textId="77777777" w:rsidR="008200D5" w:rsidRPr="00272E82" w:rsidRDefault="008200D5">
            <w:pPr>
              <w:jc w:val="center"/>
              <w:rPr>
                <w:rFonts w:asciiTheme="minorHAnsi" w:hAnsiTheme="minorHAnsi"/>
                <w:bCs/>
                <w:szCs w:val="24"/>
              </w:rPr>
            </w:pPr>
            <w:r>
              <w:rPr>
                <w:rFonts w:asciiTheme="minorHAnsi" w:hAnsiTheme="minorHAnsi"/>
                <w:bCs/>
                <w:szCs w:val="24"/>
              </w:rPr>
              <w:t>-</w:t>
            </w:r>
          </w:p>
        </w:tc>
        <w:tc>
          <w:tcPr>
            <w:tcW w:w="0" w:type="auto"/>
          </w:tcPr>
          <w:p w14:paraId="46262C62" w14:textId="77777777" w:rsidR="008200D5" w:rsidRPr="00272E82" w:rsidRDefault="008200D5">
            <w:pPr>
              <w:jc w:val="center"/>
              <w:rPr>
                <w:rFonts w:asciiTheme="minorHAnsi" w:hAnsiTheme="minorHAnsi"/>
                <w:bCs/>
                <w:szCs w:val="24"/>
              </w:rPr>
            </w:pPr>
            <w:r w:rsidRPr="00272E82">
              <w:rPr>
                <w:rFonts w:asciiTheme="minorHAnsi" w:hAnsiTheme="minorHAnsi"/>
                <w:bCs/>
                <w:szCs w:val="24"/>
              </w:rPr>
              <w:t>4</w:t>
            </w:r>
          </w:p>
        </w:tc>
      </w:tr>
      <w:tr w:rsidR="008200D5" w:rsidRPr="00272E82" w14:paraId="32D7AC2D" w14:textId="77777777" w:rsidTr="00BE29C5">
        <w:trPr>
          <w:cantSplit/>
        </w:trPr>
        <w:tc>
          <w:tcPr>
            <w:tcW w:w="0" w:type="auto"/>
          </w:tcPr>
          <w:p w14:paraId="21C667C4" w14:textId="77777777" w:rsidR="008200D5" w:rsidRPr="00272E82" w:rsidRDefault="008200D5">
            <w:pPr>
              <w:rPr>
                <w:rFonts w:asciiTheme="minorHAnsi" w:hAnsiTheme="minorHAnsi"/>
                <w:bCs/>
                <w:szCs w:val="24"/>
              </w:rPr>
            </w:pPr>
            <w:r w:rsidRPr="00272E82">
              <w:rPr>
                <w:rFonts w:asciiTheme="minorHAnsi" w:hAnsiTheme="minorHAnsi"/>
                <w:bCs/>
                <w:szCs w:val="24"/>
              </w:rPr>
              <w:t>Tufts Medical Center</w:t>
            </w:r>
            <w:r>
              <w:rPr>
                <w:rStyle w:val="FootnoteReference"/>
                <w:rFonts w:asciiTheme="minorHAnsi" w:hAnsiTheme="minorHAnsi"/>
                <w:bCs/>
                <w:szCs w:val="24"/>
              </w:rPr>
              <w:footnoteReference w:id="77"/>
            </w:r>
          </w:p>
        </w:tc>
        <w:tc>
          <w:tcPr>
            <w:tcW w:w="0" w:type="auto"/>
          </w:tcPr>
          <w:p w14:paraId="5387992D" w14:textId="77777777" w:rsidR="008200D5" w:rsidRPr="00272E82" w:rsidRDefault="008200D5">
            <w:pPr>
              <w:jc w:val="center"/>
              <w:rPr>
                <w:rFonts w:asciiTheme="minorHAnsi" w:hAnsiTheme="minorHAnsi"/>
                <w:bCs/>
                <w:szCs w:val="24"/>
              </w:rPr>
            </w:pPr>
            <w:r w:rsidRPr="00272E82">
              <w:rPr>
                <w:rFonts w:asciiTheme="minorHAnsi" w:hAnsiTheme="minorHAnsi"/>
                <w:bCs/>
                <w:szCs w:val="24"/>
              </w:rPr>
              <w:t>Kymriah</w:t>
            </w:r>
          </w:p>
        </w:tc>
        <w:tc>
          <w:tcPr>
            <w:tcW w:w="0" w:type="auto"/>
          </w:tcPr>
          <w:p w14:paraId="140C3E6C" w14:textId="77777777" w:rsidR="008200D5" w:rsidRPr="00272E82" w:rsidRDefault="008200D5">
            <w:pPr>
              <w:jc w:val="center"/>
              <w:rPr>
                <w:rFonts w:asciiTheme="minorHAnsi" w:hAnsiTheme="minorHAnsi"/>
                <w:bCs/>
                <w:szCs w:val="24"/>
              </w:rPr>
            </w:pPr>
            <w:r>
              <w:rPr>
                <w:rFonts w:asciiTheme="minorHAnsi" w:hAnsiTheme="minorHAnsi"/>
                <w:bCs/>
                <w:szCs w:val="24"/>
              </w:rPr>
              <w:t>2</w:t>
            </w:r>
          </w:p>
        </w:tc>
        <w:tc>
          <w:tcPr>
            <w:tcW w:w="0" w:type="auto"/>
          </w:tcPr>
          <w:p w14:paraId="34C37E5E" w14:textId="77777777" w:rsidR="008200D5" w:rsidRPr="00272E82" w:rsidRDefault="008200D5">
            <w:pPr>
              <w:jc w:val="center"/>
              <w:rPr>
                <w:rFonts w:asciiTheme="minorHAnsi" w:hAnsiTheme="minorHAnsi"/>
                <w:bCs/>
                <w:szCs w:val="24"/>
              </w:rPr>
            </w:pPr>
            <w:r>
              <w:rPr>
                <w:rFonts w:asciiTheme="minorHAnsi" w:hAnsiTheme="minorHAnsi"/>
                <w:bCs/>
                <w:szCs w:val="24"/>
              </w:rPr>
              <w:t>-</w:t>
            </w:r>
          </w:p>
        </w:tc>
        <w:tc>
          <w:tcPr>
            <w:tcW w:w="0" w:type="auto"/>
          </w:tcPr>
          <w:p w14:paraId="4AD39A6A" w14:textId="77777777" w:rsidR="008200D5" w:rsidRPr="00272E82" w:rsidRDefault="008200D5">
            <w:pPr>
              <w:jc w:val="center"/>
              <w:rPr>
                <w:rFonts w:asciiTheme="minorHAnsi" w:hAnsiTheme="minorHAnsi"/>
                <w:bCs/>
                <w:szCs w:val="24"/>
              </w:rPr>
            </w:pPr>
            <w:r>
              <w:rPr>
                <w:rFonts w:asciiTheme="minorHAnsi" w:hAnsiTheme="minorHAnsi"/>
                <w:bCs/>
                <w:szCs w:val="24"/>
              </w:rPr>
              <w:t>-</w:t>
            </w:r>
          </w:p>
        </w:tc>
      </w:tr>
    </w:tbl>
    <w:p w14:paraId="16F501C2" w14:textId="77777777" w:rsidR="008200D5" w:rsidRDefault="008200D5" w:rsidP="008200D5">
      <w:pPr>
        <w:rPr>
          <w:rFonts w:asciiTheme="minorHAnsi" w:hAnsiTheme="minorHAnsi"/>
          <w:b/>
          <w:szCs w:val="24"/>
          <w:u w:val="single"/>
        </w:rPr>
      </w:pPr>
    </w:p>
    <w:p w14:paraId="505126EC" w14:textId="77777777" w:rsidR="008200D5" w:rsidRPr="003B2CD4" w:rsidRDefault="008200D5" w:rsidP="008200D5">
      <w:pPr>
        <w:rPr>
          <w:rFonts w:asciiTheme="minorHAnsi" w:hAnsiTheme="minorHAnsi"/>
          <w:bCs/>
          <w:szCs w:val="24"/>
        </w:rPr>
      </w:pPr>
      <w:r>
        <w:rPr>
          <w:rFonts w:asciiTheme="minorHAnsi" w:hAnsiTheme="minorHAnsi"/>
          <w:bCs/>
          <w:szCs w:val="24"/>
        </w:rPr>
        <w:t xml:space="preserve">The Applicant maintains that the examples described above further support the Applicant’s assertion that Dana-Farber is best equipped to oversee the expansion of complex and novel therapies within the proposed hospital. </w:t>
      </w:r>
    </w:p>
    <w:p w14:paraId="25DE8D65" w14:textId="05D95172" w:rsidR="00631C0C" w:rsidRPr="00631C0C" w:rsidRDefault="00631C0C" w:rsidP="00BA2054">
      <w:pPr>
        <w:rPr>
          <w:rFonts w:asciiTheme="minorHAnsi" w:hAnsiTheme="minorHAnsi"/>
          <w:szCs w:val="24"/>
        </w:rPr>
      </w:pPr>
    </w:p>
    <w:p w14:paraId="58D8B20D" w14:textId="7C7999AE" w:rsidR="00AF3019" w:rsidRDefault="000D2EB8" w:rsidP="00BA2054">
      <w:pPr>
        <w:rPr>
          <w:rFonts w:asciiTheme="minorHAnsi" w:hAnsiTheme="minorHAnsi"/>
          <w:b/>
          <w:bCs/>
          <w:szCs w:val="24"/>
        </w:rPr>
      </w:pPr>
      <w:r>
        <w:rPr>
          <w:rFonts w:asciiTheme="minorHAnsi" w:hAnsiTheme="minorHAnsi"/>
          <w:b/>
          <w:bCs/>
          <w:szCs w:val="24"/>
        </w:rPr>
        <w:t xml:space="preserve">IMAGING EQUIPMENT </w:t>
      </w:r>
    </w:p>
    <w:p w14:paraId="764AEF9D" w14:textId="47C5E784" w:rsidR="00EB6638" w:rsidRDefault="00DB72DE" w:rsidP="00BA2054">
      <w:pPr>
        <w:rPr>
          <w:rFonts w:asciiTheme="minorHAnsi" w:hAnsiTheme="minorHAnsi"/>
          <w:szCs w:val="24"/>
        </w:rPr>
      </w:pPr>
      <w:r w:rsidRPr="00371918">
        <w:rPr>
          <w:rFonts w:asciiTheme="minorHAnsi" w:hAnsiTheme="minorHAnsi"/>
          <w:szCs w:val="24"/>
        </w:rPr>
        <w:t xml:space="preserve">The Applicant affirms that imaging is an essential component of </w:t>
      </w:r>
      <w:r w:rsidR="00FC3677">
        <w:rPr>
          <w:rFonts w:asciiTheme="minorHAnsi" w:hAnsiTheme="minorHAnsi"/>
          <w:szCs w:val="24"/>
        </w:rPr>
        <w:t xml:space="preserve">cancer </w:t>
      </w:r>
      <w:r w:rsidR="00B26AEC">
        <w:rPr>
          <w:rFonts w:asciiTheme="minorHAnsi" w:hAnsiTheme="minorHAnsi"/>
          <w:szCs w:val="24"/>
        </w:rPr>
        <w:t>treatment</w:t>
      </w:r>
      <w:r w:rsidR="002B3B8F">
        <w:rPr>
          <w:rFonts w:asciiTheme="minorHAnsi" w:hAnsiTheme="minorHAnsi"/>
          <w:szCs w:val="24"/>
        </w:rPr>
        <w:t xml:space="preserve"> because</w:t>
      </w:r>
      <w:r w:rsidR="00371918" w:rsidRPr="00371918">
        <w:rPr>
          <w:rFonts w:asciiTheme="minorHAnsi" w:hAnsiTheme="minorHAnsi"/>
          <w:szCs w:val="24"/>
        </w:rPr>
        <w:t xml:space="preserve"> </w:t>
      </w:r>
      <w:r w:rsidR="002B3B8F">
        <w:rPr>
          <w:rFonts w:asciiTheme="minorHAnsi" w:hAnsiTheme="minorHAnsi"/>
          <w:szCs w:val="24"/>
        </w:rPr>
        <w:t>i</w:t>
      </w:r>
      <w:r w:rsidR="00371918" w:rsidRPr="00371918">
        <w:rPr>
          <w:rFonts w:asciiTheme="minorHAnsi" w:hAnsiTheme="minorHAnsi"/>
          <w:szCs w:val="24"/>
        </w:rPr>
        <w:t>maging equipment assists in the detection and diagnosis of cancers, the determination of a cancer’s spread, the approach for delivering certain treatments, and the assessment of the efficacy of a particular treatment.</w:t>
      </w:r>
      <w:r w:rsidR="00BD1CFF" w:rsidRPr="00BD1CFF">
        <w:rPr>
          <w:rFonts w:asciiTheme="minorHAnsi" w:hAnsiTheme="minorHAnsi"/>
          <w:szCs w:val="24"/>
        </w:rPr>
        <w:t xml:space="preserve"> </w:t>
      </w:r>
      <w:r w:rsidR="00B73379" w:rsidRPr="00B73379">
        <w:rPr>
          <w:rFonts w:asciiTheme="minorHAnsi" w:hAnsiTheme="minorHAnsi"/>
          <w:szCs w:val="24"/>
        </w:rPr>
        <w:t>Additionally, imaging is essential in the inpatient setting to detect and treat non-oncologic conditions such as infection, trauma, or other acute conditions.</w:t>
      </w:r>
    </w:p>
    <w:p w14:paraId="679C68AE" w14:textId="77777777" w:rsidR="00EB6638" w:rsidRDefault="00EB6638" w:rsidP="00BA2054">
      <w:pPr>
        <w:rPr>
          <w:rFonts w:asciiTheme="minorHAnsi" w:hAnsiTheme="minorHAnsi"/>
          <w:szCs w:val="24"/>
        </w:rPr>
      </w:pPr>
    </w:p>
    <w:p w14:paraId="2EA52F78" w14:textId="534FA22E" w:rsidR="00EB6638" w:rsidRDefault="00BD1CFF" w:rsidP="00BA2054">
      <w:pPr>
        <w:rPr>
          <w:rFonts w:asciiTheme="minorHAnsi" w:hAnsiTheme="minorHAnsi"/>
          <w:szCs w:val="24"/>
        </w:rPr>
      </w:pPr>
      <w:r w:rsidRPr="00BD1CFF">
        <w:rPr>
          <w:rFonts w:asciiTheme="minorHAnsi" w:hAnsiTheme="minorHAnsi"/>
          <w:szCs w:val="24"/>
        </w:rPr>
        <w:t>The Applicant currently has 2 MRIs, 3 CT units, and 2 PET-CTs</w:t>
      </w:r>
      <w:r w:rsidR="0058291B">
        <w:rPr>
          <w:rFonts w:asciiTheme="minorHAnsi" w:hAnsiTheme="minorHAnsi"/>
          <w:szCs w:val="24"/>
        </w:rPr>
        <w:t xml:space="preserve"> on its Longwood Campus</w:t>
      </w:r>
      <w:r w:rsidR="00F46B7E">
        <w:rPr>
          <w:rFonts w:asciiTheme="minorHAnsi" w:hAnsiTheme="minorHAnsi"/>
          <w:szCs w:val="24"/>
        </w:rPr>
        <w:t xml:space="preserve"> at 44 Binney Street, Boston, MA and</w:t>
      </w:r>
      <w:r w:rsidR="0058291B">
        <w:rPr>
          <w:rFonts w:asciiTheme="minorHAnsi" w:hAnsiTheme="minorHAnsi"/>
          <w:szCs w:val="24"/>
        </w:rPr>
        <w:t xml:space="preserve"> </w:t>
      </w:r>
      <w:r w:rsidR="00F46B7E">
        <w:rPr>
          <w:rFonts w:asciiTheme="minorHAnsi" w:hAnsiTheme="minorHAnsi"/>
          <w:szCs w:val="24"/>
        </w:rPr>
        <w:t>t</w:t>
      </w:r>
      <w:r w:rsidR="0047640A">
        <w:rPr>
          <w:rFonts w:asciiTheme="minorHAnsi" w:hAnsiTheme="minorHAnsi"/>
          <w:szCs w:val="24"/>
        </w:rPr>
        <w:t xml:space="preserve">he Applicant expects that all the imaging equipment will remain at Binney Street following project implementation. </w:t>
      </w:r>
      <w:r w:rsidR="00D06CFF">
        <w:rPr>
          <w:rFonts w:asciiTheme="minorHAnsi" w:hAnsiTheme="minorHAnsi"/>
          <w:szCs w:val="24"/>
        </w:rPr>
        <w:t xml:space="preserve">The Applicant is proposing to add </w:t>
      </w:r>
      <w:r w:rsidR="007F149A">
        <w:rPr>
          <w:rFonts w:asciiTheme="minorHAnsi" w:hAnsiTheme="minorHAnsi"/>
          <w:szCs w:val="24"/>
        </w:rPr>
        <w:t xml:space="preserve">2 MRIs, two CT units, and one PET-CT </w:t>
      </w:r>
      <w:r w:rsidR="00C2148F">
        <w:rPr>
          <w:rFonts w:asciiTheme="minorHAnsi" w:hAnsiTheme="minorHAnsi"/>
          <w:szCs w:val="24"/>
        </w:rPr>
        <w:t>as part of</w:t>
      </w:r>
      <w:r w:rsidR="007F149A">
        <w:rPr>
          <w:rFonts w:asciiTheme="minorHAnsi" w:hAnsiTheme="minorHAnsi"/>
          <w:szCs w:val="24"/>
        </w:rPr>
        <w:t xml:space="preserve"> the Proposed Project. </w:t>
      </w:r>
    </w:p>
    <w:p w14:paraId="28B37148" w14:textId="77777777" w:rsidR="00EB6638" w:rsidRDefault="00EB6638" w:rsidP="00BA2054">
      <w:pPr>
        <w:rPr>
          <w:rFonts w:asciiTheme="minorHAnsi" w:hAnsiTheme="minorHAnsi"/>
          <w:szCs w:val="24"/>
        </w:rPr>
      </w:pPr>
    </w:p>
    <w:p w14:paraId="3B85CA6E" w14:textId="72919C19" w:rsidR="00573ACC" w:rsidRDefault="00C2148F" w:rsidP="00BA2054">
      <w:pPr>
        <w:rPr>
          <w:rFonts w:asciiTheme="minorHAnsi" w:hAnsiTheme="minorHAnsi"/>
          <w:szCs w:val="24"/>
        </w:rPr>
      </w:pPr>
      <w:r>
        <w:rPr>
          <w:rFonts w:asciiTheme="minorHAnsi" w:hAnsiTheme="minorHAnsi"/>
          <w:szCs w:val="24"/>
        </w:rPr>
        <w:lastRenderedPageBreak/>
        <w:t>To understand Patient Panel need for imaging equipment, the Applicant provided historical utilization of imaging equipment by the Applicant’s inpatients</w:t>
      </w:r>
      <w:r w:rsidR="00E07077">
        <w:rPr>
          <w:rFonts w:asciiTheme="minorHAnsi" w:hAnsiTheme="minorHAnsi"/>
          <w:szCs w:val="24"/>
        </w:rPr>
        <w:t xml:space="preserve"> in its 30 licensed beds</w:t>
      </w:r>
      <w:r>
        <w:rPr>
          <w:rFonts w:asciiTheme="minorHAnsi" w:hAnsiTheme="minorHAnsi"/>
          <w:szCs w:val="24"/>
        </w:rPr>
        <w:t>.</w:t>
      </w:r>
      <w:r w:rsidR="00286524">
        <w:rPr>
          <w:rFonts w:asciiTheme="minorHAnsi" w:hAnsiTheme="minorHAnsi"/>
          <w:szCs w:val="24"/>
        </w:rPr>
        <w:t xml:space="preserve"> </w:t>
      </w:r>
      <w:r w:rsidR="00464E57">
        <w:rPr>
          <w:rFonts w:asciiTheme="minorHAnsi" w:hAnsiTheme="minorHAnsi"/>
          <w:szCs w:val="24"/>
        </w:rPr>
        <w:t xml:space="preserve">Table </w:t>
      </w:r>
      <w:r w:rsidR="00440EA7">
        <w:rPr>
          <w:rFonts w:asciiTheme="minorHAnsi" w:hAnsiTheme="minorHAnsi"/>
          <w:szCs w:val="24"/>
        </w:rPr>
        <w:t>2</w:t>
      </w:r>
      <w:r w:rsidR="002D5360">
        <w:rPr>
          <w:rFonts w:asciiTheme="minorHAnsi" w:hAnsiTheme="minorHAnsi"/>
          <w:szCs w:val="24"/>
        </w:rPr>
        <w:t>3</w:t>
      </w:r>
      <w:r w:rsidR="00464E57">
        <w:rPr>
          <w:rFonts w:asciiTheme="minorHAnsi" w:hAnsiTheme="minorHAnsi"/>
          <w:szCs w:val="24"/>
        </w:rPr>
        <w:t xml:space="preserve"> shows </w:t>
      </w:r>
      <w:r w:rsidR="009811E9" w:rsidRPr="009811E9">
        <w:rPr>
          <w:rFonts w:asciiTheme="minorHAnsi" w:hAnsiTheme="minorHAnsi"/>
          <w:szCs w:val="24"/>
        </w:rPr>
        <w:t>Inpatient Imaging Equipment utilization</w:t>
      </w:r>
      <w:r w:rsidR="00996AED">
        <w:rPr>
          <w:rFonts w:asciiTheme="minorHAnsi" w:hAnsiTheme="minorHAnsi"/>
          <w:szCs w:val="24"/>
        </w:rPr>
        <w:t xml:space="preserve"> </w:t>
      </w:r>
      <w:r w:rsidR="00025A81">
        <w:rPr>
          <w:rFonts w:asciiTheme="minorHAnsi" w:hAnsiTheme="minorHAnsi"/>
          <w:szCs w:val="24"/>
        </w:rPr>
        <w:t>from</w:t>
      </w:r>
      <w:r w:rsidR="00996AED">
        <w:rPr>
          <w:rFonts w:asciiTheme="minorHAnsi" w:hAnsiTheme="minorHAnsi"/>
          <w:szCs w:val="24"/>
        </w:rPr>
        <w:t xml:space="preserve"> </w:t>
      </w:r>
      <w:r w:rsidR="00EB6638">
        <w:rPr>
          <w:rFonts w:asciiTheme="minorHAnsi" w:hAnsiTheme="minorHAnsi"/>
          <w:szCs w:val="24"/>
        </w:rPr>
        <w:t>FY18</w:t>
      </w:r>
      <w:r w:rsidR="00996AED">
        <w:rPr>
          <w:rFonts w:asciiTheme="minorHAnsi" w:hAnsiTheme="minorHAnsi"/>
          <w:szCs w:val="24"/>
        </w:rPr>
        <w:t xml:space="preserve"> </w:t>
      </w:r>
      <w:r w:rsidR="00025A81">
        <w:rPr>
          <w:rFonts w:asciiTheme="minorHAnsi" w:hAnsiTheme="minorHAnsi"/>
          <w:szCs w:val="24"/>
        </w:rPr>
        <w:t>to</w:t>
      </w:r>
      <w:r w:rsidR="00996AED">
        <w:rPr>
          <w:rFonts w:asciiTheme="minorHAnsi" w:hAnsiTheme="minorHAnsi"/>
          <w:szCs w:val="24"/>
        </w:rPr>
        <w:t xml:space="preserve"> </w:t>
      </w:r>
      <w:r w:rsidR="00EB6638">
        <w:rPr>
          <w:rFonts w:asciiTheme="minorHAnsi" w:hAnsiTheme="minorHAnsi"/>
          <w:szCs w:val="24"/>
        </w:rPr>
        <w:t>FY23</w:t>
      </w:r>
      <w:r w:rsidR="009811E9">
        <w:rPr>
          <w:rFonts w:asciiTheme="minorHAnsi" w:hAnsiTheme="minorHAnsi"/>
          <w:szCs w:val="24"/>
        </w:rPr>
        <w:t xml:space="preserve"> in the </w:t>
      </w:r>
      <w:r w:rsidR="00464E57" w:rsidRPr="00464E57">
        <w:rPr>
          <w:rFonts w:asciiTheme="minorHAnsi" w:hAnsiTheme="minorHAnsi"/>
          <w:szCs w:val="24"/>
        </w:rPr>
        <w:t xml:space="preserve">Applicant’s 30 licensed beds by the Applicant’s </w:t>
      </w:r>
      <w:r w:rsidR="009811E9">
        <w:rPr>
          <w:rFonts w:asciiTheme="minorHAnsi" w:hAnsiTheme="minorHAnsi"/>
          <w:szCs w:val="24"/>
        </w:rPr>
        <w:t xml:space="preserve">Patient Panel. </w:t>
      </w:r>
    </w:p>
    <w:p w14:paraId="2BAF47BF" w14:textId="77777777" w:rsidR="00DB6446" w:rsidRDefault="00DB6446" w:rsidP="00932E5D">
      <w:pPr>
        <w:rPr>
          <w:rFonts w:asciiTheme="minorHAnsi" w:hAnsiTheme="minorHAnsi"/>
          <w:szCs w:val="24"/>
        </w:rPr>
      </w:pPr>
    </w:p>
    <w:p w14:paraId="1AF21899" w14:textId="5408C0D8" w:rsidR="00DA03B5" w:rsidRDefault="00DA03B5" w:rsidP="00932E5D">
      <w:pPr>
        <w:rPr>
          <w:rFonts w:asciiTheme="minorHAnsi" w:hAnsiTheme="minorHAnsi"/>
          <w:b/>
          <w:bCs/>
          <w:szCs w:val="24"/>
        </w:rPr>
      </w:pPr>
      <w:r w:rsidRPr="00543D33">
        <w:rPr>
          <w:rFonts w:asciiTheme="minorHAnsi" w:hAnsiTheme="minorHAnsi"/>
          <w:b/>
          <w:bCs/>
          <w:szCs w:val="24"/>
          <w:u w:val="single"/>
        </w:rPr>
        <w:t xml:space="preserve">Table </w:t>
      </w:r>
      <w:r w:rsidR="00440EA7">
        <w:rPr>
          <w:rFonts w:asciiTheme="minorHAnsi" w:hAnsiTheme="minorHAnsi"/>
          <w:b/>
          <w:bCs/>
          <w:szCs w:val="24"/>
          <w:u w:val="single"/>
        </w:rPr>
        <w:t>2</w:t>
      </w:r>
      <w:r w:rsidR="002D5360">
        <w:rPr>
          <w:rFonts w:asciiTheme="minorHAnsi" w:hAnsiTheme="minorHAnsi"/>
          <w:b/>
          <w:bCs/>
          <w:szCs w:val="24"/>
          <w:u w:val="single"/>
        </w:rPr>
        <w:t>3</w:t>
      </w:r>
      <w:r>
        <w:rPr>
          <w:rFonts w:asciiTheme="minorHAnsi" w:hAnsiTheme="minorHAnsi"/>
          <w:b/>
          <w:bCs/>
          <w:szCs w:val="24"/>
        </w:rPr>
        <w:t xml:space="preserve">: </w:t>
      </w:r>
      <w:r w:rsidR="001205EC" w:rsidRPr="001205EC">
        <w:rPr>
          <w:rFonts w:asciiTheme="minorHAnsi" w:hAnsiTheme="minorHAnsi"/>
          <w:b/>
          <w:bCs/>
          <w:szCs w:val="24"/>
        </w:rPr>
        <w:t>Inpatient Imaging Equipment Utilization</w:t>
      </w:r>
      <w:r w:rsidR="00403AC5" w:rsidRPr="00403AC5">
        <w:rPr>
          <w:rFonts w:asciiTheme="minorHAnsi" w:hAnsiTheme="minorHAnsi"/>
          <w:b/>
          <w:bCs/>
          <w:szCs w:val="24"/>
          <w:vertAlign w:val="superscript"/>
        </w:rPr>
        <w:footnoteReference w:id="78"/>
      </w:r>
    </w:p>
    <w:tbl>
      <w:tblPr>
        <w:tblW w:w="0" w:type="auto"/>
        <w:tblLook w:val="04A0" w:firstRow="1" w:lastRow="0" w:firstColumn="1" w:lastColumn="0" w:noHBand="0" w:noVBand="1"/>
      </w:tblPr>
      <w:tblGrid>
        <w:gridCol w:w="2849"/>
        <w:gridCol w:w="763"/>
        <w:gridCol w:w="763"/>
        <w:gridCol w:w="763"/>
        <w:gridCol w:w="763"/>
        <w:gridCol w:w="763"/>
        <w:gridCol w:w="763"/>
        <w:gridCol w:w="1493"/>
      </w:tblGrid>
      <w:tr w:rsidR="00781AB0" w:rsidRPr="00E52C17" w14:paraId="282F2FB6" w14:textId="60AED14E" w:rsidTr="00F77C4F">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BF07AE" w14:textId="77777777" w:rsidR="00781AB0" w:rsidRPr="00E52C17" w:rsidRDefault="00781AB0" w:rsidP="00181CFA">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Metric</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E966829" w14:textId="77777777"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B26F7CF" w14:textId="77777777"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0FDB769" w14:textId="77777777"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07210AF" w14:textId="77777777"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2F6E5BD" w14:textId="77777777"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4D8472B" w14:textId="77777777"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tcPr>
          <w:p w14:paraId="4DC92AD1" w14:textId="51C7E54E"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 Change</w:t>
            </w:r>
          </w:p>
          <w:p w14:paraId="2DA07DEC" w14:textId="7FBB4168" w:rsidR="00781AB0" w:rsidRPr="00E52C17" w:rsidRDefault="00781AB0" w:rsidP="00ED334D">
            <w:pPr>
              <w:widowControl/>
              <w:autoSpaceDE/>
              <w:autoSpaceDN/>
              <w:jc w:val="center"/>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FY18 to FY23</w:t>
            </w:r>
          </w:p>
        </w:tc>
      </w:tr>
      <w:tr w:rsidR="00781AB0" w:rsidRPr="00E52C17" w14:paraId="19EBF682" w14:textId="1655E9BB" w:rsidTr="00F77C4F">
        <w:trPr>
          <w:cantSplit/>
          <w:trHeight w:val="29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54632F5" w14:textId="77777777" w:rsidR="00781AB0" w:rsidRPr="00E52C17" w:rsidRDefault="00781AB0" w:rsidP="00181CFA">
            <w:pPr>
              <w:widowControl/>
              <w:autoSpaceDE/>
              <w:autoSpaceDN/>
              <w:rPr>
                <w:rFonts w:asciiTheme="minorHAnsi" w:eastAsia="Times New Roman" w:hAnsiTheme="minorHAnsi"/>
                <w:b/>
                <w:bCs/>
                <w:color w:val="000000"/>
                <w:szCs w:val="24"/>
              </w:rPr>
            </w:pPr>
            <w:r w:rsidRPr="00E52C17">
              <w:rPr>
                <w:rFonts w:asciiTheme="minorHAnsi" w:eastAsia="Times New Roman" w:hAnsiTheme="minorHAnsi"/>
                <w:b/>
                <w:bCs/>
                <w:color w:val="000000"/>
                <w:szCs w:val="24"/>
              </w:rPr>
              <w:t>Discharges</w:t>
            </w:r>
          </w:p>
        </w:tc>
        <w:tc>
          <w:tcPr>
            <w:tcW w:w="0" w:type="auto"/>
            <w:tcBorders>
              <w:top w:val="nil"/>
              <w:left w:val="nil"/>
              <w:bottom w:val="single" w:sz="4" w:space="0" w:color="auto"/>
              <w:right w:val="single" w:sz="4" w:space="0" w:color="auto"/>
            </w:tcBorders>
            <w:shd w:val="clear" w:color="000000" w:fill="F2F2F2"/>
            <w:vAlign w:val="center"/>
            <w:hideMark/>
          </w:tcPr>
          <w:p w14:paraId="611DB2AD" w14:textId="77777777" w:rsidR="00781AB0" w:rsidRPr="00E52C17" w:rsidRDefault="00781AB0"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1,303</w:t>
            </w:r>
          </w:p>
        </w:tc>
        <w:tc>
          <w:tcPr>
            <w:tcW w:w="0" w:type="auto"/>
            <w:tcBorders>
              <w:top w:val="nil"/>
              <w:left w:val="nil"/>
              <w:bottom w:val="single" w:sz="4" w:space="0" w:color="auto"/>
              <w:right w:val="single" w:sz="4" w:space="0" w:color="auto"/>
            </w:tcBorders>
            <w:shd w:val="clear" w:color="000000" w:fill="F2F2F2"/>
            <w:vAlign w:val="center"/>
            <w:hideMark/>
          </w:tcPr>
          <w:p w14:paraId="4B5C703D" w14:textId="77777777" w:rsidR="00781AB0" w:rsidRPr="00E52C17" w:rsidRDefault="00781AB0"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1,566</w:t>
            </w:r>
          </w:p>
        </w:tc>
        <w:tc>
          <w:tcPr>
            <w:tcW w:w="0" w:type="auto"/>
            <w:tcBorders>
              <w:top w:val="nil"/>
              <w:left w:val="nil"/>
              <w:bottom w:val="single" w:sz="4" w:space="0" w:color="auto"/>
              <w:right w:val="single" w:sz="4" w:space="0" w:color="auto"/>
            </w:tcBorders>
            <w:shd w:val="clear" w:color="000000" w:fill="F2F2F2"/>
            <w:vAlign w:val="center"/>
            <w:hideMark/>
          </w:tcPr>
          <w:p w14:paraId="344AA263" w14:textId="77777777" w:rsidR="00781AB0" w:rsidRPr="00E52C17" w:rsidRDefault="00781AB0"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1,420</w:t>
            </w:r>
          </w:p>
        </w:tc>
        <w:tc>
          <w:tcPr>
            <w:tcW w:w="0" w:type="auto"/>
            <w:tcBorders>
              <w:top w:val="nil"/>
              <w:left w:val="nil"/>
              <w:bottom w:val="single" w:sz="4" w:space="0" w:color="auto"/>
              <w:right w:val="single" w:sz="4" w:space="0" w:color="auto"/>
            </w:tcBorders>
            <w:shd w:val="clear" w:color="000000" w:fill="F2F2F2"/>
            <w:vAlign w:val="center"/>
            <w:hideMark/>
          </w:tcPr>
          <w:p w14:paraId="2E447BB8" w14:textId="77777777" w:rsidR="00781AB0" w:rsidRPr="00E52C17" w:rsidRDefault="00781AB0"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1,436</w:t>
            </w:r>
          </w:p>
        </w:tc>
        <w:tc>
          <w:tcPr>
            <w:tcW w:w="0" w:type="auto"/>
            <w:tcBorders>
              <w:top w:val="nil"/>
              <w:left w:val="nil"/>
              <w:bottom w:val="single" w:sz="4" w:space="0" w:color="auto"/>
              <w:right w:val="single" w:sz="4" w:space="0" w:color="auto"/>
            </w:tcBorders>
            <w:shd w:val="clear" w:color="000000" w:fill="F2F2F2"/>
            <w:vAlign w:val="center"/>
            <w:hideMark/>
          </w:tcPr>
          <w:p w14:paraId="144B0DD3" w14:textId="77777777" w:rsidR="00781AB0" w:rsidRPr="00E52C17" w:rsidRDefault="00781AB0"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1,297</w:t>
            </w:r>
          </w:p>
        </w:tc>
        <w:tc>
          <w:tcPr>
            <w:tcW w:w="0" w:type="auto"/>
            <w:tcBorders>
              <w:top w:val="nil"/>
              <w:left w:val="nil"/>
              <w:bottom w:val="single" w:sz="4" w:space="0" w:color="auto"/>
              <w:right w:val="single" w:sz="4" w:space="0" w:color="auto"/>
            </w:tcBorders>
            <w:shd w:val="clear" w:color="000000" w:fill="F2F2F2"/>
            <w:vAlign w:val="center"/>
            <w:hideMark/>
          </w:tcPr>
          <w:p w14:paraId="1E5E122C" w14:textId="77777777" w:rsidR="00781AB0" w:rsidRPr="00E52C17" w:rsidRDefault="00781AB0"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1,300</w:t>
            </w:r>
          </w:p>
        </w:tc>
        <w:tc>
          <w:tcPr>
            <w:tcW w:w="0" w:type="auto"/>
            <w:tcBorders>
              <w:top w:val="nil"/>
              <w:left w:val="nil"/>
              <w:bottom w:val="single" w:sz="4" w:space="0" w:color="auto"/>
              <w:right w:val="single" w:sz="4" w:space="0" w:color="auto"/>
            </w:tcBorders>
            <w:shd w:val="clear" w:color="000000" w:fill="F2F2F2"/>
          </w:tcPr>
          <w:p w14:paraId="78F47825" w14:textId="27054687" w:rsidR="00781AB0" w:rsidRPr="00E52C17" w:rsidRDefault="00781AB0" w:rsidP="00ED334D">
            <w:pPr>
              <w:widowControl/>
              <w:autoSpaceDE/>
              <w:autoSpaceDN/>
              <w:jc w:val="center"/>
              <w:rPr>
                <w:rFonts w:asciiTheme="minorHAnsi" w:eastAsia="Times New Roman" w:hAnsiTheme="minorHAnsi"/>
                <w:color w:val="000000"/>
                <w:szCs w:val="24"/>
              </w:rPr>
            </w:pPr>
          </w:p>
        </w:tc>
      </w:tr>
      <w:tr w:rsidR="00781AB0" w:rsidRPr="00E52C17" w14:paraId="2F85707B" w14:textId="0627293E" w:rsidTr="00F77C4F">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5C8883" w14:textId="77777777" w:rsidR="00781AB0" w:rsidRPr="00E52C17" w:rsidRDefault="00781AB0" w:rsidP="00181CFA">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MRI</w:t>
            </w:r>
          </w:p>
        </w:tc>
        <w:tc>
          <w:tcPr>
            <w:tcW w:w="0" w:type="auto"/>
            <w:tcBorders>
              <w:top w:val="nil"/>
              <w:left w:val="nil"/>
              <w:bottom w:val="single" w:sz="4" w:space="0" w:color="auto"/>
              <w:right w:val="single" w:sz="4" w:space="0" w:color="auto"/>
            </w:tcBorders>
            <w:shd w:val="clear" w:color="auto" w:fill="auto"/>
            <w:vAlign w:val="center"/>
            <w:hideMark/>
          </w:tcPr>
          <w:p w14:paraId="54EDAE4E" w14:textId="7CB4D279"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3D44C053" w14:textId="3FFB76CD"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11930FC4" w14:textId="2D096047"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51D07CFD" w14:textId="5BBF5A69"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4657C4E2" w14:textId="56FC4715"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3028FD2D" w14:textId="273FE1C6"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tcPr>
          <w:p w14:paraId="2765D19E" w14:textId="77777777" w:rsidR="00781AB0" w:rsidRPr="00E52C17" w:rsidRDefault="00781AB0" w:rsidP="00ED334D">
            <w:pPr>
              <w:widowControl/>
              <w:autoSpaceDE/>
              <w:autoSpaceDN/>
              <w:jc w:val="center"/>
              <w:rPr>
                <w:rFonts w:asciiTheme="minorHAnsi" w:eastAsia="Times New Roman" w:hAnsiTheme="minorHAnsi"/>
                <w:color w:val="000000"/>
                <w:szCs w:val="24"/>
              </w:rPr>
            </w:pPr>
          </w:p>
        </w:tc>
      </w:tr>
      <w:tr w:rsidR="00A139FF" w:rsidRPr="00E52C17" w14:paraId="00B27E46" w14:textId="5059FB8F" w:rsidTr="00F77C4F">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8DCF3" w14:textId="77777777" w:rsidR="00A139FF" w:rsidRPr="00E52C17" w:rsidRDefault="00A139FF" w:rsidP="00A139FF">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Inpatient Scans</w:t>
            </w:r>
          </w:p>
        </w:tc>
        <w:tc>
          <w:tcPr>
            <w:tcW w:w="0" w:type="auto"/>
            <w:tcBorders>
              <w:top w:val="nil"/>
              <w:left w:val="nil"/>
              <w:bottom w:val="single" w:sz="4" w:space="0" w:color="auto"/>
              <w:right w:val="single" w:sz="4" w:space="0" w:color="auto"/>
            </w:tcBorders>
            <w:shd w:val="clear" w:color="auto" w:fill="auto"/>
            <w:vAlign w:val="center"/>
            <w:hideMark/>
          </w:tcPr>
          <w:p w14:paraId="79812DF1"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313</w:t>
            </w:r>
          </w:p>
        </w:tc>
        <w:tc>
          <w:tcPr>
            <w:tcW w:w="0" w:type="auto"/>
            <w:tcBorders>
              <w:top w:val="nil"/>
              <w:left w:val="nil"/>
              <w:bottom w:val="single" w:sz="4" w:space="0" w:color="auto"/>
              <w:right w:val="single" w:sz="4" w:space="0" w:color="auto"/>
            </w:tcBorders>
            <w:shd w:val="clear" w:color="auto" w:fill="auto"/>
            <w:vAlign w:val="center"/>
            <w:hideMark/>
          </w:tcPr>
          <w:p w14:paraId="6BCC6452"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267</w:t>
            </w:r>
          </w:p>
        </w:tc>
        <w:tc>
          <w:tcPr>
            <w:tcW w:w="0" w:type="auto"/>
            <w:tcBorders>
              <w:top w:val="nil"/>
              <w:left w:val="nil"/>
              <w:bottom w:val="single" w:sz="4" w:space="0" w:color="auto"/>
              <w:right w:val="single" w:sz="4" w:space="0" w:color="auto"/>
            </w:tcBorders>
            <w:shd w:val="clear" w:color="auto" w:fill="auto"/>
            <w:vAlign w:val="center"/>
            <w:hideMark/>
          </w:tcPr>
          <w:p w14:paraId="1B317BAD"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387</w:t>
            </w:r>
          </w:p>
        </w:tc>
        <w:tc>
          <w:tcPr>
            <w:tcW w:w="0" w:type="auto"/>
            <w:tcBorders>
              <w:top w:val="nil"/>
              <w:left w:val="nil"/>
              <w:bottom w:val="single" w:sz="4" w:space="0" w:color="auto"/>
              <w:right w:val="single" w:sz="4" w:space="0" w:color="auto"/>
            </w:tcBorders>
            <w:shd w:val="clear" w:color="auto" w:fill="auto"/>
            <w:vAlign w:val="center"/>
            <w:hideMark/>
          </w:tcPr>
          <w:p w14:paraId="54626640"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538</w:t>
            </w:r>
          </w:p>
        </w:tc>
        <w:tc>
          <w:tcPr>
            <w:tcW w:w="0" w:type="auto"/>
            <w:tcBorders>
              <w:top w:val="nil"/>
              <w:left w:val="nil"/>
              <w:bottom w:val="single" w:sz="4" w:space="0" w:color="auto"/>
              <w:right w:val="single" w:sz="4" w:space="0" w:color="auto"/>
            </w:tcBorders>
            <w:shd w:val="clear" w:color="auto" w:fill="auto"/>
            <w:vAlign w:val="center"/>
            <w:hideMark/>
          </w:tcPr>
          <w:p w14:paraId="5DF98D40"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497</w:t>
            </w:r>
          </w:p>
        </w:tc>
        <w:tc>
          <w:tcPr>
            <w:tcW w:w="0" w:type="auto"/>
            <w:tcBorders>
              <w:top w:val="nil"/>
              <w:left w:val="nil"/>
              <w:bottom w:val="single" w:sz="4" w:space="0" w:color="auto"/>
              <w:right w:val="single" w:sz="4" w:space="0" w:color="auto"/>
            </w:tcBorders>
            <w:shd w:val="clear" w:color="auto" w:fill="auto"/>
            <w:vAlign w:val="center"/>
            <w:hideMark/>
          </w:tcPr>
          <w:p w14:paraId="49ACAE96"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504</w:t>
            </w:r>
          </w:p>
        </w:tc>
        <w:tc>
          <w:tcPr>
            <w:tcW w:w="0" w:type="auto"/>
            <w:tcBorders>
              <w:top w:val="nil"/>
              <w:left w:val="nil"/>
              <w:bottom w:val="single" w:sz="4" w:space="0" w:color="auto"/>
              <w:right w:val="single" w:sz="4" w:space="0" w:color="auto"/>
            </w:tcBorders>
          </w:tcPr>
          <w:p w14:paraId="27147418" w14:textId="106F624B"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hAnsiTheme="minorHAnsi"/>
                <w:szCs w:val="24"/>
              </w:rPr>
              <w:t>61%</w:t>
            </w:r>
          </w:p>
        </w:tc>
      </w:tr>
      <w:tr w:rsidR="00A139FF" w:rsidRPr="00E52C17" w14:paraId="5849F31D" w14:textId="00241640" w:rsidTr="00F77C4F">
        <w:trPr>
          <w:cantSplit/>
          <w:trHeight w:val="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221EDE" w14:textId="77777777" w:rsidR="00C75FC5" w:rsidRDefault="00A139FF" w:rsidP="00A139FF">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Percentage of Inpatients</w:t>
            </w:r>
            <w:r w:rsidR="00C75FC5">
              <w:rPr>
                <w:rFonts w:asciiTheme="minorHAnsi" w:eastAsia="Times New Roman" w:hAnsiTheme="minorHAnsi"/>
                <w:color w:val="000000"/>
                <w:szCs w:val="24"/>
              </w:rPr>
              <w:t xml:space="preserve">   </w:t>
            </w:r>
          </w:p>
          <w:p w14:paraId="5AA2E55F" w14:textId="0083D7C6" w:rsidR="00A139FF" w:rsidRPr="00E52C17" w:rsidRDefault="00C75FC5" w:rsidP="00C75FC5">
            <w:pPr>
              <w:widowControl/>
              <w:autoSpaceDE/>
              <w:autoSpaceDN/>
              <w:rPr>
                <w:rFonts w:asciiTheme="minorHAnsi" w:eastAsia="Times New Roman" w:hAnsiTheme="minorHAnsi"/>
                <w:color w:val="000000"/>
                <w:szCs w:val="24"/>
              </w:rPr>
            </w:pPr>
            <w:r>
              <w:rPr>
                <w:rFonts w:asciiTheme="minorHAnsi" w:eastAsia="Times New Roman" w:hAnsiTheme="minorHAnsi"/>
                <w:color w:val="000000"/>
                <w:szCs w:val="24"/>
              </w:rPr>
              <w:t xml:space="preserve">    </w:t>
            </w:r>
            <w:r w:rsidR="00A139FF" w:rsidRPr="00E52C17">
              <w:rPr>
                <w:rFonts w:asciiTheme="minorHAnsi" w:eastAsia="Times New Roman" w:hAnsiTheme="minorHAnsi"/>
                <w:color w:val="000000"/>
                <w:szCs w:val="24"/>
              </w:rPr>
              <w:t>Requiring Scan</w:t>
            </w:r>
          </w:p>
        </w:tc>
        <w:tc>
          <w:tcPr>
            <w:tcW w:w="0" w:type="auto"/>
            <w:tcBorders>
              <w:top w:val="nil"/>
              <w:left w:val="nil"/>
              <w:bottom w:val="single" w:sz="4" w:space="0" w:color="auto"/>
              <w:right w:val="single" w:sz="4" w:space="0" w:color="auto"/>
            </w:tcBorders>
            <w:shd w:val="clear" w:color="auto" w:fill="auto"/>
            <w:vAlign w:val="center"/>
            <w:hideMark/>
          </w:tcPr>
          <w:p w14:paraId="36465238"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42CCF214"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17%</w:t>
            </w:r>
          </w:p>
        </w:tc>
        <w:tc>
          <w:tcPr>
            <w:tcW w:w="0" w:type="auto"/>
            <w:tcBorders>
              <w:top w:val="nil"/>
              <w:left w:val="nil"/>
              <w:bottom w:val="single" w:sz="4" w:space="0" w:color="auto"/>
              <w:right w:val="single" w:sz="4" w:space="0" w:color="auto"/>
            </w:tcBorders>
            <w:shd w:val="clear" w:color="auto" w:fill="auto"/>
            <w:vAlign w:val="center"/>
            <w:hideMark/>
          </w:tcPr>
          <w:p w14:paraId="4B6FCAE6"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27%</w:t>
            </w:r>
          </w:p>
        </w:tc>
        <w:tc>
          <w:tcPr>
            <w:tcW w:w="0" w:type="auto"/>
            <w:tcBorders>
              <w:top w:val="nil"/>
              <w:left w:val="nil"/>
              <w:bottom w:val="single" w:sz="4" w:space="0" w:color="auto"/>
              <w:right w:val="single" w:sz="4" w:space="0" w:color="auto"/>
            </w:tcBorders>
            <w:shd w:val="clear" w:color="auto" w:fill="auto"/>
            <w:vAlign w:val="center"/>
            <w:hideMark/>
          </w:tcPr>
          <w:p w14:paraId="1AC7A708"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37%</w:t>
            </w:r>
          </w:p>
        </w:tc>
        <w:tc>
          <w:tcPr>
            <w:tcW w:w="0" w:type="auto"/>
            <w:tcBorders>
              <w:top w:val="nil"/>
              <w:left w:val="nil"/>
              <w:bottom w:val="single" w:sz="4" w:space="0" w:color="auto"/>
              <w:right w:val="single" w:sz="4" w:space="0" w:color="auto"/>
            </w:tcBorders>
            <w:shd w:val="clear" w:color="auto" w:fill="auto"/>
            <w:vAlign w:val="center"/>
            <w:hideMark/>
          </w:tcPr>
          <w:p w14:paraId="785FB0B3"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38%</w:t>
            </w:r>
          </w:p>
        </w:tc>
        <w:tc>
          <w:tcPr>
            <w:tcW w:w="0" w:type="auto"/>
            <w:tcBorders>
              <w:top w:val="nil"/>
              <w:left w:val="nil"/>
              <w:bottom w:val="single" w:sz="4" w:space="0" w:color="auto"/>
              <w:right w:val="single" w:sz="4" w:space="0" w:color="auto"/>
            </w:tcBorders>
            <w:shd w:val="clear" w:color="auto" w:fill="auto"/>
            <w:vAlign w:val="center"/>
            <w:hideMark/>
          </w:tcPr>
          <w:p w14:paraId="0A0AB838" w14:textId="77777777" w:rsidR="00A139FF" w:rsidRPr="00E52C17" w:rsidRDefault="00A139FF"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39%</w:t>
            </w:r>
          </w:p>
        </w:tc>
        <w:tc>
          <w:tcPr>
            <w:tcW w:w="0" w:type="auto"/>
            <w:tcBorders>
              <w:top w:val="nil"/>
              <w:left w:val="nil"/>
              <w:bottom w:val="single" w:sz="4" w:space="0" w:color="auto"/>
              <w:right w:val="single" w:sz="4" w:space="0" w:color="auto"/>
            </w:tcBorders>
          </w:tcPr>
          <w:p w14:paraId="03764655" w14:textId="23563793" w:rsidR="00A139FF" w:rsidRPr="00E52C17" w:rsidRDefault="00A139FF" w:rsidP="00ED334D">
            <w:pPr>
              <w:widowControl/>
              <w:autoSpaceDE/>
              <w:autoSpaceDN/>
              <w:jc w:val="center"/>
              <w:rPr>
                <w:rFonts w:asciiTheme="minorHAnsi" w:eastAsia="Times New Roman" w:hAnsiTheme="minorHAnsi"/>
                <w:color w:val="000000"/>
                <w:szCs w:val="24"/>
              </w:rPr>
            </w:pPr>
          </w:p>
        </w:tc>
      </w:tr>
      <w:tr w:rsidR="00781AB0" w:rsidRPr="00E52C17" w14:paraId="2CA72B1A" w14:textId="0D719D1F" w:rsidTr="00F77C4F">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EA4322" w14:textId="77777777" w:rsidR="00781AB0" w:rsidRPr="00E52C17" w:rsidRDefault="00781AB0" w:rsidP="00181CFA">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CT</w:t>
            </w:r>
          </w:p>
        </w:tc>
        <w:tc>
          <w:tcPr>
            <w:tcW w:w="0" w:type="auto"/>
            <w:tcBorders>
              <w:top w:val="nil"/>
              <w:left w:val="nil"/>
              <w:bottom w:val="single" w:sz="4" w:space="0" w:color="auto"/>
              <w:right w:val="single" w:sz="4" w:space="0" w:color="auto"/>
            </w:tcBorders>
            <w:shd w:val="clear" w:color="auto" w:fill="auto"/>
            <w:vAlign w:val="center"/>
            <w:hideMark/>
          </w:tcPr>
          <w:p w14:paraId="011E4A3E" w14:textId="423EB81E"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0212ECAB" w14:textId="7B2A256C"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2B0DFBD2" w14:textId="1AEA87DD"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52825FE5" w14:textId="326AE4DB"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6EA5B303" w14:textId="49DA688B"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65D161F0" w14:textId="5AE9852B"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tcPr>
          <w:p w14:paraId="5AA56602" w14:textId="77777777" w:rsidR="00781AB0" w:rsidRPr="00E52C17" w:rsidRDefault="00781AB0" w:rsidP="00ED334D">
            <w:pPr>
              <w:widowControl/>
              <w:autoSpaceDE/>
              <w:autoSpaceDN/>
              <w:jc w:val="center"/>
              <w:rPr>
                <w:rFonts w:asciiTheme="minorHAnsi" w:eastAsia="Times New Roman" w:hAnsiTheme="minorHAnsi"/>
                <w:color w:val="000000"/>
                <w:szCs w:val="24"/>
              </w:rPr>
            </w:pPr>
          </w:p>
        </w:tc>
      </w:tr>
      <w:tr w:rsidR="002775FA" w:rsidRPr="00E52C17" w14:paraId="1D2EA842" w14:textId="7688A7D9" w:rsidTr="00F77C4F">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D420A" w14:textId="77777777" w:rsidR="002775FA" w:rsidRPr="00E52C17" w:rsidRDefault="002775FA" w:rsidP="002775FA">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Inpatient Scans</w:t>
            </w:r>
          </w:p>
        </w:tc>
        <w:tc>
          <w:tcPr>
            <w:tcW w:w="0" w:type="auto"/>
            <w:tcBorders>
              <w:top w:val="nil"/>
              <w:left w:val="nil"/>
              <w:bottom w:val="single" w:sz="4" w:space="0" w:color="auto"/>
              <w:right w:val="single" w:sz="4" w:space="0" w:color="auto"/>
            </w:tcBorders>
            <w:shd w:val="clear" w:color="auto" w:fill="auto"/>
            <w:vAlign w:val="center"/>
            <w:hideMark/>
          </w:tcPr>
          <w:p w14:paraId="774B38F2"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699</w:t>
            </w:r>
          </w:p>
        </w:tc>
        <w:tc>
          <w:tcPr>
            <w:tcW w:w="0" w:type="auto"/>
            <w:tcBorders>
              <w:top w:val="nil"/>
              <w:left w:val="nil"/>
              <w:bottom w:val="single" w:sz="4" w:space="0" w:color="auto"/>
              <w:right w:val="single" w:sz="4" w:space="0" w:color="auto"/>
            </w:tcBorders>
            <w:shd w:val="clear" w:color="auto" w:fill="auto"/>
            <w:vAlign w:val="center"/>
            <w:hideMark/>
          </w:tcPr>
          <w:p w14:paraId="1BD4886A"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684</w:t>
            </w:r>
          </w:p>
        </w:tc>
        <w:tc>
          <w:tcPr>
            <w:tcW w:w="0" w:type="auto"/>
            <w:tcBorders>
              <w:top w:val="nil"/>
              <w:left w:val="nil"/>
              <w:bottom w:val="single" w:sz="4" w:space="0" w:color="auto"/>
              <w:right w:val="single" w:sz="4" w:space="0" w:color="auto"/>
            </w:tcBorders>
            <w:shd w:val="clear" w:color="auto" w:fill="auto"/>
            <w:vAlign w:val="center"/>
            <w:hideMark/>
          </w:tcPr>
          <w:p w14:paraId="4381FE95"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714</w:t>
            </w:r>
          </w:p>
        </w:tc>
        <w:tc>
          <w:tcPr>
            <w:tcW w:w="0" w:type="auto"/>
            <w:tcBorders>
              <w:top w:val="nil"/>
              <w:left w:val="nil"/>
              <w:bottom w:val="single" w:sz="4" w:space="0" w:color="auto"/>
              <w:right w:val="single" w:sz="4" w:space="0" w:color="auto"/>
            </w:tcBorders>
            <w:shd w:val="clear" w:color="auto" w:fill="auto"/>
            <w:vAlign w:val="center"/>
            <w:hideMark/>
          </w:tcPr>
          <w:p w14:paraId="6D107D2F"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917</w:t>
            </w:r>
          </w:p>
        </w:tc>
        <w:tc>
          <w:tcPr>
            <w:tcW w:w="0" w:type="auto"/>
            <w:tcBorders>
              <w:top w:val="nil"/>
              <w:left w:val="nil"/>
              <w:bottom w:val="single" w:sz="4" w:space="0" w:color="auto"/>
              <w:right w:val="single" w:sz="4" w:space="0" w:color="auto"/>
            </w:tcBorders>
            <w:shd w:val="clear" w:color="auto" w:fill="auto"/>
            <w:vAlign w:val="center"/>
            <w:hideMark/>
          </w:tcPr>
          <w:p w14:paraId="2C9F52DC"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882</w:t>
            </w:r>
          </w:p>
        </w:tc>
        <w:tc>
          <w:tcPr>
            <w:tcW w:w="0" w:type="auto"/>
            <w:tcBorders>
              <w:top w:val="nil"/>
              <w:left w:val="nil"/>
              <w:bottom w:val="single" w:sz="4" w:space="0" w:color="auto"/>
              <w:right w:val="single" w:sz="4" w:space="0" w:color="auto"/>
            </w:tcBorders>
            <w:shd w:val="clear" w:color="auto" w:fill="auto"/>
            <w:vAlign w:val="center"/>
            <w:hideMark/>
          </w:tcPr>
          <w:p w14:paraId="773A9337"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908</w:t>
            </w:r>
          </w:p>
        </w:tc>
        <w:tc>
          <w:tcPr>
            <w:tcW w:w="0" w:type="auto"/>
            <w:tcBorders>
              <w:top w:val="nil"/>
              <w:left w:val="nil"/>
              <w:bottom w:val="single" w:sz="4" w:space="0" w:color="auto"/>
              <w:right w:val="single" w:sz="4" w:space="0" w:color="auto"/>
            </w:tcBorders>
          </w:tcPr>
          <w:p w14:paraId="739C1907" w14:textId="1C1A8208" w:rsidR="002775FA" w:rsidRPr="00E52C17" w:rsidRDefault="00D70EE5" w:rsidP="00ED334D">
            <w:pPr>
              <w:widowControl/>
              <w:autoSpaceDE/>
              <w:autoSpaceDN/>
              <w:jc w:val="center"/>
              <w:rPr>
                <w:rFonts w:asciiTheme="minorHAnsi" w:eastAsia="Times New Roman" w:hAnsiTheme="minorHAnsi"/>
                <w:color w:val="000000"/>
                <w:szCs w:val="24"/>
              </w:rPr>
            </w:pPr>
            <w:r>
              <w:rPr>
                <w:rFonts w:asciiTheme="minorHAnsi" w:hAnsiTheme="minorHAnsi"/>
                <w:szCs w:val="24"/>
              </w:rPr>
              <w:t>30</w:t>
            </w:r>
            <w:r w:rsidR="002775FA" w:rsidRPr="00E52C17">
              <w:rPr>
                <w:rFonts w:asciiTheme="minorHAnsi" w:hAnsiTheme="minorHAnsi"/>
                <w:szCs w:val="24"/>
              </w:rPr>
              <w:t>%</w:t>
            </w:r>
          </w:p>
        </w:tc>
      </w:tr>
      <w:tr w:rsidR="002775FA" w:rsidRPr="00E52C17" w14:paraId="7A0BFEAB" w14:textId="2CAAE566" w:rsidTr="00F77C4F">
        <w:trPr>
          <w:cantSplit/>
          <w:trHeight w:val="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4EAA65" w14:textId="77777777" w:rsidR="00C75FC5" w:rsidRDefault="002775FA" w:rsidP="00C75FC5">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 xml:space="preserve">Percentage of Inpatients </w:t>
            </w:r>
            <w:r w:rsidR="00C75FC5">
              <w:rPr>
                <w:rFonts w:asciiTheme="minorHAnsi" w:eastAsia="Times New Roman" w:hAnsiTheme="minorHAnsi"/>
                <w:color w:val="000000"/>
                <w:szCs w:val="24"/>
              </w:rPr>
              <w:t xml:space="preserve">      </w:t>
            </w:r>
          </w:p>
          <w:p w14:paraId="21F9A872" w14:textId="5E78973B" w:rsidR="002775FA" w:rsidRPr="00E52C17" w:rsidRDefault="002775FA" w:rsidP="00C75FC5">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Requiring Scan</w:t>
            </w:r>
          </w:p>
        </w:tc>
        <w:tc>
          <w:tcPr>
            <w:tcW w:w="0" w:type="auto"/>
            <w:tcBorders>
              <w:top w:val="nil"/>
              <w:left w:val="nil"/>
              <w:bottom w:val="single" w:sz="4" w:space="0" w:color="auto"/>
              <w:right w:val="single" w:sz="4" w:space="0" w:color="auto"/>
            </w:tcBorders>
            <w:shd w:val="clear" w:color="auto" w:fill="auto"/>
            <w:vAlign w:val="center"/>
            <w:hideMark/>
          </w:tcPr>
          <w:p w14:paraId="01BFE74C"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54%</w:t>
            </w:r>
          </w:p>
        </w:tc>
        <w:tc>
          <w:tcPr>
            <w:tcW w:w="0" w:type="auto"/>
            <w:tcBorders>
              <w:top w:val="nil"/>
              <w:left w:val="nil"/>
              <w:bottom w:val="single" w:sz="4" w:space="0" w:color="auto"/>
              <w:right w:val="single" w:sz="4" w:space="0" w:color="auto"/>
            </w:tcBorders>
            <w:shd w:val="clear" w:color="auto" w:fill="auto"/>
            <w:vAlign w:val="center"/>
            <w:hideMark/>
          </w:tcPr>
          <w:p w14:paraId="3A1905D5"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44%</w:t>
            </w:r>
          </w:p>
        </w:tc>
        <w:tc>
          <w:tcPr>
            <w:tcW w:w="0" w:type="auto"/>
            <w:tcBorders>
              <w:top w:val="nil"/>
              <w:left w:val="nil"/>
              <w:bottom w:val="single" w:sz="4" w:space="0" w:color="auto"/>
              <w:right w:val="single" w:sz="4" w:space="0" w:color="auto"/>
            </w:tcBorders>
            <w:shd w:val="clear" w:color="auto" w:fill="auto"/>
            <w:vAlign w:val="center"/>
            <w:hideMark/>
          </w:tcPr>
          <w:p w14:paraId="6D019133"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50%</w:t>
            </w:r>
          </w:p>
        </w:tc>
        <w:tc>
          <w:tcPr>
            <w:tcW w:w="0" w:type="auto"/>
            <w:tcBorders>
              <w:top w:val="nil"/>
              <w:left w:val="nil"/>
              <w:bottom w:val="single" w:sz="4" w:space="0" w:color="auto"/>
              <w:right w:val="single" w:sz="4" w:space="0" w:color="auto"/>
            </w:tcBorders>
            <w:shd w:val="clear" w:color="auto" w:fill="auto"/>
            <w:vAlign w:val="center"/>
            <w:hideMark/>
          </w:tcPr>
          <w:p w14:paraId="702C33AE"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64%</w:t>
            </w:r>
          </w:p>
        </w:tc>
        <w:tc>
          <w:tcPr>
            <w:tcW w:w="0" w:type="auto"/>
            <w:tcBorders>
              <w:top w:val="nil"/>
              <w:left w:val="nil"/>
              <w:bottom w:val="single" w:sz="4" w:space="0" w:color="auto"/>
              <w:right w:val="single" w:sz="4" w:space="0" w:color="auto"/>
            </w:tcBorders>
            <w:shd w:val="clear" w:color="auto" w:fill="auto"/>
            <w:vAlign w:val="center"/>
            <w:hideMark/>
          </w:tcPr>
          <w:p w14:paraId="6AC7989D"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68%</w:t>
            </w:r>
          </w:p>
        </w:tc>
        <w:tc>
          <w:tcPr>
            <w:tcW w:w="0" w:type="auto"/>
            <w:tcBorders>
              <w:top w:val="nil"/>
              <w:left w:val="nil"/>
              <w:bottom w:val="single" w:sz="4" w:space="0" w:color="auto"/>
              <w:right w:val="single" w:sz="4" w:space="0" w:color="auto"/>
            </w:tcBorders>
            <w:shd w:val="clear" w:color="auto" w:fill="auto"/>
            <w:vAlign w:val="center"/>
            <w:hideMark/>
          </w:tcPr>
          <w:p w14:paraId="0636A95D"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70%</w:t>
            </w:r>
          </w:p>
        </w:tc>
        <w:tc>
          <w:tcPr>
            <w:tcW w:w="0" w:type="auto"/>
            <w:tcBorders>
              <w:top w:val="nil"/>
              <w:left w:val="nil"/>
              <w:bottom w:val="single" w:sz="4" w:space="0" w:color="auto"/>
              <w:right w:val="single" w:sz="4" w:space="0" w:color="auto"/>
            </w:tcBorders>
          </w:tcPr>
          <w:p w14:paraId="332F48A8" w14:textId="3D9EC04B" w:rsidR="002775FA" w:rsidRPr="00E52C17" w:rsidRDefault="002775FA" w:rsidP="00ED334D">
            <w:pPr>
              <w:widowControl/>
              <w:autoSpaceDE/>
              <w:autoSpaceDN/>
              <w:jc w:val="center"/>
              <w:rPr>
                <w:rFonts w:asciiTheme="minorHAnsi" w:eastAsia="Times New Roman" w:hAnsiTheme="minorHAnsi"/>
                <w:color w:val="000000"/>
                <w:szCs w:val="24"/>
              </w:rPr>
            </w:pPr>
          </w:p>
        </w:tc>
      </w:tr>
      <w:tr w:rsidR="00781AB0" w:rsidRPr="00E52C17" w14:paraId="7E485DDF" w14:textId="4C0667BA" w:rsidTr="00F77C4F">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E119C2" w14:textId="5E72E166" w:rsidR="00781AB0" w:rsidRPr="00E52C17" w:rsidRDefault="00781AB0" w:rsidP="00181CFA">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PET-CT</w:t>
            </w:r>
          </w:p>
        </w:tc>
        <w:tc>
          <w:tcPr>
            <w:tcW w:w="0" w:type="auto"/>
            <w:tcBorders>
              <w:top w:val="nil"/>
              <w:left w:val="nil"/>
              <w:bottom w:val="single" w:sz="4" w:space="0" w:color="auto"/>
              <w:right w:val="single" w:sz="4" w:space="0" w:color="auto"/>
            </w:tcBorders>
            <w:shd w:val="clear" w:color="auto" w:fill="auto"/>
            <w:vAlign w:val="center"/>
            <w:hideMark/>
          </w:tcPr>
          <w:p w14:paraId="03A5D509" w14:textId="59BB2B3C"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0BEA7E88" w14:textId="7C767CA0"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3E04ED17" w14:textId="6898128A"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5E086259" w14:textId="2D0C2142"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02B1C5C1" w14:textId="4564B4BF"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shd w:val="clear" w:color="auto" w:fill="auto"/>
            <w:vAlign w:val="center"/>
            <w:hideMark/>
          </w:tcPr>
          <w:p w14:paraId="78FC3349" w14:textId="4376E013" w:rsidR="00781AB0" w:rsidRPr="00E52C17" w:rsidRDefault="00781AB0" w:rsidP="00ED334D">
            <w:pPr>
              <w:widowControl/>
              <w:autoSpaceDE/>
              <w:autoSpaceDN/>
              <w:jc w:val="center"/>
              <w:rPr>
                <w:rFonts w:asciiTheme="minorHAnsi" w:eastAsia="Times New Roman" w:hAnsiTheme="minorHAnsi"/>
                <w:color w:val="000000"/>
                <w:szCs w:val="24"/>
              </w:rPr>
            </w:pPr>
          </w:p>
        </w:tc>
        <w:tc>
          <w:tcPr>
            <w:tcW w:w="0" w:type="auto"/>
            <w:tcBorders>
              <w:top w:val="nil"/>
              <w:left w:val="nil"/>
              <w:bottom w:val="single" w:sz="4" w:space="0" w:color="auto"/>
              <w:right w:val="single" w:sz="4" w:space="0" w:color="auto"/>
            </w:tcBorders>
          </w:tcPr>
          <w:p w14:paraId="2CC619C5" w14:textId="77777777" w:rsidR="00781AB0" w:rsidRPr="00E52C17" w:rsidRDefault="00781AB0" w:rsidP="00ED334D">
            <w:pPr>
              <w:widowControl/>
              <w:autoSpaceDE/>
              <w:autoSpaceDN/>
              <w:jc w:val="center"/>
              <w:rPr>
                <w:rFonts w:asciiTheme="minorHAnsi" w:eastAsia="Times New Roman" w:hAnsiTheme="minorHAnsi"/>
                <w:color w:val="000000"/>
                <w:szCs w:val="24"/>
              </w:rPr>
            </w:pPr>
          </w:p>
        </w:tc>
      </w:tr>
      <w:tr w:rsidR="002775FA" w:rsidRPr="00E52C17" w14:paraId="7CFE9431" w14:textId="1CB47CDC" w:rsidTr="00F77C4F">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462993" w14:textId="77777777" w:rsidR="002775FA" w:rsidRPr="00E52C17" w:rsidRDefault="002775FA" w:rsidP="002775FA">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Inpatient Scans</w:t>
            </w:r>
          </w:p>
        </w:tc>
        <w:tc>
          <w:tcPr>
            <w:tcW w:w="0" w:type="auto"/>
            <w:tcBorders>
              <w:top w:val="nil"/>
              <w:left w:val="nil"/>
              <w:bottom w:val="single" w:sz="4" w:space="0" w:color="auto"/>
              <w:right w:val="single" w:sz="4" w:space="0" w:color="auto"/>
            </w:tcBorders>
            <w:shd w:val="clear" w:color="auto" w:fill="auto"/>
            <w:vAlign w:val="center"/>
            <w:hideMark/>
          </w:tcPr>
          <w:p w14:paraId="53B5C617"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32</w:t>
            </w:r>
          </w:p>
        </w:tc>
        <w:tc>
          <w:tcPr>
            <w:tcW w:w="0" w:type="auto"/>
            <w:tcBorders>
              <w:top w:val="nil"/>
              <w:left w:val="nil"/>
              <w:bottom w:val="single" w:sz="4" w:space="0" w:color="auto"/>
              <w:right w:val="single" w:sz="4" w:space="0" w:color="auto"/>
            </w:tcBorders>
            <w:shd w:val="clear" w:color="auto" w:fill="auto"/>
            <w:vAlign w:val="center"/>
            <w:hideMark/>
          </w:tcPr>
          <w:p w14:paraId="7F7D4A73"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38</w:t>
            </w:r>
          </w:p>
        </w:tc>
        <w:tc>
          <w:tcPr>
            <w:tcW w:w="0" w:type="auto"/>
            <w:tcBorders>
              <w:top w:val="nil"/>
              <w:left w:val="nil"/>
              <w:bottom w:val="single" w:sz="4" w:space="0" w:color="auto"/>
              <w:right w:val="single" w:sz="4" w:space="0" w:color="auto"/>
            </w:tcBorders>
            <w:shd w:val="clear" w:color="auto" w:fill="auto"/>
            <w:vAlign w:val="center"/>
            <w:hideMark/>
          </w:tcPr>
          <w:p w14:paraId="049E25C7"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38</w:t>
            </w:r>
          </w:p>
        </w:tc>
        <w:tc>
          <w:tcPr>
            <w:tcW w:w="0" w:type="auto"/>
            <w:tcBorders>
              <w:top w:val="nil"/>
              <w:left w:val="nil"/>
              <w:bottom w:val="single" w:sz="4" w:space="0" w:color="auto"/>
              <w:right w:val="single" w:sz="4" w:space="0" w:color="auto"/>
            </w:tcBorders>
            <w:shd w:val="clear" w:color="auto" w:fill="auto"/>
            <w:vAlign w:val="center"/>
            <w:hideMark/>
          </w:tcPr>
          <w:p w14:paraId="421BEA7B"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68</w:t>
            </w:r>
          </w:p>
        </w:tc>
        <w:tc>
          <w:tcPr>
            <w:tcW w:w="0" w:type="auto"/>
            <w:tcBorders>
              <w:top w:val="nil"/>
              <w:left w:val="nil"/>
              <w:bottom w:val="single" w:sz="4" w:space="0" w:color="auto"/>
              <w:right w:val="single" w:sz="4" w:space="0" w:color="auto"/>
            </w:tcBorders>
            <w:shd w:val="clear" w:color="auto" w:fill="auto"/>
            <w:vAlign w:val="center"/>
            <w:hideMark/>
          </w:tcPr>
          <w:p w14:paraId="43FF4A73"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56</w:t>
            </w:r>
          </w:p>
        </w:tc>
        <w:tc>
          <w:tcPr>
            <w:tcW w:w="0" w:type="auto"/>
            <w:tcBorders>
              <w:top w:val="nil"/>
              <w:left w:val="nil"/>
              <w:bottom w:val="single" w:sz="4" w:space="0" w:color="auto"/>
              <w:right w:val="single" w:sz="4" w:space="0" w:color="auto"/>
            </w:tcBorders>
            <w:shd w:val="clear" w:color="auto" w:fill="auto"/>
            <w:vAlign w:val="center"/>
            <w:hideMark/>
          </w:tcPr>
          <w:p w14:paraId="33D7E87B"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50</w:t>
            </w:r>
          </w:p>
        </w:tc>
        <w:tc>
          <w:tcPr>
            <w:tcW w:w="0" w:type="auto"/>
            <w:tcBorders>
              <w:top w:val="nil"/>
              <w:left w:val="nil"/>
              <w:bottom w:val="single" w:sz="4" w:space="0" w:color="auto"/>
              <w:right w:val="single" w:sz="4" w:space="0" w:color="auto"/>
            </w:tcBorders>
          </w:tcPr>
          <w:p w14:paraId="5326D106" w14:textId="3FFB3BE2"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hAnsiTheme="minorHAnsi"/>
                <w:szCs w:val="24"/>
              </w:rPr>
              <w:t>56%</w:t>
            </w:r>
          </w:p>
        </w:tc>
      </w:tr>
      <w:tr w:rsidR="002775FA" w:rsidRPr="00E52C17" w14:paraId="7EC923AE" w14:textId="0E3BA5F1" w:rsidTr="00F77C4F">
        <w:trPr>
          <w:cantSplit/>
          <w:trHeight w:val="30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DCA5E1" w14:textId="77777777" w:rsidR="00C75FC5" w:rsidRDefault="002775FA" w:rsidP="002775FA">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 xml:space="preserve">Percentage of Inpatients </w:t>
            </w:r>
          </w:p>
          <w:p w14:paraId="4D881004" w14:textId="0BEBB71E" w:rsidR="002775FA" w:rsidRPr="00E52C17" w:rsidRDefault="002775FA" w:rsidP="002775FA">
            <w:pPr>
              <w:widowControl/>
              <w:autoSpaceDE/>
              <w:autoSpaceDN/>
              <w:ind w:firstLineChars="100" w:firstLine="240"/>
              <w:rPr>
                <w:rFonts w:asciiTheme="minorHAnsi" w:eastAsia="Times New Roman" w:hAnsiTheme="minorHAnsi"/>
                <w:color w:val="000000"/>
                <w:szCs w:val="24"/>
              </w:rPr>
            </w:pPr>
            <w:r w:rsidRPr="00E52C17">
              <w:rPr>
                <w:rFonts w:asciiTheme="minorHAnsi" w:eastAsia="Times New Roman" w:hAnsiTheme="minorHAnsi"/>
                <w:color w:val="000000"/>
                <w:szCs w:val="24"/>
              </w:rPr>
              <w:t>Requiring Scan</w:t>
            </w:r>
          </w:p>
        </w:tc>
        <w:tc>
          <w:tcPr>
            <w:tcW w:w="0" w:type="auto"/>
            <w:tcBorders>
              <w:top w:val="nil"/>
              <w:left w:val="nil"/>
              <w:bottom w:val="single" w:sz="4" w:space="0" w:color="auto"/>
              <w:right w:val="single" w:sz="4" w:space="0" w:color="auto"/>
            </w:tcBorders>
            <w:shd w:val="clear" w:color="auto" w:fill="auto"/>
            <w:vAlign w:val="center"/>
            <w:hideMark/>
          </w:tcPr>
          <w:p w14:paraId="77DB38CD"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301EF806"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w:t>
            </w:r>
          </w:p>
        </w:tc>
        <w:tc>
          <w:tcPr>
            <w:tcW w:w="0" w:type="auto"/>
            <w:tcBorders>
              <w:top w:val="nil"/>
              <w:left w:val="nil"/>
              <w:bottom w:val="single" w:sz="4" w:space="0" w:color="auto"/>
              <w:right w:val="single" w:sz="4" w:space="0" w:color="auto"/>
            </w:tcBorders>
            <w:shd w:val="clear" w:color="auto" w:fill="auto"/>
            <w:vAlign w:val="center"/>
            <w:hideMark/>
          </w:tcPr>
          <w:p w14:paraId="2F1DD938"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w:t>
            </w:r>
          </w:p>
        </w:tc>
        <w:tc>
          <w:tcPr>
            <w:tcW w:w="0" w:type="auto"/>
            <w:tcBorders>
              <w:top w:val="nil"/>
              <w:left w:val="nil"/>
              <w:bottom w:val="single" w:sz="4" w:space="0" w:color="auto"/>
              <w:right w:val="single" w:sz="4" w:space="0" w:color="auto"/>
            </w:tcBorders>
            <w:shd w:val="clear" w:color="auto" w:fill="auto"/>
            <w:vAlign w:val="center"/>
            <w:hideMark/>
          </w:tcPr>
          <w:p w14:paraId="2723076C"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w:t>
            </w:r>
          </w:p>
        </w:tc>
        <w:tc>
          <w:tcPr>
            <w:tcW w:w="0" w:type="auto"/>
            <w:tcBorders>
              <w:top w:val="nil"/>
              <w:left w:val="nil"/>
              <w:bottom w:val="single" w:sz="4" w:space="0" w:color="auto"/>
              <w:right w:val="single" w:sz="4" w:space="0" w:color="auto"/>
            </w:tcBorders>
            <w:shd w:val="clear" w:color="auto" w:fill="auto"/>
            <w:vAlign w:val="center"/>
            <w:hideMark/>
          </w:tcPr>
          <w:p w14:paraId="05E0780E"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0F6A5EF2" w14:textId="77777777" w:rsidR="002775FA" w:rsidRPr="00E52C17" w:rsidRDefault="002775FA" w:rsidP="00ED334D">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4%</w:t>
            </w:r>
          </w:p>
        </w:tc>
        <w:tc>
          <w:tcPr>
            <w:tcW w:w="0" w:type="auto"/>
            <w:tcBorders>
              <w:top w:val="nil"/>
              <w:left w:val="nil"/>
              <w:bottom w:val="single" w:sz="4" w:space="0" w:color="auto"/>
              <w:right w:val="single" w:sz="4" w:space="0" w:color="auto"/>
            </w:tcBorders>
          </w:tcPr>
          <w:p w14:paraId="2159CB2C" w14:textId="0E43D870" w:rsidR="002775FA" w:rsidRPr="00E52C17" w:rsidRDefault="002775FA" w:rsidP="00ED334D">
            <w:pPr>
              <w:widowControl/>
              <w:autoSpaceDE/>
              <w:autoSpaceDN/>
              <w:jc w:val="center"/>
              <w:rPr>
                <w:rFonts w:asciiTheme="minorHAnsi" w:eastAsia="Times New Roman" w:hAnsiTheme="minorHAnsi"/>
                <w:color w:val="000000"/>
                <w:szCs w:val="24"/>
              </w:rPr>
            </w:pPr>
          </w:p>
        </w:tc>
      </w:tr>
    </w:tbl>
    <w:p w14:paraId="75827DAE" w14:textId="77777777" w:rsidR="00181CFA" w:rsidRDefault="00181CFA" w:rsidP="00932E5D">
      <w:pPr>
        <w:rPr>
          <w:rFonts w:asciiTheme="minorHAnsi" w:hAnsiTheme="minorHAnsi"/>
          <w:b/>
          <w:bCs/>
          <w:szCs w:val="24"/>
        </w:rPr>
      </w:pPr>
    </w:p>
    <w:p w14:paraId="791E5DA2" w14:textId="78F123CA" w:rsidR="0011245D" w:rsidRPr="00695679" w:rsidRDefault="008946E2" w:rsidP="00695679">
      <w:pPr>
        <w:rPr>
          <w:rFonts w:asciiTheme="minorHAnsi" w:hAnsiTheme="minorHAnsi"/>
          <w:szCs w:val="24"/>
        </w:rPr>
      </w:pPr>
      <w:r w:rsidRPr="00722BA8">
        <w:rPr>
          <w:rFonts w:asciiTheme="minorHAnsi" w:hAnsiTheme="minorHAnsi"/>
          <w:szCs w:val="24"/>
        </w:rPr>
        <w:t xml:space="preserve">The Applicant notes that the percentage of oncology admissions requiring use of Inpatient Imaging Equipment increased </w:t>
      </w:r>
      <w:r w:rsidR="008928F8">
        <w:rPr>
          <w:rFonts w:asciiTheme="minorHAnsi" w:hAnsiTheme="minorHAnsi"/>
          <w:szCs w:val="24"/>
        </w:rPr>
        <w:t>28</w:t>
      </w:r>
      <w:r w:rsidR="00A11A24">
        <w:rPr>
          <w:rFonts w:asciiTheme="minorHAnsi" w:hAnsiTheme="minorHAnsi"/>
          <w:szCs w:val="24"/>
        </w:rPr>
        <w:t xml:space="preserve">% </w:t>
      </w:r>
      <w:r w:rsidRPr="00722BA8">
        <w:rPr>
          <w:rFonts w:asciiTheme="minorHAnsi" w:hAnsiTheme="minorHAnsi"/>
          <w:szCs w:val="24"/>
        </w:rPr>
        <w:t xml:space="preserve">for MRI scans, </w:t>
      </w:r>
      <w:r w:rsidR="00A11A24">
        <w:rPr>
          <w:rFonts w:asciiTheme="minorHAnsi" w:hAnsiTheme="minorHAnsi"/>
          <w:szCs w:val="24"/>
        </w:rPr>
        <w:t>2</w:t>
      </w:r>
      <w:r w:rsidR="00273545">
        <w:rPr>
          <w:rFonts w:asciiTheme="minorHAnsi" w:hAnsiTheme="minorHAnsi"/>
          <w:szCs w:val="24"/>
        </w:rPr>
        <w:t>4</w:t>
      </w:r>
      <w:r w:rsidR="00A11A24">
        <w:rPr>
          <w:rFonts w:asciiTheme="minorHAnsi" w:hAnsiTheme="minorHAnsi"/>
          <w:szCs w:val="24"/>
        </w:rPr>
        <w:t xml:space="preserve">% for </w:t>
      </w:r>
      <w:r w:rsidRPr="00722BA8">
        <w:rPr>
          <w:rFonts w:asciiTheme="minorHAnsi" w:hAnsiTheme="minorHAnsi"/>
          <w:szCs w:val="24"/>
        </w:rPr>
        <w:t xml:space="preserve">CT scans, and </w:t>
      </w:r>
      <w:r w:rsidR="00A11A24">
        <w:rPr>
          <w:rFonts w:asciiTheme="minorHAnsi" w:hAnsiTheme="minorHAnsi"/>
          <w:szCs w:val="24"/>
        </w:rPr>
        <w:t>4</w:t>
      </w:r>
      <w:r w:rsidR="00FE2047">
        <w:rPr>
          <w:rFonts w:asciiTheme="minorHAnsi" w:hAnsiTheme="minorHAnsi"/>
          <w:szCs w:val="24"/>
        </w:rPr>
        <w:t>7</w:t>
      </w:r>
      <w:r w:rsidR="00A11A24">
        <w:rPr>
          <w:rFonts w:asciiTheme="minorHAnsi" w:hAnsiTheme="minorHAnsi"/>
          <w:szCs w:val="24"/>
        </w:rPr>
        <w:t xml:space="preserve">% for </w:t>
      </w:r>
      <w:r w:rsidRPr="00722BA8">
        <w:rPr>
          <w:rFonts w:asciiTheme="minorHAnsi" w:hAnsiTheme="minorHAnsi"/>
          <w:szCs w:val="24"/>
        </w:rPr>
        <w:t xml:space="preserve">PET-CT scans between </w:t>
      </w:r>
      <w:r w:rsidR="00665047" w:rsidRPr="00722BA8">
        <w:rPr>
          <w:rFonts w:asciiTheme="minorHAnsi" w:hAnsiTheme="minorHAnsi"/>
          <w:szCs w:val="24"/>
        </w:rPr>
        <w:t>2020 and 2022</w:t>
      </w:r>
      <w:r w:rsidR="00C6329B" w:rsidRPr="00722BA8">
        <w:rPr>
          <w:rFonts w:asciiTheme="minorHAnsi" w:hAnsiTheme="minorHAnsi"/>
          <w:szCs w:val="24"/>
        </w:rPr>
        <w:t>.</w:t>
      </w:r>
      <w:r w:rsidR="00C6329B">
        <w:rPr>
          <w:rFonts w:asciiTheme="minorHAnsi" w:hAnsiTheme="minorHAnsi"/>
          <w:szCs w:val="24"/>
        </w:rPr>
        <w:t xml:space="preserve"> The Applicant </w:t>
      </w:r>
      <w:r w:rsidR="0011245D" w:rsidRPr="0011245D">
        <w:rPr>
          <w:rFonts w:asciiTheme="minorHAnsi" w:hAnsiTheme="minorHAnsi"/>
          <w:szCs w:val="24"/>
        </w:rPr>
        <w:t>attributes the increase in utilization of imaging equipment</w:t>
      </w:r>
      <w:r w:rsidR="00695679">
        <w:rPr>
          <w:rFonts w:asciiTheme="minorHAnsi" w:hAnsiTheme="minorHAnsi"/>
          <w:szCs w:val="24"/>
        </w:rPr>
        <w:t xml:space="preserve"> during this period</w:t>
      </w:r>
      <w:r w:rsidR="0011245D" w:rsidRPr="0011245D">
        <w:rPr>
          <w:rFonts w:asciiTheme="minorHAnsi" w:hAnsiTheme="minorHAnsi"/>
          <w:szCs w:val="24"/>
        </w:rPr>
        <w:t xml:space="preserve"> </w:t>
      </w:r>
      <w:r w:rsidR="00695679">
        <w:rPr>
          <w:rFonts w:asciiTheme="minorHAnsi" w:hAnsiTheme="minorHAnsi"/>
          <w:szCs w:val="24"/>
        </w:rPr>
        <w:t xml:space="preserve">to </w:t>
      </w:r>
      <w:r w:rsidR="00A51D38" w:rsidRPr="00695679">
        <w:rPr>
          <w:rFonts w:asciiTheme="minorHAnsi" w:hAnsiTheme="minorHAnsi"/>
          <w:szCs w:val="24"/>
        </w:rPr>
        <w:t xml:space="preserve">(1) </w:t>
      </w:r>
      <w:r w:rsidR="0011245D" w:rsidRPr="00695679">
        <w:rPr>
          <w:rFonts w:asciiTheme="minorHAnsi" w:hAnsiTheme="minorHAnsi"/>
          <w:szCs w:val="24"/>
        </w:rPr>
        <w:t>the r</w:t>
      </w:r>
      <w:r w:rsidR="00EC3B68" w:rsidRPr="00695679">
        <w:rPr>
          <w:rFonts w:asciiTheme="minorHAnsi" w:hAnsiTheme="minorHAnsi"/>
          <w:szCs w:val="24"/>
        </w:rPr>
        <w:t>eceipt of care that was delayed by patients during the COVID-19 pandemic</w:t>
      </w:r>
      <w:r w:rsidR="00A73BFA">
        <w:rPr>
          <w:rFonts w:asciiTheme="minorHAnsi" w:hAnsiTheme="minorHAnsi"/>
          <w:szCs w:val="24"/>
        </w:rPr>
        <w:t xml:space="preserve"> which </w:t>
      </w:r>
      <w:r w:rsidR="0011245D" w:rsidRPr="00695679">
        <w:rPr>
          <w:rFonts w:asciiTheme="minorHAnsi" w:hAnsiTheme="minorHAnsi"/>
          <w:szCs w:val="24"/>
        </w:rPr>
        <w:t>includ</w:t>
      </w:r>
      <w:r w:rsidR="00A73BFA">
        <w:rPr>
          <w:rFonts w:asciiTheme="minorHAnsi" w:hAnsiTheme="minorHAnsi"/>
          <w:szCs w:val="24"/>
        </w:rPr>
        <w:t>es</w:t>
      </w:r>
      <w:r w:rsidR="0011245D" w:rsidRPr="00695679">
        <w:rPr>
          <w:rFonts w:asciiTheme="minorHAnsi" w:hAnsiTheme="minorHAnsi"/>
          <w:szCs w:val="24"/>
        </w:rPr>
        <w:t xml:space="preserve"> patients presenting with more advanced disease requiring imaging,</w:t>
      </w:r>
      <w:r w:rsidR="00EC3B68" w:rsidRPr="00695679">
        <w:rPr>
          <w:rFonts w:asciiTheme="minorHAnsi" w:hAnsiTheme="minorHAnsi"/>
          <w:szCs w:val="24"/>
        </w:rPr>
        <w:t xml:space="preserve"> and </w:t>
      </w:r>
      <w:r w:rsidR="00A51D38" w:rsidRPr="00695679">
        <w:rPr>
          <w:rFonts w:asciiTheme="minorHAnsi" w:hAnsiTheme="minorHAnsi"/>
          <w:szCs w:val="24"/>
        </w:rPr>
        <w:t xml:space="preserve">(2) </w:t>
      </w:r>
      <w:r w:rsidR="0011245D" w:rsidRPr="00695679">
        <w:rPr>
          <w:rFonts w:asciiTheme="minorHAnsi" w:hAnsiTheme="minorHAnsi"/>
          <w:szCs w:val="24"/>
        </w:rPr>
        <w:t>g</w:t>
      </w:r>
      <w:r w:rsidR="00EC3B68" w:rsidRPr="00695679">
        <w:rPr>
          <w:rFonts w:asciiTheme="minorHAnsi" w:hAnsiTheme="minorHAnsi"/>
          <w:szCs w:val="24"/>
        </w:rPr>
        <w:t xml:space="preserve">eneral increases in the incidence </w:t>
      </w:r>
      <w:r w:rsidR="0011245D" w:rsidRPr="00695679">
        <w:rPr>
          <w:rFonts w:asciiTheme="minorHAnsi" w:hAnsiTheme="minorHAnsi"/>
          <w:szCs w:val="24"/>
        </w:rPr>
        <w:t xml:space="preserve">and prevalence of cancer cases. </w:t>
      </w:r>
    </w:p>
    <w:p w14:paraId="7A3E33AD" w14:textId="3A655BAA" w:rsidR="00D24C3E" w:rsidRDefault="00E54EDE" w:rsidP="00932E5D">
      <w:pPr>
        <w:rPr>
          <w:rFonts w:asciiTheme="minorHAnsi" w:hAnsiTheme="minorHAnsi"/>
          <w:szCs w:val="24"/>
        </w:rPr>
      </w:pPr>
      <w:r w:rsidRPr="00E54EDE">
        <w:rPr>
          <w:rFonts w:asciiTheme="minorHAnsi" w:hAnsiTheme="minorHAnsi"/>
          <w:szCs w:val="24"/>
        </w:rPr>
        <w:t xml:space="preserve">Table </w:t>
      </w:r>
      <w:r w:rsidR="00014B18">
        <w:rPr>
          <w:rFonts w:asciiTheme="minorHAnsi" w:hAnsiTheme="minorHAnsi"/>
          <w:szCs w:val="24"/>
        </w:rPr>
        <w:t>2</w:t>
      </w:r>
      <w:r w:rsidR="002D5360">
        <w:rPr>
          <w:rFonts w:asciiTheme="minorHAnsi" w:hAnsiTheme="minorHAnsi"/>
          <w:szCs w:val="24"/>
        </w:rPr>
        <w:t>4</w:t>
      </w:r>
      <w:r w:rsidRPr="00E54EDE">
        <w:rPr>
          <w:rFonts w:asciiTheme="minorHAnsi" w:hAnsiTheme="minorHAnsi"/>
          <w:szCs w:val="24"/>
        </w:rPr>
        <w:t xml:space="preserve"> shows </w:t>
      </w:r>
      <w:r w:rsidR="00D24C3E">
        <w:rPr>
          <w:rFonts w:asciiTheme="minorHAnsi" w:hAnsiTheme="minorHAnsi"/>
          <w:szCs w:val="24"/>
        </w:rPr>
        <w:t>utilization of imaging equipment by the Patient Panel in the outpatient setting.</w:t>
      </w:r>
    </w:p>
    <w:p w14:paraId="7BA79081" w14:textId="68114984" w:rsidR="00E54EDE" w:rsidRDefault="00D24C3E" w:rsidP="00932E5D">
      <w:pPr>
        <w:rPr>
          <w:rFonts w:asciiTheme="minorHAnsi" w:hAnsiTheme="minorHAnsi"/>
          <w:szCs w:val="24"/>
        </w:rPr>
      </w:pPr>
      <w:r>
        <w:rPr>
          <w:rFonts w:asciiTheme="minorHAnsi" w:hAnsiTheme="minorHAnsi"/>
          <w:szCs w:val="24"/>
        </w:rPr>
        <w:t xml:space="preserve"> </w:t>
      </w:r>
    </w:p>
    <w:p w14:paraId="79DADB42" w14:textId="30002954" w:rsidR="00521DE1" w:rsidRDefault="004E40D2" w:rsidP="00543D33">
      <w:pPr>
        <w:rPr>
          <w:rFonts w:asciiTheme="minorHAnsi" w:hAnsiTheme="minorHAnsi"/>
          <w:b/>
          <w:bCs/>
          <w:szCs w:val="24"/>
        </w:rPr>
      </w:pPr>
      <w:r w:rsidRPr="00543D33">
        <w:rPr>
          <w:rFonts w:asciiTheme="minorHAnsi" w:hAnsiTheme="minorHAnsi"/>
          <w:b/>
          <w:bCs/>
          <w:szCs w:val="24"/>
          <w:u w:val="single"/>
        </w:rPr>
        <w:t xml:space="preserve">Table </w:t>
      </w:r>
      <w:r w:rsidR="00014B18">
        <w:rPr>
          <w:rFonts w:asciiTheme="minorHAnsi" w:hAnsiTheme="minorHAnsi"/>
          <w:b/>
          <w:bCs/>
          <w:szCs w:val="24"/>
          <w:u w:val="single"/>
        </w:rPr>
        <w:t>2</w:t>
      </w:r>
      <w:r w:rsidR="002D5360">
        <w:rPr>
          <w:rFonts w:asciiTheme="minorHAnsi" w:hAnsiTheme="minorHAnsi"/>
          <w:b/>
          <w:bCs/>
          <w:szCs w:val="24"/>
          <w:u w:val="single"/>
        </w:rPr>
        <w:t>4</w:t>
      </w:r>
      <w:r>
        <w:rPr>
          <w:rFonts w:asciiTheme="minorHAnsi" w:hAnsiTheme="minorHAnsi"/>
          <w:b/>
          <w:bCs/>
          <w:szCs w:val="24"/>
        </w:rPr>
        <w:t xml:space="preserve">: </w:t>
      </w:r>
      <w:r w:rsidR="00543D33" w:rsidRPr="00543D33">
        <w:rPr>
          <w:rFonts w:asciiTheme="minorHAnsi" w:hAnsiTheme="minorHAnsi"/>
          <w:b/>
          <w:bCs/>
          <w:szCs w:val="24"/>
        </w:rPr>
        <w:t>Outpatient Imaging Equipment Utilizatio</w:t>
      </w:r>
      <w:r w:rsidR="00543D33">
        <w:rPr>
          <w:rFonts w:asciiTheme="minorHAnsi" w:hAnsiTheme="minorHAnsi"/>
          <w:b/>
          <w:bCs/>
          <w:szCs w:val="24"/>
        </w:rPr>
        <w:t>n</w:t>
      </w:r>
      <w:r w:rsidR="00661B6F">
        <w:rPr>
          <w:rFonts w:asciiTheme="minorHAnsi" w:hAnsiTheme="minorHAnsi"/>
          <w:b/>
          <w:bCs/>
          <w:szCs w:val="24"/>
        </w:rPr>
        <w:t>,</w:t>
      </w:r>
      <w:r w:rsidR="00543D33">
        <w:rPr>
          <w:rFonts w:asciiTheme="minorHAnsi" w:hAnsiTheme="minorHAnsi"/>
          <w:b/>
          <w:bCs/>
          <w:szCs w:val="24"/>
        </w:rPr>
        <w:t xml:space="preserve"> </w:t>
      </w:r>
      <w:r w:rsidR="00543D33" w:rsidRPr="00543D33">
        <w:rPr>
          <w:rFonts w:asciiTheme="minorHAnsi" w:hAnsiTheme="minorHAnsi"/>
          <w:b/>
          <w:bCs/>
          <w:szCs w:val="24"/>
        </w:rPr>
        <w:t>Longwood Medical Campus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885"/>
        <w:gridCol w:w="885"/>
        <w:gridCol w:w="885"/>
        <w:gridCol w:w="885"/>
        <w:gridCol w:w="885"/>
        <w:gridCol w:w="885"/>
        <w:gridCol w:w="1493"/>
      </w:tblGrid>
      <w:tr w:rsidR="00E91DB2" w:rsidRPr="00875101" w14:paraId="19693DBA" w14:textId="77777777" w:rsidTr="00FC432F">
        <w:trPr>
          <w:cantSplit/>
          <w:trHeight w:val="290"/>
          <w:tblHeader/>
        </w:trPr>
        <w:tc>
          <w:tcPr>
            <w:tcW w:w="0" w:type="auto"/>
            <w:shd w:val="clear" w:color="auto" w:fill="DBE5F1" w:themeFill="accent1" w:themeFillTint="33"/>
            <w:vAlign w:val="center"/>
            <w:hideMark/>
          </w:tcPr>
          <w:p w14:paraId="3493479B" w14:textId="77777777" w:rsidR="00E91DB2" w:rsidRPr="00875101" w:rsidRDefault="00E91DB2" w:rsidP="00E91DB2">
            <w:pPr>
              <w:widowControl/>
              <w:autoSpaceDE/>
              <w:autoSpaceDN/>
              <w:jc w:val="center"/>
              <w:rPr>
                <w:rFonts w:eastAsia="Times New Roman" w:cs="Calibri"/>
                <w:b/>
                <w:bCs/>
                <w:color w:val="000000"/>
                <w:szCs w:val="24"/>
              </w:rPr>
            </w:pPr>
            <w:r w:rsidRPr="00875101">
              <w:rPr>
                <w:rFonts w:eastAsia="Times New Roman" w:cs="Calibri"/>
                <w:b/>
                <w:bCs/>
                <w:color w:val="000000"/>
                <w:szCs w:val="24"/>
              </w:rPr>
              <w:t>Scans</w:t>
            </w:r>
          </w:p>
        </w:tc>
        <w:tc>
          <w:tcPr>
            <w:tcW w:w="0" w:type="auto"/>
            <w:shd w:val="clear" w:color="auto" w:fill="DBE5F1" w:themeFill="accent1" w:themeFillTint="33"/>
            <w:vAlign w:val="center"/>
            <w:hideMark/>
          </w:tcPr>
          <w:p w14:paraId="112ECE97" w14:textId="77777777"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FY18</w:t>
            </w:r>
          </w:p>
        </w:tc>
        <w:tc>
          <w:tcPr>
            <w:tcW w:w="0" w:type="auto"/>
            <w:shd w:val="clear" w:color="auto" w:fill="DBE5F1" w:themeFill="accent1" w:themeFillTint="33"/>
            <w:vAlign w:val="center"/>
            <w:hideMark/>
          </w:tcPr>
          <w:p w14:paraId="4BB8430F" w14:textId="77777777"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FY19</w:t>
            </w:r>
          </w:p>
        </w:tc>
        <w:tc>
          <w:tcPr>
            <w:tcW w:w="0" w:type="auto"/>
            <w:shd w:val="clear" w:color="auto" w:fill="DBE5F1" w:themeFill="accent1" w:themeFillTint="33"/>
            <w:vAlign w:val="center"/>
            <w:hideMark/>
          </w:tcPr>
          <w:p w14:paraId="76F165DF" w14:textId="77777777"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FY20</w:t>
            </w:r>
          </w:p>
        </w:tc>
        <w:tc>
          <w:tcPr>
            <w:tcW w:w="0" w:type="auto"/>
            <w:shd w:val="clear" w:color="auto" w:fill="DBE5F1" w:themeFill="accent1" w:themeFillTint="33"/>
            <w:vAlign w:val="center"/>
            <w:hideMark/>
          </w:tcPr>
          <w:p w14:paraId="25DE0A88" w14:textId="77777777"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FY21</w:t>
            </w:r>
          </w:p>
        </w:tc>
        <w:tc>
          <w:tcPr>
            <w:tcW w:w="0" w:type="auto"/>
            <w:shd w:val="clear" w:color="auto" w:fill="DBE5F1" w:themeFill="accent1" w:themeFillTint="33"/>
            <w:vAlign w:val="center"/>
            <w:hideMark/>
          </w:tcPr>
          <w:p w14:paraId="5246DA3F" w14:textId="77777777"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FY22</w:t>
            </w:r>
          </w:p>
        </w:tc>
        <w:tc>
          <w:tcPr>
            <w:tcW w:w="0" w:type="auto"/>
            <w:shd w:val="clear" w:color="auto" w:fill="DBE5F1" w:themeFill="accent1" w:themeFillTint="33"/>
            <w:vAlign w:val="center"/>
            <w:hideMark/>
          </w:tcPr>
          <w:p w14:paraId="032F90BC" w14:textId="77777777"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FY23</w:t>
            </w:r>
          </w:p>
        </w:tc>
        <w:tc>
          <w:tcPr>
            <w:tcW w:w="0" w:type="auto"/>
            <w:shd w:val="clear" w:color="auto" w:fill="DBE5F1" w:themeFill="accent1" w:themeFillTint="33"/>
            <w:noWrap/>
            <w:vAlign w:val="bottom"/>
            <w:hideMark/>
          </w:tcPr>
          <w:p w14:paraId="33F97FEE" w14:textId="0B980BF9"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 Change</w:t>
            </w:r>
          </w:p>
          <w:p w14:paraId="52D03AB6" w14:textId="2BDC0D5D" w:rsidR="00E91DB2" w:rsidRPr="00875101" w:rsidRDefault="00E91DB2" w:rsidP="00014B18">
            <w:pPr>
              <w:widowControl/>
              <w:autoSpaceDE/>
              <w:autoSpaceDN/>
              <w:jc w:val="center"/>
              <w:rPr>
                <w:rFonts w:eastAsia="Times New Roman" w:cs="Calibri"/>
                <w:b/>
                <w:bCs/>
                <w:color w:val="000000"/>
                <w:szCs w:val="24"/>
              </w:rPr>
            </w:pPr>
            <w:r w:rsidRPr="00875101">
              <w:rPr>
                <w:rFonts w:eastAsia="Times New Roman" w:cs="Calibri"/>
                <w:b/>
                <w:bCs/>
                <w:color w:val="000000"/>
                <w:szCs w:val="24"/>
              </w:rPr>
              <w:t>FY18 to FY23</w:t>
            </w:r>
          </w:p>
        </w:tc>
      </w:tr>
      <w:tr w:rsidR="00E91DB2" w:rsidRPr="00875101" w14:paraId="66B4EC08" w14:textId="77777777" w:rsidTr="00E91DB2">
        <w:trPr>
          <w:cantSplit/>
          <w:trHeight w:val="290"/>
        </w:trPr>
        <w:tc>
          <w:tcPr>
            <w:tcW w:w="0" w:type="auto"/>
            <w:shd w:val="clear" w:color="auto" w:fill="auto"/>
            <w:vAlign w:val="center"/>
            <w:hideMark/>
          </w:tcPr>
          <w:p w14:paraId="7571B85F" w14:textId="77777777" w:rsidR="00E91DB2" w:rsidRPr="00875101" w:rsidRDefault="00E91DB2" w:rsidP="00E91DB2">
            <w:pPr>
              <w:widowControl/>
              <w:autoSpaceDE/>
              <w:autoSpaceDN/>
              <w:rPr>
                <w:rFonts w:eastAsia="Times New Roman" w:cs="Calibri"/>
                <w:color w:val="000000"/>
                <w:szCs w:val="24"/>
              </w:rPr>
            </w:pPr>
            <w:r w:rsidRPr="00875101">
              <w:rPr>
                <w:rFonts w:eastAsia="Times New Roman" w:cs="Calibri"/>
                <w:color w:val="000000"/>
                <w:szCs w:val="24"/>
              </w:rPr>
              <w:t>MRI</w:t>
            </w:r>
          </w:p>
        </w:tc>
        <w:tc>
          <w:tcPr>
            <w:tcW w:w="0" w:type="auto"/>
            <w:shd w:val="clear" w:color="auto" w:fill="auto"/>
            <w:vAlign w:val="center"/>
            <w:hideMark/>
          </w:tcPr>
          <w:p w14:paraId="26BB105F"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6,830</w:t>
            </w:r>
          </w:p>
        </w:tc>
        <w:tc>
          <w:tcPr>
            <w:tcW w:w="0" w:type="auto"/>
            <w:shd w:val="clear" w:color="auto" w:fill="auto"/>
            <w:vAlign w:val="center"/>
            <w:hideMark/>
          </w:tcPr>
          <w:p w14:paraId="716FC9BA"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8,120</w:t>
            </w:r>
          </w:p>
        </w:tc>
        <w:tc>
          <w:tcPr>
            <w:tcW w:w="0" w:type="auto"/>
            <w:shd w:val="clear" w:color="auto" w:fill="auto"/>
            <w:vAlign w:val="center"/>
            <w:hideMark/>
          </w:tcPr>
          <w:p w14:paraId="689ACDC4"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7,845</w:t>
            </w:r>
          </w:p>
        </w:tc>
        <w:tc>
          <w:tcPr>
            <w:tcW w:w="0" w:type="auto"/>
            <w:shd w:val="clear" w:color="auto" w:fill="auto"/>
            <w:vAlign w:val="center"/>
            <w:hideMark/>
          </w:tcPr>
          <w:p w14:paraId="15D4D94F"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11,896</w:t>
            </w:r>
          </w:p>
        </w:tc>
        <w:tc>
          <w:tcPr>
            <w:tcW w:w="0" w:type="auto"/>
            <w:shd w:val="clear" w:color="auto" w:fill="auto"/>
            <w:vAlign w:val="center"/>
            <w:hideMark/>
          </w:tcPr>
          <w:p w14:paraId="21A15DE7"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14,266</w:t>
            </w:r>
          </w:p>
        </w:tc>
        <w:tc>
          <w:tcPr>
            <w:tcW w:w="0" w:type="auto"/>
            <w:shd w:val="clear" w:color="auto" w:fill="auto"/>
            <w:vAlign w:val="center"/>
            <w:hideMark/>
          </w:tcPr>
          <w:p w14:paraId="469C3538"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14,948</w:t>
            </w:r>
          </w:p>
        </w:tc>
        <w:tc>
          <w:tcPr>
            <w:tcW w:w="0" w:type="auto"/>
            <w:shd w:val="clear" w:color="auto" w:fill="auto"/>
            <w:noWrap/>
            <w:vAlign w:val="bottom"/>
            <w:hideMark/>
          </w:tcPr>
          <w:p w14:paraId="71B27810" w14:textId="53524A80"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11</w:t>
            </w:r>
            <w:r w:rsidR="00790A5C">
              <w:rPr>
                <w:rFonts w:eastAsia="Times New Roman" w:cs="Calibri"/>
                <w:color w:val="000000"/>
                <w:szCs w:val="24"/>
              </w:rPr>
              <w:t>9</w:t>
            </w:r>
            <w:r w:rsidRPr="00875101">
              <w:rPr>
                <w:rFonts w:eastAsia="Times New Roman" w:cs="Calibri"/>
                <w:color w:val="000000"/>
                <w:szCs w:val="24"/>
              </w:rPr>
              <w:t>%</w:t>
            </w:r>
          </w:p>
        </w:tc>
      </w:tr>
      <w:tr w:rsidR="00E91DB2" w:rsidRPr="00875101" w14:paraId="16C9F055" w14:textId="77777777" w:rsidTr="00E91DB2">
        <w:trPr>
          <w:cantSplit/>
          <w:trHeight w:val="290"/>
        </w:trPr>
        <w:tc>
          <w:tcPr>
            <w:tcW w:w="0" w:type="auto"/>
            <w:shd w:val="clear" w:color="auto" w:fill="auto"/>
            <w:vAlign w:val="center"/>
            <w:hideMark/>
          </w:tcPr>
          <w:p w14:paraId="45CFD03D" w14:textId="77777777" w:rsidR="00E91DB2" w:rsidRPr="00875101" w:rsidRDefault="00E91DB2" w:rsidP="00E91DB2">
            <w:pPr>
              <w:widowControl/>
              <w:autoSpaceDE/>
              <w:autoSpaceDN/>
              <w:rPr>
                <w:rFonts w:eastAsia="Times New Roman" w:cs="Calibri"/>
                <w:color w:val="000000"/>
                <w:szCs w:val="24"/>
              </w:rPr>
            </w:pPr>
            <w:r w:rsidRPr="00875101">
              <w:rPr>
                <w:rFonts w:eastAsia="Times New Roman" w:cs="Calibri"/>
                <w:color w:val="000000"/>
                <w:szCs w:val="24"/>
              </w:rPr>
              <w:t>CT</w:t>
            </w:r>
          </w:p>
        </w:tc>
        <w:tc>
          <w:tcPr>
            <w:tcW w:w="0" w:type="auto"/>
            <w:shd w:val="clear" w:color="auto" w:fill="auto"/>
            <w:vAlign w:val="center"/>
            <w:hideMark/>
          </w:tcPr>
          <w:p w14:paraId="50748C20"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32,228</w:t>
            </w:r>
          </w:p>
        </w:tc>
        <w:tc>
          <w:tcPr>
            <w:tcW w:w="0" w:type="auto"/>
            <w:shd w:val="clear" w:color="auto" w:fill="auto"/>
            <w:vAlign w:val="center"/>
            <w:hideMark/>
          </w:tcPr>
          <w:p w14:paraId="22308AE8"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33,611</w:t>
            </w:r>
          </w:p>
        </w:tc>
        <w:tc>
          <w:tcPr>
            <w:tcW w:w="0" w:type="auto"/>
            <w:shd w:val="clear" w:color="auto" w:fill="auto"/>
            <w:vAlign w:val="center"/>
            <w:hideMark/>
          </w:tcPr>
          <w:p w14:paraId="3B4DB39C"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31,505</w:t>
            </w:r>
          </w:p>
        </w:tc>
        <w:tc>
          <w:tcPr>
            <w:tcW w:w="0" w:type="auto"/>
            <w:shd w:val="clear" w:color="auto" w:fill="auto"/>
            <w:vAlign w:val="center"/>
            <w:hideMark/>
          </w:tcPr>
          <w:p w14:paraId="2EF02C88"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38,487</w:t>
            </w:r>
          </w:p>
        </w:tc>
        <w:tc>
          <w:tcPr>
            <w:tcW w:w="0" w:type="auto"/>
            <w:shd w:val="clear" w:color="auto" w:fill="auto"/>
            <w:vAlign w:val="center"/>
            <w:hideMark/>
          </w:tcPr>
          <w:p w14:paraId="4EE93479"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43,593</w:t>
            </w:r>
          </w:p>
        </w:tc>
        <w:tc>
          <w:tcPr>
            <w:tcW w:w="0" w:type="auto"/>
            <w:shd w:val="clear" w:color="auto" w:fill="auto"/>
            <w:vAlign w:val="center"/>
            <w:hideMark/>
          </w:tcPr>
          <w:p w14:paraId="638EE257"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44,467</w:t>
            </w:r>
          </w:p>
        </w:tc>
        <w:tc>
          <w:tcPr>
            <w:tcW w:w="0" w:type="auto"/>
            <w:shd w:val="clear" w:color="auto" w:fill="auto"/>
            <w:noWrap/>
            <w:vAlign w:val="bottom"/>
            <w:hideMark/>
          </w:tcPr>
          <w:p w14:paraId="7B8E2261" w14:textId="1B8C41DD"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3</w:t>
            </w:r>
            <w:r w:rsidR="003220DA">
              <w:rPr>
                <w:rFonts w:eastAsia="Times New Roman" w:cs="Calibri"/>
                <w:color w:val="000000"/>
                <w:szCs w:val="24"/>
              </w:rPr>
              <w:t>7</w:t>
            </w:r>
            <w:r w:rsidRPr="00875101">
              <w:rPr>
                <w:rFonts w:eastAsia="Times New Roman" w:cs="Calibri"/>
                <w:color w:val="000000"/>
                <w:szCs w:val="24"/>
              </w:rPr>
              <w:t>%</w:t>
            </w:r>
          </w:p>
        </w:tc>
      </w:tr>
      <w:tr w:rsidR="00E91DB2" w:rsidRPr="00875101" w14:paraId="6162C26B" w14:textId="77777777" w:rsidTr="00E91DB2">
        <w:trPr>
          <w:cantSplit/>
          <w:trHeight w:val="290"/>
        </w:trPr>
        <w:tc>
          <w:tcPr>
            <w:tcW w:w="0" w:type="auto"/>
            <w:shd w:val="clear" w:color="auto" w:fill="auto"/>
            <w:vAlign w:val="center"/>
            <w:hideMark/>
          </w:tcPr>
          <w:p w14:paraId="5C15A18D" w14:textId="00D74623" w:rsidR="00E91DB2" w:rsidRPr="00875101" w:rsidRDefault="00E91DB2" w:rsidP="00E91DB2">
            <w:pPr>
              <w:widowControl/>
              <w:autoSpaceDE/>
              <w:autoSpaceDN/>
              <w:rPr>
                <w:rFonts w:eastAsia="Times New Roman" w:cs="Calibri"/>
                <w:color w:val="000000"/>
                <w:szCs w:val="24"/>
              </w:rPr>
            </w:pPr>
            <w:r w:rsidRPr="00875101">
              <w:rPr>
                <w:rFonts w:eastAsia="Times New Roman" w:cs="Calibri"/>
                <w:color w:val="000000"/>
                <w:szCs w:val="24"/>
              </w:rPr>
              <w:t>PET-CT</w:t>
            </w:r>
          </w:p>
        </w:tc>
        <w:tc>
          <w:tcPr>
            <w:tcW w:w="0" w:type="auto"/>
            <w:shd w:val="clear" w:color="auto" w:fill="auto"/>
            <w:vAlign w:val="center"/>
            <w:hideMark/>
          </w:tcPr>
          <w:p w14:paraId="44E392A9"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5,465</w:t>
            </w:r>
          </w:p>
        </w:tc>
        <w:tc>
          <w:tcPr>
            <w:tcW w:w="0" w:type="auto"/>
            <w:shd w:val="clear" w:color="auto" w:fill="auto"/>
            <w:vAlign w:val="center"/>
            <w:hideMark/>
          </w:tcPr>
          <w:p w14:paraId="697E4192"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5,825</w:t>
            </w:r>
          </w:p>
        </w:tc>
        <w:tc>
          <w:tcPr>
            <w:tcW w:w="0" w:type="auto"/>
            <w:shd w:val="clear" w:color="auto" w:fill="auto"/>
            <w:vAlign w:val="center"/>
            <w:hideMark/>
          </w:tcPr>
          <w:p w14:paraId="2BA678A0"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5,610</w:t>
            </w:r>
          </w:p>
        </w:tc>
        <w:tc>
          <w:tcPr>
            <w:tcW w:w="0" w:type="auto"/>
            <w:shd w:val="clear" w:color="auto" w:fill="auto"/>
            <w:vAlign w:val="center"/>
            <w:hideMark/>
          </w:tcPr>
          <w:p w14:paraId="2C6E4BE5"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6,214</w:t>
            </w:r>
          </w:p>
        </w:tc>
        <w:tc>
          <w:tcPr>
            <w:tcW w:w="0" w:type="auto"/>
            <w:shd w:val="clear" w:color="auto" w:fill="auto"/>
            <w:vAlign w:val="center"/>
            <w:hideMark/>
          </w:tcPr>
          <w:p w14:paraId="1E626BC2"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6,828</w:t>
            </w:r>
          </w:p>
        </w:tc>
        <w:tc>
          <w:tcPr>
            <w:tcW w:w="0" w:type="auto"/>
            <w:shd w:val="clear" w:color="auto" w:fill="auto"/>
            <w:vAlign w:val="center"/>
            <w:hideMark/>
          </w:tcPr>
          <w:p w14:paraId="40CCA39B" w14:textId="77777777"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8,646</w:t>
            </w:r>
          </w:p>
        </w:tc>
        <w:tc>
          <w:tcPr>
            <w:tcW w:w="0" w:type="auto"/>
            <w:shd w:val="clear" w:color="auto" w:fill="auto"/>
            <w:noWrap/>
            <w:vAlign w:val="bottom"/>
            <w:hideMark/>
          </w:tcPr>
          <w:p w14:paraId="05AD38A5" w14:textId="6EC77700" w:rsidR="00E91DB2" w:rsidRPr="00875101" w:rsidRDefault="00E91DB2" w:rsidP="00014B18">
            <w:pPr>
              <w:widowControl/>
              <w:autoSpaceDE/>
              <w:autoSpaceDN/>
              <w:jc w:val="center"/>
              <w:rPr>
                <w:rFonts w:eastAsia="Times New Roman" w:cs="Calibri"/>
                <w:color w:val="000000"/>
                <w:szCs w:val="24"/>
              </w:rPr>
            </w:pPr>
            <w:r w:rsidRPr="00875101">
              <w:rPr>
                <w:rFonts w:eastAsia="Times New Roman" w:cs="Calibri"/>
                <w:color w:val="000000"/>
                <w:szCs w:val="24"/>
              </w:rPr>
              <w:t>58%</w:t>
            </w:r>
          </w:p>
        </w:tc>
      </w:tr>
    </w:tbl>
    <w:p w14:paraId="54F7677F" w14:textId="6CF9A0CE" w:rsidR="009261AD" w:rsidRDefault="0009409A" w:rsidP="00BA2054">
      <w:pPr>
        <w:rPr>
          <w:rFonts w:asciiTheme="minorHAnsi" w:hAnsiTheme="minorHAnsi"/>
          <w:szCs w:val="24"/>
        </w:rPr>
      </w:pPr>
      <w:r>
        <w:rPr>
          <w:rFonts w:asciiTheme="minorHAnsi" w:hAnsiTheme="minorHAnsi"/>
          <w:szCs w:val="24"/>
        </w:rPr>
        <w:t>The Applicant reported</w:t>
      </w:r>
      <w:r w:rsidR="005A0357">
        <w:rPr>
          <w:rFonts w:asciiTheme="minorHAnsi" w:hAnsiTheme="minorHAnsi"/>
          <w:szCs w:val="24"/>
        </w:rPr>
        <w:t xml:space="preserve"> a 81% increase in </w:t>
      </w:r>
      <w:r w:rsidR="00310501" w:rsidRPr="001668BA">
        <w:rPr>
          <w:rFonts w:asciiTheme="minorHAnsi" w:hAnsiTheme="minorHAnsi"/>
          <w:szCs w:val="24"/>
        </w:rPr>
        <w:t xml:space="preserve">MRI scans, </w:t>
      </w:r>
      <w:r w:rsidR="005A0357">
        <w:rPr>
          <w:rFonts w:asciiTheme="minorHAnsi" w:hAnsiTheme="minorHAnsi"/>
          <w:szCs w:val="24"/>
        </w:rPr>
        <w:t xml:space="preserve">38% increase in </w:t>
      </w:r>
      <w:r w:rsidR="00310501" w:rsidRPr="001668BA">
        <w:rPr>
          <w:rFonts w:asciiTheme="minorHAnsi" w:hAnsiTheme="minorHAnsi"/>
          <w:szCs w:val="24"/>
        </w:rPr>
        <w:t xml:space="preserve">CT scans and </w:t>
      </w:r>
      <w:r w:rsidR="005A0357">
        <w:rPr>
          <w:rFonts w:asciiTheme="minorHAnsi" w:hAnsiTheme="minorHAnsi"/>
          <w:szCs w:val="24"/>
        </w:rPr>
        <w:t xml:space="preserve">22% increase in </w:t>
      </w:r>
      <w:r w:rsidR="00310501" w:rsidRPr="001668BA">
        <w:rPr>
          <w:rFonts w:asciiTheme="minorHAnsi" w:hAnsiTheme="minorHAnsi"/>
          <w:szCs w:val="24"/>
        </w:rPr>
        <w:t xml:space="preserve">PET-CT scans between </w:t>
      </w:r>
      <w:r w:rsidR="00665047" w:rsidRPr="001668BA">
        <w:rPr>
          <w:rFonts w:asciiTheme="minorHAnsi" w:hAnsiTheme="minorHAnsi"/>
          <w:szCs w:val="24"/>
        </w:rPr>
        <w:t>2021 and 2023</w:t>
      </w:r>
      <w:r w:rsidR="00310501" w:rsidRPr="001668BA">
        <w:rPr>
          <w:rFonts w:asciiTheme="minorHAnsi" w:hAnsiTheme="minorHAnsi"/>
          <w:szCs w:val="24"/>
        </w:rPr>
        <w:t>.</w:t>
      </w:r>
      <w:r w:rsidR="00310501">
        <w:rPr>
          <w:rFonts w:asciiTheme="minorHAnsi" w:hAnsiTheme="minorHAnsi"/>
          <w:szCs w:val="24"/>
        </w:rPr>
        <w:t xml:space="preserve"> </w:t>
      </w:r>
      <w:r w:rsidR="00EC3B68">
        <w:rPr>
          <w:rFonts w:asciiTheme="minorHAnsi" w:hAnsiTheme="minorHAnsi"/>
          <w:szCs w:val="24"/>
        </w:rPr>
        <w:t xml:space="preserve">The Applicant attributes the increase in utilization of imaging </w:t>
      </w:r>
      <w:r w:rsidR="00EC3B68">
        <w:rPr>
          <w:rFonts w:asciiTheme="minorHAnsi" w:hAnsiTheme="minorHAnsi"/>
          <w:szCs w:val="24"/>
        </w:rPr>
        <w:lastRenderedPageBreak/>
        <w:t xml:space="preserve">equipment in the outpatient setting to </w:t>
      </w:r>
      <w:r w:rsidR="00F60119">
        <w:rPr>
          <w:rFonts w:asciiTheme="minorHAnsi" w:hAnsiTheme="minorHAnsi"/>
          <w:szCs w:val="24"/>
        </w:rPr>
        <w:t xml:space="preserve">the opening of the Applicant’s site in Chestnut Hill in 2021, as well as to the following: </w:t>
      </w:r>
      <w:r w:rsidR="009261AD" w:rsidRPr="00460C4F">
        <w:rPr>
          <w:rFonts w:asciiTheme="minorHAnsi" w:hAnsiTheme="minorHAnsi"/>
          <w:szCs w:val="24"/>
        </w:rPr>
        <w:t xml:space="preserve">(1) </w:t>
      </w:r>
      <w:r w:rsidR="00460C4F">
        <w:rPr>
          <w:rFonts w:asciiTheme="minorHAnsi" w:hAnsiTheme="minorHAnsi"/>
          <w:szCs w:val="24"/>
        </w:rPr>
        <w:t xml:space="preserve">the </w:t>
      </w:r>
      <w:r w:rsidR="009261AD" w:rsidRPr="00460C4F">
        <w:rPr>
          <w:rFonts w:asciiTheme="minorHAnsi" w:hAnsiTheme="minorHAnsi"/>
          <w:szCs w:val="24"/>
        </w:rPr>
        <w:t xml:space="preserve">receipt of care delayed by patients during the COVID-19 pandemic </w:t>
      </w:r>
      <w:r w:rsidR="003E3CBD">
        <w:rPr>
          <w:rFonts w:asciiTheme="minorHAnsi" w:hAnsiTheme="minorHAnsi"/>
          <w:szCs w:val="24"/>
        </w:rPr>
        <w:t xml:space="preserve">which </w:t>
      </w:r>
      <w:r w:rsidR="009261AD" w:rsidRPr="00460C4F">
        <w:rPr>
          <w:rFonts w:asciiTheme="minorHAnsi" w:hAnsiTheme="minorHAnsi"/>
          <w:szCs w:val="24"/>
        </w:rPr>
        <w:t>includ</w:t>
      </w:r>
      <w:r w:rsidR="003E3CBD">
        <w:rPr>
          <w:rFonts w:asciiTheme="minorHAnsi" w:hAnsiTheme="minorHAnsi"/>
          <w:szCs w:val="24"/>
        </w:rPr>
        <w:t>es</w:t>
      </w:r>
      <w:r w:rsidR="009261AD" w:rsidRPr="00460C4F">
        <w:rPr>
          <w:rFonts w:asciiTheme="minorHAnsi" w:hAnsiTheme="minorHAnsi"/>
          <w:szCs w:val="24"/>
        </w:rPr>
        <w:t xml:space="preserve"> patients presenting with more advanced disease requiring imaging; (2) general increases in the incidence and prevalence of cancer cases; (3) increases in the number of commercially available diagnostic radiotracers, allowing PET</w:t>
      </w:r>
      <w:r w:rsidR="00B559FE">
        <w:rPr>
          <w:rFonts w:asciiTheme="minorHAnsi" w:hAnsiTheme="minorHAnsi"/>
          <w:szCs w:val="24"/>
        </w:rPr>
        <w:t>-</w:t>
      </w:r>
      <w:r w:rsidR="009261AD" w:rsidRPr="00460C4F">
        <w:rPr>
          <w:rFonts w:asciiTheme="minorHAnsi" w:hAnsiTheme="minorHAnsi"/>
          <w:szCs w:val="24"/>
        </w:rPr>
        <w:t xml:space="preserve">CTs to be deployed to assist in the diagnosis of more types of cancer; and (4) the launch of an early detection program to find cancers earlier when they can more often be cured. </w:t>
      </w:r>
    </w:p>
    <w:p w14:paraId="1ADCC977" w14:textId="77777777" w:rsidR="008019EB" w:rsidRDefault="008019EB" w:rsidP="00BA2054">
      <w:pPr>
        <w:rPr>
          <w:rFonts w:asciiTheme="minorHAnsi" w:hAnsiTheme="minorHAnsi"/>
          <w:szCs w:val="24"/>
        </w:rPr>
      </w:pPr>
    </w:p>
    <w:p w14:paraId="1C44E3E9" w14:textId="1D2E44E6" w:rsidR="008019EB" w:rsidRDefault="00F77466" w:rsidP="00BA2054">
      <w:pPr>
        <w:rPr>
          <w:rFonts w:asciiTheme="minorHAnsi" w:hAnsiTheme="minorHAnsi"/>
        </w:rPr>
      </w:pPr>
      <w:r w:rsidRPr="5F8980E2">
        <w:rPr>
          <w:rFonts w:asciiTheme="minorHAnsi" w:hAnsiTheme="minorHAnsi"/>
        </w:rPr>
        <w:t xml:space="preserve">Table </w:t>
      </w:r>
      <w:r w:rsidR="007A27DA">
        <w:rPr>
          <w:rFonts w:asciiTheme="minorHAnsi" w:hAnsiTheme="minorHAnsi"/>
        </w:rPr>
        <w:t>2</w:t>
      </w:r>
      <w:r w:rsidR="002D5360">
        <w:rPr>
          <w:rFonts w:asciiTheme="minorHAnsi" w:hAnsiTheme="minorHAnsi"/>
        </w:rPr>
        <w:t>5</w:t>
      </w:r>
      <w:r w:rsidRPr="5F8980E2">
        <w:rPr>
          <w:rFonts w:asciiTheme="minorHAnsi" w:hAnsiTheme="minorHAnsi"/>
        </w:rPr>
        <w:t xml:space="preserve"> shows inpatient imaging wait times and Table </w:t>
      </w:r>
      <w:r w:rsidR="00B748CB">
        <w:rPr>
          <w:rFonts w:asciiTheme="minorHAnsi" w:hAnsiTheme="minorHAnsi"/>
        </w:rPr>
        <w:t>2</w:t>
      </w:r>
      <w:r w:rsidR="002D5360">
        <w:rPr>
          <w:rFonts w:asciiTheme="minorHAnsi" w:hAnsiTheme="minorHAnsi"/>
        </w:rPr>
        <w:t>6</w:t>
      </w:r>
      <w:r w:rsidRPr="5F8980E2">
        <w:rPr>
          <w:rFonts w:asciiTheme="minorHAnsi" w:hAnsiTheme="minorHAnsi"/>
        </w:rPr>
        <w:t xml:space="preserve"> shows outpatient imaging wait times.</w:t>
      </w:r>
      <w:r w:rsidR="0044777F" w:rsidRPr="5F8980E2">
        <w:rPr>
          <w:rStyle w:val="FootnoteReference"/>
          <w:rFonts w:asciiTheme="minorHAnsi" w:hAnsiTheme="minorHAnsi"/>
        </w:rPr>
        <w:footnoteReference w:id="79"/>
      </w:r>
      <w:r w:rsidRPr="5F8980E2">
        <w:rPr>
          <w:rFonts w:asciiTheme="minorHAnsi" w:hAnsiTheme="minorHAnsi"/>
        </w:rPr>
        <w:t xml:space="preserve"> </w:t>
      </w:r>
    </w:p>
    <w:p w14:paraId="47B8D81B" w14:textId="77777777" w:rsidR="00F77466" w:rsidRDefault="00F77466" w:rsidP="00460C4F">
      <w:pPr>
        <w:rPr>
          <w:rFonts w:asciiTheme="minorHAnsi" w:hAnsiTheme="minorHAnsi"/>
          <w:szCs w:val="24"/>
        </w:rPr>
      </w:pPr>
    </w:p>
    <w:p w14:paraId="62B81146" w14:textId="1D75748C" w:rsidR="00F77466" w:rsidRPr="00F77466" w:rsidRDefault="00F77466" w:rsidP="00460C4F">
      <w:pPr>
        <w:rPr>
          <w:rFonts w:asciiTheme="minorHAnsi" w:hAnsiTheme="minorHAnsi"/>
          <w:b/>
          <w:bCs/>
          <w:szCs w:val="24"/>
        </w:rPr>
      </w:pPr>
      <w:r w:rsidRPr="00F77466">
        <w:rPr>
          <w:rFonts w:asciiTheme="minorHAnsi" w:hAnsiTheme="minorHAnsi"/>
          <w:b/>
          <w:bCs/>
          <w:szCs w:val="24"/>
          <w:u w:val="single"/>
        </w:rPr>
        <w:t xml:space="preserve">Table </w:t>
      </w:r>
      <w:r w:rsidR="00B748CB">
        <w:rPr>
          <w:rFonts w:asciiTheme="minorHAnsi" w:hAnsiTheme="minorHAnsi"/>
          <w:b/>
          <w:bCs/>
          <w:szCs w:val="24"/>
          <w:u w:val="single"/>
        </w:rPr>
        <w:t>2</w:t>
      </w:r>
      <w:r w:rsidR="002D5360">
        <w:rPr>
          <w:rFonts w:asciiTheme="minorHAnsi" w:hAnsiTheme="minorHAnsi"/>
          <w:b/>
          <w:bCs/>
          <w:szCs w:val="24"/>
          <w:u w:val="single"/>
        </w:rPr>
        <w:t>5</w:t>
      </w:r>
      <w:r w:rsidRPr="00F77466">
        <w:rPr>
          <w:rFonts w:asciiTheme="minorHAnsi" w:hAnsiTheme="minorHAnsi"/>
          <w:b/>
          <w:bCs/>
          <w:szCs w:val="24"/>
        </w:rPr>
        <w:t xml:space="preserve">: Average Inpatient Imaging Wait Times in Hours </w:t>
      </w:r>
    </w:p>
    <w:tbl>
      <w:tblPr>
        <w:tblW w:w="0" w:type="auto"/>
        <w:tblLook w:val="04A0" w:firstRow="1" w:lastRow="0" w:firstColumn="1" w:lastColumn="0" w:noHBand="0" w:noVBand="1"/>
      </w:tblPr>
      <w:tblGrid>
        <w:gridCol w:w="1101"/>
        <w:gridCol w:w="695"/>
        <w:gridCol w:w="695"/>
        <w:gridCol w:w="695"/>
        <w:gridCol w:w="695"/>
        <w:gridCol w:w="695"/>
        <w:gridCol w:w="695"/>
      </w:tblGrid>
      <w:tr w:rsidR="00F77466" w:rsidRPr="00875101" w14:paraId="4413E0B6" w14:textId="77777777" w:rsidTr="00057F00">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28F9EC" w14:textId="77777777" w:rsidR="00F77466" w:rsidRPr="00875101" w:rsidRDefault="00F77466" w:rsidP="00F77466">
            <w:pPr>
              <w:widowControl/>
              <w:autoSpaceDE/>
              <w:autoSpaceDN/>
              <w:rPr>
                <w:rFonts w:eastAsia="Times New Roman" w:cs="Calibri"/>
                <w:b/>
                <w:bCs/>
                <w:color w:val="000000"/>
                <w:szCs w:val="24"/>
              </w:rPr>
            </w:pPr>
            <w:r w:rsidRPr="00875101">
              <w:rPr>
                <w:rFonts w:eastAsia="Times New Roman" w:cs="Calibri"/>
                <w:b/>
                <w:bCs/>
                <w:color w:val="000000"/>
                <w:spacing w:val="-2"/>
                <w:szCs w:val="24"/>
              </w:rPr>
              <w:t>Modality</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A089460" w14:textId="77777777" w:rsidR="00F77466" w:rsidRPr="00875101" w:rsidRDefault="00F77466"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630DED8" w14:textId="77777777" w:rsidR="00F77466" w:rsidRPr="00875101" w:rsidRDefault="00F77466"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BE1F89C" w14:textId="77777777" w:rsidR="00F77466" w:rsidRPr="00875101" w:rsidRDefault="00F77466"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70B40FB" w14:textId="77777777" w:rsidR="00F77466" w:rsidRPr="00875101" w:rsidRDefault="00F77466"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5C89B87" w14:textId="77777777" w:rsidR="00F77466" w:rsidRPr="00875101" w:rsidRDefault="00F77466"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1C034251" w14:textId="77777777" w:rsidR="00F77466" w:rsidRPr="00875101" w:rsidRDefault="00F77466"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FY23</w:t>
            </w:r>
          </w:p>
        </w:tc>
      </w:tr>
      <w:tr w:rsidR="00F77466" w:rsidRPr="00875101" w14:paraId="24A4751F" w14:textId="77777777" w:rsidTr="00057F00">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0844D" w14:textId="77777777" w:rsidR="00F77466" w:rsidRPr="00875101" w:rsidRDefault="00F77466" w:rsidP="00F77466">
            <w:pPr>
              <w:widowControl/>
              <w:autoSpaceDE/>
              <w:autoSpaceDN/>
              <w:rPr>
                <w:rFonts w:eastAsia="Times New Roman" w:cs="Calibri"/>
                <w:color w:val="000000"/>
                <w:szCs w:val="24"/>
              </w:rPr>
            </w:pPr>
            <w:r w:rsidRPr="00875101">
              <w:rPr>
                <w:rFonts w:eastAsia="Times New Roman" w:cs="Calibri"/>
                <w:color w:val="000000"/>
                <w:spacing w:val="-5"/>
                <w:szCs w:val="24"/>
              </w:rPr>
              <w:t>CT</w:t>
            </w:r>
          </w:p>
        </w:tc>
        <w:tc>
          <w:tcPr>
            <w:tcW w:w="0" w:type="auto"/>
            <w:tcBorders>
              <w:top w:val="nil"/>
              <w:left w:val="nil"/>
              <w:bottom w:val="single" w:sz="4" w:space="0" w:color="auto"/>
              <w:right w:val="single" w:sz="4" w:space="0" w:color="auto"/>
            </w:tcBorders>
            <w:shd w:val="clear" w:color="auto" w:fill="auto"/>
            <w:vAlign w:val="center"/>
            <w:hideMark/>
          </w:tcPr>
          <w:p w14:paraId="2E00642D"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4.5</w:t>
            </w:r>
          </w:p>
        </w:tc>
        <w:tc>
          <w:tcPr>
            <w:tcW w:w="0" w:type="auto"/>
            <w:tcBorders>
              <w:top w:val="nil"/>
              <w:left w:val="nil"/>
              <w:bottom w:val="single" w:sz="4" w:space="0" w:color="auto"/>
              <w:right w:val="single" w:sz="4" w:space="0" w:color="auto"/>
            </w:tcBorders>
            <w:shd w:val="clear" w:color="auto" w:fill="auto"/>
            <w:vAlign w:val="center"/>
            <w:hideMark/>
          </w:tcPr>
          <w:p w14:paraId="600FE2E5"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4.6</w:t>
            </w:r>
          </w:p>
        </w:tc>
        <w:tc>
          <w:tcPr>
            <w:tcW w:w="0" w:type="auto"/>
            <w:tcBorders>
              <w:top w:val="nil"/>
              <w:left w:val="nil"/>
              <w:bottom w:val="single" w:sz="4" w:space="0" w:color="auto"/>
              <w:right w:val="single" w:sz="4" w:space="0" w:color="auto"/>
            </w:tcBorders>
            <w:shd w:val="clear" w:color="auto" w:fill="auto"/>
            <w:vAlign w:val="center"/>
            <w:hideMark/>
          </w:tcPr>
          <w:p w14:paraId="5C804F25"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4.6</w:t>
            </w:r>
          </w:p>
        </w:tc>
        <w:tc>
          <w:tcPr>
            <w:tcW w:w="0" w:type="auto"/>
            <w:tcBorders>
              <w:top w:val="nil"/>
              <w:left w:val="nil"/>
              <w:bottom w:val="single" w:sz="4" w:space="0" w:color="auto"/>
              <w:right w:val="single" w:sz="4" w:space="0" w:color="auto"/>
            </w:tcBorders>
            <w:shd w:val="clear" w:color="auto" w:fill="auto"/>
            <w:vAlign w:val="center"/>
            <w:hideMark/>
          </w:tcPr>
          <w:p w14:paraId="4169241F" w14:textId="32180FA4"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10"/>
                <w:szCs w:val="24"/>
              </w:rPr>
              <w:t>5</w:t>
            </w:r>
            <w:r w:rsidR="00983FA4">
              <w:rPr>
                <w:rFonts w:eastAsia="Times New Roman" w:cs="Calibri"/>
                <w:color w:val="000000"/>
                <w:spacing w:val="-10"/>
                <w:szCs w:val="24"/>
              </w:rPr>
              <w:t>.0</w:t>
            </w:r>
          </w:p>
        </w:tc>
        <w:tc>
          <w:tcPr>
            <w:tcW w:w="0" w:type="auto"/>
            <w:tcBorders>
              <w:top w:val="nil"/>
              <w:left w:val="nil"/>
              <w:bottom w:val="single" w:sz="4" w:space="0" w:color="auto"/>
              <w:right w:val="single" w:sz="4" w:space="0" w:color="auto"/>
            </w:tcBorders>
            <w:shd w:val="clear" w:color="auto" w:fill="auto"/>
            <w:vAlign w:val="center"/>
            <w:hideMark/>
          </w:tcPr>
          <w:p w14:paraId="799B7F64"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4.8</w:t>
            </w:r>
          </w:p>
        </w:tc>
        <w:tc>
          <w:tcPr>
            <w:tcW w:w="0" w:type="auto"/>
            <w:tcBorders>
              <w:top w:val="nil"/>
              <w:left w:val="nil"/>
              <w:bottom w:val="single" w:sz="4" w:space="0" w:color="auto"/>
              <w:right w:val="single" w:sz="4" w:space="0" w:color="auto"/>
            </w:tcBorders>
            <w:shd w:val="clear" w:color="auto" w:fill="auto"/>
            <w:noWrap/>
            <w:vAlign w:val="bottom"/>
            <w:hideMark/>
          </w:tcPr>
          <w:p w14:paraId="5D732021"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zCs w:val="24"/>
              </w:rPr>
              <w:t>5.6</w:t>
            </w:r>
          </w:p>
        </w:tc>
      </w:tr>
      <w:tr w:rsidR="00F77466" w:rsidRPr="00875101" w14:paraId="2A20C3AF" w14:textId="77777777" w:rsidTr="00057F00">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DE5A6" w14:textId="77777777" w:rsidR="00F77466" w:rsidRPr="00875101" w:rsidRDefault="00F77466" w:rsidP="00F77466">
            <w:pPr>
              <w:widowControl/>
              <w:autoSpaceDE/>
              <w:autoSpaceDN/>
              <w:rPr>
                <w:rFonts w:eastAsia="Times New Roman" w:cs="Calibri"/>
                <w:color w:val="000000"/>
                <w:szCs w:val="24"/>
              </w:rPr>
            </w:pPr>
            <w:r w:rsidRPr="00875101">
              <w:rPr>
                <w:rFonts w:eastAsia="Times New Roman" w:cs="Calibri"/>
                <w:color w:val="000000"/>
                <w:spacing w:val="-5"/>
                <w:szCs w:val="24"/>
              </w:rPr>
              <w:t>MRI</w:t>
            </w:r>
          </w:p>
        </w:tc>
        <w:tc>
          <w:tcPr>
            <w:tcW w:w="0" w:type="auto"/>
            <w:tcBorders>
              <w:top w:val="nil"/>
              <w:left w:val="nil"/>
              <w:bottom w:val="single" w:sz="4" w:space="0" w:color="auto"/>
              <w:right w:val="single" w:sz="4" w:space="0" w:color="auto"/>
            </w:tcBorders>
            <w:shd w:val="clear" w:color="auto" w:fill="auto"/>
            <w:vAlign w:val="center"/>
            <w:hideMark/>
          </w:tcPr>
          <w:p w14:paraId="7FD004C4"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11.4</w:t>
            </w:r>
          </w:p>
        </w:tc>
        <w:tc>
          <w:tcPr>
            <w:tcW w:w="0" w:type="auto"/>
            <w:tcBorders>
              <w:top w:val="nil"/>
              <w:left w:val="nil"/>
              <w:bottom w:val="single" w:sz="4" w:space="0" w:color="auto"/>
              <w:right w:val="single" w:sz="4" w:space="0" w:color="auto"/>
            </w:tcBorders>
            <w:shd w:val="clear" w:color="auto" w:fill="auto"/>
            <w:vAlign w:val="center"/>
            <w:hideMark/>
          </w:tcPr>
          <w:p w14:paraId="6A53CFE2"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10.5</w:t>
            </w:r>
          </w:p>
        </w:tc>
        <w:tc>
          <w:tcPr>
            <w:tcW w:w="0" w:type="auto"/>
            <w:tcBorders>
              <w:top w:val="nil"/>
              <w:left w:val="nil"/>
              <w:bottom w:val="single" w:sz="4" w:space="0" w:color="auto"/>
              <w:right w:val="single" w:sz="4" w:space="0" w:color="auto"/>
            </w:tcBorders>
            <w:shd w:val="clear" w:color="auto" w:fill="auto"/>
            <w:vAlign w:val="center"/>
            <w:hideMark/>
          </w:tcPr>
          <w:p w14:paraId="2C5AF488"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10.2</w:t>
            </w:r>
          </w:p>
        </w:tc>
        <w:tc>
          <w:tcPr>
            <w:tcW w:w="0" w:type="auto"/>
            <w:tcBorders>
              <w:top w:val="nil"/>
              <w:left w:val="nil"/>
              <w:bottom w:val="single" w:sz="4" w:space="0" w:color="auto"/>
              <w:right w:val="single" w:sz="4" w:space="0" w:color="auto"/>
            </w:tcBorders>
            <w:shd w:val="clear" w:color="auto" w:fill="auto"/>
            <w:vAlign w:val="center"/>
            <w:hideMark/>
          </w:tcPr>
          <w:p w14:paraId="3863E0AB"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14.9</w:t>
            </w:r>
          </w:p>
        </w:tc>
        <w:tc>
          <w:tcPr>
            <w:tcW w:w="0" w:type="auto"/>
            <w:tcBorders>
              <w:top w:val="nil"/>
              <w:left w:val="nil"/>
              <w:bottom w:val="single" w:sz="4" w:space="0" w:color="auto"/>
              <w:right w:val="single" w:sz="4" w:space="0" w:color="auto"/>
            </w:tcBorders>
            <w:shd w:val="clear" w:color="auto" w:fill="auto"/>
            <w:vAlign w:val="center"/>
            <w:hideMark/>
          </w:tcPr>
          <w:p w14:paraId="6AAEE319"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20.5</w:t>
            </w:r>
          </w:p>
        </w:tc>
        <w:tc>
          <w:tcPr>
            <w:tcW w:w="0" w:type="auto"/>
            <w:tcBorders>
              <w:top w:val="nil"/>
              <w:left w:val="nil"/>
              <w:bottom w:val="single" w:sz="4" w:space="0" w:color="auto"/>
              <w:right w:val="single" w:sz="4" w:space="0" w:color="auto"/>
            </w:tcBorders>
            <w:shd w:val="clear" w:color="auto" w:fill="auto"/>
            <w:noWrap/>
            <w:vAlign w:val="bottom"/>
            <w:hideMark/>
          </w:tcPr>
          <w:p w14:paraId="524B3443"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zCs w:val="24"/>
              </w:rPr>
              <w:t>18.5</w:t>
            </w:r>
          </w:p>
        </w:tc>
      </w:tr>
      <w:tr w:rsidR="00F77466" w:rsidRPr="00875101" w14:paraId="09C79D7D" w14:textId="77777777" w:rsidTr="00057F00">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FFE624" w14:textId="38BB2E6E" w:rsidR="00F77466" w:rsidRPr="00875101" w:rsidRDefault="00F77466" w:rsidP="00F77466">
            <w:pPr>
              <w:widowControl/>
              <w:autoSpaceDE/>
              <w:autoSpaceDN/>
              <w:rPr>
                <w:rFonts w:eastAsia="Times New Roman" w:cs="Calibri"/>
                <w:color w:val="000000"/>
                <w:szCs w:val="24"/>
              </w:rPr>
            </w:pPr>
            <w:r w:rsidRPr="00875101">
              <w:rPr>
                <w:rFonts w:eastAsia="Times New Roman" w:cs="Calibri"/>
                <w:color w:val="000000"/>
                <w:szCs w:val="24"/>
              </w:rPr>
              <w:t>PET</w:t>
            </w:r>
            <w:r w:rsidR="00B559FE">
              <w:rPr>
                <w:rFonts w:eastAsia="Times New Roman" w:cs="Calibri"/>
                <w:color w:val="000000"/>
                <w:szCs w:val="24"/>
              </w:rPr>
              <w:t>-</w:t>
            </w:r>
            <w:r w:rsidRPr="00875101">
              <w:rPr>
                <w:rFonts w:eastAsia="Times New Roman" w:cs="Calibri"/>
                <w:color w:val="000000"/>
                <w:szCs w:val="24"/>
              </w:rPr>
              <w:t>CT</w:t>
            </w:r>
          </w:p>
        </w:tc>
        <w:tc>
          <w:tcPr>
            <w:tcW w:w="0" w:type="auto"/>
            <w:tcBorders>
              <w:top w:val="nil"/>
              <w:left w:val="nil"/>
              <w:bottom w:val="single" w:sz="4" w:space="0" w:color="auto"/>
              <w:right w:val="single" w:sz="4" w:space="0" w:color="auto"/>
            </w:tcBorders>
            <w:shd w:val="clear" w:color="auto" w:fill="auto"/>
            <w:vAlign w:val="center"/>
            <w:hideMark/>
          </w:tcPr>
          <w:p w14:paraId="052CDD8E"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33.7</w:t>
            </w:r>
          </w:p>
        </w:tc>
        <w:tc>
          <w:tcPr>
            <w:tcW w:w="0" w:type="auto"/>
            <w:tcBorders>
              <w:top w:val="nil"/>
              <w:left w:val="nil"/>
              <w:bottom w:val="single" w:sz="4" w:space="0" w:color="auto"/>
              <w:right w:val="single" w:sz="4" w:space="0" w:color="auto"/>
            </w:tcBorders>
            <w:shd w:val="clear" w:color="auto" w:fill="auto"/>
            <w:vAlign w:val="center"/>
            <w:hideMark/>
          </w:tcPr>
          <w:p w14:paraId="253C4856"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40.3</w:t>
            </w:r>
          </w:p>
        </w:tc>
        <w:tc>
          <w:tcPr>
            <w:tcW w:w="0" w:type="auto"/>
            <w:tcBorders>
              <w:top w:val="nil"/>
              <w:left w:val="nil"/>
              <w:bottom w:val="single" w:sz="4" w:space="0" w:color="auto"/>
              <w:right w:val="single" w:sz="4" w:space="0" w:color="auto"/>
            </w:tcBorders>
            <w:shd w:val="clear" w:color="auto" w:fill="auto"/>
            <w:vAlign w:val="center"/>
            <w:hideMark/>
          </w:tcPr>
          <w:p w14:paraId="14AFC41E"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39.3</w:t>
            </w:r>
          </w:p>
        </w:tc>
        <w:tc>
          <w:tcPr>
            <w:tcW w:w="0" w:type="auto"/>
            <w:tcBorders>
              <w:top w:val="nil"/>
              <w:left w:val="nil"/>
              <w:bottom w:val="single" w:sz="4" w:space="0" w:color="auto"/>
              <w:right w:val="single" w:sz="4" w:space="0" w:color="auto"/>
            </w:tcBorders>
            <w:shd w:val="clear" w:color="auto" w:fill="auto"/>
            <w:vAlign w:val="center"/>
            <w:hideMark/>
          </w:tcPr>
          <w:p w14:paraId="36036134"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39.8</w:t>
            </w:r>
          </w:p>
        </w:tc>
        <w:tc>
          <w:tcPr>
            <w:tcW w:w="0" w:type="auto"/>
            <w:tcBorders>
              <w:top w:val="nil"/>
              <w:left w:val="nil"/>
              <w:bottom w:val="single" w:sz="4" w:space="0" w:color="auto"/>
              <w:right w:val="single" w:sz="4" w:space="0" w:color="auto"/>
            </w:tcBorders>
            <w:shd w:val="clear" w:color="auto" w:fill="auto"/>
            <w:vAlign w:val="center"/>
            <w:hideMark/>
          </w:tcPr>
          <w:p w14:paraId="3AB4EB79"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59.4</w:t>
            </w:r>
          </w:p>
        </w:tc>
        <w:tc>
          <w:tcPr>
            <w:tcW w:w="0" w:type="auto"/>
            <w:tcBorders>
              <w:top w:val="nil"/>
              <w:left w:val="nil"/>
              <w:bottom w:val="single" w:sz="4" w:space="0" w:color="auto"/>
              <w:right w:val="single" w:sz="4" w:space="0" w:color="auto"/>
            </w:tcBorders>
            <w:shd w:val="clear" w:color="auto" w:fill="auto"/>
            <w:noWrap/>
            <w:vAlign w:val="bottom"/>
            <w:hideMark/>
          </w:tcPr>
          <w:p w14:paraId="49BA43CB" w14:textId="77777777" w:rsidR="00F77466" w:rsidRPr="00875101" w:rsidRDefault="00F77466" w:rsidP="00633FB4">
            <w:pPr>
              <w:widowControl/>
              <w:autoSpaceDE/>
              <w:autoSpaceDN/>
              <w:jc w:val="center"/>
              <w:rPr>
                <w:rFonts w:eastAsia="Times New Roman" w:cs="Calibri"/>
                <w:color w:val="000000"/>
                <w:szCs w:val="24"/>
              </w:rPr>
            </w:pPr>
            <w:r w:rsidRPr="00875101">
              <w:rPr>
                <w:rFonts w:eastAsia="Times New Roman" w:cs="Calibri"/>
                <w:color w:val="000000"/>
                <w:szCs w:val="24"/>
              </w:rPr>
              <w:t>51.2</w:t>
            </w:r>
          </w:p>
        </w:tc>
      </w:tr>
    </w:tbl>
    <w:p w14:paraId="07D42A21" w14:textId="77777777" w:rsidR="008019EB" w:rsidRDefault="008019EB" w:rsidP="00460C4F">
      <w:pPr>
        <w:rPr>
          <w:rFonts w:asciiTheme="minorHAnsi" w:hAnsiTheme="minorHAnsi"/>
          <w:szCs w:val="24"/>
        </w:rPr>
      </w:pPr>
    </w:p>
    <w:p w14:paraId="22102B56" w14:textId="74BCA7FC" w:rsidR="00F77466" w:rsidRPr="00080F3C" w:rsidRDefault="00FF5E7B" w:rsidP="00460C4F">
      <w:pPr>
        <w:rPr>
          <w:rFonts w:asciiTheme="minorHAnsi" w:hAnsiTheme="minorHAnsi"/>
          <w:b/>
          <w:bCs/>
          <w:szCs w:val="24"/>
        </w:rPr>
      </w:pPr>
      <w:r w:rsidRPr="00080F3C">
        <w:rPr>
          <w:rFonts w:asciiTheme="minorHAnsi" w:hAnsiTheme="minorHAnsi"/>
          <w:b/>
          <w:bCs/>
          <w:szCs w:val="24"/>
          <w:u w:val="single"/>
        </w:rPr>
        <w:t xml:space="preserve">Table </w:t>
      </w:r>
      <w:r w:rsidR="00B748CB">
        <w:rPr>
          <w:rFonts w:asciiTheme="minorHAnsi" w:hAnsiTheme="minorHAnsi"/>
          <w:b/>
          <w:bCs/>
          <w:szCs w:val="24"/>
          <w:u w:val="single"/>
        </w:rPr>
        <w:t>2</w:t>
      </w:r>
      <w:r w:rsidR="002D5360">
        <w:rPr>
          <w:rFonts w:asciiTheme="minorHAnsi" w:hAnsiTheme="minorHAnsi"/>
          <w:b/>
          <w:bCs/>
          <w:szCs w:val="24"/>
          <w:u w:val="single"/>
        </w:rPr>
        <w:t>6</w:t>
      </w:r>
      <w:r w:rsidRPr="00080F3C">
        <w:rPr>
          <w:rFonts w:asciiTheme="minorHAnsi" w:hAnsiTheme="minorHAnsi"/>
          <w:b/>
          <w:bCs/>
          <w:szCs w:val="24"/>
        </w:rPr>
        <w:t xml:space="preserve">: </w:t>
      </w:r>
      <w:r w:rsidR="00080F3C" w:rsidRPr="00080F3C">
        <w:rPr>
          <w:rFonts w:asciiTheme="minorHAnsi" w:hAnsiTheme="minorHAnsi"/>
          <w:b/>
          <w:bCs/>
          <w:szCs w:val="24"/>
        </w:rPr>
        <w:t xml:space="preserve">Average Outpatient Imaging Wait Times in Days </w:t>
      </w:r>
    </w:p>
    <w:tbl>
      <w:tblPr>
        <w:tblW w:w="0" w:type="auto"/>
        <w:tblLook w:val="04A0" w:firstRow="1" w:lastRow="0" w:firstColumn="1" w:lastColumn="0" w:noHBand="0" w:noVBand="1"/>
      </w:tblPr>
      <w:tblGrid>
        <w:gridCol w:w="1101"/>
        <w:gridCol w:w="695"/>
        <w:gridCol w:w="695"/>
        <w:gridCol w:w="695"/>
        <w:gridCol w:w="695"/>
        <w:gridCol w:w="695"/>
        <w:gridCol w:w="695"/>
      </w:tblGrid>
      <w:tr w:rsidR="00080F3C" w:rsidRPr="00875101" w14:paraId="13893917" w14:textId="77777777" w:rsidTr="008670EB">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560AFB" w14:textId="77777777" w:rsidR="00080F3C" w:rsidRPr="00875101" w:rsidRDefault="00080F3C" w:rsidP="00080F3C">
            <w:pPr>
              <w:widowControl/>
              <w:autoSpaceDE/>
              <w:autoSpaceDN/>
              <w:rPr>
                <w:rFonts w:eastAsia="Times New Roman" w:cs="Calibri"/>
                <w:b/>
                <w:bCs/>
                <w:color w:val="000000"/>
                <w:szCs w:val="24"/>
              </w:rPr>
            </w:pPr>
            <w:r w:rsidRPr="00875101">
              <w:rPr>
                <w:rFonts w:eastAsia="Times New Roman" w:cs="Calibri"/>
                <w:b/>
                <w:bCs/>
                <w:color w:val="000000"/>
                <w:spacing w:val="-2"/>
                <w:szCs w:val="24"/>
              </w:rPr>
              <w:t>Modality</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9F00924" w14:textId="77777777" w:rsidR="00080F3C" w:rsidRPr="00875101" w:rsidRDefault="00080F3C"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89B6844" w14:textId="77777777" w:rsidR="00080F3C" w:rsidRPr="00875101" w:rsidRDefault="00080F3C"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CFBEFC3" w14:textId="77777777" w:rsidR="00080F3C" w:rsidRPr="00875101" w:rsidRDefault="00080F3C"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829FDBB" w14:textId="77777777" w:rsidR="00080F3C" w:rsidRPr="00875101" w:rsidRDefault="00080F3C"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DF7CC5F" w14:textId="77777777" w:rsidR="00080F3C" w:rsidRPr="00875101" w:rsidRDefault="00080F3C"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6681F64" w14:textId="77777777" w:rsidR="00080F3C" w:rsidRPr="00875101" w:rsidRDefault="00080F3C" w:rsidP="00633FB4">
            <w:pPr>
              <w:widowControl/>
              <w:autoSpaceDE/>
              <w:autoSpaceDN/>
              <w:jc w:val="center"/>
              <w:rPr>
                <w:rFonts w:eastAsia="Times New Roman" w:cs="Calibri"/>
                <w:b/>
                <w:bCs/>
                <w:color w:val="000000"/>
                <w:szCs w:val="24"/>
              </w:rPr>
            </w:pPr>
            <w:r w:rsidRPr="00875101">
              <w:rPr>
                <w:rFonts w:eastAsia="Times New Roman" w:cs="Calibri"/>
                <w:b/>
                <w:bCs/>
                <w:color w:val="000000"/>
                <w:szCs w:val="24"/>
              </w:rPr>
              <w:t>FY23</w:t>
            </w:r>
          </w:p>
        </w:tc>
      </w:tr>
      <w:tr w:rsidR="00080F3C" w:rsidRPr="00875101" w14:paraId="2314FCE0" w14:textId="77777777" w:rsidTr="008670EB">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5FE147" w14:textId="77777777" w:rsidR="00080F3C" w:rsidRPr="00875101" w:rsidRDefault="00080F3C" w:rsidP="00080F3C">
            <w:pPr>
              <w:widowControl/>
              <w:autoSpaceDE/>
              <w:autoSpaceDN/>
              <w:rPr>
                <w:rFonts w:eastAsia="Times New Roman" w:cs="Calibri"/>
                <w:color w:val="000000"/>
                <w:szCs w:val="24"/>
              </w:rPr>
            </w:pPr>
            <w:r w:rsidRPr="00875101">
              <w:rPr>
                <w:rFonts w:eastAsia="Times New Roman" w:cs="Calibri"/>
                <w:color w:val="000000"/>
                <w:spacing w:val="-5"/>
                <w:szCs w:val="24"/>
              </w:rPr>
              <w:t>CT</w:t>
            </w:r>
          </w:p>
        </w:tc>
        <w:tc>
          <w:tcPr>
            <w:tcW w:w="0" w:type="auto"/>
            <w:tcBorders>
              <w:top w:val="nil"/>
              <w:left w:val="nil"/>
              <w:bottom w:val="single" w:sz="4" w:space="0" w:color="auto"/>
              <w:right w:val="single" w:sz="4" w:space="0" w:color="auto"/>
            </w:tcBorders>
            <w:shd w:val="clear" w:color="auto" w:fill="auto"/>
            <w:vAlign w:val="center"/>
            <w:hideMark/>
          </w:tcPr>
          <w:p w14:paraId="035223EF"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2.5</w:t>
            </w:r>
          </w:p>
        </w:tc>
        <w:tc>
          <w:tcPr>
            <w:tcW w:w="0" w:type="auto"/>
            <w:tcBorders>
              <w:top w:val="nil"/>
              <w:left w:val="nil"/>
              <w:bottom w:val="single" w:sz="4" w:space="0" w:color="auto"/>
              <w:right w:val="single" w:sz="4" w:space="0" w:color="auto"/>
            </w:tcBorders>
            <w:shd w:val="clear" w:color="auto" w:fill="auto"/>
            <w:vAlign w:val="center"/>
            <w:hideMark/>
          </w:tcPr>
          <w:p w14:paraId="013931B7"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0A34DB34"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2.9</w:t>
            </w:r>
          </w:p>
        </w:tc>
        <w:tc>
          <w:tcPr>
            <w:tcW w:w="0" w:type="auto"/>
            <w:tcBorders>
              <w:top w:val="nil"/>
              <w:left w:val="nil"/>
              <w:bottom w:val="single" w:sz="4" w:space="0" w:color="auto"/>
              <w:right w:val="single" w:sz="4" w:space="0" w:color="auto"/>
            </w:tcBorders>
            <w:shd w:val="clear" w:color="auto" w:fill="auto"/>
            <w:vAlign w:val="center"/>
            <w:hideMark/>
          </w:tcPr>
          <w:p w14:paraId="28CA1A53"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1.9</w:t>
            </w:r>
          </w:p>
        </w:tc>
        <w:tc>
          <w:tcPr>
            <w:tcW w:w="0" w:type="auto"/>
            <w:tcBorders>
              <w:top w:val="nil"/>
              <w:left w:val="nil"/>
              <w:bottom w:val="single" w:sz="4" w:space="0" w:color="auto"/>
              <w:right w:val="single" w:sz="4" w:space="0" w:color="auto"/>
            </w:tcBorders>
            <w:shd w:val="clear" w:color="auto" w:fill="auto"/>
            <w:vAlign w:val="center"/>
            <w:hideMark/>
          </w:tcPr>
          <w:p w14:paraId="6C60B0F5"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1.6</w:t>
            </w:r>
          </w:p>
        </w:tc>
        <w:tc>
          <w:tcPr>
            <w:tcW w:w="0" w:type="auto"/>
            <w:tcBorders>
              <w:top w:val="nil"/>
              <w:left w:val="nil"/>
              <w:bottom w:val="single" w:sz="4" w:space="0" w:color="auto"/>
              <w:right w:val="single" w:sz="4" w:space="0" w:color="auto"/>
            </w:tcBorders>
            <w:shd w:val="clear" w:color="auto" w:fill="auto"/>
            <w:noWrap/>
            <w:vAlign w:val="bottom"/>
            <w:hideMark/>
          </w:tcPr>
          <w:p w14:paraId="54718C02"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zCs w:val="24"/>
              </w:rPr>
              <w:t>1.6</w:t>
            </w:r>
          </w:p>
        </w:tc>
      </w:tr>
      <w:tr w:rsidR="00080F3C" w:rsidRPr="00875101" w14:paraId="26ED2DC8" w14:textId="77777777" w:rsidTr="008670EB">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35D02C" w14:textId="77777777" w:rsidR="00080F3C" w:rsidRPr="00875101" w:rsidRDefault="00080F3C" w:rsidP="00080F3C">
            <w:pPr>
              <w:widowControl/>
              <w:autoSpaceDE/>
              <w:autoSpaceDN/>
              <w:rPr>
                <w:rFonts w:eastAsia="Times New Roman" w:cs="Calibri"/>
                <w:color w:val="000000"/>
                <w:szCs w:val="24"/>
              </w:rPr>
            </w:pPr>
            <w:r w:rsidRPr="00875101">
              <w:rPr>
                <w:rFonts w:eastAsia="Times New Roman" w:cs="Calibri"/>
                <w:color w:val="000000"/>
                <w:spacing w:val="-5"/>
                <w:szCs w:val="24"/>
              </w:rPr>
              <w:t>MRI</w:t>
            </w:r>
          </w:p>
        </w:tc>
        <w:tc>
          <w:tcPr>
            <w:tcW w:w="0" w:type="auto"/>
            <w:tcBorders>
              <w:top w:val="nil"/>
              <w:left w:val="nil"/>
              <w:bottom w:val="single" w:sz="4" w:space="0" w:color="auto"/>
              <w:right w:val="single" w:sz="4" w:space="0" w:color="auto"/>
            </w:tcBorders>
            <w:shd w:val="clear" w:color="auto" w:fill="auto"/>
            <w:vAlign w:val="center"/>
            <w:hideMark/>
          </w:tcPr>
          <w:p w14:paraId="66802E07"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2.6</w:t>
            </w:r>
          </w:p>
        </w:tc>
        <w:tc>
          <w:tcPr>
            <w:tcW w:w="0" w:type="auto"/>
            <w:tcBorders>
              <w:top w:val="nil"/>
              <w:left w:val="nil"/>
              <w:bottom w:val="single" w:sz="4" w:space="0" w:color="auto"/>
              <w:right w:val="single" w:sz="4" w:space="0" w:color="auto"/>
            </w:tcBorders>
            <w:shd w:val="clear" w:color="auto" w:fill="auto"/>
            <w:vAlign w:val="center"/>
            <w:hideMark/>
          </w:tcPr>
          <w:p w14:paraId="5E72C118"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2.1</w:t>
            </w:r>
          </w:p>
        </w:tc>
        <w:tc>
          <w:tcPr>
            <w:tcW w:w="0" w:type="auto"/>
            <w:tcBorders>
              <w:top w:val="nil"/>
              <w:left w:val="nil"/>
              <w:bottom w:val="single" w:sz="4" w:space="0" w:color="auto"/>
              <w:right w:val="single" w:sz="4" w:space="0" w:color="auto"/>
            </w:tcBorders>
            <w:shd w:val="clear" w:color="auto" w:fill="auto"/>
            <w:vAlign w:val="center"/>
            <w:hideMark/>
          </w:tcPr>
          <w:p w14:paraId="7366ADE7"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2.4</w:t>
            </w:r>
          </w:p>
        </w:tc>
        <w:tc>
          <w:tcPr>
            <w:tcW w:w="0" w:type="auto"/>
            <w:tcBorders>
              <w:top w:val="nil"/>
              <w:left w:val="nil"/>
              <w:bottom w:val="single" w:sz="4" w:space="0" w:color="auto"/>
              <w:right w:val="single" w:sz="4" w:space="0" w:color="auto"/>
            </w:tcBorders>
            <w:shd w:val="clear" w:color="auto" w:fill="auto"/>
            <w:vAlign w:val="center"/>
            <w:hideMark/>
          </w:tcPr>
          <w:p w14:paraId="452A5E3E"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2.3</w:t>
            </w:r>
          </w:p>
        </w:tc>
        <w:tc>
          <w:tcPr>
            <w:tcW w:w="0" w:type="auto"/>
            <w:tcBorders>
              <w:top w:val="nil"/>
              <w:left w:val="nil"/>
              <w:bottom w:val="single" w:sz="4" w:space="0" w:color="auto"/>
              <w:right w:val="single" w:sz="4" w:space="0" w:color="auto"/>
            </w:tcBorders>
            <w:shd w:val="clear" w:color="auto" w:fill="auto"/>
            <w:vAlign w:val="center"/>
            <w:hideMark/>
          </w:tcPr>
          <w:p w14:paraId="056E5CF3"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2.5</w:t>
            </w:r>
          </w:p>
        </w:tc>
        <w:tc>
          <w:tcPr>
            <w:tcW w:w="0" w:type="auto"/>
            <w:tcBorders>
              <w:top w:val="nil"/>
              <w:left w:val="nil"/>
              <w:bottom w:val="single" w:sz="4" w:space="0" w:color="auto"/>
              <w:right w:val="single" w:sz="4" w:space="0" w:color="auto"/>
            </w:tcBorders>
            <w:shd w:val="clear" w:color="auto" w:fill="auto"/>
            <w:noWrap/>
            <w:vAlign w:val="bottom"/>
            <w:hideMark/>
          </w:tcPr>
          <w:p w14:paraId="75F08362"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zCs w:val="24"/>
              </w:rPr>
              <w:t>2.8</w:t>
            </w:r>
          </w:p>
        </w:tc>
      </w:tr>
      <w:tr w:rsidR="00080F3C" w:rsidRPr="00875101" w14:paraId="2E7BF86E" w14:textId="77777777" w:rsidTr="008670EB">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0209C6" w14:textId="5EAEDA03" w:rsidR="00080F3C" w:rsidRPr="00875101" w:rsidRDefault="00080F3C" w:rsidP="00080F3C">
            <w:pPr>
              <w:widowControl/>
              <w:autoSpaceDE/>
              <w:autoSpaceDN/>
              <w:rPr>
                <w:rFonts w:eastAsia="Times New Roman" w:cs="Calibri"/>
                <w:color w:val="000000"/>
                <w:szCs w:val="24"/>
              </w:rPr>
            </w:pPr>
            <w:r w:rsidRPr="00875101">
              <w:rPr>
                <w:rFonts w:eastAsia="Times New Roman" w:cs="Calibri"/>
                <w:color w:val="000000"/>
                <w:spacing w:val="-2"/>
                <w:szCs w:val="24"/>
              </w:rPr>
              <w:t>PET</w:t>
            </w:r>
            <w:r w:rsidR="00B559FE">
              <w:rPr>
                <w:rFonts w:eastAsia="Times New Roman" w:cs="Calibri"/>
                <w:color w:val="000000"/>
                <w:spacing w:val="-2"/>
                <w:szCs w:val="24"/>
              </w:rPr>
              <w:t>-</w:t>
            </w:r>
            <w:r w:rsidRPr="00875101">
              <w:rPr>
                <w:rFonts w:eastAsia="Times New Roman" w:cs="Calibri"/>
                <w:color w:val="000000"/>
                <w:spacing w:val="-2"/>
                <w:szCs w:val="24"/>
              </w:rPr>
              <w:t>CT</w:t>
            </w:r>
          </w:p>
        </w:tc>
        <w:tc>
          <w:tcPr>
            <w:tcW w:w="0" w:type="auto"/>
            <w:tcBorders>
              <w:top w:val="nil"/>
              <w:left w:val="nil"/>
              <w:bottom w:val="single" w:sz="4" w:space="0" w:color="auto"/>
              <w:right w:val="single" w:sz="4" w:space="0" w:color="auto"/>
            </w:tcBorders>
            <w:shd w:val="clear" w:color="auto" w:fill="auto"/>
            <w:vAlign w:val="center"/>
            <w:hideMark/>
          </w:tcPr>
          <w:p w14:paraId="0D3DF302"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2.3</w:t>
            </w:r>
          </w:p>
        </w:tc>
        <w:tc>
          <w:tcPr>
            <w:tcW w:w="0" w:type="auto"/>
            <w:tcBorders>
              <w:top w:val="nil"/>
              <w:left w:val="nil"/>
              <w:bottom w:val="single" w:sz="4" w:space="0" w:color="auto"/>
              <w:right w:val="single" w:sz="4" w:space="0" w:color="auto"/>
            </w:tcBorders>
            <w:shd w:val="clear" w:color="auto" w:fill="auto"/>
            <w:vAlign w:val="center"/>
            <w:hideMark/>
          </w:tcPr>
          <w:p w14:paraId="1CA053CB"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5.6</w:t>
            </w:r>
          </w:p>
        </w:tc>
        <w:tc>
          <w:tcPr>
            <w:tcW w:w="0" w:type="auto"/>
            <w:tcBorders>
              <w:top w:val="nil"/>
              <w:left w:val="nil"/>
              <w:bottom w:val="single" w:sz="4" w:space="0" w:color="auto"/>
              <w:right w:val="single" w:sz="4" w:space="0" w:color="auto"/>
            </w:tcBorders>
            <w:shd w:val="clear" w:color="auto" w:fill="auto"/>
            <w:vAlign w:val="center"/>
            <w:hideMark/>
          </w:tcPr>
          <w:p w14:paraId="4DBB51D6"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5.2</w:t>
            </w:r>
          </w:p>
        </w:tc>
        <w:tc>
          <w:tcPr>
            <w:tcW w:w="0" w:type="auto"/>
            <w:tcBorders>
              <w:top w:val="nil"/>
              <w:left w:val="nil"/>
              <w:bottom w:val="single" w:sz="4" w:space="0" w:color="auto"/>
              <w:right w:val="single" w:sz="4" w:space="0" w:color="auto"/>
            </w:tcBorders>
            <w:shd w:val="clear" w:color="auto" w:fill="auto"/>
            <w:vAlign w:val="center"/>
            <w:hideMark/>
          </w:tcPr>
          <w:p w14:paraId="263F5656"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5"/>
                <w:szCs w:val="24"/>
              </w:rPr>
              <w:t>9.1</w:t>
            </w:r>
          </w:p>
        </w:tc>
        <w:tc>
          <w:tcPr>
            <w:tcW w:w="0" w:type="auto"/>
            <w:tcBorders>
              <w:top w:val="nil"/>
              <w:left w:val="nil"/>
              <w:bottom w:val="single" w:sz="4" w:space="0" w:color="auto"/>
              <w:right w:val="single" w:sz="4" w:space="0" w:color="auto"/>
            </w:tcBorders>
            <w:shd w:val="clear" w:color="auto" w:fill="auto"/>
            <w:vAlign w:val="center"/>
            <w:hideMark/>
          </w:tcPr>
          <w:p w14:paraId="66DFE1AE"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pacing w:val="-4"/>
                <w:szCs w:val="24"/>
              </w:rPr>
              <w:t>22.6</w:t>
            </w:r>
          </w:p>
        </w:tc>
        <w:tc>
          <w:tcPr>
            <w:tcW w:w="0" w:type="auto"/>
            <w:tcBorders>
              <w:top w:val="nil"/>
              <w:left w:val="nil"/>
              <w:bottom w:val="single" w:sz="4" w:space="0" w:color="auto"/>
              <w:right w:val="single" w:sz="4" w:space="0" w:color="auto"/>
            </w:tcBorders>
            <w:shd w:val="clear" w:color="auto" w:fill="auto"/>
            <w:noWrap/>
            <w:vAlign w:val="bottom"/>
            <w:hideMark/>
          </w:tcPr>
          <w:p w14:paraId="35E1B225" w14:textId="77777777" w:rsidR="00080F3C" w:rsidRPr="00875101" w:rsidRDefault="00080F3C" w:rsidP="00633FB4">
            <w:pPr>
              <w:widowControl/>
              <w:autoSpaceDE/>
              <w:autoSpaceDN/>
              <w:jc w:val="center"/>
              <w:rPr>
                <w:rFonts w:eastAsia="Times New Roman" w:cs="Calibri"/>
                <w:color w:val="000000"/>
                <w:szCs w:val="24"/>
              </w:rPr>
            </w:pPr>
            <w:r w:rsidRPr="00875101">
              <w:rPr>
                <w:rFonts w:eastAsia="Times New Roman" w:cs="Calibri"/>
                <w:color w:val="000000"/>
                <w:szCs w:val="24"/>
              </w:rPr>
              <w:t>12.9</w:t>
            </w:r>
          </w:p>
        </w:tc>
      </w:tr>
    </w:tbl>
    <w:p w14:paraId="3405D54B" w14:textId="77777777" w:rsidR="00FF5E7B" w:rsidRDefault="00FF5E7B" w:rsidP="00460C4F">
      <w:pPr>
        <w:rPr>
          <w:rFonts w:asciiTheme="minorHAnsi" w:hAnsiTheme="minorHAnsi"/>
          <w:szCs w:val="24"/>
        </w:rPr>
      </w:pPr>
    </w:p>
    <w:p w14:paraId="7DEA90D7" w14:textId="43C39D94" w:rsidR="006E6706" w:rsidRDefault="006E6706" w:rsidP="00460C4F">
      <w:pPr>
        <w:rPr>
          <w:rFonts w:asciiTheme="minorHAnsi" w:hAnsiTheme="minorHAnsi"/>
          <w:szCs w:val="24"/>
        </w:rPr>
      </w:pPr>
      <w:r>
        <w:rPr>
          <w:rFonts w:asciiTheme="minorHAnsi" w:hAnsiTheme="minorHAnsi"/>
          <w:szCs w:val="24"/>
        </w:rPr>
        <w:t xml:space="preserve">The Applicant states that </w:t>
      </w:r>
      <w:r w:rsidR="00D44078">
        <w:rPr>
          <w:rFonts w:asciiTheme="minorHAnsi" w:hAnsiTheme="minorHAnsi"/>
          <w:szCs w:val="24"/>
        </w:rPr>
        <w:t>the proposed imaging</w:t>
      </w:r>
      <w:r w:rsidRPr="006E6706">
        <w:rPr>
          <w:rFonts w:asciiTheme="minorHAnsi" w:hAnsiTheme="minorHAnsi"/>
          <w:szCs w:val="24"/>
        </w:rPr>
        <w:t xml:space="preserve"> devices are anticipated to provide same-day service for urgent appointments</w:t>
      </w:r>
      <w:r w:rsidR="00D71E1F">
        <w:rPr>
          <w:rFonts w:asciiTheme="minorHAnsi" w:hAnsiTheme="minorHAnsi"/>
          <w:szCs w:val="24"/>
        </w:rPr>
        <w:t>,</w:t>
      </w:r>
      <w:r w:rsidR="00055B8E">
        <w:rPr>
          <w:rFonts w:asciiTheme="minorHAnsi" w:hAnsiTheme="minorHAnsi"/>
          <w:szCs w:val="24"/>
        </w:rPr>
        <w:t xml:space="preserve"> </w:t>
      </w:r>
      <w:r w:rsidR="00566E9F">
        <w:rPr>
          <w:rFonts w:asciiTheme="minorHAnsi" w:hAnsiTheme="minorHAnsi"/>
          <w:szCs w:val="24"/>
        </w:rPr>
        <w:t xml:space="preserve">and </w:t>
      </w:r>
      <w:r w:rsidRPr="006E6706">
        <w:rPr>
          <w:rFonts w:asciiTheme="minorHAnsi" w:hAnsiTheme="minorHAnsi"/>
          <w:szCs w:val="24"/>
        </w:rPr>
        <w:t xml:space="preserve">same-day access for inpatients, </w:t>
      </w:r>
      <w:r w:rsidR="00055B8E">
        <w:rPr>
          <w:rFonts w:asciiTheme="minorHAnsi" w:hAnsiTheme="minorHAnsi"/>
          <w:szCs w:val="24"/>
        </w:rPr>
        <w:t xml:space="preserve">thereby </w:t>
      </w:r>
      <w:r w:rsidRPr="006E6706">
        <w:rPr>
          <w:rFonts w:asciiTheme="minorHAnsi" w:hAnsiTheme="minorHAnsi"/>
          <w:szCs w:val="24"/>
        </w:rPr>
        <w:t>facilitating patient progression</w:t>
      </w:r>
      <w:r w:rsidR="00055B8E">
        <w:rPr>
          <w:rFonts w:asciiTheme="minorHAnsi" w:hAnsiTheme="minorHAnsi"/>
          <w:szCs w:val="24"/>
        </w:rPr>
        <w:t>.</w:t>
      </w:r>
      <w:r w:rsidR="00D71E1F">
        <w:rPr>
          <w:rFonts w:asciiTheme="minorHAnsi" w:hAnsiTheme="minorHAnsi"/>
          <w:szCs w:val="24"/>
        </w:rPr>
        <w:t xml:space="preserve"> </w:t>
      </w:r>
      <w:r w:rsidR="00055B8E">
        <w:rPr>
          <w:rFonts w:asciiTheme="minorHAnsi" w:hAnsiTheme="minorHAnsi"/>
          <w:szCs w:val="24"/>
        </w:rPr>
        <w:t>T</w:t>
      </w:r>
      <w:r w:rsidR="00D71E1F">
        <w:rPr>
          <w:rFonts w:asciiTheme="minorHAnsi" w:hAnsiTheme="minorHAnsi"/>
          <w:szCs w:val="24"/>
        </w:rPr>
        <w:t xml:space="preserve">he Applicant </w:t>
      </w:r>
      <w:r w:rsidRPr="006E6706">
        <w:rPr>
          <w:rFonts w:asciiTheme="minorHAnsi" w:hAnsiTheme="minorHAnsi"/>
          <w:szCs w:val="24"/>
        </w:rPr>
        <w:t xml:space="preserve">anticipates providing outpatients with ordered imaging services within </w:t>
      </w:r>
      <w:r w:rsidR="000B02A6">
        <w:rPr>
          <w:rFonts w:asciiTheme="minorHAnsi" w:hAnsiTheme="minorHAnsi"/>
          <w:szCs w:val="24"/>
        </w:rPr>
        <w:t>three</w:t>
      </w:r>
      <w:r w:rsidRPr="006E6706">
        <w:rPr>
          <w:rFonts w:asciiTheme="minorHAnsi" w:hAnsiTheme="minorHAnsi"/>
          <w:szCs w:val="24"/>
        </w:rPr>
        <w:t xml:space="preserve"> days of the order.</w:t>
      </w:r>
    </w:p>
    <w:p w14:paraId="72C79DEE" w14:textId="42194114" w:rsidR="00EA08F1" w:rsidRPr="00B07AF5" w:rsidRDefault="00C11E49" w:rsidP="00BA2054">
      <w:pPr>
        <w:rPr>
          <w:rFonts w:asciiTheme="minorHAnsi" w:hAnsiTheme="minorHAnsi"/>
          <w:i/>
          <w:iCs/>
          <w:szCs w:val="24"/>
          <w:u w:val="single"/>
        </w:rPr>
      </w:pPr>
      <w:r w:rsidRPr="00B07AF5">
        <w:rPr>
          <w:rFonts w:asciiTheme="minorHAnsi" w:hAnsiTheme="minorHAnsi"/>
          <w:i/>
          <w:iCs/>
          <w:szCs w:val="24"/>
          <w:u w:val="single"/>
        </w:rPr>
        <w:t xml:space="preserve">Projected </w:t>
      </w:r>
      <w:r w:rsidR="00670503">
        <w:rPr>
          <w:rFonts w:asciiTheme="minorHAnsi" w:hAnsiTheme="minorHAnsi"/>
          <w:i/>
          <w:iCs/>
          <w:szCs w:val="24"/>
          <w:u w:val="single"/>
        </w:rPr>
        <w:t>Need</w:t>
      </w:r>
      <w:r w:rsidRPr="00B07AF5">
        <w:rPr>
          <w:rFonts w:asciiTheme="minorHAnsi" w:hAnsiTheme="minorHAnsi"/>
          <w:i/>
          <w:iCs/>
          <w:szCs w:val="24"/>
          <w:u w:val="single"/>
        </w:rPr>
        <w:t xml:space="preserve"> for Imaging Equipment</w:t>
      </w:r>
    </w:p>
    <w:p w14:paraId="1401650A" w14:textId="7EF52632" w:rsidR="0028032C" w:rsidRDefault="00EA5466" w:rsidP="00BA2054">
      <w:pPr>
        <w:rPr>
          <w:rFonts w:asciiTheme="minorHAnsi" w:hAnsiTheme="minorHAnsi"/>
          <w:szCs w:val="24"/>
        </w:rPr>
      </w:pPr>
      <w:r>
        <w:rPr>
          <w:rFonts w:asciiTheme="minorHAnsi" w:hAnsiTheme="minorHAnsi"/>
          <w:szCs w:val="24"/>
        </w:rPr>
        <w:t xml:space="preserve">The Applicant is proposing to add 2 MRI units, 2 CT units, and 1 PET-CT unit. </w:t>
      </w:r>
      <w:r w:rsidR="0028032C" w:rsidRPr="0028032C">
        <w:rPr>
          <w:rFonts w:asciiTheme="minorHAnsi" w:hAnsiTheme="minorHAnsi"/>
          <w:szCs w:val="24"/>
        </w:rPr>
        <w:t xml:space="preserve">Table </w:t>
      </w:r>
      <w:r w:rsidR="00C76AEE">
        <w:rPr>
          <w:rFonts w:asciiTheme="minorHAnsi" w:hAnsiTheme="minorHAnsi"/>
          <w:szCs w:val="24"/>
        </w:rPr>
        <w:t>2</w:t>
      </w:r>
      <w:r w:rsidR="002D5360">
        <w:rPr>
          <w:rFonts w:asciiTheme="minorHAnsi" w:hAnsiTheme="minorHAnsi"/>
          <w:szCs w:val="24"/>
        </w:rPr>
        <w:t>7</w:t>
      </w:r>
      <w:r w:rsidR="0028032C" w:rsidRPr="0028032C">
        <w:rPr>
          <w:rFonts w:asciiTheme="minorHAnsi" w:hAnsiTheme="minorHAnsi"/>
          <w:szCs w:val="24"/>
        </w:rPr>
        <w:t xml:space="preserve"> shows the Applicant’s throughput assumptions and Table </w:t>
      </w:r>
      <w:r w:rsidR="00C76AEE">
        <w:rPr>
          <w:rFonts w:asciiTheme="minorHAnsi" w:hAnsiTheme="minorHAnsi"/>
          <w:szCs w:val="24"/>
        </w:rPr>
        <w:t>2</w:t>
      </w:r>
      <w:r w:rsidR="00F526FC">
        <w:rPr>
          <w:rFonts w:asciiTheme="minorHAnsi" w:hAnsiTheme="minorHAnsi"/>
          <w:szCs w:val="24"/>
        </w:rPr>
        <w:t>8</w:t>
      </w:r>
      <w:r w:rsidR="0028032C" w:rsidRPr="0028032C">
        <w:rPr>
          <w:rFonts w:asciiTheme="minorHAnsi" w:hAnsiTheme="minorHAnsi"/>
          <w:szCs w:val="24"/>
        </w:rPr>
        <w:t xml:space="preserve"> shows the Applicant’s projected need for imaging equipment, based on throughput. The Applicant states that there will be more than one CT scanner both to accommodate surge capacity and to ensure redundancy. The Applicant anticipates using the entirety of the new MRI machines to service inpatients, so outpatient </w:t>
      </w:r>
      <w:r w:rsidR="00D91F43">
        <w:rPr>
          <w:rFonts w:asciiTheme="minorHAnsi" w:hAnsiTheme="minorHAnsi"/>
          <w:szCs w:val="24"/>
        </w:rPr>
        <w:t xml:space="preserve">MRI </w:t>
      </w:r>
      <w:r w:rsidR="0028032C" w:rsidRPr="0028032C">
        <w:rPr>
          <w:rFonts w:asciiTheme="minorHAnsi" w:hAnsiTheme="minorHAnsi"/>
          <w:szCs w:val="24"/>
        </w:rPr>
        <w:t>volume projections were not incorporated into the need calculations.</w:t>
      </w:r>
    </w:p>
    <w:p w14:paraId="188BCA00" w14:textId="77777777" w:rsidR="002A4025" w:rsidRDefault="002A4025" w:rsidP="00BA2054">
      <w:pPr>
        <w:rPr>
          <w:rFonts w:asciiTheme="minorHAnsi" w:hAnsiTheme="minorHAnsi"/>
          <w:szCs w:val="24"/>
        </w:rPr>
      </w:pPr>
    </w:p>
    <w:p w14:paraId="0F8695EF" w14:textId="654295E3" w:rsidR="00C65993" w:rsidRDefault="00C65993" w:rsidP="00C65993">
      <w:pPr>
        <w:rPr>
          <w:rFonts w:asciiTheme="minorHAnsi" w:hAnsiTheme="minorHAnsi"/>
          <w:b/>
          <w:bCs/>
          <w:szCs w:val="24"/>
        </w:rPr>
      </w:pPr>
      <w:r w:rsidRPr="00C11E49">
        <w:rPr>
          <w:rFonts w:asciiTheme="minorHAnsi" w:hAnsiTheme="minorHAnsi"/>
          <w:b/>
          <w:bCs/>
          <w:szCs w:val="24"/>
          <w:u w:val="single"/>
        </w:rPr>
        <w:t xml:space="preserve">Table </w:t>
      </w:r>
      <w:r w:rsidR="00C76AEE">
        <w:rPr>
          <w:rFonts w:asciiTheme="minorHAnsi" w:hAnsiTheme="minorHAnsi"/>
          <w:b/>
          <w:bCs/>
          <w:szCs w:val="24"/>
          <w:u w:val="single"/>
        </w:rPr>
        <w:t>2</w:t>
      </w:r>
      <w:r w:rsidR="002D5360">
        <w:rPr>
          <w:rFonts w:asciiTheme="minorHAnsi" w:hAnsiTheme="minorHAnsi"/>
          <w:b/>
          <w:bCs/>
          <w:szCs w:val="24"/>
          <w:u w:val="single"/>
        </w:rPr>
        <w:t>7</w:t>
      </w:r>
      <w:r>
        <w:rPr>
          <w:rFonts w:asciiTheme="minorHAnsi" w:hAnsiTheme="minorHAnsi"/>
          <w:b/>
          <w:bCs/>
          <w:szCs w:val="24"/>
        </w:rPr>
        <w:t xml:space="preserve">: </w:t>
      </w:r>
      <w:bookmarkStart w:id="11" w:name="_Hlk157172875"/>
      <w:r w:rsidRPr="00C11E49">
        <w:rPr>
          <w:rFonts w:asciiTheme="minorHAnsi" w:hAnsiTheme="minorHAnsi"/>
          <w:b/>
          <w:bCs/>
          <w:szCs w:val="24"/>
        </w:rPr>
        <w:t xml:space="preserve">Inpatient </w:t>
      </w:r>
      <w:r>
        <w:rPr>
          <w:rFonts w:asciiTheme="minorHAnsi" w:hAnsiTheme="minorHAnsi"/>
          <w:b/>
          <w:bCs/>
          <w:szCs w:val="24"/>
        </w:rPr>
        <w:t xml:space="preserve">and Outpatient </w:t>
      </w:r>
      <w:r w:rsidRPr="00C11E49">
        <w:rPr>
          <w:rFonts w:asciiTheme="minorHAnsi" w:hAnsiTheme="minorHAnsi"/>
          <w:b/>
          <w:bCs/>
          <w:szCs w:val="24"/>
        </w:rPr>
        <w:t>Imaging Equipment Throughput Assumptions</w:t>
      </w:r>
      <w:bookmarkEnd w:id="11"/>
    </w:p>
    <w:tbl>
      <w:tblPr>
        <w:tblStyle w:val="TableGrid"/>
        <w:tblW w:w="0" w:type="auto"/>
        <w:tblLook w:val="04A0" w:firstRow="1" w:lastRow="0" w:firstColumn="1" w:lastColumn="0" w:noHBand="0" w:noVBand="1"/>
      </w:tblPr>
      <w:tblGrid>
        <w:gridCol w:w="1313"/>
        <w:gridCol w:w="1310"/>
        <w:gridCol w:w="1721"/>
        <w:gridCol w:w="1968"/>
        <w:gridCol w:w="1167"/>
        <w:gridCol w:w="1615"/>
      </w:tblGrid>
      <w:tr w:rsidR="00BE259B" w:rsidRPr="00E52C17" w14:paraId="7041D5E0" w14:textId="77777777" w:rsidTr="00BE259B">
        <w:trPr>
          <w:cantSplit/>
          <w:tblHeader/>
        </w:trPr>
        <w:tc>
          <w:tcPr>
            <w:tcW w:w="0" w:type="auto"/>
            <w:shd w:val="clear" w:color="auto" w:fill="DBE5F1" w:themeFill="accent1" w:themeFillTint="33"/>
          </w:tcPr>
          <w:p w14:paraId="67D6C2D0" w14:textId="77777777" w:rsidR="00BE259B" w:rsidRPr="00E52C17" w:rsidRDefault="00BE259B">
            <w:pPr>
              <w:jc w:val="center"/>
              <w:rPr>
                <w:rFonts w:asciiTheme="minorHAnsi" w:hAnsiTheme="minorHAnsi"/>
                <w:b/>
                <w:bCs/>
                <w:szCs w:val="24"/>
              </w:rPr>
            </w:pPr>
            <w:r w:rsidRPr="00E52C17">
              <w:rPr>
                <w:rFonts w:asciiTheme="minorHAnsi" w:hAnsiTheme="minorHAnsi"/>
                <w:b/>
                <w:bCs/>
                <w:szCs w:val="24"/>
              </w:rPr>
              <w:lastRenderedPageBreak/>
              <w:t>Equipment</w:t>
            </w:r>
          </w:p>
        </w:tc>
        <w:tc>
          <w:tcPr>
            <w:tcW w:w="1310" w:type="dxa"/>
            <w:shd w:val="clear" w:color="auto" w:fill="DBE5F1" w:themeFill="accent1" w:themeFillTint="33"/>
          </w:tcPr>
          <w:p w14:paraId="34FC9F06" w14:textId="77777777" w:rsidR="00BE259B" w:rsidRPr="00E52C17" w:rsidRDefault="00BE259B">
            <w:pPr>
              <w:jc w:val="center"/>
              <w:rPr>
                <w:rFonts w:asciiTheme="minorHAnsi" w:hAnsiTheme="minorHAnsi"/>
                <w:b/>
                <w:bCs/>
                <w:szCs w:val="24"/>
              </w:rPr>
            </w:pPr>
            <w:r w:rsidRPr="00E52C17">
              <w:rPr>
                <w:rFonts w:asciiTheme="minorHAnsi" w:hAnsiTheme="minorHAnsi"/>
                <w:b/>
                <w:bCs/>
                <w:szCs w:val="24"/>
              </w:rPr>
              <w:t>Days/Year</w:t>
            </w:r>
          </w:p>
        </w:tc>
        <w:tc>
          <w:tcPr>
            <w:tcW w:w="1721" w:type="dxa"/>
            <w:shd w:val="clear" w:color="auto" w:fill="DBE5F1" w:themeFill="accent1" w:themeFillTint="33"/>
          </w:tcPr>
          <w:p w14:paraId="5A6D6D83" w14:textId="77777777" w:rsidR="00BE259B" w:rsidRPr="00E52C17" w:rsidRDefault="00BE259B">
            <w:pPr>
              <w:jc w:val="center"/>
              <w:rPr>
                <w:rFonts w:asciiTheme="minorHAnsi" w:hAnsiTheme="minorHAnsi"/>
                <w:b/>
                <w:bCs/>
                <w:szCs w:val="24"/>
              </w:rPr>
            </w:pPr>
            <w:r w:rsidRPr="00E52C17">
              <w:rPr>
                <w:rFonts w:asciiTheme="minorHAnsi" w:hAnsiTheme="minorHAnsi"/>
                <w:b/>
                <w:bCs/>
                <w:szCs w:val="24"/>
              </w:rPr>
              <w:t>Hours/Day</w:t>
            </w:r>
          </w:p>
        </w:tc>
        <w:tc>
          <w:tcPr>
            <w:tcW w:w="0" w:type="auto"/>
            <w:shd w:val="clear" w:color="auto" w:fill="DBE5F1" w:themeFill="accent1" w:themeFillTint="33"/>
          </w:tcPr>
          <w:p w14:paraId="330F2D9B" w14:textId="77777777" w:rsidR="00BE259B" w:rsidRPr="00E52C17" w:rsidRDefault="00BE259B">
            <w:pPr>
              <w:jc w:val="center"/>
              <w:rPr>
                <w:rFonts w:asciiTheme="minorHAnsi" w:hAnsiTheme="minorHAnsi"/>
                <w:b/>
                <w:bCs/>
                <w:szCs w:val="24"/>
              </w:rPr>
            </w:pPr>
            <w:r w:rsidRPr="00E52C17">
              <w:rPr>
                <w:rFonts w:asciiTheme="minorHAnsi" w:hAnsiTheme="minorHAnsi"/>
                <w:b/>
                <w:bCs/>
                <w:szCs w:val="24"/>
              </w:rPr>
              <w:t>Patient Time (</w:t>
            </w:r>
            <w:proofErr w:type="gramStart"/>
            <w:r w:rsidRPr="00E52C17">
              <w:rPr>
                <w:rFonts w:asciiTheme="minorHAnsi" w:hAnsiTheme="minorHAnsi"/>
                <w:b/>
                <w:bCs/>
                <w:szCs w:val="24"/>
              </w:rPr>
              <w:t>hr</w:t>
            </w:r>
            <w:proofErr w:type="gramEnd"/>
            <w:r w:rsidRPr="00E52C17">
              <w:rPr>
                <w:rFonts w:asciiTheme="minorHAnsi" w:hAnsiTheme="minorHAnsi"/>
                <w:b/>
                <w:bCs/>
                <w:szCs w:val="24"/>
              </w:rPr>
              <w:t>.)</w:t>
            </w:r>
          </w:p>
        </w:tc>
        <w:tc>
          <w:tcPr>
            <w:tcW w:w="0" w:type="auto"/>
            <w:shd w:val="clear" w:color="auto" w:fill="DBE5F1" w:themeFill="accent1" w:themeFillTint="33"/>
          </w:tcPr>
          <w:p w14:paraId="6855662D" w14:textId="77777777" w:rsidR="00BE259B" w:rsidRPr="00E52C17" w:rsidRDefault="00BE259B">
            <w:pPr>
              <w:jc w:val="center"/>
              <w:rPr>
                <w:rFonts w:asciiTheme="minorHAnsi" w:hAnsiTheme="minorHAnsi"/>
                <w:b/>
                <w:bCs/>
                <w:szCs w:val="24"/>
              </w:rPr>
            </w:pPr>
            <w:r w:rsidRPr="00E52C17">
              <w:rPr>
                <w:rFonts w:asciiTheme="minorHAnsi" w:hAnsiTheme="minorHAnsi"/>
                <w:b/>
                <w:bCs/>
                <w:szCs w:val="24"/>
              </w:rPr>
              <w:t>Efficiency</w:t>
            </w:r>
          </w:p>
        </w:tc>
        <w:tc>
          <w:tcPr>
            <w:tcW w:w="1615" w:type="dxa"/>
            <w:shd w:val="clear" w:color="auto" w:fill="DBE5F1" w:themeFill="accent1" w:themeFillTint="33"/>
          </w:tcPr>
          <w:p w14:paraId="2F3DC881" w14:textId="77777777" w:rsidR="00BE259B" w:rsidRPr="00E52C17" w:rsidRDefault="00BE259B">
            <w:pPr>
              <w:jc w:val="center"/>
              <w:rPr>
                <w:rFonts w:asciiTheme="minorHAnsi" w:hAnsiTheme="minorHAnsi"/>
                <w:b/>
                <w:bCs/>
                <w:szCs w:val="24"/>
              </w:rPr>
            </w:pPr>
            <w:r w:rsidRPr="00E52C17">
              <w:rPr>
                <w:rFonts w:asciiTheme="minorHAnsi" w:hAnsiTheme="minorHAnsi"/>
                <w:b/>
                <w:bCs/>
                <w:szCs w:val="24"/>
              </w:rPr>
              <w:t>Throughput</w:t>
            </w:r>
          </w:p>
        </w:tc>
      </w:tr>
      <w:tr w:rsidR="00BE259B" w:rsidRPr="00E52C17" w14:paraId="0C4E777C" w14:textId="77777777" w:rsidTr="0098536C">
        <w:trPr>
          <w:cantSplit/>
        </w:trPr>
        <w:tc>
          <w:tcPr>
            <w:tcW w:w="0" w:type="auto"/>
            <w:shd w:val="clear" w:color="auto" w:fill="F2F2F2" w:themeFill="background1" w:themeFillShade="F2"/>
          </w:tcPr>
          <w:p w14:paraId="5456EF43" w14:textId="15FF373A" w:rsidR="00BE259B" w:rsidRPr="00E52C17" w:rsidRDefault="00BE259B">
            <w:pPr>
              <w:rPr>
                <w:rFonts w:asciiTheme="minorHAnsi" w:hAnsiTheme="minorHAnsi"/>
                <w:b/>
                <w:bCs/>
                <w:szCs w:val="24"/>
              </w:rPr>
            </w:pPr>
            <w:r w:rsidRPr="00E52C17">
              <w:rPr>
                <w:rFonts w:asciiTheme="minorHAnsi" w:hAnsiTheme="minorHAnsi"/>
                <w:b/>
                <w:bCs/>
                <w:szCs w:val="24"/>
              </w:rPr>
              <w:t>Inpatient</w:t>
            </w:r>
          </w:p>
        </w:tc>
        <w:tc>
          <w:tcPr>
            <w:tcW w:w="0" w:type="auto"/>
            <w:shd w:val="clear" w:color="auto" w:fill="F2F2F2" w:themeFill="background1" w:themeFillShade="F2"/>
          </w:tcPr>
          <w:p w14:paraId="2625C02C"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114A21DE"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6401F8DE"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3AB557D5"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28B6EA7D" w14:textId="0BEF2D58" w:rsidR="00BE259B" w:rsidRPr="00E52C17" w:rsidRDefault="00BE259B">
            <w:pPr>
              <w:rPr>
                <w:rFonts w:asciiTheme="minorHAnsi" w:hAnsiTheme="minorHAnsi"/>
                <w:b/>
                <w:bCs/>
                <w:szCs w:val="24"/>
              </w:rPr>
            </w:pPr>
          </w:p>
        </w:tc>
      </w:tr>
      <w:tr w:rsidR="00BE259B" w:rsidRPr="00E52C17" w14:paraId="76794964" w14:textId="77777777" w:rsidTr="00BE259B">
        <w:trPr>
          <w:cantSplit/>
        </w:trPr>
        <w:tc>
          <w:tcPr>
            <w:tcW w:w="0" w:type="auto"/>
          </w:tcPr>
          <w:p w14:paraId="79542C7B" w14:textId="77777777" w:rsidR="00BE259B" w:rsidRPr="00E52C17" w:rsidRDefault="00BE259B" w:rsidP="007447DB">
            <w:pPr>
              <w:rPr>
                <w:rFonts w:asciiTheme="minorHAnsi" w:hAnsiTheme="minorHAnsi"/>
                <w:b/>
                <w:bCs/>
                <w:szCs w:val="24"/>
              </w:rPr>
            </w:pPr>
            <w:r w:rsidRPr="00E52C17">
              <w:rPr>
                <w:rFonts w:asciiTheme="minorHAnsi" w:hAnsiTheme="minorHAnsi"/>
                <w:szCs w:val="24"/>
              </w:rPr>
              <w:t>CT</w:t>
            </w:r>
          </w:p>
        </w:tc>
        <w:tc>
          <w:tcPr>
            <w:tcW w:w="0" w:type="auto"/>
          </w:tcPr>
          <w:p w14:paraId="2D3B59E1" w14:textId="77777777" w:rsidR="00BE259B" w:rsidRPr="00E52C17" w:rsidRDefault="00BE259B">
            <w:pPr>
              <w:jc w:val="center"/>
              <w:rPr>
                <w:rFonts w:asciiTheme="minorHAnsi" w:hAnsiTheme="minorHAnsi"/>
                <w:b/>
                <w:bCs/>
                <w:szCs w:val="24"/>
              </w:rPr>
            </w:pPr>
            <w:r w:rsidRPr="00E52C17">
              <w:rPr>
                <w:rFonts w:asciiTheme="minorHAnsi" w:hAnsiTheme="minorHAnsi"/>
                <w:szCs w:val="24"/>
              </w:rPr>
              <w:t>365</w:t>
            </w:r>
          </w:p>
        </w:tc>
        <w:tc>
          <w:tcPr>
            <w:tcW w:w="0" w:type="auto"/>
          </w:tcPr>
          <w:p w14:paraId="58F3D57E" w14:textId="77777777" w:rsidR="00BE259B" w:rsidRPr="00E52C17" w:rsidRDefault="00BE259B">
            <w:pPr>
              <w:jc w:val="center"/>
              <w:rPr>
                <w:rFonts w:asciiTheme="minorHAnsi" w:hAnsiTheme="minorHAnsi"/>
                <w:b/>
                <w:bCs/>
                <w:szCs w:val="24"/>
              </w:rPr>
            </w:pPr>
            <w:r w:rsidRPr="00E52C17">
              <w:rPr>
                <w:rFonts w:asciiTheme="minorHAnsi" w:hAnsiTheme="minorHAnsi"/>
                <w:szCs w:val="24"/>
              </w:rPr>
              <w:t>10</w:t>
            </w:r>
          </w:p>
        </w:tc>
        <w:tc>
          <w:tcPr>
            <w:tcW w:w="0" w:type="auto"/>
          </w:tcPr>
          <w:p w14:paraId="1D522AED" w14:textId="77777777" w:rsidR="00BE259B" w:rsidRPr="00E52C17" w:rsidRDefault="00BE259B">
            <w:pPr>
              <w:jc w:val="center"/>
              <w:rPr>
                <w:rFonts w:asciiTheme="minorHAnsi" w:hAnsiTheme="minorHAnsi"/>
                <w:b/>
                <w:bCs/>
                <w:szCs w:val="24"/>
              </w:rPr>
            </w:pPr>
            <w:r w:rsidRPr="00E52C17">
              <w:rPr>
                <w:rFonts w:asciiTheme="minorHAnsi" w:hAnsiTheme="minorHAnsi"/>
                <w:szCs w:val="24"/>
              </w:rPr>
              <w:t>0.5</w:t>
            </w:r>
          </w:p>
        </w:tc>
        <w:tc>
          <w:tcPr>
            <w:tcW w:w="0" w:type="auto"/>
          </w:tcPr>
          <w:p w14:paraId="74458C01" w14:textId="77777777" w:rsidR="00BE259B" w:rsidRPr="00E52C17" w:rsidRDefault="00BE259B">
            <w:pPr>
              <w:jc w:val="center"/>
              <w:rPr>
                <w:rFonts w:asciiTheme="minorHAnsi" w:hAnsiTheme="minorHAnsi"/>
                <w:b/>
                <w:bCs/>
                <w:szCs w:val="24"/>
              </w:rPr>
            </w:pPr>
            <w:r w:rsidRPr="00E52C17">
              <w:rPr>
                <w:rFonts w:asciiTheme="minorHAnsi" w:hAnsiTheme="minorHAnsi"/>
                <w:szCs w:val="24"/>
              </w:rPr>
              <w:t>85%</w:t>
            </w:r>
          </w:p>
        </w:tc>
        <w:tc>
          <w:tcPr>
            <w:tcW w:w="0" w:type="auto"/>
          </w:tcPr>
          <w:p w14:paraId="2B18EE43" w14:textId="77777777" w:rsidR="00BE259B" w:rsidRPr="00E52C17" w:rsidRDefault="00BE259B">
            <w:pPr>
              <w:jc w:val="center"/>
              <w:rPr>
                <w:rFonts w:asciiTheme="minorHAnsi" w:hAnsiTheme="minorHAnsi"/>
                <w:b/>
                <w:bCs/>
                <w:szCs w:val="24"/>
              </w:rPr>
            </w:pPr>
            <w:r w:rsidRPr="00E52C17">
              <w:rPr>
                <w:rFonts w:asciiTheme="minorHAnsi" w:hAnsiTheme="minorHAnsi"/>
                <w:szCs w:val="24"/>
              </w:rPr>
              <w:t xml:space="preserve">   9,928</w:t>
            </w:r>
            <w:r w:rsidRPr="00E52C17">
              <w:rPr>
                <w:rFonts w:asciiTheme="minorHAnsi" w:hAnsiTheme="minorHAnsi"/>
                <w:bCs/>
                <w:szCs w:val="24"/>
                <w:vertAlign w:val="superscript"/>
              </w:rPr>
              <w:footnoteReference w:id="80"/>
            </w:r>
          </w:p>
        </w:tc>
      </w:tr>
      <w:tr w:rsidR="00BE259B" w:rsidRPr="00E52C17" w14:paraId="6551B8F3" w14:textId="77777777" w:rsidTr="00BE259B">
        <w:trPr>
          <w:cantSplit/>
        </w:trPr>
        <w:tc>
          <w:tcPr>
            <w:tcW w:w="0" w:type="auto"/>
          </w:tcPr>
          <w:p w14:paraId="2365A9A2" w14:textId="77777777" w:rsidR="00BE259B" w:rsidRPr="00E52C17" w:rsidRDefault="00BE259B" w:rsidP="007447DB">
            <w:pPr>
              <w:rPr>
                <w:rFonts w:asciiTheme="minorHAnsi" w:hAnsiTheme="minorHAnsi"/>
                <w:b/>
                <w:bCs/>
                <w:szCs w:val="24"/>
              </w:rPr>
            </w:pPr>
            <w:r w:rsidRPr="00E52C17">
              <w:rPr>
                <w:rFonts w:asciiTheme="minorHAnsi" w:hAnsiTheme="minorHAnsi"/>
                <w:szCs w:val="24"/>
              </w:rPr>
              <w:t>MRI</w:t>
            </w:r>
          </w:p>
        </w:tc>
        <w:tc>
          <w:tcPr>
            <w:tcW w:w="0" w:type="auto"/>
          </w:tcPr>
          <w:p w14:paraId="0E2980D3" w14:textId="77777777" w:rsidR="00BE259B" w:rsidRPr="00E52C17" w:rsidRDefault="00BE259B">
            <w:pPr>
              <w:jc w:val="center"/>
              <w:rPr>
                <w:rFonts w:asciiTheme="minorHAnsi" w:hAnsiTheme="minorHAnsi"/>
                <w:b/>
                <w:bCs/>
                <w:szCs w:val="24"/>
              </w:rPr>
            </w:pPr>
            <w:r w:rsidRPr="00E52C17">
              <w:rPr>
                <w:rFonts w:asciiTheme="minorHAnsi" w:hAnsiTheme="minorHAnsi"/>
                <w:szCs w:val="24"/>
              </w:rPr>
              <w:t>365</w:t>
            </w:r>
          </w:p>
        </w:tc>
        <w:tc>
          <w:tcPr>
            <w:tcW w:w="0" w:type="auto"/>
          </w:tcPr>
          <w:p w14:paraId="693FD160" w14:textId="77777777" w:rsidR="00BE259B" w:rsidRPr="00E52C17" w:rsidRDefault="00BE259B">
            <w:pPr>
              <w:jc w:val="center"/>
              <w:rPr>
                <w:rFonts w:asciiTheme="minorHAnsi" w:hAnsiTheme="minorHAnsi"/>
                <w:b/>
                <w:bCs/>
                <w:szCs w:val="24"/>
              </w:rPr>
            </w:pPr>
            <w:r w:rsidRPr="00E52C17">
              <w:rPr>
                <w:rFonts w:asciiTheme="minorHAnsi" w:hAnsiTheme="minorHAnsi"/>
                <w:szCs w:val="24"/>
              </w:rPr>
              <w:t>10</w:t>
            </w:r>
          </w:p>
        </w:tc>
        <w:tc>
          <w:tcPr>
            <w:tcW w:w="0" w:type="auto"/>
          </w:tcPr>
          <w:p w14:paraId="50504EF4" w14:textId="77777777" w:rsidR="00BE259B" w:rsidRPr="00E52C17" w:rsidRDefault="00BE259B">
            <w:pPr>
              <w:jc w:val="center"/>
              <w:rPr>
                <w:rFonts w:asciiTheme="minorHAnsi" w:hAnsiTheme="minorHAnsi"/>
                <w:b/>
                <w:bCs/>
                <w:szCs w:val="24"/>
              </w:rPr>
            </w:pPr>
            <w:r w:rsidRPr="00E52C17">
              <w:rPr>
                <w:rFonts w:asciiTheme="minorHAnsi" w:hAnsiTheme="minorHAnsi"/>
                <w:szCs w:val="24"/>
              </w:rPr>
              <w:t>1.00</w:t>
            </w:r>
          </w:p>
        </w:tc>
        <w:tc>
          <w:tcPr>
            <w:tcW w:w="0" w:type="auto"/>
          </w:tcPr>
          <w:p w14:paraId="33F1C2E1" w14:textId="77777777" w:rsidR="00BE259B" w:rsidRPr="00E52C17" w:rsidRDefault="00BE259B">
            <w:pPr>
              <w:jc w:val="center"/>
              <w:rPr>
                <w:rFonts w:asciiTheme="minorHAnsi" w:hAnsiTheme="minorHAnsi"/>
                <w:b/>
                <w:bCs/>
                <w:szCs w:val="24"/>
              </w:rPr>
            </w:pPr>
            <w:r w:rsidRPr="00E52C17">
              <w:rPr>
                <w:rFonts w:asciiTheme="minorHAnsi" w:hAnsiTheme="minorHAnsi"/>
                <w:szCs w:val="24"/>
              </w:rPr>
              <w:t>85%</w:t>
            </w:r>
          </w:p>
        </w:tc>
        <w:tc>
          <w:tcPr>
            <w:tcW w:w="0" w:type="auto"/>
          </w:tcPr>
          <w:p w14:paraId="5CCDFC37" w14:textId="77777777" w:rsidR="00BE259B" w:rsidRPr="00E52C17" w:rsidRDefault="00BE259B">
            <w:pPr>
              <w:jc w:val="center"/>
              <w:rPr>
                <w:rFonts w:asciiTheme="minorHAnsi" w:hAnsiTheme="minorHAnsi"/>
                <w:b/>
                <w:bCs/>
                <w:szCs w:val="24"/>
              </w:rPr>
            </w:pPr>
            <w:r w:rsidRPr="00E52C17">
              <w:rPr>
                <w:rFonts w:asciiTheme="minorHAnsi" w:hAnsiTheme="minorHAnsi"/>
                <w:szCs w:val="24"/>
              </w:rPr>
              <w:t>3,103</w:t>
            </w:r>
          </w:p>
        </w:tc>
      </w:tr>
      <w:tr w:rsidR="00BE259B" w:rsidRPr="00E52C17" w14:paraId="4E34CD38" w14:textId="77777777" w:rsidTr="00BE259B">
        <w:trPr>
          <w:cantSplit/>
        </w:trPr>
        <w:tc>
          <w:tcPr>
            <w:tcW w:w="0" w:type="auto"/>
          </w:tcPr>
          <w:p w14:paraId="761EDBEC" w14:textId="009311DE" w:rsidR="00BE259B" w:rsidRPr="00E52C17" w:rsidRDefault="00BE259B" w:rsidP="007447DB">
            <w:pPr>
              <w:rPr>
                <w:rFonts w:asciiTheme="minorHAnsi" w:hAnsiTheme="minorHAnsi"/>
                <w:b/>
                <w:bCs/>
                <w:szCs w:val="24"/>
              </w:rPr>
            </w:pPr>
            <w:r w:rsidRPr="00E52C17">
              <w:rPr>
                <w:rFonts w:asciiTheme="minorHAnsi" w:hAnsiTheme="minorHAnsi"/>
                <w:szCs w:val="24"/>
              </w:rPr>
              <w:t>PET-CT</w:t>
            </w:r>
          </w:p>
        </w:tc>
        <w:tc>
          <w:tcPr>
            <w:tcW w:w="0" w:type="auto"/>
          </w:tcPr>
          <w:p w14:paraId="18E7D7E2" w14:textId="77777777" w:rsidR="00BE259B" w:rsidRPr="00E52C17" w:rsidRDefault="00BE259B">
            <w:pPr>
              <w:jc w:val="center"/>
              <w:rPr>
                <w:rFonts w:asciiTheme="minorHAnsi" w:hAnsiTheme="minorHAnsi"/>
                <w:b/>
                <w:bCs/>
                <w:szCs w:val="24"/>
              </w:rPr>
            </w:pPr>
            <w:r w:rsidRPr="00E52C17">
              <w:rPr>
                <w:rFonts w:asciiTheme="minorHAnsi" w:hAnsiTheme="minorHAnsi"/>
                <w:szCs w:val="24"/>
              </w:rPr>
              <w:t>312</w:t>
            </w:r>
          </w:p>
        </w:tc>
        <w:tc>
          <w:tcPr>
            <w:tcW w:w="0" w:type="auto"/>
          </w:tcPr>
          <w:p w14:paraId="1151C95A" w14:textId="77777777" w:rsidR="00BE259B" w:rsidRPr="00E52C17" w:rsidRDefault="00BE259B">
            <w:pPr>
              <w:jc w:val="center"/>
              <w:rPr>
                <w:rFonts w:asciiTheme="minorHAnsi" w:hAnsiTheme="minorHAnsi"/>
                <w:b/>
                <w:bCs/>
                <w:szCs w:val="24"/>
              </w:rPr>
            </w:pPr>
            <w:r w:rsidRPr="00E52C17">
              <w:rPr>
                <w:rFonts w:asciiTheme="minorHAnsi" w:hAnsiTheme="minorHAnsi"/>
                <w:szCs w:val="24"/>
              </w:rPr>
              <w:t>10</w:t>
            </w:r>
          </w:p>
        </w:tc>
        <w:tc>
          <w:tcPr>
            <w:tcW w:w="0" w:type="auto"/>
          </w:tcPr>
          <w:p w14:paraId="09A649C8" w14:textId="77777777" w:rsidR="00BE259B" w:rsidRPr="00E52C17" w:rsidRDefault="00BE259B">
            <w:pPr>
              <w:jc w:val="center"/>
              <w:rPr>
                <w:rFonts w:asciiTheme="minorHAnsi" w:hAnsiTheme="minorHAnsi"/>
                <w:b/>
                <w:bCs/>
                <w:szCs w:val="24"/>
              </w:rPr>
            </w:pPr>
            <w:r w:rsidRPr="00E52C17">
              <w:rPr>
                <w:rFonts w:asciiTheme="minorHAnsi" w:hAnsiTheme="minorHAnsi"/>
                <w:szCs w:val="24"/>
              </w:rPr>
              <w:t>0.75</w:t>
            </w:r>
          </w:p>
        </w:tc>
        <w:tc>
          <w:tcPr>
            <w:tcW w:w="0" w:type="auto"/>
          </w:tcPr>
          <w:p w14:paraId="4B692717" w14:textId="77777777" w:rsidR="00BE259B" w:rsidRPr="00E52C17" w:rsidRDefault="00BE259B">
            <w:pPr>
              <w:jc w:val="center"/>
              <w:rPr>
                <w:rFonts w:asciiTheme="minorHAnsi" w:hAnsiTheme="minorHAnsi"/>
                <w:b/>
                <w:bCs/>
                <w:szCs w:val="24"/>
              </w:rPr>
            </w:pPr>
            <w:r w:rsidRPr="00E52C17">
              <w:rPr>
                <w:rFonts w:asciiTheme="minorHAnsi" w:hAnsiTheme="minorHAnsi"/>
                <w:szCs w:val="24"/>
              </w:rPr>
              <w:t>85%</w:t>
            </w:r>
          </w:p>
        </w:tc>
        <w:tc>
          <w:tcPr>
            <w:tcW w:w="0" w:type="auto"/>
          </w:tcPr>
          <w:p w14:paraId="1C0D885B" w14:textId="77777777" w:rsidR="00BE259B" w:rsidRPr="00E52C17" w:rsidRDefault="00BE259B">
            <w:pPr>
              <w:jc w:val="center"/>
              <w:rPr>
                <w:rFonts w:asciiTheme="minorHAnsi" w:hAnsiTheme="minorHAnsi"/>
                <w:b/>
                <w:bCs/>
                <w:szCs w:val="24"/>
              </w:rPr>
            </w:pPr>
            <w:r w:rsidRPr="00E52C17">
              <w:rPr>
                <w:rFonts w:asciiTheme="minorHAnsi" w:hAnsiTheme="minorHAnsi"/>
                <w:szCs w:val="24"/>
              </w:rPr>
              <w:t>3,536</w:t>
            </w:r>
          </w:p>
        </w:tc>
      </w:tr>
      <w:tr w:rsidR="00BE259B" w:rsidRPr="00E52C17" w14:paraId="71095E02" w14:textId="77777777" w:rsidTr="00BE259B">
        <w:trPr>
          <w:cantSplit/>
        </w:trPr>
        <w:tc>
          <w:tcPr>
            <w:tcW w:w="0" w:type="auto"/>
            <w:shd w:val="clear" w:color="auto" w:fill="F2F2F2" w:themeFill="background1" w:themeFillShade="F2"/>
          </w:tcPr>
          <w:p w14:paraId="3783EB5C" w14:textId="77777777" w:rsidR="00BE259B" w:rsidRPr="00E52C17" w:rsidRDefault="00BE259B">
            <w:pPr>
              <w:rPr>
                <w:rFonts w:asciiTheme="minorHAnsi" w:hAnsiTheme="minorHAnsi"/>
                <w:b/>
                <w:bCs/>
                <w:szCs w:val="24"/>
              </w:rPr>
            </w:pPr>
            <w:r w:rsidRPr="00E52C17">
              <w:rPr>
                <w:rFonts w:asciiTheme="minorHAnsi" w:hAnsiTheme="minorHAnsi"/>
                <w:b/>
                <w:bCs/>
                <w:szCs w:val="24"/>
              </w:rPr>
              <w:t>Outpatient</w:t>
            </w:r>
          </w:p>
        </w:tc>
        <w:tc>
          <w:tcPr>
            <w:tcW w:w="0" w:type="auto"/>
            <w:shd w:val="clear" w:color="auto" w:fill="F2F2F2" w:themeFill="background1" w:themeFillShade="F2"/>
          </w:tcPr>
          <w:p w14:paraId="5AE8F7C5"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3676281E"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6DEDE1C9"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59FBC285" w14:textId="77777777" w:rsidR="00BE259B" w:rsidRPr="00E52C17" w:rsidRDefault="00BE259B">
            <w:pPr>
              <w:rPr>
                <w:rFonts w:asciiTheme="minorHAnsi" w:hAnsiTheme="minorHAnsi"/>
                <w:b/>
                <w:bCs/>
                <w:szCs w:val="24"/>
              </w:rPr>
            </w:pPr>
          </w:p>
        </w:tc>
        <w:tc>
          <w:tcPr>
            <w:tcW w:w="0" w:type="auto"/>
            <w:shd w:val="clear" w:color="auto" w:fill="F2F2F2" w:themeFill="background1" w:themeFillShade="F2"/>
          </w:tcPr>
          <w:p w14:paraId="2A6254BD" w14:textId="77777777" w:rsidR="00BE259B" w:rsidRPr="00E52C17" w:rsidRDefault="00BE259B">
            <w:pPr>
              <w:rPr>
                <w:rFonts w:asciiTheme="minorHAnsi" w:hAnsiTheme="minorHAnsi"/>
                <w:b/>
                <w:bCs/>
                <w:szCs w:val="24"/>
              </w:rPr>
            </w:pPr>
          </w:p>
        </w:tc>
      </w:tr>
      <w:tr w:rsidR="00BE259B" w:rsidRPr="00E52C17" w14:paraId="14C9A13C" w14:textId="77777777" w:rsidTr="00BE259B">
        <w:trPr>
          <w:cantSplit/>
        </w:trPr>
        <w:tc>
          <w:tcPr>
            <w:tcW w:w="0" w:type="auto"/>
          </w:tcPr>
          <w:p w14:paraId="32D1DFDF" w14:textId="77777777" w:rsidR="00BE259B" w:rsidRPr="00E52C17" w:rsidRDefault="00BE259B" w:rsidP="007447DB">
            <w:pPr>
              <w:rPr>
                <w:rFonts w:asciiTheme="minorHAnsi" w:hAnsiTheme="minorHAnsi"/>
                <w:b/>
                <w:bCs/>
                <w:szCs w:val="24"/>
              </w:rPr>
            </w:pPr>
            <w:r w:rsidRPr="00E52C17">
              <w:rPr>
                <w:rFonts w:asciiTheme="minorHAnsi" w:hAnsiTheme="minorHAnsi"/>
                <w:szCs w:val="24"/>
              </w:rPr>
              <w:t>CT</w:t>
            </w:r>
          </w:p>
        </w:tc>
        <w:tc>
          <w:tcPr>
            <w:tcW w:w="0" w:type="auto"/>
          </w:tcPr>
          <w:p w14:paraId="38862F80" w14:textId="77777777" w:rsidR="00BE259B" w:rsidRPr="00E52C17" w:rsidRDefault="00BE259B">
            <w:pPr>
              <w:jc w:val="center"/>
              <w:rPr>
                <w:rFonts w:asciiTheme="minorHAnsi" w:hAnsiTheme="minorHAnsi"/>
                <w:b/>
                <w:bCs/>
                <w:szCs w:val="24"/>
              </w:rPr>
            </w:pPr>
            <w:r w:rsidRPr="00E52C17">
              <w:rPr>
                <w:rFonts w:asciiTheme="minorHAnsi" w:hAnsiTheme="minorHAnsi"/>
                <w:szCs w:val="24"/>
              </w:rPr>
              <w:t>250</w:t>
            </w:r>
          </w:p>
        </w:tc>
        <w:tc>
          <w:tcPr>
            <w:tcW w:w="0" w:type="auto"/>
          </w:tcPr>
          <w:p w14:paraId="0ED911E7" w14:textId="77777777" w:rsidR="00BE259B" w:rsidRPr="00E52C17" w:rsidRDefault="00BE259B">
            <w:pPr>
              <w:jc w:val="center"/>
              <w:rPr>
                <w:rFonts w:asciiTheme="minorHAnsi" w:hAnsiTheme="minorHAnsi"/>
                <w:b/>
                <w:bCs/>
                <w:szCs w:val="24"/>
              </w:rPr>
            </w:pPr>
            <w:r w:rsidRPr="00E52C17">
              <w:rPr>
                <w:rFonts w:asciiTheme="minorHAnsi" w:hAnsiTheme="minorHAnsi"/>
                <w:szCs w:val="24"/>
              </w:rPr>
              <w:t>10</w:t>
            </w:r>
          </w:p>
        </w:tc>
        <w:tc>
          <w:tcPr>
            <w:tcW w:w="0" w:type="auto"/>
          </w:tcPr>
          <w:p w14:paraId="38907A93" w14:textId="77777777" w:rsidR="00BE259B" w:rsidRPr="00E52C17" w:rsidRDefault="00BE259B">
            <w:pPr>
              <w:jc w:val="center"/>
              <w:rPr>
                <w:rFonts w:asciiTheme="minorHAnsi" w:hAnsiTheme="minorHAnsi"/>
                <w:b/>
                <w:bCs/>
                <w:szCs w:val="24"/>
              </w:rPr>
            </w:pPr>
            <w:r w:rsidRPr="00E52C17">
              <w:rPr>
                <w:rFonts w:asciiTheme="minorHAnsi" w:hAnsiTheme="minorHAnsi"/>
                <w:szCs w:val="24"/>
              </w:rPr>
              <w:t>0.33</w:t>
            </w:r>
          </w:p>
        </w:tc>
        <w:tc>
          <w:tcPr>
            <w:tcW w:w="0" w:type="auto"/>
          </w:tcPr>
          <w:p w14:paraId="19BB20F6" w14:textId="77777777" w:rsidR="00BE259B" w:rsidRPr="00E52C17" w:rsidRDefault="00BE259B">
            <w:pPr>
              <w:jc w:val="center"/>
              <w:rPr>
                <w:rFonts w:asciiTheme="minorHAnsi" w:hAnsiTheme="minorHAnsi"/>
                <w:b/>
                <w:bCs/>
                <w:szCs w:val="24"/>
              </w:rPr>
            </w:pPr>
            <w:r w:rsidRPr="00E52C17">
              <w:rPr>
                <w:rFonts w:asciiTheme="minorHAnsi" w:hAnsiTheme="minorHAnsi"/>
                <w:szCs w:val="24"/>
              </w:rPr>
              <w:t>85%</w:t>
            </w:r>
          </w:p>
        </w:tc>
        <w:tc>
          <w:tcPr>
            <w:tcW w:w="0" w:type="auto"/>
          </w:tcPr>
          <w:p w14:paraId="3AEC42C0" w14:textId="77777777" w:rsidR="00BE259B" w:rsidRPr="00E52C17" w:rsidRDefault="00BE259B">
            <w:pPr>
              <w:jc w:val="center"/>
              <w:rPr>
                <w:rFonts w:asciiTheme="minorHAnsi" w:hAnsiTheme="minorHAnsi"/>
                <w:b/>
                <w:bCs/>
                <w:szCs w:val="24"/>
              </w:rPr>
            </w:pPr>
            <w:r w:rsidRPr="00E52C17">
              <w:rPr>
                <w:rFonts w:asciiTheme="minorHAnsi" w:hAnsiTheme="minorHAnsi"/>
                <w:szCs w:val="24"/>
              </w:rPr>
              <w:t>10,200</w:t>
            </w:r>
          </w:p>
        </w:tc>
      </w:tr>
      <w:tr w:rsidR="00BE259B" w:rsidRPr="00E52C17" w14:paraId="0D57E9AE" w14:textId="77777777" w:rsidTr="00BE259B">
        <w:trPr>
          <w:cantSplit/>
        </w:trPr>
        <w:tc>
          <w:tcPr>
            <w:tcW w:w="0" w:type="auto"/>
          </w:tcPr>
          <w:p w14:paraId="7939D047" w14:textId="0249BD6F" w:rsidR="00BE259B" w:rsidRPr="00E52C17" w:rsidRDefault="00BE259B" w:rsidP="007447DB">
            <w:pPr>
              <w:rPr>
                <w:rFonts w:asciiTheme="minorHAnsi" w:hAnsiTheme="minorHAnsi"/>
                <w:b/>
                <w:bCs/>
                <w:szCs w:val="24"/>
              </w:rPr>
            </w:pPr>
            <w:r w:rsidRPr="00E52C17">
              <w:rPr>
                <w:rFonts w:asciiTheme="minorHAnsi" w:hAnsiTheme="minorHAnsi"/>
                <w:szCs w:val="24"/>
              </w:rPr>
              <w:t>PET-CT</w:t>
            </w:r>
          </w:p>
        </w:tc>
        <w:tc>
          <w:tcPr>
            <w:tcW w:w="0" w:type="auto"/>
          </w:tcPr>
          <w:p w14:paraId="39F8283B" w14:textId="77777777" w:rsidR="00BE259B" w:rsidRPr="00E52C17" w:rsidRDefault="00BE259B">
            <w:pPr>
              <w:jc w:val="center"/>
              <w:rPr>
                <w:rFonts w:asciiTheme="minorHAnsi" w:hAnsiTheme="minorHAnsi"/>
                <w:b/>
                <w:bCs/>
                <w:szCs w:val="24"/>
              </w:rPr>
            </w:pPr>
            <w:r w:rsidRPr="00E52C17">
              <w:rPr>
                <w:rFonts w:asciiTheme="minorHAnsi" w:hAnsiTheme="minorHAnsi"/>
                <w:szCs w:val="24"/>
              </w:rPr>
              <w:t>250</w:t>
            </w:r>
          </w:p>
        </w:tc>
        <w:tc>
          <w:tcPr>
            <w:tcW w:w="0" w:type="auto"/>
          </w:tcPr>
          <w:p w14:paraId="002C43C4" w14:textId="77777777" w:rsidR="00BE259B" w:rsidRPr="00E52C17" w:rsidRDefault="00BE259B">
            <w:pPr>
              <w:jc w:val="center"/>
              <w:rPr>
                <w:rFonts w:asciiTheme="minorHAnsi" w:hAnsiTheme="minorHAnsi"/>
                <w:b/>
                <w:bCs/>
                <w:szCs w:val="24"/>
              </w:rPr>
            </w:pPr>
            <w:r w:rsidRPr="00E52C17">
              <w:rPr>
                <w:rFonts w:asciiTheme="minorHAnsi" w:hAnsiTheme="minorHAnsi"/>
                <w:szCs w:val="24"/>
              </w:rPr>
              <w:t>10</w:t>
            </w:r>
          </w:p>
        </w:tc>
        <w:tc>
          <w:tcPr>
            <w:tcW w:w="0" w:type="auto"/>
          </w:tcPr>
          <w:p w14:paraId="3D3071FF" w14:textId="77777777" w:rsidR="00BE259B" w:rsidRPr="00E52C17" w:rsidRDefault="00BE259B">
            <w:pPr>
              <w:jc w:val="center"/>
              <w:rPr>
                <w:rFonts w:asciiTheme="minorHAnsi" w:hAnsiTheme="minorHAnsi"/>
                <w:b/>
                <w:bCs/>
                <w:szCs w:val="24"/>
              </w:rPr>
            </w:pPr>
            <w:r w:rsidRPr="00E52C17">
              <w:rPr>
                <w:rFonts w:asciiTheme="minorHAnsi" w:hAnsiTheme="minorHAnsi"/>
                <w:szCs w:val="24"/>
              </w:rPr>
              <w:t>0.50</w:t>
            </w:r>
          </w:p>
        </w:tc>
        <w:tc>
          <w:tcPr>
            <w:tcW w:w="0" w:type="auto"/>
          </w:tcPr>
          <w:p w14:paraId="06921B88" w14:textId="77777777" w:rsidR="00BE259B" w:rsidRPr="00E52C17" w:rsidRDefault="00BE259B">
            <w:pPr>
              <w:jc w:val="center"/>
              <w:rPr>
                <w:rFonts w:asciiTheme="minorHAnsi" w:hAnsiTheme="minorHAnsi"/>
                <w:b/>
                <w:bCs/>
                <w:szCs w:val="24"/>
              </w:rPr>
            </w:pPr>
            <w:r w:rsidRPr="00E52C17">
              <w:rPr>
                <w:rFonts w:asciiTheme="minorHAnsi" w:hAnsiTheme="minorHAnsi"/>
                <w:szCs w:val="24"/>
              </w:rPr>
              <w:t>85%</w:t>
            </w:r>
          </w:p>
        </w:tc>
        <w:tc>
          <w:tcPr>
            <w:tcW w:w="0" w:type="auto"/>
          </w:tcPr>
          <w:p w14:paraId="2E36F4BE" w14:textId="77777777" w:rsidR="00BE259B" w:rsidRPr="00E52C17" w:rsidRDefault="00BE259B">
            <w:pPr>
              <w:jc w:val="center"/>
              <w:rPr>
                <w:rFonts w:asciiTheme="minorHAnsi" w:hAnsiTheme="minorHAnsi"/>
                <w:b/>
                <w:bCs/>
                <w:szCs w:val="24"/>
              </w:rPr>
            </w:pPr>
            <w:r w:rsidRPr="00E52C17">
              <w:rPr>
                <w:rFonts w:asciiTheme="minorHAnsi" w:hAnsiTheme="minorHAnsi"/>
                <w:szCs w:val="24"/>
              </w:rPr>
              <w:t>4,118</w:t>
            </w:r>
          </w:p>
        </w:tc>
      </w:tr>
    </w:tbl>
    <w:p w14:paraId="00AC64B9" w14:textId="77777777" w:rsidR="00C65993" w:rsidRDefault="00C65993" w:rsidP="00C65993">
      <w:pPr>
        <w:rPr>
          <w:rFonts w:asciiTheme="minorHAnsi" w:hAnsiTheme="minorHAnsi"/>
          <w:b/>
          <w:bCs/>
          <w:szCs w:val="24"/>
        </w:rPr>
      </w:pPr>
    </w:p>
    <w:p w14:paraId="70A0BCA2" w14:textId="08A9273A" w:rsidR="00C65993" w:rsidRDefault="00C65993" w:rsidP="00C65993">
      <w:pPr>
        <w:rPr>
          <w:rFonts w:asciiTheme="minorHAnsi" w:hAnsiTheme="minorHAnsi"/>
          <w:b/>
          <w:bCs/>
          <w:szCs w:val="24"/>
        </w:rPr>
      </w:pPr>
      <w:r w:rsidRPr="00B67E26">
        <w:rPr>
          <w:rFonts w:asciiTheme="minorHAnsi" w:hAnsiTheme="minorHAnsi"/>
          <w:b/>
          <w:bCs/>
          <w:szCs w:val="24"/>
          <w:u w:val="single"/>
        </w:rPr>
        <w:t xml:space="preserve">Table </w:t>
      </w:r>
      <w:r w:rsidR="00C76AEE">
        <w:rPr>
          <w:rFonts w:asciiTheme="minorHAnsi" w:hAnsiTheme="minorHAnsi"/>
          <w:b/>
          <w:bCs/>
          <w:szCs w:val="24"/>
          <w:u w:val="single"/>
        </w:rPr>
        <w:t>2</w:t>
      </w:r>
      <w:r w:rsidR="002D5360">
        <w:rPr>
          <w:rFonts w:asciiTheme="minorHAnsi" w:hAnsiTheme="minorHAnsi"/>
          <w:b/>
          <w:bCs/>
          <w:szCs w:val="24"/>
          <w:u w:val="single"/>
        </w:rPr>
        <w:t>8</w:t>
      </w:r>
      <w:r>
        <w:rPr>
          <w:rFonts w:asciiTheme="minorHAnsi" w:hAnsiTheme="minorHAnsi"/>
          <w:b/>
          <w:bCs/>
          <w:szCs w:val="24"/>
        </w:rPr>
        <w:t xml:space="preserve">: </w:t>
      </w:r>
      <w:r w:rsidRPr="00B67E26">
        <w:rPr>
          <w:rFonts w:asciiTheme="minorHAnsi" w:hAnsiTheme="minorHAnsi"/>
          <w:b/>
          <w:bCs/>
          <w:szCs w:val="24"/>
        </w:rPr>
        <w:t xml:space="preserve">Projected </w:t>
      </w:r>
      <w:r>
        <w:rPr>
          <w:rFonts w:asciiTheme="minorHAnsi" w:hAnsiTheme="minorHAnsi"/>
          <w:b/>
          <w:bCs/>
          <w:szCs w:val="24"/>
        </w:rPr>
        <w:t>Need</w:t>
      </w:r>
      <w:r w:rsidRPr="00B67E26">
        <w:rPr>
          <w:rFonts w:asciiTheme="minorHAnsi" w:hAnsiTheme="minorHAnsi"/>
          <w:b/>
          <w:bCs/>
          <w:szCs w:val="24"/>
        </w:rPr>
        <w:t xml:space="preserve"> for CT</w:t>
      </w:r>
      <w:r>
        <w:rPr>
          <w:rFonts w:asciiTheme="minorHAnsi" w:hAnsiTheme="minorHAnsi"/>
          <w:b/>
          <w:bCs/>
          <w:szCs w:val="24"/>
        </w:rPr>
        <w:t xml:space="preserve">, MRI, and PET-CT </w:t>
      </w:r>
      <w:r w:rsidRPr="00B67E26">
        <w:rPr>
          <w:rFonts w:asciiTheme="minorHAnsi" w:hAnsiTheme="minorHAnsi"/>
          <w:b/>
          <w:bCs/>
          <w:szCs w:val="24"/>
        </w:rPr>
        <w:t>with Proposed Project</w:t>
      </w:r>
    </w:p>
    <w:tbl>
      <w:tblPr>
        <w:tblStyle w:val="TableGrid"/>
        <w:tblW w:w="0" w:type="auto"/>
        <w:tblLook w:val="04A0" w:firstRow="1" w:lastRow="0" w:firstColumn="1" w:lastColumn="0" w:noHBand="0" w:noVBand="1"/>
      </w:tblPr>
      <w:tblGrid>
        <w:gridCol w:w="2386"/>
        <w:gridCol w:w="887"/>
        <w:gridCol w:w="2447"/>
        <w:gridCol w:w="765"/>
        <w:gridCol w:w="2560"/>
        <w:gridCol w:w="765"/>
      </w:tblGrid>
      <w:tr w:rsidR="00C65993" w:rsidRPr="00875101" w14:paraId="37922C66" w14:textId="77777777">
        <w:trPr>
          <w:cantSplit/>
          <w:tblHeader/>
        </w:trPr>
        <w:tc>
          <w:tcPr>
            <w:tcW w:w="0" w:type="auto"/>
            <w:shd w:val="clear" w:color="auto" w:fill="DBE5F1" w:themeFill="accent1" w:themeFillTint="33"/>
          </w:tcPr>
          <w:p w14:paraId="6171923B" w14:textId="77777777" w:rsidR="00C65993" w:rsidRPr="00875101" w:rsidRDefault="00C65993">
            <w:pPr>
              <w:jc w:val="center"/>
              <w:rPr>
                <w:b/>
                <w:bCs/>
                <w:szCs w:val="24"/>
              </w:rPr>
            </w:pPr>
            <w:r w:rsidRPr="00875101">
              <w:rPr>
                <w:b/>
                <w:bCs/>
                <w:szCs w:val="24"/>
              </w:rPr>
              <w:t>Metric</w:t>
            </w:r>
          </w:p>
        </w:tc>
        <w:tc>
          <w:tcPr>
            <w:tcW w:w="0" w:type="auto"/>
            <w:shd w:val="clear" w:color="auto" w:fill="DBE5F1" w:themeFill="accent1" w:themeFillTint="33"/>
          </w:tcPr>
          <w:p w14:paraId="5D03BEB8" w14:textId="77777777" w:rsidR="00C65993" w:rsidRPr="00875101" w:rsidRDefault="00C65993">
            <w:pPr>
              <w:jc w:val="center"/>
              <w:rPr>
                <w:b/>
                <w:bCs/>
                <w:szCs w:val="24"/>
              </w:rPr>
            </w:pPr>
            <w:r w:rsidRPr="00875101">
              <w:rPr>
                <w:b/>
                <w:bCs/>
                <w:szCs w:val="24"/>
              </w:rPr>
              <w:t>2032</w:t>
            </w:r>
          </w:p>
        </w:tc>
        <w:tc>
          <w:tcPr>
            <w:tcW w:w="0" w:type="auto"/>
            <w:shd w:val="clear" w:color="auto" w:fill="DBE5F1" w:themeFill="accent1" w:themeFillTint="33"/>
          </w:tcPr>
          <w:p w14:paraId="73B87826" w14:textId="77777777" w:rsidR="00C65993" w:rsidRPr="00875101" w:rsidRDefault="00C65993">
            <w:pPr>
              <w:rPr>
                <w:b/>
                <w:bCs/>
                <w:szCs w:val="24"/>
              </w:rPr>
            </w:pPr>
            <w:r w:rsidRPr="00875101">
              <w:rPr>
                <w:b/>
                <w:bCs/>
                <w:szCs w:val="24"/>
              </w:rPr>
              <w:t>Metric</w:t>
            </w:r>
          </w:p>
        </w:tc>
        <w:tc>
          <w:tcPr>
            <w:tcW w:w="0" w:type="auto"/>
            <w:shd w:val="clear" w:color="auto" w:fill="DBE5F1" w:themeFill="accent1" w:themeFillTint="33"/>
          </w:tcPr>
          <w:p w14:paraId="06E64BCF" w14:textId="77777777" w:rsidR="00C65993" w:rsidRPr="00875101" w:rsidRDefault="00C65993">
            <w:pPr>
              <w:jc w:val="center"/>
              <w:rPr>
                <w:b/>
                <w:bCs/>
                <w:szCs w:val="24"/>
              </w:rPr>
            </w:pPr>
            <w:r w:rsidRPr="00875101">
              <w:rPr>
                <w:b/>
                <w:bCs/>
                <w:szCs w:val="24"/>
              </w:rPr>
              <w:t>2032</w:t>
            </w:r>
          </w:p>
        </w:tc>
        <w:tc>
          <w:tcPr>
            <w:tcW w:w="0" w:type="auto"/>
            <w:shd w:val="clear" w:color="auto" w:fill="DBE5F1" w:themeFill="accent1" w:themeFillTint="33"/>
          </w:tcPr>
          <w:p w14:paraId="4BF6FD5E" w14:textId="77777777" w:rsidR="00C65993" w:rsidRPr="00875101" w:rsidRDefault="00C65993">
            <w:pPr>
              <w:jc w:val="center"/>
              <w:rPr>
                <w:b/>
                <w:bCs/>
                <w:szCs w:val="24"/>
              </w:rPr>
            </w:pPr>
            <w:r w:rsidRPr="00875101">
              <w:rPr>
                <w:b/>
                <w:bCs/>
                <w:szCs w:val="24"/>
              </w:rPr>
              <w:t>Metric</w:t>
            </w:r>
          </w:p>
        </w:tc>
        <w:tc>
          <w:tcPr>
            <w:tcW w:w="0" w:type="auto"/>
            <w:shd w:val="clear" w:color="auto" w:fill="DBE5F1" w:themeFill="accent1" w:themeFillTint="33"/>
          </w:tcPr>
          <w:p w14:paraId="5D62EFB0" w14:textId="77777777" w:rsidR="00C65993" w:rsidRPr="00875101" w:rsidRDefault="00C65993">
            <w:pPr>
              <w:jc w:val="center"/>
              <w:rPr>
                <w:b/>
                <w:bCs/>
                <w:szCs w:val="24"/>
              </w:rPr>
            </w:pPr>
            <w:r w:rsidRPr="00875101">
              <w:rPr>
                <w:b/>
                <w:bCs/>
                <w:szCs w:val="24"/>
              </w:rPr>
              <w:t>2032</w:t>
            </w:r>
          </w:p>
        </w:tc>
      </w:tr>
      <w:tr w:rsidR="00C65993" w:rsidRPr="00875101" w14:paraId="0320D7DB" w14:textId="77777777">
        <w:trPr>
          <w:cantSplit/>
        </w:trPr>
        <w:tc>
          <w:tcPr>
            <w:tcW w:w="0" w:type="auto"/>
            <w:shd w:val="clear" w:color="auto" w:fill="F2F2F2" w:themeFill="background1" w:themeFillShade="F2"/>
          </w:tcPr>
          <w:p w14:paraId="7DBE0963" w14:textId="77777777" w:rsidR="00C65993" w:rsidRPr="00875101" w:rsidRDefault="00C65993">
            <w:pPr>
              <w:rPr>
                <w:b/>
                <w:bCs/>
                <w:szCs w:val="24"/>
              </w:rPr>
            </w:pPr>
            <w:r w:rsidRPr="00875101">
              <w:rPr>
                <w:szCs w:val="24"/>
              </w:rPr>
              <w:t>CT Applied Scan Ratio</w:t>
            </w:r>
          </w:p>
        </w:tc>
        <w:tc>
          <w:tcPr>
            <w:tcW w:w="0" w:type="auto"/>
            <w:shd w:val="clear" w:color="auto" w:fill="F2F2F2" w:themeFill="background1" w:themeFillShade="F2"/>
          </w:tcPr>
          <w:p w14:paraId="7E7B0DFA" w14:textId="77777777" w:rsidR="00C65993" w:rsidRPr="00875101" w:rsidRDefault="00C65993">
            <w:pPr>
              <w:jc w:val="center"/>
              <w:rPr>
                <w:b/>
                <w:bCs/>
                <w:szCs w:val="24"/>
              </w:rPr>
            </w:pPr>
            <w:r w:rsidRPr="00875101">
              <w:rPr>
                <w:szCs w:val="24"/>
              </w:rPr>
              <w:t>0.62</w:t>
            </w:r>
          </w:p>
        </w:tc>
        <w:tc>
          <w:tcPr>
            <w:tcW w:w="0" w:type="auto"/>
            <w:shd w:val="clear" w:color="auto" w:fill="F2F2F2" w:themeFill="background1" w:themeFillShade="F2"/>
          </w:tcPr>
          <w:p w14:paraId="51D42921" w14:textId="77777777" w:rsidR="00C65993" w:rsidRPr="00875101" w:rsidRDefault="00C65993">
            <w:pPr>
              <w:rPr>
                <w:szCs w:val="24"/>
              </w:rPr>
            </w:pPr>
            <w:r w:rsidRPr="00875101">
              <w:rPr>
                <w:szCs w:val="24"/>
              </w:rPr>
              <w:t>MRI Applied Scan Ratio</w:t>
            </w:r>
          </w:p>
        </w:tc>
        <w:tc>
          <w:tcPr>
            <w:tcW w:w="0" w:type="auto"/>
            <w:shd w:val="clear" w:color="auto" w:fill="F2F2F2" w:themeFill="background1" w:themeFillShade="F2"/>
          </w:tcPr>
          <w:p w14:paraId="533AB3D3" w14:textId="77777777" w:rsidR="00C65993" w:rsidRPr="00875101" w:rsidRDefault="00C65993">
            <w:pPr>
              <w:jc w:val="center"/>
              <w:rPr>
                <w:szCs w:val="24"/>
              </w:rPr>
            </w:pPr>
            <w:r w:rsidRPr="00875101">
              <w:rPr>
                <w:szCs w:val="24"/>
              </w:rPr>
              <w:t>0.36</w:t>
            </w:r>
          </w:p>
        </w:tc>
        <w:tc>
          <w:tcPr>
            <w:tcW w:w="0" w:type="auto"/>
            <w:shd w:val="clear" w:color="auto" w:fill="F2F2F2" w:themeFill="background1" w:themeFillShade="F2"/>
          </w:tcPr>
          <w:p w14:paraId="0E118185" w14:textId="77777777" w:rsidR="00C65993" w:rsidRPr="00875101" w:rsidRDefault="00C65993">
            <w:pPr>
              <w:rPr>
                <w:szCs w:val="24"/>
              </w:rPr>
            </w:pPr>
            <w:r w:rsidRPr="00875101">
              <w:rPr>
                <w:szCs w:val="24"/>
              </w:rPr>
              <w:t>PET-CT Applied Scan Ratio</w:t>
            </w:r>
          </w:p>
        </w:tc>
        <w:tc>
          <w:tcPr>
            <w:tcW w:w="0" w:type="auto"/>
            <w:shd w:val="clear" w:color="auto" w:fill="F2F2F2" w:themeFill="background1" w:themeFillShade="F2"/>
          </w:tcPr>
          <w:p w14:paraId="50A272F4" w14:textId="77777777" w:rsidR="00C65993" w:rsidRPr="00875101" w:rsidRDefault="00C65993">
            <w:pPr>
              <w:jc w:val="center"/>
              <w:rPr>
                <w:szCs w:val="24"/>
              </w:rPr>
            </w:pPr>
            <w:r w:rsidRPr="00875101">
              <w:rPr>
                <w:szCs w:val="24"/>
              </w:rPr>
              <w:t>0.04</w:t>
            </w:r>
          </w:p>
        </w:tc>
      </w:tr>
      <w:tr w:rsidR="00C65993" w:rsidRPr="00875101" w14:paraId="52573C64" w14:textId="77777777">
        <w:trPr>
          <w:cantSplit/>
        </w:trPr>
        <w:tc>
          <w:tcPr>
            <w:tcW w:w="0" w:type="auto"/>
          </w:tcPr>
          <w:p w14:paraId="1E059E8A" w14:textId="77777777" w:rsidR="00C65993" w:rsidRPr="00875101" w:rsidRDefault="00C65993">
            <w:pPr>
              <w:rPr>
                <w:b/>
                <w:bCs/>
                <w:szCs w:val="24"/>
              </w:rPr>
            </w:pPr>
            <w:r w:rsidRPr="00875101">
              <w:rPr>
                <w:szCs w:val="24"/>
              </w:rPr>
              <w:t>Projected Inpatient CT Scans</w:t>
            </w:r>
          </w:p>
        </w:tc>
        <w:tc>
          <w:tcPr>
            <w:tcW w:w="0" w:type="auto"/>
          </w:tcPr>
          <w:p w14:paraId="589FCD87" w14:textId="77777777" w:rsidR="00C65993" w:rsidRPr="00875101" w:rsidRDefault="00C65993">
            <w:pPr>
              <w:jc w:val="center"/>
              <w:rPr>
                <w:b/>
                <w:bCs/>
                <w:szCs w:val="24"/>
              </w:rPr>
            </w:pPr>
            <w:r w:rsidRPr="00875101">
              <w:rPr>
                <w:szCs w:val="24"/>
              </w:rPr>
              <w:t>8,269</w:t>
            </w:r>
          </w:p>
        </w:tc>
        <w:tc>
          <w:tcPr>
            <w:tcW w:w="0" w:type="auto"/>
          </w:tcPr>
          <w:p w14:paraId="059CAA22" w14:textId="77777777" w:rsidR="00C65993" w:rsidRPr="00875101" w:rsidRDefault="00C65993">
            <w:pPr>
              <w:rPr>
                <w:szCs w:val="24"/>
              </w:rPr>
            </w:pPr>
            <w:r w:rsidRPr="00875101">
              <w:rPr>
                <w:szCs w:val="24"/>
              </w:rPr>
              <w:t>Projected Inpatient MRI Scans</w:t>
            </w:r>
          </w:p>
        </w:tc>
        <w:tc>
          <w:tcPr>
            <w:tcW w:w="0" w:type="auto"/>
          </w:tcPr>
          <w:p w14:paraId="66379804" w14:textId="77777777" w:rsidR="00C65993" w:rsidRPr="00875101" w:rsidRDefault="00C65993">
            <w:pPr>
              <w:jc w:val="center"/>
              <w:rPr>
                <w:szCs w:val="24"/>
              </w:rPr>
            </w:pPr>
            <w:r w:rsidRPr="00875101">
              <w:rPr>
                <w:szCs w:val="24"/>
              </w:rPr>
              <w:t>4,839</w:t>
            </w:r>
          </w:p>
        </w:tc>
        <w:tc>
          <w:tcPr>
            <w:tcW w:w="0" w:type="auto"/>
          </w:tcPr>
          <w:p w14:paraId="7DCFBE18" w14:textId="77777777" w:rsidR="00C65993" w:rsidRPr="00875101" w:rsidRDefault="00C65993">
            <w:pPr>
              <w:rPr>
                <w:szCs w:val="24"/>
              </w:rPr>
            </w:pPr>
            <w:r w:rsidRPr="00875101">
              <w:rPr>
                <w:szCs w:val="24"/>
              </w:rPr>
              <w:t>Projected Inpatient PET-CT Scans</w:t>
            </w:r>
          </w:p>
        </w:tc>
        <w:tc>
          <w:tcPr>
            <w:tcW w:w="0" w:type="auto"/>
          </w:tcPr>
          <w:p w14:paraId="25BCAD76" w14:textId="77777777" w:rsidR="00C65993" w:rsidRPr="00875101" w:rsidRDefault="00C65993">
            <w:pPr>
              <w:jc w:val="center"/>
              <w:rPr>
                <w:szCs w:val="24"/>
              </w:rPr>
            </w:pPr>
            <w:r w:rsidRPr="00875101">
              <w:rPr>
                <w:szCs w:val="24"/>
              </w:rPr>
              <w:t>555</w:t>
            </w:r>
          </w:p>
        </w:tc>
      </w:tr>
      <w:tr w:rsidR="00C65993" w:rsidRPr="00875101" w14:paraId="6BE47FEA" w14:textId="77777777">
        <w:trPr>
          <w:cantSplit/>
        </w:trPr>
        <w:tc>
          <w:tcPr>
            <w:tcW w:w="0" w:type="auto"/>
          </w:tcPr>
          <w:p w14:paraId="77B4AED4" w14:textId="77777777" w:rsidR="00C65993" w:rsidRPr="00875101" w:rsidRDefault="00C65993">
            <w:pPr>
              <w:rPr>
                <w:b/>
                <w:bCs/>
                <w:szCs w:val="24"/>
              </w:rPr>
            </w:pPr>
            <w:r w:rsidRPr="00875101">
              <w:rPr>
                <w:szCs w:val="24"/>
              </w:rPr>
              <w:t>Projected Unmet Outpatient CT Scans</w:t>
            </w:r>
          </w:p>
        </w:tc>
        <w:tc>
          <w:tcPr>
            <w:tcW w:w="0" w:type="auto"/>
          </w:tcPr>
          <w:p w14:paraId="69A3E76F" w14:textId="77777777" w:rsidR="00C65993" w:rsidRPr="00875101" w:rsidRDefault="00C65993">
            <w:pPr>
              <w:jc w:val="center"/>
              <w:rPr>
                <w:b/>
                <w:bCs/>
                <w:szCs w:val="24"/>
              </w:rPr>
            </w:pPr>
            <w:r w:rsidRPr="00875101">
              <w:rPr>
                <w:szCs w:val="24"/>
              </w:rPr>
              <w:t>10,131</w:t>
            </w:r>
          </w:p>
        </w:tc>
        <w:tc>
          <w:tcPr>
            <w:tcW w:w="0" w:type="auto"/>
          </w:tcPr>
          <w:p w14:paraId="4FF2873B" w14:textId="77777777" w:rsidR="00C65993" w:rsidRPr="00875101" w:rsidRDefault="00C65993">
            <w:pPr>
              <w:rPr>
                <w:szCs w:val="24"/>
              </w:rPr>
            </w:pPr>
            <w:r w:rsidRPr="00875101">
              <w:rPr>
                <w:szCs w:val="24"/>
              </w:rPr>
              <w:t>Projected Unmet Outpatient MRI Scans</w:t>
            </w:r>
          </w:p>
        </w:tc>
        <w:tc>
          <w:tcPr>
            <w:tcW w:w="0" w:type="auto"/>
          </w:tcPr>
          <w:p w14:paraId="263AD095" w14:textId="77777777" w:rsidR="00C65993" w:rsidRPr="00875101" w:rsidRDefault="00C65993">
            <w:pPr>
              <w:jc w:val="center"/>
              <w:rPr>
                <w:szCs w:val="24"/>
              </w:rPr>
            </w:pPr>
            <w:r w:rsidRPr="00875101">
              <w:rPr>
                <w:szCs w:val="24"/>
              </w:rPr>
              <w:t>N/A</w:t>
            </w:r>
          </w:p>
        </w:tc>
        <w:tc>
          <w:tcPr>
            <w:tcW w:w="0" w:type="auto"/>
          </w:tcPr>
          <w:p w14:paraId="3960980E" w14:textId="77777777" w:rsidR="00C65993" w:rsidRPr="00875101" w:rsidRDefault="00C65993">
            <w:pPr>
              <w:rPr>
                <w:szCs w:val="24"/>
              </w:rPr>
            </w:pPr>
            <w:r w:rsidRPr="00875101">
              <w:rPr>
                <w:szCs w:val="24"/>
              </w:rPr>
              <w:t xml:space="preserve">Projected Unmet Outpatient PET-CT Scans </w:t>
            </w:r>
          </w:p>
        </w:tc>
        <w:tc>
          <w:tcPr>
            <w:tcW w:w="0" w:type="auto"/>
          </w:tcPr>
          <w:p w14:paraId="49B62634" w14:textId="77777777" w:rsidR="00C65993" w:rsidRPr="00875101" w:rsidRDefault="00C65993">
            <w:pPr>
              <w:jc w:val="center"/>
              <w:rPr>
                <w:szCs w:val="24"/>
              </w:rPr>
            </w:pPr>
            <w:r w:rsidRPr="00875101">
              <w:rPr>
                <w:szCs w:val="24"/>
              </w:rPr>
              <w:t>2,455</w:t>
            </w:r>
          </w:p>
        </w:tc>
      </w:tr>
      <w:tr w:rsidR="00C65993" w:rsidRPr="00875101" w14:paraId="2F28B407" w14:textId="77777777">
        <w:trPr>
          <w:cantSplit/>
        </w:trPr>
        <w:tc>
          <w:tcPr>
            <w:tcW w:w="0" w:type="auto"/>
          </w:tcPr>
          <w:p w14:paraId="380C2AD8" w14:textId="77777777" w:rsidR="00C65993" w:rsidRPr="00875101" w:rsidRDefault="00C65993">
            <w:pPr>
              <w:rPr>
                <w:b/>
                <w:bCs/>
                <w:szCs w:val="24"/>
              </w:rPr>
            </w:pPr>
            <w:r w:rsidRPr="00875101">
              <w:rPr>
                <w:b/>
                <w:bCs/>
                <w:szCs w:val="24"/>
              </w:rPr>
              <w:t>Total Projected CT Scans</w:t>
            </w:r>
          </w:p>
        </w:tc>
        <w:tc>
          <w:tcPr>
            <w:tcW w:w="0" w:type="auto"/>
          </w:tcPr>
          <w:p w14:paraId="45D47D9B" w14:textId="77777777" w:rsidR="00C65993" w:rsidRPr="00875101" w:rsidRDefault="00C65993">
            <w:pPr>
              <w:jc w:val="center"/>
              <w:rPr>
                <w:b/>
                <w:bCs/>
                <w:szCs w:val="24"/>
              </w:rPr>
            </w:pPr>
            <w:r w:rsidRPr="00875101">
              <w:rPr>
                <w:b/>
                <w:bCs/>
                <w:szCs w:val="24"/>
              </w:rPr>
              <w:t>18,400</w:t>
            </w:r>
          </w:p>
        </w:tc>
        <w:tc>
          <w:tcPr>
            <w:tcW w:w="0" w:type="auto"/>
          </w:tcPr>
          <w:p w14:paraId="03E374AF" w14:textId="77777777" w:rsidR="00C65993" w:rsidRPr="00875101" w:rsidRDefault="00C65993">
            <w:pPr>
              <w:rPr>
                <w:b/>
                <w:bCs/>
                <w:szCs w:val="24"/>
              </w:rPr>
            </w:pPr>
            <w:r w:rsidRPr="00875101">
              <w:rPr>
                <w:b/>
                <w:bCs/>
                <w:szCs w:val="24"/>
              </w:rPr>
              <w:t>Total Projected MRI Scans</w:t>
            </w:r>
          </w:p>
        </w:tc>
        <w:tc>
          <w:tcPr>
            <w:tcW w:w="0" w:type="auto"/>
          </w:tcPr>
          <w:p w14:paraId="48001B17" w14:textId="77777777" w:rsidR="00C65993" w:rsidRPr="00875101" w:rsidRDefault="00C65993">
            <w:pPr>
              <w:jc w:val="center"/>
              <w:rPr>
                <w:b/>
                <w:bCs/>
                <w:szCs w:val="24"/>
              </w:rPr>
            </w:pPr>
            <w:r w:rsidRPr="00875101">
              <w:rPr>
                <w:b/>
                <w:bCs/>
                <w:szCs w:val="24"/>
              </w:rPr>
              <w:t>4,928</w:t>
            </w:r>
          </w:p>
        </w:tc>
        <w:tc>
          <w:tcPr>
            <w:tcW w:w="0" w:type="auto"/>
          </w:tcPr>
          <w:p w14:paraId="471C2011" w14:textId="77777777" w:rsidR="00C65993" w:rsidRPr="00875101" w:rsidRDefault="00C65993">
            <w:pPr>
              <w:rPr>
                <w:b/>
                <w:bCs/>
                <w:szCs w:val="24"/>
              </w:rPr>
            </w:pPr>
            <w:r w:rsidRPr="00875101">
              <w:rPr>
                <w:b/>
                <w:bCs/>
                <w:szCs w:val="24"/>
              </w:rPr>
              <w:t>Total Projected PET-CT Scans</w:t>
            </w:r>
          </w:p>
        </w:tc>
        <w:tc>
          <w:tcPr>
            <w:tcW w:w="0" w:type="auto"/>
          </w:tcPr>
          <w:p w14:paraId="1D06F66F" w14:textId="77777777" w:rsidR="00C65993" w:rsidRPr="00875101" w:rsidRDefault="00C65993">
            <w:pPr>
              <w:jc w:val="center"/>
              <w:rPr>
                <w:b/>
                <w:bCs/>
                <w:szCs w:val="24"/>
              </w:rPr>
            </w:pPr>
            <w:r w:rsidRPr="00875101">
              <w:rPr>
                <w:b/>
                <w:bCs/>
                <w:szCs w:val="24"/>
              </w:rPr>
              <w:t>3,010</w:t>
            </w:r>
          </w:p>
        </w:tc>
      </w:tr>
      <w:tr w:rsidR="00C65993" w:rsidRPr="00875101" w14:paraId="647236FD" w14:textId="77777777">
        <w:trPr>
          <w:cantSplit/>
        </w:trPr>
        <w:tc>
          <w:tcPr>
            <w:tcW w:w="0" w:type="auto"/>
          </w:tcPr>
          <w:p w14:paraId="478F30C2" w14:textId="77777777" w:rsidR="00C65993" w:rsidRPr="00875101" w:rsidRDefault="00C65993">
            <w:pPr>
              <w:rPr>
                <w:b/>
                <w:bCs/>
                <w:szCs w:val="24"/>
              </w:rPr>
            </w:pPr>
            <w:r w:rsidRPr="00875101">
              <w:rPr>
                <w:szCs w:val="24"/>
              </w:rPr>
              <w:t>CT Weighted Average Throughput</w:t>
            </w:r>
          </w:p>
        </w:tc>
        <w:tc>
          <w:tcPr>
            <w:tcW w:w="0" w:type="auto"/>
          </w:tcPr>
          <w:p w14:paraId="5B4E4F80" w14:textId="77777777" w:rsidR="00C65993" w:rsidRPr="00875101" w:rsidRDefault="00C65993">
            <w:pPr>
              <w:jc w:val="center"/>
              <w:rPr>
                <w:b/>
                <w:bCs/>
                <w:szCs w:val="24"/>
              </w:rPr>
            </w:pPr>
            <w:r w:rsidRPr="00875101">
              <w:rPr>
                <w:szCs w:val="24"/>
              </w:rPr>
              <w:t>10,078</w:t>
            </w:r>
          </w:p>
        </w:tc>
        <w:tc>
          <w:tcPr>
            <w:tcW w:w="0" w:type="auto"/>
          </w:tcPr>
          <w:p w14:paraId="664CD736" w14:textId="77777777" w:rsidR="00C65993" w:rsidRPr="00875101" w:rsidRDefault="00C65993">
            <w:pPr>
              <w:rPr>
                <w:szCs w:val="24"/>
              </w:rPr>
            </w:pPr>
            <w:r w:rsidRPr="00875101">
              <w:rPr>
                <w:szCs w:val="24"/>
              </w:rPr>
              <w:t xml:space="preserve">Inpatient MRI Throughput </w:t>
            </w:r>
          </w:p>
        </w:tc>
        <w:tc>
          <w:tcPr>
            <w:tcW w:w="0" w:type="auto"/>
          </w:tcPr>
          <w:p w14:paraId="2CE91A2B" w14:textId="77777777" w:rsidR="00C65993" w:rsidRPr="00875101" w:rsidRDefault="00C65993">
            <w:pPr>
              <w:jc w:val="center"/>
              <w:rPr>
                <w:szCs w:val="24"/>
              </w:rPr>
            </w:pPr>
            <w:r w:rsidRPr="00875101">
              <w:rPr>
                <w:szCs w:val="24"/>
              </w:rPr>
              <w:t>3,103</w:t>
            </w:r>
          </w:p>
        </w:tc>
        <w:tc>
          <w:tcPr>
            <w:tcW w:w="0" w:type="auto"/>
          </w:tcPr>
          <w:p w14:paraId="059DBE83" w14:textId="77777777" w:rsidR="00C65993" w:rsidRPr="00875101" w:rsidRDefault="00C65993">
            <w:pPr>
              <w:rPr>
                <w:szCs w:val="24"/>
              </w:rPr>
            </w:pPr>
            <w:r w:rsidRPr="00875101">
              <w:rPr>
                <w:szCs w:val="24"/>
              </w:rPr>
              <w:t>PET-CT Weighted Average Throughput</w:t>
            </w:r>
          </w:p>
        </w:tc>
        <w:tc>
          <w:tcPr>
            <w:tcW w:w="0" w:type="auto"/>
          </w:tcPr>
          <w:p w14:paraId="0FA267BB" w14:textId="77777777" w:rsidR="00C65993" w:rsidRPr="00875101" w:rsidRDefault="00C65993">
            <w:pPr>
              <w:jc w:val="center"/>
              <w:rPr>
                <w:szCs w:val="24"/>
              </w:rPr>
            </w:pPr>
            <w:r w:rsidRPr="00875101">
              <w:rPr>
                <w:szCs w:val="24"/>
              </w:rPr>
              <w:t>4,118</w:t>
            </w:r>
          </w:p>
        </w:tc>
      </w:tr>
      <w:tr w:rsidR="00C65993" w:rsidRPr="00875101" w14:paraId="0D3915F4" w14:textId="77777777">
        <w:trPr>
          <w:cantSplit/>
        </w:trPr>
        <w:tc>
          <w:tcPr>
            <w:tcW w:w="0" w:type="auto"/>
          </w:tcPr>
          <w:p w14:paraId="0CB481BF" w14:textId="77777777" w:rsidR="00C65993" w:rsidRPr="00875101" w:rsidRDefault="00C65993">
            <w:pPr>
              <w:rPr>
                <w:b/>
                <w:bCs/>
                <w:szCs w:val="24"/>
              </w:rPr>
            </w:pPr>
            <w:r w:rsidRPr="00875101">
              <w:rPr>
                <w:b/>
                <w:bCs/>
                <w:szCs w:val="24"/>
              </w:rPr>
              <w:t>Total CT Need</w:t>
            </w:r>
          </w:p>
        </w:tc>
        <w:tc>
          <w:tcPr>
            <w:tcW w:w="0" w:type="auto"/>
          </w:tcPr>
          <w:p w14:paraId="03E23D34" w14:textId="77777777" w:rsidR="00C65993" w:rsidRPr="00875101" w:rsidRDefault="00C65993">
            <w:pPr>
              <w:jc w:val="center"/>
              <w:rPr>
                <w:b/>
                <w:bCs/>
                <w:szCs w:val="24"/>
              </w:rPr>
            </w:pPr>
            <w:r w:rsidRPr="00875101">
              <w:rPr>
                <w:b/>
                <w:bCs/>
                <w:szCs w:val="24"/>
              </w:rPr>
              <w:t>2</w:t>
            </w:r>
          </w:p>
        </w:tc>
        <w:tc>
          <w:tcPr>
            <w:tcW w:w="0" w:type="auto"/>
          </w:tcPr>
          <w:p w14:paraId="1952ABF1" w14:textId="77777777" w:rsidR="00C65993" w:rsidRPr="00875101" w:rsidRDefault="00C65993">
            <w:pPr>
              <w:rPr>
                <w:b/>
                <w:bCs/>
                <w:szCs w:val="24"/>
              </w:rPr>
            </w:pPr>
            <w:r w:rsidRPr="00875101">
              <w:rPr>
                <w:b/>
                <w:bCs/>
                <w:szCs w:val="24"/>
              </w:rPr>
              <w:t>Total MRI Need</w:t>
            </w:r>
          </w:p>
        </w:tc>
        <w:tc>
          <w:tcPr>
            <w:tcW w:w="0" w:type="auto"/>
          </w:tcPr>
          <w:p w14:paraId="139AEAEF" w14:textId="77777777" w:rsidR="00C65993" w:rsidRPr="00875101" w:rsidRDefault="00C65993">
            <w:pPr>
              <w:jc w:val="center"/>
              <w:rPr>
                <w:b/>
                <w:bCs/>
                <w:szCs w:val="24"/>
              </w:rPr>
            </w:pPr>
            <w:r w:rsidRPr="00875101">
              <w:rPr>
                <w:b/>
                <w:bCs/>
                <w:szCs w:val="24"/>
              </w:rPr>
              <w:t>2</w:t>
            </w:r>
          </w:p>
        </w:tc>
        <w:tc>
          <w:tcPr>
            <w:tcW w:w="0" w:type="auto"/>
          </w:tcPr>
          <w:p w14:paraId="39339702" w14:textId="77777777" w:rsidR="00C65993" w:rsidRPr="00875101" w:rsidRDefault="00C65993">
            <w:pPr>
              <w:rPr>
                <w:b/>
                <w:bCs/>
                <w:szCs w:val="24"/>
              </w:rPr>
            </w:pPr>
            <w:r w:rsidRPr="00875101">
              <w:rPr>
                <w:b/>
                <w:bCs/>
                <w:szCs w:val="24"/>
              </w:rPr>
              <w:t xml:space="preserve">Total PET-CT Need </w:t>
            </w:r>
          </w:p>
        </w:tc>
        <w:tc>
          <w:tcPr>
            <w:tcW w:w="0" w:type="auto"/>
          </w:tcPr>
          <w:p w14:paraId="0B350CCF" w14:textId="77777777" w:rsidR="00C65993" w:rsidRPr="00875101" w:rsidRDefault="00C65993">
            <w:pPr>
              <w:jc w:val="center"/>
              <w:rPr>
                <w:b/>
                <w:bCs/>
                <w:szCs w:val="24"/>
              </w:rPr>
            </w:pPr>
            <w:r w:rsidRPr="00875101">
              <w:rPr>
                <w:b/>
                <w:bCs/>
                <w:szCs w:val="24"/>
              </w:rPr>
              <w:t>1</w:t>
            </w:r>
          </w:p>
        </w:tc>
      </w:tr>
    </w:tbl>
    <w:p w14:paraId="620BE052" w14:textId="77777777" w:rsidR="00C65993" w:rsidRDefault="00C65993" w:rsidP="00C65993">
      <w:pPr>
        <w:rPr>
          <w:rFonts w:asciiTheme="minorHAnsi" w:hAnsiTheme="minorHAnsi"/>
          <w:szCs w:val="24"/>
        </w:rPr>
      </w:pPr>
    </w:p>
    <w:p w14:paraId="6BA10302" w14:textId="77777777" w:rsidR="004742D0" w:rsidRPr="004742D0" w:rsidRDefault="0005278C" w:rsidP="004742D0">
      <w:pPr>
        <w:rPr>
          <w:rFonts w:asciiTheme="minorHAnsi" w:hAnsiTheme="minorHAnsi"/>
          <w:szCs w:val="24"/>
        </w:rPr>
      </w:pPr>
      <w:r w:rsidRPr="0005278C">
        <w:rPr>
          <w:rFonts w:asciiTheme="minorHAnsi" w:hAnsiTheme="minorHAnsi"/>
          <w:szCs w:val="24"/>
        </w:rPr>
        <w:t xml:space="preserve">Projected 2032 demand for scans was estimated by first multiplying projected 2032 discharges by the average number of scans per discharge for each modality based on historical data. </w:t>
      </w:r>
      <w:r w:rsidR="004742D0" w:rsidRPr="004742D0">
        <w:rPr>
          <w:rFonts w:asciiTheme="minorHAnsi" w:hAnsiTheme="minorHAnsi"/>
          <w:szCs w:val="24"/>
        </w:rPr>
        <w:t xml:space="preserve">The Applicant included projected 2032 outpatient scan volume which was estimated by taking the number of CT and PET-CT scans in FY22 that the Applicant transferred to other facilities due to lack of capacity at its sites, and projecting that volume using Sg2 growth rate of 4% which the Applicant states is consistent with its own historical growth rate. </w:t>
      </w:r>
    </w:p>
    <w:p w14:paraId="4D7AC0B6" w14:textId="1AFD4DC1" w:rsidR="0005278C" w:rsidRPr="0005278C" w:rsidRDefault="0005278C" w:rsidP="00BA2054">
      <w:pPr>
        <w:rPr>
          <w:rFonts w:asciiTheme="minorHAnsi" w:hAnsiTheme="minorHAnsi"/>
          <w:szCs w:val="24"/>
        </w:rPr>
      </w:pPr>
    </w:p>
    <w:p w14:paraId="7BFD91C1" w14:textId="41E5B811" w:rsidR="004832F4" w:rsidRPr="008720F5" w:rsidRDefault="0028032C" w:rsidP="00BA2054">
      <w:pPr>
        <w:rPr>
          <w:rFonts w:asciiTheme="minorHAnsi" w:hAnsiTheme="minorHAnsi"/>
          <w:szCs w:val="24"/>
        </w:rPr>
      </w:pPr>
      <w:r>
        <w:rPr>
          <w:rFonts w:asciiTheme="minorHAnsi" w:hAnsiTheme="minorHAnsi"/>
          <w:szCs w:val="24"/>
        </w:rPr>
        <w:t>The</w:t>
      </w:r>
      <w:r w:rsidR="00994F77">
        <w:rPr>
          <w:rFonts w:asciiTheme="minorHAnsi" w:hAnsiTheme="minorHAnsi"/>
          <w:szCs w:val="24"/>
        </w:rPr>
        <w:t xml:space="preserve"> </w:t>
      </w:r>
      <w:r w:rsidR="0063238F">
        <w:rPr>
          <w:rFonts w:asciiTheme="minorHAnsi" w:hAnsiTheme="minorHAnsi"/>
          <w:szCs w:val="24"/>
        </w:rPr>
        <w:t>Applicant</w:t>
      </w:r>
      <w:r>
        <w:rPr>
          <w:rFonts w:asciiTheme="minorHAnsi" w:hAnsiTheme="minorHAnsi"/>
          <w:szCs w:val="24"/>
        </w:rPr>
        <w:t xml:space="preserve"> </w:t>
      </w:r>
      <w:r w:rsidR="00994F77">
        <w:rPr>
          <w:rFonts w:asciiTheme="minorHAnsi" w:hAnsiTheme="minorHAnsi"/>
          <w:szCs w:val="24"/>
        </w:rPr>
        <w:t>determin</w:t>
      </w:r>
      <w:r>
        <w:rPr>
          <w:rFonts w:asciiTheme="minorHAnsi" w:hAnsiTheme="minorHAnsi"/>
          <w:szCs w:val="24"/>
        </w:rPr>
        <w:t>ed</w:t>
      </w:r>
      <w:r w:rsidR="0063238F">
        <w:rPr>
          <w:rFonts w:asciiTheme="minorHAnsi" w:hAnsiTheme="minorHAnsi"/>
          <w:szCs w:val="24"/>
        </w:rPr>
        <w:t xml:space="preserve"> t</w:t>
      </w:r>
      <w:r w:rsidR="0063238F" w:rsidRPr="0063238F">
        <w:rPr>
          <w:rFonts w:asciiTheme="minorHAnsi" w:hAnsiTheme="minorHAnsi"/>
          <w:szCs w:val="24"/>
        </w:rPr>
        <w:t>he number of machines needed for each modality</w:t>
      </w:r>
      <w:r>
        <w:rPr>
          <w:rFonts w:asciiTheme="minorHAnsi" w:hAnsiTheme="minorHAnsi"/>
          <w:szCs w:val="24"/>
        </w:rPr>
        <w:t xml:space="preserve"> by d</w:t>
      </w:r>
      <w:r w:rsidR="0063238F" w:rsidRPr="0028032C">
        <w:rPr>
          <w:rFonts w:asciiTheme="minorHAnsi" w:hAnsiTheme="minorHAnsi"/>
          <w:szCs w:val="24"/>
        </w:rPr>
        <w:t>ivid</w:t>
      </w:r>
      <w:r>
        <w:rPr>
          <w:rFonts w:asciiTheme="minorHAnsi" w:hAnsiTheme="minorHAnsi"/>
          <w:szCs w:val="24"/>
        </w:rPr>
        <w:t>ing</w:t>
      </w:r>
      <w:r w:rsidR="0063238F" w:rsidRPr="0028032C">
        <w:rPr>
          <w:rFonts w:asciiTheme="minorHAnsi" w:hAnsiTheme="minorHAnsi"/>
          <w:szCs w:val="24"/>
        </w:rPr>
        <w:t xml:space="preserve"> the projected 2032 annual </w:t>
      </w:r>
      <w:r w:rsidR="0021652E" w:rsidRPr="0028032C">
        <w:rPr>
          <w:rFonts w:asciiTheme="minorHAnsi" w:hAnsiTheme="minorHAnsi"/>
          <w:szCs w:val="24"/>
        </w:rPr>
        <w:t>need</w:t>
      </w:r>
      <w:r w:rsidR="0063238F" w:rsidRPr="0028032C">
        <w:rPr>
          <w:rFonts w:asciiTheme="minorHAnsi" w:hAnsiTheme="minorHAnsi"/>
          <w:szCs w:val="24"/>
        </w:rPr>
        <w:t xml:space="preserve"> for scans for each </w:t>
      </w:r>
      <w:r w:rsidR="00B26AEC" w:rsidRPr="0028032C">
        <w:rPr>
          <w:rFonts w:asciiTheme="minorHAnsi" w:hAnsiTheme="minorHAnsi"/>
          <w:szCs w:val="24"/>
        </w:rPr>
        <w:t xml:space="preserve">imaging </w:t>
      </w:r>
      <w:r w:rsidR="0063238F" w:rsidRPr="0028032C">
        <w:rPr>
          <w:rFonts w:asciiTheme="minorHAnsi" w:hAnsiTheme="minorHAnsi"/>
          <w:szCs w:val="24"/>
        </w:rPr>
        <w:t>modality by the estimated number of scans that can be performed per machine in one year</w:t>
      </w:r>
      <w:r w:rsidR="003A79EA" w:rsidRPr="0028032C">
        <w:rPr>
          <w:rFonts w:asciiTheme="minorHAnsi" w:hAnsiTheme="minorHAnsi"/>
          <w:szCs w:val="24"/>
        </w:rPr>
        <w:t>, which the Applicant defines as “</w:t>
      </w:r>
      <w:r w:rsidR="0063238F" w:rsidRPr="0028032C">
        <w:rPr>
          <w:rFonts w:asciiTheme="minorHAnsi" w:hAnsiTheme="minorHAnsi"/>
          <w:szCs w:val="24"/>
        </w:rPr>
        <w:t>throughput”.</w:t>
      </w:r>
      <w:r w:rsidR="004E24AF">
        <w:rPr>
          <w:rStyle w:val="FootnoteReference"/>
          <w:rFonts w:asciiTheme="minorHAnsi" w:hAnsiTheme="minorHAnsi"/>
          <w:szCs w:val="24"/>
        </w:rPr>
        <w:footnoteReference w:id="81"/>
      </w:r>
      <w:r w:rsidR="008720F5">
        <w:rPr>
          <w:rFonts w:asciiTheme="minorHAnsi" w:hAnsiTheme="minorHAnsi"/>
          <w:szCs w:val="24"/>
        </w:rPr>
        <w:t xml:space="preserve"> </w:t>
      </w:r>
    </w:p>
    <w:p w14:paraId="60FA5F7C" w14:textId="5E6116CD" w:rsidR="00DE5B25" w:rsidRDefault="006F49B4" w:rsidP="00BA2054">
      <w:pPr>
        <w:rPr>
          <w:rFonts w:asciiTheme="minorHAnsi" w:hAnsiTheme="minorHAnsi"/>
          <w:szCs w:val="24"/>
        </w:rPr>
      </w:pPr>
      <w:r w:rsidRPr="004832F4">
        <w:rPr>
          <w:rFonts w:asciiTheme="minorHAnsi" w:hAnsiTheme="minorHAnsi"/>
          <w:szCs w:val="24"/>
        </w:rPr>
        <w:t xml:space="preserve">The Applicant </w:t>
      </w:r>
      <w:r w:rsidR="0005278C">
        <w:rPr>
          <w:rFonts w:asciiTheme="minorHAnsi" w:hAnsiTheme="minorHAnsi"/>
          <w:szCs w:val="24"/>
        </w:rPr>
        <w:t xml:space="preserve">states that it </w:t>
      </w:r>
      <w:r w:rsidRPr="004832F4">
        <w:rPr>
          <w:rFonts w:asciiTheme="minorHAnsi" w:hAnsiTheme="minorHAnsi"/>
          <w:szCs w:val="24"/>
        </w:rPr>
        <w:t xml:space="preserve">projected inpatient imaging need based on its 30 licensed beds, </w:t>
      </w:r>
      <w:r w:rsidR="000F0438" w:rsidRPr="004832F4">
        <w:rPr>
          <w:rFonts w:asciiTheme="minorHAnsi" w:hAnsiTheme="minorHAnsi"/>
          <w:szCs w:val="24"/>
        </w:rPr>
        <w:t xml:space="preserve">because </w:t>
      </w:r>
      <w:r w:rsidRPr="004832F4">
        <w:rPr>
          <w:rFonts w:asciiTheme="minorHAnsi" w:hAnsiTheme="minorHAnsi"/>
          <w:szCs w:val="24"/>
        </w:rPr>
        <w:lastRenderedPageBreak/>
        <w:t xml:space="preserve">the data regarding BWH-licensed beds were not available from publicly available sources and </w:t>
      </w:r>
      <w:r w:rsidR="0070023C">
        <w:rPr>
          <w:rFonts w:asciiTheme="minorHAnsi" w:hAnsiTheme="minorHAnsi"/>
          <w:szCs w:val="24"/>
        </w:rPr>
        <w:t xml:space="preserve">from </w:t>
      </w:r>
      <w:r w:rsidRPr="004832F4">
        <w:rPr>
          <w:rFonts w:asciiTheme="minorHAnsi" w:hAnsiTheme="minorHAnsi"/>
          <w:szCs w:val="24"/>
        </w:rPr>
        <w:t>nonpublic</w:t>
      </w:r>
      <w:r w:rsidR="0070023C">
        <w:rPr>
          <w:rFonts w:asciiTheme="minorHAnsi" w:hAnsiTheme="minorHAnsi"/>
          <w:szCs w:val="24"/>
        </w:rPr>
        <w:t xml:space="preserve"> sources</w:t>
      </w:r>
      <w:r w:rsidR="000F0438" w:rsidRPr="004832F4">
        <w:rPr>
          <w:rFonts w:asciiTheme="minorHAnsi" w:hAnsiTheme="minorHAnsi"/>
          <w:szCs w:val="24"/>
        </w:rPr>
        <w:t xml:space="preserve">, </w:t>
      </w:r>
      <w:r w:rsidR="00F44928">
        <w:rPr>
          <w:rFonts w:asciiTheme="minorHAnsi" w:hAnsiTheme="minorHAnsi"/>
          <w:szCs w:val="24"/>
        </w:rPr>
        <w:t xml:space="preserve">and because </w:t>
      </w:r>
      <w:r w:rsidR="000F0438" w:rsidRPr="004832F4">
        <w:rPr>
          <w:rFonts w:asciiTheme="minorHAnsi" w:hAnsiTheme="minorHAnsi"/>
          <w:szCs w:val="24"/>
        </w:rPr>
        <w:t>BWH data are proprietary to BWH.</w:t>
      </w:r>
      <w:r w:rsidR="00141881" w:rsidRPr="004832F4">
        <w:rPr>
          <w:rFonts w:asciiTheme="minorHAnsi" w:hAnsiTheme="minorHAnsi"/>
          <w:szCs w:val="24"/>
        </w:rPr>
        <w:t xml:space="preserve"> Additionally, the Applicant used 384 beds to calculate imaging need</w:t>
      </w:r>
      <w:r w:rsidR="00FB389B">
        <w:rPr>
          <w:rFonts w:asciiTheme="minorHAnsi" w:hAnsiTheme="minorHAnsi"/>
          <w:szCs w:val="24"/>
        </w:rPr>
        <w:t>, as opposed to 300 beds,</w:t>
      </w:r>
      <w:r w:rsidR="00141881" w:rsidRPr="004832F4">
        <w:rPr>
          <w:rFonts w:asciiTheme="minorHAnsi" w:hAnsiTheme="minorHAnsi"/>
          <w:szCs w:val="24"/>
        </w:rPr>
        <w:t xml:space="preserve"> because </w:t>
      </w:r>
      <w:r w:rsidR="00F13D2F">
        <w:rPr>
          <w:rFonts w:asciiTheme="minorHAnsi" w:hAnsiTheme="minorHAnsi"/>
          <w:szCs w:val="24"/>
        </w:rPr>
        <w:t>384 beds</w:t>
      </w:r>
      <w:r w:rsidR="00141881" w:rsidRPr="004832F4">
        <w:rPr>
          <w:rFonts w:asciiTheme="minorHAnsi" w:hAnsiTheme="minorHAnsi"/>
          <w:szCs w:val="24"/>
        </w:rPr>
        <w:t xml:space="preserve"> is the number of beds that was determined to meet Patient </w:t>
      </w:r>
      <w:r w:rsidR="00681D10">
        <w:rPr>
          <w:rFonts w:asciiTheme="minorHAnsi" w:hAnsiTheme="minorHAnsi"/>
          <w:szCs w:val="24"/>
        </w:rPr>
        <w:t>P</w:t>
      </w:r>
      <w:r w:rsidR="00141881" w:rsidRPr="004832F4">
        <w:rPr>
          <w:rFonts w:asciiTheme="minorHAnsi" w:hAnsiTheme="minorHAnsi"/>
          <w:szCs w:val="24"/>
        </w:rPr>
        <w:t>anel need</w:t>
      </w:r>
      <w:r w:rsidR="00011F25">
        <w:rPr>
          <w:rFonts w:asciiTheme="minorHAnsi" w:hAnsiTheme="minorHAnsi"/>
          <w:szCs w:val="24"/>
        </w:rPr>
        <w:t>. The Applicant notes that the</w:t>
      </w:r>
      <w:r w:rsidR="00141881" w:rsidRPr="004832F4">
        <w:rPr>
          <w:rFonts w:asciiTheme="minorHAnsi" w:hAnsiTheme="minorHAnsi"/>
          <w:szCs w:val="24"/>
        </w:rPr>
        <w:t xml:space="preserve"> </w:t>
      </w:r>
      <w:r w:rsidR="00CB217A" w:rsidRPr="004832F4">
        <w:rPr>
          <w:rFonts w:asciiTheme="minorHAnsi" w:hAnsiTheme="minorHAnsi"/>
          <w:szCs w:val="24"/>
        </w:rPr>
        <w:t>amount</w:t>
      </w:r>
      <w:r w:rsidR="00141881" w:rsidRPr="004832F4">
        <w:rPr>
          <w:rFonts w:asciiTheme="minorHAnsi" w:hAnsiTheme="minorHAnsi"/>
          <w:szCs w:val="24"/>
        </w:rPr>
        <w:t xml:space="preserve"> of required imaging equipment would remain the same even</w:t>
      </w:r>
      <w:r w:rsidR="00681D10">
        <w:rPr>
          <w:rFonts w:asciiTheme="minorHAnsi" w:hAnsiTheme="minorHAnsi"/>
          <w:szCs w:val="24"/>
        </w:rPr>
        <w:t xml:space="preserve"> if</w:t>
      </w:r>
      <w:r w:rsidR="00141881" w:rsidRPr="004832F4">
        <w:rPr>
          <w:rFonts w:asciiTheme="minorHAnsi" w:hAnsiTheme="minorHAnsi"/>
          <w:szCs w:val="24"/>
        </w:rPr>
        <w:t xml:space="preserve"> a bed count of 300 had been used. </w:t>
      </w:r>
    </w:p>
    <w:p w14:paraId="1962DB90" w14:textId="3A36090D" w:rsidR="003A79EA" w:rsidRPr="003A79EA" w:rsidRDefault="003A79EA" w:rsidP="003A79EA">
      <w:pPr>
        <w:rPr>
          <w:rFonts w:asciiTheme="minorHAnsi" w:hAnsiTheme="minorHAnsi"/>
          <w:szCs w:val="24"/>
        </w:rPr>
      </w:pPr>
    </w:p>
    <w:p w14:paraId="392C5BCB" w14:textId="526ACE57" w:rsidR="00895703" w:rsidRPr="00895703" w:rsidRDefault="00895703" w:rsidP="00895703">
      <w:pPr>
        <w:rPr>
          <w:rFonts w:asciiTheme="minorHAnsi" w:hAnsiTheme="minorHAnsi"/>
          <w:szCs w:val="24"/>
        </w:rPr>
      </w:pPr>
      <w:r w:rsidRPr="00895703">
        <w:rPr>
          <w:rFonts w:asciiTheme="minorHAnsi" w:hAnsiTheme="minorHAnsi"/>
          <w:szCs w:val="24"/>
        </w:rPr>
        <w:t xml:space="preserve">DoN application materials and responses </w:t>
      </w:r>
      <w:r w:rsidR="009A4F33">
        <w:rPr>
          <w:rFonts w:asciiTheme="minorHAnsi" w:hAnsiTheme="minorHAnsi"/>
          <w:szCs w:val="24"/>
        </w:rPr>
        <w:t>include</w:t>
      </w:r>
      <w:r w:rsidRPr="00895703">
        <w:rPr>
          <w:rFonts w:asciiTheme="minorHAnsi" w:hAnsiTheme="minorHAnsi"/>
          <w:szCs w:val="24"/>
        </w:rPr>
        <w:t xml:space="preserve"> a complete description of the Applicant’s methodology for calculating </w:t>
      </w:r>
      <w:r>
        <w:rPr>
          <w:rFonts w:asciiTheme="minorHAnsi" w:hAnsiTheme="minorHAnsi"/>
          <w:szCs w:val="24"/>
        </w:rPr>
        <w:t>need for imaging equipment</w:t>
      </w:r>
      <w:r w:rsidRPr="00895703">
        <w:rPr>
          <w:rFonts w:asciiTheme="minorHAnsi" w:hAnsiTheme="minorHAnsi"/>
          <w:szCs w:val="24"/>
        </w:rPr>
        <w:t xml:space="preserve">.  </w:t>
      </w:r>
    </w:p>
    <w:p w14:paraId="2950C8DE" w14:textId="77777777" w:rsidR="0018318A" w:rsidRDefault="0018318A" w:rsidP="00932E5D">
      <w:pPr>
        <w:rPr>
          <w:rFonts w:asciiTheme="minorHAnsi" w:hAnsiTheme="minorHAnsi"/>
          <w:szCs w:val="24"/>
        </w:rPr>
      </w:pPr>
    </w:p>
    <w:p w14:paraId="07B59475" w14:textId="294D652B" w:rsidR="000F346C" w:rsidRPr="00E673C5" w:rsidRDefault="00112352" w:rsidP="00932E5D">
      <w:pPr>
        <w:rPr>
          <w:rFonts w:asciiTheme="minorHAnsi" w:hAnsiTheme="minorHAnsi"/>
          <w:b/>
          <w:bCs/>
          <w:szCs w:val="24"/>
        </w:rPr>
      </w:pPr>
      <w:r w:rsidRPr="00E673C5">
        <w:rPr>
          <w:rFonts w:asciiTheme="minorHAnsi" w:hAnsiTheme="minorHAnsi"/>
          <w:b/>
          <w:bCs/>
          <w:szCs w:val="24"/>
        </w:rPr>
        <w:t>Radiation Therapy</w:t>
      </w:r>
    </w:p>
    <w:p w14:paraId="38C39994" w14:textId="56A2ACA1" w:rsidR="00924E08" w:rsidRDefault="00D470F9" w:rsidP="00BA2054">
      <w:pPr>
        <w:rPr>
          <w:rFonts w:asciiTheme="minorHAnsi" w:hAnsiTheme="minorHAnsi"/>
          <w:szCs w:val="24"/>
        </w:rPr>
      </w:pPr>
      <w:r>
        <w:rPr>
          <w:rFonts w:asciiTheme="minorHAnsi" w:hAnsiTheme="minorHAnsi"/>
          <w:szCs w:val="24"/>
        </w:rPr>
        <w:t xml:space="preserve">The Applicant </w:t>
      </w:r>
      <w:r w:rsidR="00D61CC4">
        <w:rPr>
          <w:rFonts w:asciiTheme="minorHAnsi" w:hAnsiTheme="minorHAnsi"/>
          <w:szCs w:val="24"/>
        </w:rPr>
        <w:t>cites</w:t>
      </w:r>
      <w:r>
        <w:rPr>
          <w:rFonts w:asciiTheme="minorHAnsi" w:hAnsiTheme="minorHAnsi"/>
          <w:szCs w:val="24"/>
        </w:rPr>
        <w:t xml:space="preserve"> studies stating that </w:t>
      </w:r>
      <w:r w:rsidR="008B57F6">
        <w:rPr>
          <w:rFonts w:asciiTheme="minorHAnsi" w:hAnsiTheme="minorHAnsi"/>
          <w:szCs w:val="24"/>
        </w:rPr>
        <w:t>radiation therapy</w:t>
      </w:r>
      <w:r w:rsidRPr="00D470F9">
        <w:rPr>
          <w:rFonts w:asciiTheme="minorHAnsi" w:hAnsiTheme="minorHAnsi"/>
          <w:szCs w:val="24"/>
        </w:rPr>
        <w:t xml:space="preserve"> is a critical and inseparable component of comprehensive cancer treatment and </w:t>
      </w:r>
      <w:r w:rsidR="0096408E">
        <w:rPr>
          <w:rFonts w:asciiTheme="minorHAnsi" w:hAnsiTheme="minorHAnsi"/>
          <w:szCs w:val="24"/>
        </w:rPr>
        <w:t>is deployed across almost all cancer types.</w:t>
      </w:r>
      <w:r w:rsidR="0082098B">
        <w:rPr>
          <w:rFonts w:asciiTheme="minorHAnsi" w:hAnsiTheme="minorHAnsi"/>
          <w:szCs w:val="24"/>
        </w:rPr>
        <w:t xml:space="preserve"> Radiation </w:t>
      </w:r>
      <w:r w:rsidR="00F13D2F">
        <w:rPr>
          <w:rFonts w:asciiTheme="minorHAnsi" w:hAnsiTheme="minorHAnsi"/>
          <w:szCs w:val="24"/>
        </w:rPr>
        <w:t xml:space="preserve">therapy </w:t>
      </w:r>
      <w:r w:rsidR="0082098B">
        <w:rPr>
          <w:rFonts w:asciiTheme="minorHAnsi" w:hAnsiTheme="minorHAnsi"/>
          <w:szCs w:val="24"/>
        </w:rPr>
        <w:t>can be used alone or with other modalities of treatment including chemotherapy, immunotherapy, or surgery.</w:t>
      </w:r>
      <w:r w:rsidR="00AF44FD">
        <w:rPr>
          <w:rFonts w:asciiTheme="minorHAnsi" w:hAnsiTheme="minorHAnsi"/>
          <w:szCs w:val="24"/>
        </w:rPr>
        <w:t xml:space="preserve"> </w:t>
      </w:r>
      <w:r w:rsidR="00924E08" w:rsidRPr="00924E08">
        <w:rPr>
          <w:rFonts w:asciiTheme="minorHAnsi" w:hAnsiTheme="minorHAnsi"/>
          <w:bCs/>
          <w:szCs w:val="24"/>
        </w:rPr>
        <w:t>LINAC-based radiation therapy is the most commonly used technique to deliver radiation therapy to patients. The Applicant currently operates three LINACs.</w:t>
      </w:r>
    </w:p>
    <w:p w14:paraId="5EC9F5C6" w14:textId="77777777" w:rsidR="0007367C" w:rsidRDefault="0007367C" w:rsidP="00BA2054">
      <w:pPr>
        <w:rPr>
          <w:rFonts w:asciiTheme="minorHAnsi" w:hAnsiTheme="minorHAnsi"/>
          <w:szCs w:val="24"/>
        </w:rPr>
      </w:pPr>
    </w:p>
    <w:p w14:paraId="20A1A92A" w14:textId="73D8A51C" w:rsidR="00B67E26" w:rsidRPr="00B719A9" w:rsidRDefault="00B67E26" w:rsidP="00BA2054">
      <w:pPr>
        <w:rPr>
          <w:rFonts w:asciiTheme="minorHAnsi" w:hAnsiTheme="minorHAnsi"/>
          <w:i/>
          <w:iCs/>
          <w:szCs w:val="24"/>
          <w:u w:val="single"/>
        </w:rPr>
      </w:pPr>
      <w:r w:rsidRPr="00B719A9">
        <w:rPr>
          <w:rFonts w:asciiTheme="minorHAnsi" w:hAnsiTheme="minorHAnsi"/>
          <w:i/>
          <w:iCs/>
          <w:szCs w:val="24"/>
          <w:u w:val="single"/>
        </w:rPr>
        <w:t>Historical Utilization</w:t>
      </w:r>
    </w:p>
    <w:p w14:paraId="3D5C4E55" w14:textId="12EB3BFB" w:rsidR="00F07C69" w:rsidRDefault="00F13D2F" w:rsidP="00BA2054">
      <w:r>
        <w:rPr>
          <w:rFonts w:asciiTheme="minorHAnsi" w:hAnsiTheme="minorHAnsi"/>
          <w:bCs/>
          <w:szCs w:val="24"/>
        </w:rPr>
        <w:t>The Applicant states that p</w:t>
      </w:r>
      <w:r w:rsidR="00315AB3" w:rsidRPr="00315AB3">
        <w:rPr>
          <w:rFonts w:asciiTheme="minorHAnsi" w:hAnsiTheme="minorHAnsi"/>
          <w:bCs/>
          <w:szCs w:val="24"/>
        </w:rPr>
        <w:t>atients in the Applicant’s Patient Panel receive radiation therapy treatment either in the Applicant’s Radiation Oncology department or at BWH, based on the patient’s disease center and/or need for specialized treatment.</w:t>
      </w:r>
      <w:r w:rsidR="00315AB3">
        <w:rPr>
          <w:rFonts w:asciiTheme="minorHAnsi" w:hAnsiTheme="minorHAnsi"/>
          <w:bCs/>
          <w:szCs w:val="24"/>
        </w:rPr>
        <w:t xml:space="preserve"> </w:t>
      </w:r>
      <w:r w:rsidR="00921DCB">
        <w:rPr>
          <w:rFonts w:asciiTheme="minorHAnsi" w:hAnsiTheme="minorHAnsi"/>
          <w:bCs/>
          <w:szCs w:val="24"/>
        </w:rPr>
        <w:t xml:space="preserve">Table </w:t>
      </w:r>
      <w:r w:rsidR="002D5360">
        <w:rPr>
          <w:rFonts w:asciiTheme="minorHAnsi" w:hAnsiTheme="minorHAnsi"/>
          <w:bCs/>
          <w:szCs w:val="24"/>
        </w:rPr>
        <w:t>29</w:t>
      </w:r>
      <w:r w:rsidR="00921DCB">
        <w:rPr>
          <w:rFonts w:asciiTheme="minorHAnsi" w:hAnsiTheme="minorHAnsi"/>
          <w:bCs/>
          <w:szCs w:val="24"/>
        </w:rPr>
        <w:t xml:space="preserve"> shows </w:t>
      </w:r>
      <w:r w:rsidR="00921DCB" w:rsidRPr="00921DCB">
        <w:rPr>
          <w:rFonts w:asciiTheme="minorHAnsi" w:hAnsiTheme="minorHAnsi"/>
          <w:bCs/>
          <w:szCs w:val="24"/>
        </w:rPr>
        <w:t xml:space="preserve">LINAC therapy utilization by the Applicant’s </w:t>
      </w:r>
      <w:r w:rsidR="00921DCB">
        <w:rPr>
          <w:rFonts w:asciiTheme="minorHAnsi" w:hAnsiTheme="minorHAnsi"/>
          <w:bCs/>
          <w:szCs w:val="24"/>
        </w:rPr>
        <w:t>P</w:t>
      </w:r>
      <w:r w:rsidR="00921DCB" w:rsidRPr="00921DCB">
        <w:rPr>
          <w:rFonts w:asciiTheme="minorHAnsi" w:hAnsiTheme="minorHAnsi"/>
          <w:bCs/>
          <w:szCs w:val="24"/>
        </w:rPr>
        <w:t xml:space="preserve">atient </w:t>
      </w:r>
      <w:r w:rsidR="00921DCB">
        <w:rPr>
          <w:rFonts w:asciiTheme="minorHAnsi" w:hAnsiTheme="minorHAnsi"/>
          <w:bCs/>
          <w:szCs w:val="24"/>
        </w:rPr>
        <w:t>P</w:t>
      </w:r>
      <w:r w:rsidR="00921DCB" w:rsidRPr="00921DCB">
        <w:rPr>
          <w:rFonts w:asciiTheme="minorHAnsi" w:hAnsiTheme="minorHAnsi"/>
          <w:bCs/>
          <w:szCs w:val="24"/>
        </w:rPr>
        <w:t>anel.</w:t>
      </w:r>
      <w:r w:rsidR="00921DCB" w:rsidRPr="00921DCB">
        <w:t xml:space="preserve"> </w:t>
      </w:r>
    </w:p>
    <w:p w14:paraId="2F1C0613" w14:textId="77777777" w:rsidR="00A35FB6" w:rsidRDefault="00A35FB6" w:rsidP="00F07C69">
      <w:pPr>
        <w:rPr>
          <w:rFonts w:asciiTheme="minorHAnsi" w:hAnsiTheme="minorHAnsi"/>
          <w:bCs/>
          <w:szCs w:val="24"/>
        </w:rPr>
      </w:pPr>
    </w:p>
    <w:p w14:paraId="522194BC" w14:textId="2FDB218A" w:rsidR="005245E5" w:rsidRPr="008670C1" w:rsidRDefault="005245E5" w:rsidP="00932E5D">
      <w:pPr>
        <w:rPr>
          <w:rFonts w:asciiTheme="minorHAnsi" w:hAnsiTheme="minorHAnsi"/>
          <w:b/>
          <w:szCs w:val="24"/>
        </w:rPr>
      </w:pPr>
      <w:r w:rsidRPr="008670C1">
        <w:rPr>
          <w:rFonts w:asciiTheme="minorHAnsi" w:hAnsiTheme="minorHAnsi"/>
          <w:b/>
          <w:szCs w:val="24"/>
          <w:u w:val="single"/>
        </w:rPr>
        <w:t xml:space="preserve">Table </w:t>
      </w:r>
      <w:r w:rsidR="002D5360">
        <w:rPr>
          <w:rFonts w:asciiTheme="minorHAnsi" w:hAnsiTheme="minorHAnsi"/>
          <w:b/>
          <w:szCs w:val="24"/>
          <w:u w:val="single"/>
        </w:rPr>
        <w:t>29</w:t>
      </w:r>
      <w:r w:rsidRPr="008670C1">
        <w:rPr>
          <w:rFonts w:asciiTheme="minorHAnsi" w:hAnsiTheme="minorHAnsi"/>
          <w:b/>
          <w:szCs w:val="24"/>
        </w:rPr>
        <w:t xml:space="preserve">: </w:t>
      </w:r>
      <w:r w:rsidR="008670C1" w:rsidRPr="008670C1">
        <w:rPr>
          <w:rFonts w:asciiTheme="minorHAnsi" w:hAnsiTheme="minorHAnsi"/>
          <w:b/>
          <w:szCs w:val="24"/>
        </w:rPr>
        <w:t>LINAC Therapy Utilization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885"/>
        <w:gridCol w:w="885"/>
        <w:gridCol w:w="885"/>
        <w:gridCol w:w="885"/>
        <w:gridCol w:w="885"/>
        <w:gridCol w:w="885"/>
        <w:gridCol w:w="1493"/>
      </w:tblGrid>
      <w:tr w:rsidR="00D4656F" w:rsidRPr="00A35FB6" w14:paraId="50583052" w14:textId="77777777" w:rsidTr="002928D6">
        <w:trPr>
          <w:cantSplit/>
          <w:trHeight w:val="290"/>
        </w:trPr>
        <w:tc>
          <w:tcPr>
            <w:tcW w:w="0" w:type="auto"/>
            <w:shd w:val="clear" w:color="auto" w:fill="auto"/>
            <w:vAlign w:val="center"/>
            <w:hideMark/>
          </w:tcPr>
          <w:p w14:paraId="1F9166FF" w14:textId="77777777" w:rsidR="00D4656F" w:rsidRPr="00A35FB6" w:rsidRDefault="00D4656F" w:rsidP="00D4656F">
            <w:pPr>
              <w:widowControl/>
              <w:autoSpaceDE/>
              <w:autoSpaceDN/>
              <w:jc w:val="center"/>
              <w:rPr>
                <w:rFonts w:eastAsia="Times New Roman" w:cs="Calibri"/>
                <w:b/>
                <w:bCs/>
                <w:color w:val="000000"/>
                <w:szCs w:val="24"/>
              </w:rPr>
            </w:pPr>
            <w:r w:rsidRPr="00A35FB6">
              <w:rPr>
                <w:rFonts w:eastAsia="Times New Roman" w:cs="Calibri"/>
                <w:b/>
                <w:bCs/>
                <w:color w:val="000000"/>
                <w:szCs w:val="24"/>
              </w:rPr>
              <w:t>Metric</w:t>
            </w:r>
          </w:p>
        </w:tc>
        <w:tc>
          <w:tcPr>
            <w:tcW w:w="0" w:type="auto"/>
            <w:shd w:val="clear" w:color="auto" w:fill="DBE5F1" w:themeFill="accent1" w:themeFillTint="33"/>
            <w:vAlign w:val="center"/>
            <w:hideMark/>
          </w:tcPr>
          <w:p w14:paraId="2828F5A4" w14:textId="77777777" w:rsidR="00D4656F" w:rsidRPr="00A35FB6" w:rsidRDefault="00D4656F" w:rsidP="00D4656F">
            <w:pPr>
              <w:widowControl/>
              <w:autoSpaceDE/>
              <w:autoSpaceDN/>
              <w:jc w:val="center"/>
              <w:rPr>
                <w:rFonts w:eastAsia="Times New Roman" w:cs="Calibri"/>
                <w:b/>
                <w:bCs/>
                <w:color w:val="000000"/>
                <w:szCs w:val="24"/>
              </w:rPr>
            </w:pPr>
            <w:r w:rsidRPr="00A35FB6">
              <w:rPr>
                <w:rFonts w:eastAsia="Times New Roman" w:cs="Calibri"/>
                <w:b/>
                <w:bCs/>
                <w:color w:val="000000"/>
                <w:szCs w:val="24"/>
              </w:rPr>
              <w:t>FY18</w:t>
            </w:r>
          </w:p>
        </w:tc>
        <w:tc>
          <w:tcPr>
            <w:tcW w:w="0" w:type="auto"/>
            <w:shd w:val="clear" w:color="auto" w:fill="DBE5F1" w:themeFill="accent1" w:themeFillTint="33"/>
            <w:vAlign w:val="center"/>
            <w:hideMark/>
          </w:tcPr>
          <w:p w14:paraId="4664667A" w14:textId="77777777" w:rsidR="00D4656F" w:rsidRPr="00A35FB6" w:rsidRDefault="00D4656F" w:rsidP="00D4656F">
            <w:pPr>
              <w:widowControl/>
              <w:autoSpaceDE/>
              <w:autoSpaceDN/>
              <w:jc w:val="center"/>
              <w:rPr>
                <w:rFonts w:eastAsia="Times New Roman" w:cs="Calibri"/>
                <w:b/>
                <w:bCs/>
                <w:color w:val="000000"/>
                <w:szCs w:val="24"/>
              </w:rPr>
            </w:pPr>
            <w:r w:rsidRPr="00A35FB6">
              <w:rPr>
                <w:rFonts w:eastAsia="Times New Roman" w:cs="Calibri"/>
                <w:b/>
                <w:bCs/>
                <w:color w:val="000000"/>
                <w:szCs w:val="24"/>
              </w:rPr>
              <w:t>FY19</w:t>
            </w:r>
          </w:p>
        </w:tc>
        <w:tc>
          <w:tcPr>
            <w:tcW w:w="0" w:type="auto"/>
            <w:shd w:val="clear" w:color="auto" w:fill="DBE5F1" w:themeFill="accent1" w:themeFillTint="33"/>
            <w:vAlign w:val="center"/>
            <w:hideMark/>
          </w:tcPr>
          <w:p w14:paraId="14BC1E41" w14:textId="77777777" w:rsidR="00D4656F" w:rsidRPr="00A35FB6" w:rsidRDefault="00D4656F" w:rsidP="00D4656F">
            <w:pPr>
              <w:widowControl/>
              <w:autoSpaceDE/>
              <w:autoSpaceDN/>
              <w:jc w:val="center"/>
              <w:rPr>
                <w:rFonts w:eastAsia="Times New Roman" w:cs="Calibri"/>
                <w:b/>
                <w:bCs/>
                <w:color w:val="000000"/>
                <w:szCs w:val="24"/>
              </w:rPr>
            </w:pPr>
            <w:r w:rsidRPr="00A35FB6">
              <w:rPr>
                <w:rFonts w:eastAsia="Times New Roman" w:cs="Calibri"/>
                <w:b/>
                <w:bCs/>
                <w:color w:val="000000"/>
                <w:szCs w:val="24"/>
              </w:rPr>
              <w:t>FY20</w:t>
            </w:r>
          </w:p>
        </w:tc>
        <w:tc>
          <w:tcPr>
            <w:tcW w:w="0" w:type="auto"/>
            <w:shd w:val="clear" w:color="auto" w:fill="DBE5F1" w:themeFill="accent1" w:themeFillTint="33"/>
            <w:vAlign w:val="center"/>
            <w:hideMark/>
          </w:tcPr>
          <w:p w14:paraId="0FE1657A" w14:textId="77777777" w:rsidR="00D4656F" w:rsidRPr="00A35FB6" w:rsidRDefault="00D4656F" w:rsidP="00D4656F">
            <w:pPr>
              <w:widowControl/>
              <w:autoSpaceDE/>
              <w:autoSpaceDN/>
              <w:jc w:val="center"/>
              <w:rPr>
                <w:rFonts w:eastAsia="Times New Roman" w:cs="Calibri"/>
                <w:b/>
                <w:bCs/>
                <w:color w:val="000000"/>
                <w:szCs w:val="24"/>
              </w:rPr>
            </w:pPr>
            <w:r w:rsidRPr="00A35FB6">
              <w:rPr>
                <w:rFonts w:eastAsia="Times New Roman" w:cs="Calibri"/>
                <w:b/>
                <w:bCs/>
                <w:color w:val="000000"/>
                <w:szCs w:val="24"/>
              </w:rPr>
              <w:t>FY21</w:t>
            </w:r>
          </w:p>
        </w:tc>
        <w:tc>
          <w:tcPr>
            <w:tcW w:w="0" w:type="auto"/>
            <w:shd w:val="clear" w:color="auto" w:fill="DBE5F1" w:themeFill="accent1" w:themeFillTint="33"/>
            <w:vAlign w:val="center"/>
            <w:hideMark/>
          </w:tcPr>
          <w:p w14:paraId="54FEC632" w14:textId="77777777" w:rsidR="00D4656F" w:rsidRPr="00A35FB6" w:rsidRDefault="00D4656F" w:rsidP="00D4656F">
            <w:pPr>
              <w:widowControl/>
              <w:autoSpaceDE/>
              <w:autoSpaceDN/>
              <w:jc w:val="center"/>
              <w:rPr>
                <w:rFonts w:eastAsia="Times New Roman" w:cs="Calibri"/>
                <w:b/>
                <w:bCs/>
                <w:color w:val="000000"/>
                <w:szCs w:val="24"/>
              </w:rPr>
            </w:pPr>
            <w:r w:rsidRPr="00A35FB6">
              <w:rPr>
                <w:rFonts w:eastAsia="Times New Roman" w:cs="Calibri"/>
                <w:b/>
                <w:bCs/>
                <w:color w:val="000000"/>
                <w:szCs w:val="24"/>
              </w:rPr>
              <w:t>FY22</w:t>
            </w:r>
          </w:p>
        </w:tc>
        <w:tc>
          <w:tcPr>
            <w:tcW w:w="0" w:type="auto"/>
            <w:shd w:val="clear" w:color="auto" w:fill="DBE5F1" w:themeFill="accent1" w:themeFillTint="33"/>
            <w:vAlign w:val="center"/>
            <w:hideMark/>
          </w:tcPr>
          <w:p w14:paraId="4D0653F0" w14:textId="77777777" w:rsidR="00D4656F" w:rsidRPr="00A35FB6" w:rsidRDefault="00D4656F" w:rsidP="00D4656F">
            <w:pPr>
              <w:widowControl/>
              <w:autoSpaceDE/>
              <w:autoSpaceDN/>
              <w:jc w:val="center"/>
              <w:rPr>
                <w:rFonts w:eastAsia="Times New Roman" w:cs="Calibri"/>
                <w:b/>
                <w:bCs/>
                <w:color w:val="000000"/>
                <w:szCs w:val="24"/>
              </w:rPr>
            </w:pPr>
            <w:r w:rsidRPr="00A35FB6">
              <w:rPr>
                <w:rFonts w:eastAsia="Times New Roman" w:cs="Calibri"/>
                <w:b/>
                <w:bCs/>
                <w:color w:val="000000"/>
                <w:szCs w:val="24"/>
              </w:rPr>
              <w:t>FY23</w:t>
            </w:r>
          </w:p>
        </w:tc>
        <w:tc>
          <w:tcPr>
            <w:tcW w:w="0" w:type="auto"/>
            <w:shd w:val="clear" w:color="auto" w:fill="DBE5F1" w:themeFill="accent1" w:themeFillTint="33"/>
            <w:noWrap/>
            <w:vAlign w:val="bottom"/>
            <w:hideMark/>
          </w:tcPr>
          <w:p w14:paraId="27CEDE7D" w14:textId="50BAD2D1" w:rsidR="00D4656F" w:rsidRPr="00A35FB6" w:rsidRDefault="00D4656F" w:rsidP="00106D3B">
            <w:pPr>
              <w:widowControl/>
              <w:autoSpaceDE/>
              <w:autoSpaceDN/>
              <w:jc w:val="center"/>
              <w:rPr>
                <w:rFonts w:eastAsia="Times New Roman" w:cs="Calibri"/>
                <w:b/>
                <w:bCs/>
                <w:color w:val="000000"/>
                <w:szCs w:val="24"/>
              </w:rPr>
            </w:pPr>
            <w:r w:rsidRPr="00A35FB6">
              <w:rPr>
                <w:rFonts w:eastAsia="Times New Roman" w:cs="Calibri"/>
                <w:b/>
                <w:bCs/>
                <w:color w:val="000000"/>
                <w:szCs w:val="24"/>
              </w:rPr>
              <w:t>%</w:t>
            </w:r>
            <w:r w:rsidR="00106D3B" w:rsidRPr="00A35FB6">
              <w:rPr>
                <w:rFonts w:eastAsia="Times New Roman" w:cs="Calibri"/>
                <w:b/>
                <w:bCs/>
                <w:color w:val="000000"/>
                <w:szCs w:val="24"/>
              </w:rPr>
              <w:t xml:space="preserve"> </w:t>
            </w:r>
            <w:r w:rsidRPr="00A35FB6">
              <w:rPr>
                <w:rFonts w:eastAsia="Times New Roman" w:cs="Calibri"/>
                <w:b/>
                <w:bCs/>
                <w:color w:val="000000"/>
                <w:szCs w:val="24"/>
              </w:rPr>
              <w:t>Change</w:t>
            </w:r>
          </w:p>
          <w:p w14:paraId="06CF0DFC" w14:textId="04CEB73C" w:rsidR="00D4656F" w:rsidRPr="00A35FB6" w:rsidRDefault="00D4656F" w:rsidP="00106D3B">
            <w:pPr>
              <w:widowControl/>
              <w:autoSpaceDE/>
              <w:autoSpaceDN/>
              <w:jc w:val="center"/>
              <w:rPr>
                <w:rFonts w:eastAsia="Times New Roman" w:cs="Calibri"/>
                <w:b/>
                <w:bCs/>
                <w:color w:val="000000"/>
                <w:szCs w:val="24"/>
              </w:rPr>
            </w:pPr>
            <w:r w:rsidRPr="00A35FB6">
              <w:rPr>
                <w:rFonts w:eastAsia="Times New Roman" w:cs="Calibri"/>
                <w:b/>
                <w:bCs/>
                <w:color w:val="000000"/>
                <w:szCs w:val="24"/>
              </w:rPr>
              <w:t>FY18 to FY23</w:t>
            </w:r>
          </w:p>
        </w:tc>
      </w:tr>
      <w:tr w:rsidR="00BD735A" w:rsidRPr="00A35FB6" w14:paraId="57CD3827" w14:textId="77777777" w:rsidTr="002928D6">
        <w:trPr>
          <w:cantSplit/>
          <w:trHeight w:val="137"/>
        </w:trPr>
        <w:tc>
          <w:tcPr>
            <w:tcW w:w="0" w:type="auto"/>
            <w:shd w:val="clear" w:color="auto" w:fill="auto"/>
          </w:tcPr>
          <w:p w14:paraId="4D701113" w14:textId="46ADD438" w:rsidR="00BD735A" w:rsidRPr="00A35FB6" w:rsidRDefault="00BD735A" w:rsidP="00BD735A">
            <w:pPr>
              <w:widowControl/>
              <w:autoSpaceDE/>
              <w:autoSpaceDN/>
              <w:rPr>
                <w:rFonts w:eastAsia="Times New Roman" w:cs="Calibri"/>
                <w:color w:val="000000"/>
                <w:szCs w:val="24"/>
              </w:rPr>
            </w:pPr>
            <w:r w:rsidRPr="00A35FB6">
              <w:rPr>
                <w:szCs w:val="24"/>
              </w:rPr>
              <w:t>Radiation Oncology</w:t>
            </w:r>
            <w:r w:rsidR="002928D6">
              <w:rPr>
                <w:szCs w:val="24"/>
              </w:rPr>
              <w:t xml:space="preserve"> </w:t>
            </w:r>
            <w:r w:rsidRPr="00A35FB6">
              <w:rPr>
                <w:szCs w:val="24"/>
              </w:rPr>
              <w:t>Treatments</w:t>
            </w:r>
            <w:r w:rsidRPr="00A35FB6">
              <w:rPr>
                <w:rStyle w:val="FootnoteReference"/>
                <w:rFonts w:eastAsia="Times New Roman" w:cs="Calibri"/>
                <w:color w:val="000000"/>
                <w:szCs w:val="24"/>
              </w:rPr>
              <w:footnoteReference w:id="82"/>
            </w:r>
            <w:r w:rsidRPr="00A35FB6">
              <w:rPr>
                <w:szCs w:val="24"/>
              </w:rPr>
              <w:t xml:space="preserve"> </w:t>
            </w:r>
          </w:p>
        </w:tc>
        <w:tc>
          <w:tcPr>
            <w:tcW w:w="0" w:type="auto"/>
            <w:shd w:val="clear" w:color="auto" w:fill="auto"/>
          </w:tcPr>
          <w:p w14:paraId="5F4BF40C" w14:textId="2DF2224F" w:rsidR="00BD735A" w:rsidRPr="00A35FB6" w:rsidRDefault="00BD735A" w:rsidP="00BD735A">
            <w:pPr>
              <w:widowControl/>
              <w:autoSpaceDE/>
              <w:autoSpaceDN/>
              <w:jc w:val="center"/>
              <w:rPr>
                <w:rFonts w:eastAsia="Times New Roman" w:cs="Calibri"/>
                <w:color w:val="000000"/>
                <w:szCs w:val="24"/>
              </w:rPr>
            </w:pPr>
            <w:r w:rsidRPr="00A35FB6">
              <w:rPr>
                <w:szCs w:val="24"/>
              </w:rPr>
              <w:t>20,275</w:t>
            </w:r>
          </w:p>
        </w:tc>
        <w:tc>
          <w:tcPr>
            <w:tcW w:w="0" w:type="auto"/>
            <w:shd w:val="clear" w:color="auto" w:fill="auto"/>
          </w:tcPr>
          <w:p w14:paraId="7FDE4AA5" w14:textId="3D1AF2A3" w:rsidR="00BD735A" w:rsidRPr="00A35FB6" w:rsidRDefault="00BD735A" w:rsidP="00BD735A">
            <w:pPr>
              <w:widowControl/>
              <w:autoSpaceDE/>
              <w:autoSpaceDN/>
              <w:jc w:val="center"/>
              <w:rPr>
                <w:rFonts w:eastAsia="Times New Roman" w:cs="Calibri"/>
                <w:color w:val="000000"/>
                <w:szCs w:val="24"/>
              </w:rPr>
            </w:pPr>
            <w:r w:rsidRPr="00A35FB6">
              <w:rPr>
                <w:szCs w:val="24"/>
              </w:rPr>
              <w:t>21,067</w:t>
            </w:r>
          </w:p>
        </w:tc>
        <w:tc>
          <w:tcPr>
            <w:tcW w:w="0" w:type="auto"/>
            <w:shd w:val="clear" w:color="auto" w:fill="auto"/>
          </w:tcPr>
          <w:p w14:paraId="0DE2976D" w14:textId="4DDB2B0F" w:rsidR="00BD735A" w:rsidRPr="00A35FB6" w:rsidRDefault="00BD735A" w:rsidP="00BD735A">
            <w:pPr>
              <w:widowControl/>
              <w:autoSpaceDE/>
              <w:autoSpaceDN/>
              <w:jc w:val="center"/>
              <w:rPr>
                <w:rFonts w:eastAsia="Times New Roman" w:cs="Calibri"/>
                <w:color w:val="000000"/>
                <w:szCs w:val="24"/>
              </w:rPr>
            </w:pPr>
            <w:r w:rsidRPr="00A35FB6">
              <w:rPr>
                <w:szCs w:val="24"/>
              </w:rPr>
              <w:t>17,723</w:t>
            </w:r>
          </w:p>
        </w:tc>
        <w:tc>
          <w:tcPr>
            <w:tcW w:w="0" w:type="auto"/>
            <w:shd w:val="clear" w:color="auto" w:fill="auto"/>
          </w:tcPr>
          <w:p w14:paraId="48D7F143" w14:textId="6C0FC21A" w:rsidR="00BD735A" w:rsidRPr="00A35FB6" w:rsidRDefault="00BD735A" w:rsidP="00BD735A">
            <w:pPr>
              <w:widowControl/>
              <w:autoSpaceDE/>
              <w:autoSpaceDN/>
              <w:jc w:val="center"/>
              <w:rPr>
                <w:rFonts w:eastAsia="Times New Roman" w:cs="Calibri"/>
                <w:color w:val="000000"/>
                <w:szCs w:val="24"/>
              </w:rPr>
            </w:pPr>
            <w:r w:rsidRPr="00A35FB6">
              <w:rPr>
                <w:szCs w:val="24"/>
              </w:rPr>
              <w:t>20,966</w:t>
            </w:r>
          </w:p>
        </w:tc>
        <w:tc>
          <w:tcPr>
            <w:tcW w:w="0" w:type="auto"/>
            <w:shd w:val="clear" w:color="auto" w:fill="auto"/>
          </w:tcPr>
          <w:p w14:paraId="1F4F67D1" w14:textId="33964F9D" w:rsidR="00BD735A" w:rsidRPr="00A35FB6" w:rsidRDefault="00BD735A" w:rsidP="00BD735A">
            <w:pPr>
              <w:widowControl/>
              <w:autoSpaceDE/>
              <w:autoSpaceDN/>
              <w:jc w:val="center"/>
              <w:rPr>
                <w:rFonts w:eastAsia="Times New Roman" w:cs="Calibri"/>
                <w:color w:val="000000"/>
                <w:szCs w:val="24"/>
              </w:rPr>
            </w:pPr>
            <w:r w:rsidRPr="00A35FB6">
              <w:rPr>
                <w:szCs w:val="24"/>
              </w:rPr>
              <w:t>21,059</w:t>
            </w:r>
          </w:p>
        </w:tc>
        <w:tc>
          <w:tcPr>
            <w:tcW w:w="0" w:type="auto"/>
            <w:shd w:val="clear" w:color="auto" w:fill="auto"/>
          </w:tcPr>
          <w:p w14:paraId="444E738C" w14:textId="287910BB" w:rsidR="00BD735A" w:rsidRPr="00A35FB6" w:rsidRDefault="00BD735A" w:rsidP="00BD735A">
            <w:pPr>
              <w:widowControl/>
              <w:autoSpaceDE/>
              <w:autoSpaceDN/>
              <w:jc w:val="center"/>
              <w:rPr>
                <w:rFonts w:eastAsia="Times New Roman" w:cs="Calibri"/>
                <w:color w:val="000000"/>
                <w:szCs w:val="24"/>
              </w:rPr>
            </w:pPr>
            <w:r w:rsidRPr="00A35FB6">
              <w:rPr>
                <w:szCs w:val="24"/>
              </w:rPr>
              <w:t>18,288</w:t>
            </w:r>
          </w:p>
        </w:tc>
        <w:tc>
          <w:tcPr>
            <w:tcW w:w="0" w:type="auto"/>
            <w:shd w:val="clear" w:color="auto" w:fill="auto"/>
            <w:noWrap/>
          </w:tcPr>
          <w:p w14:paraId="10B3ABA9" w14:textId="667ABD6A" w:rsidR="00BD735A" w:rsidRPr="00C6108D" w:rsidRDefault="00202AE3" w:rsidP="73C5F927">
            <w:pPr>
              <w:widowControl/>
              <w:autoSpaceDE/>
              <w:autoSpaceDN/>
              <w:jc w:val="center"/>
              <w:rPr>
                <w:rFonts w:eastAsia="Times New Roman" w:cs="Calibri"/>
                <w:color w:val="000000"/>
                <w:szCs w:val="24"/>
              </w:rPr>
            </w:pPr>
            <w:r w:rsidRPr="00C6108D">
              <w:rPr>
                <w:szCs w:val="24"/>
              </w:rPr>
              <w:t>-</w:t>
            </w:r>
            <w:r w:rsidR="0038421A">
              <w:rPr>
                <w:szCs w:val="24"/>
              </w:rPr>
              <w:t>10</w:t>
            </w:r>
            <w:r w:rsidR="20C6B25B" w:rsidRPr="00C6108D">
              <w:rPr>
                <w:szCs w:val="24"/>
              </w:rPr>
              <w:t>%</w:t>
            </w:r>
          </w:p>
        </w:tc>
      </w:tr>
    </w:tbl>
    <w:p w14:paraId="330B6C21" w14:textId="77777777" w:rsidR="00745351" w:rsidRDefault="00745351" w:rsidP="00F07C69">
      <w:pPr>
        <w:rPr>
          <w:rFonts w:asciiTheme="minorHAnsi" w:hAnsiTheme="minorHAnsi"/>
          <w:bCs/>
          <w:szCs w:val="24"/>
        </w:rPr>
      </w:pPr>
    </w:p>
    <w:p w14:paraId="43E58AE3" w14:textId="57D13595" w:rsidR="00F07C69" w:rsidRPr="00E71387" w:rsidRDefault="00F07C69" w:rsidP="00BA2054">
      <w:pPr>
        <w:rPr>
          <w:rFonts w:asciiTheme="minorHAnsi" w:hAnsiTheme="minorHAnsi"/>
          <w:bCs/>
          <w:szCs w:val="24"/>
        </w:rPr>
      </w:pPr>
      <w:r>
        <w:rPr>
          <w:rFonts w:asciiTheme="minorHAnsi" w:hAnsiTheme="minorHAnsi"/>
          <w:bCs/>
          <w:szCs w:val="24"/>
        </w:rPr>
        <w:t xml:space="preserve">The Applicant attributes the </w:t>
      </w:r>
      <w:r w:rsidR="00BC36F8" w:rsidDel="00DF18CE">
        <w:rPr>
          <w:rFonts w:asciiTheme="minorHAnsi" w:hAnsiTheme="minorHAnsi"/>
          <w:bCs/>
          <w:szCs w:val="24"/>
        </w:rPr>
        <w:t>1</w:t>
      </w:r>
      <w:r w:rsidR="00BC36F8" w:rsidDel="004714CE">
        <w:rPr>
          <w:rFonts w:asciiTheme="minorHAnsi" w:hAnsiTheme="minorHAnsi"/>
          <w:bCs/>
          <w:szCs w:val="24"/>
        </w:rPr>
        <w:t>8</w:t>
      </w:r>
      <w:r w:rsidR="00BC36F8">
        <w:rPr>
          <w:rFonts w:asciiTheme="minorHAnsi" w:hAnsiTheme="minorHAnsi"/>
          <w:bCs/>
          <w:szCs w:val="24"/>
        </w:rPr>
        <w:t xml:space="preserve">.8% </w:t>
      </w:r>
      <w:r>
        <w:rPr>
          <w:rFonts w:asciiTheme="minorHAnsi" w:hAnsiTheme="minorHAnsi"/>
          <w:bCs/>
          <w:szCs w:val="24"/>
        </w:rPr>
        <w:t xml:space="preserve">increase in LINAC therapy utilization </w:t>
      </w:r>
      <w:r w:rsidR="00A6754B">
        <w:rPr>
          <w:rFonts w:asciiTheme="minorHAnsi" w:hAnsiTheme="minorHAnsi"/>
          <w:bCs/>
          <w:szCs w:val="24"/>
        </w:rPr>
        <w:t xml:space="preserve">by its Patient Panel between 2020 and 2022, </w:t>
      </w:r>
      <w:r>
        <w:rPr>
          <w:rFonts w:asciiTheme="minorHAnsi" w:hAnsiTheme="minorHAnsi"/>
          <w:bCs/>
          <w:szCs w:val="24"/>
        </w:rPr>
        <w:t xml:space="preserve">to </w:t>
      </w:r>
      <w:r w:rsidR="00E71387">
        <w:rPr>
          <w:rFonts w:asciiTheme="minorHAnsi" w:hAnsiTheme="minorHAnsi"/>
          <w:bCs/>
          <w:szCs w:val="24"/>
        </w:rPr>
        <w:t>(1) the r</w:t>
      </w:r>
      <w:r w:rsidRPr="00E71387">
        <w:rPr>
          <w:rFonts w:asciiTheme="minorHAnsi" w:hAnsiTheme="minorHAnsi"/>
          <w:bCs/>
          <w:szCs w:val="24"/>
        </w:rPr>
        <w:t>eceipt of care delayed by patients during the COVID-19 pandemic</w:t>
      </w:r>
      <w:r w:rsidR="00585E6E">
        <w:rPr>
          <w:rFonts w:asciiTheme="minorHAnsi" w:hAnsiTheme="minorHAnsi"/>
          <w:bCs/>
          <w:szCs w:val="24"/>
        </w:rPr>
        <w:t xml:space="preserve">, </w:t>
      </w:r>
      <w:r w:rsidRPr="00E71387">
        <w:rPr>
          <w:rFonts w:asciiTheme="minorHAnsi" w:hAnsiTheme="minorHAnsi"/>
          <w:bCs/>
          <w:szCs w:val="24"/>
        </w:rPr>
        <w:t>includ</w:t>
      </w:r>
      <w:r w:rsidR="00585E6E">
        <w:rPr>
          <w:rFonts w:asciiTheme="minorHAnsi" w:hAnsiTheme="minorHAnsi"/>
          <w:bCs/>
          <w:szCs w:val="24"/>
        </w:rPr>
        <w:t>ing</w:t>
      </w:r>
      <w:r w:rsidRPr="00E71387">
        <w:rPr>
          <w:rFonts w:asciiTheme="minorHAnsi" w:hAnsiTheme="minorHAnsi"/>
          <w:bCs/>
          <w:szCs w:val="24"/>
        </w:rPr>
        <w:t xml:space="preserve"> patients presenting with more advanced disease requiring radiation therapy, and </w:t>
      </w:r>
      <w:r w:rsidR="00E71387">
        <w:rPr>
          <w:rFonts w:asciiTheme="minorHAnsi" w:hAnsiTheme="minorHAnsi"/>
          <w:bCs/>
          <w:szCs w:val="24"/>
        </w:rPr>
        <w:t>(2) g</w:t>
      </w:r>
      <w:r w:rsidRPr="00E71387">
        <w:rPr>
          <w:rFonts w:asciiTheme="minorHAnsi" w:hAnsiTheme="minorHAnsi"/>
          <w:bCs/>
          <w:szCs w:val="24"/>
        </w:rPr>
        <w:t xml:space="preserve">eneral increases in the incidence of cancer cases. </w:t>
      </w:r>
    </w:p>
    <w:p w14:paraId="00EC0CC5" w14:textId="25AA664B" w:rsidR="00525B0A" w:rsidRPr="00EE62A1" w:rsidRDefault="00DE0BD2" w:rsidP="00BA2054">
      <w:pPr>
        <w:rPr>
          <w:rFonts w:asciiTheme="minorHAnsi" w:hAnsiTheme="minorHAnsi"/>
          <w:bCs/>
          <w:szCs w:val="24"/>
        </w:rPr>
      </w:pPr>
      <w:r>
        <w:rPr>
          <w:rFonts w:asciiTheme="minorHAnsi" w:hAnsiTheme="minorHAnsi"/>
          <w:bCs/>
          <w:szCs w:val="24"/>
        </w:rPr>
        <w:t xml:space="preserve">Table </w:t>
      </w:r>
      <w:r w:rsidR="0001174D">
        <w:rPr>
          <w:rFonts w:asciiTheme="minorHAnsi" w:hAnsiTheme="minorHAnsi"/>
          <w:bCs/>
          <w:szCs w:val="24"/>
        </w:rPr>
        <w:t>3</w:t>
      </w:r>
      <w:r w:rsidR="002D5360">
        <w:rPr>
          <w:rFonts w:asciiTheme="minorHAnsi" w:hAnsiTheme="minorHAnsi"/>
          <w:bCs/>
          <w:szCs w:val="24"/>
        </w:rPr>
        <w:t>0</w:t>
      </w:r>
      <w:r>
        <w:rPr>
          <w:rFonts w:asciiTheme="minorHAnsi" w:hAnsiTheme="minorHAnsi"/>
          <w:bCs/>
          <w:szCs w:val="24"/>
        </w:rPr>
        <w:t xml:space="preserve"> shows radiation therapy volume by disease center. </w:t>
      </w:r>
      <w:r w:rsidR="00CE0A6C" w:rsidRPr="00CE0A6C">
        <w:rPr>
          <w:rFonts w:asciiTheme="minorHAnsi" w:hAnsiTheme="minorHAnsi"/>
          <w:bCs/>
          <w:szCs w:val="24"/>
        </w:rPr>
        <w:t xml:space="preserve">The Applicant attributes the decrease in radiation therapy usage for genitourinary oncology patients </w:t>
      </w:r>
      <w:r w:rsidR="00CF55FB">
        <w:rPr>
          <w:rFonts w:asciiTheme="minorHAnsi" w:hAnsiTheme="minorHAnsi"/>
          <w:bCs/>
          <w:szCs w:val="24"/>
        </w:rPr>
        <w:t xml:space="preserve">in FY23 </w:t>
      </w:r>
      <w:r w:rsidR="00CE0A6C" w:rsidRPr="00CE0A6C">
        <w:rPr>
          <w:rFonts w:asciiTheme="minorHAnsi" w:hAnsiTheme="minorHAnsi"/>
          <w:bCs/>
          <w:szCs w:val="24"/>
        </w:rPr>
        <w:t xml:space="preserve">to a deliberate change in equipment used to treat such patients. </w:t>
      </w:r>
      <w:r w:rsidR="008A1492">
        <w:rPr>
          <w:rFonts w:asciiTheme="minorHAnsi" w:hAnsiTheme="minorHAnsi"/>
          <w:bCs/>
          <w:szCs w:val="24"/>
        </w:rPr>
        <w:t xml:space="preserve">The Applicant states that </w:t>
      </w:r>
      <w:r w:rsidR="00CE0A6C" w:rsidRPr="00CE0A6C">
        <w:rPr>
          <w:rFonts w:asciiTheme="minorHAnsi" w:hAnsiTheme="minorHAnsi"/>
          <w:bCs/>
          <w:szCs w:val="24"/>
        </w:rPr>
        <w:t>Dana-Farber does not currently operate the equipment now used for treatment.</w:t>
      </w:r>
      <w:r w:rsidRPr="00EE62A1">
        <w:rPr>
          <w:rFonts w:asciiTheme="minorHAnsi" w:hAnsiTheme="minorHAnsi"/>
          <w:bCs/>
          <w:szCs w:val="24"/>
        </w:rPr>
        <w:t xml:space="preserve"> </w:t>
      </w:r>
    </w:p>
    <w:p w14:paraId="663E88E9" w14:textId="77777777" w:rsidR="00B07AF5" w:rsidRDefault="00B07AF5" w:rsidP="00932E5D">
      <w:pPr>
        <w:rPr>
          <w:rFonts w:asciiTheme="minorHAnsi" w:hAnsiTheme="minorHAnsi"/>
          <w:bCs/>
          <w:szCs w:val="24"/>
        </w:rPr>
      </w:pPr>
    </w:p>
    <w:p w14:paraId="0D313CB4" w14:textId="30E16FF2" w:rsidR="00010D59" w:rsidRPr="00560E65" w:rsidRDefault="00560E65" w:rsidP="00932E5D">
      <w:pPr>
        <w:rPr>
          <w:rFonts w:asciiTheme="minorHAnsi" w:hAnsiTheme="minorHAnsi"/>
          <w:b/>
          <w:bCs/>
          <w:szCs w:val="24"/>
        </w:rPr>
      </w:pPr>
      <w:r w:rsidRPr="00560E65">
        <w:rPr>
          <w:rFonts w:asciiTheme="minorHAnsi" w:hAnsiTheme="minorHAnsi"/>
          <w:b/>
          <w:bCs/>
          <w:szCs w:val="24"/>
          <w:u w:val="single"/>
        </w:rPr>
        <w:t xml:space="preserve">Table </w:t>
      </w:r>
      <w:r w:rsidR="0001174D">
        <w:rPr>
          <w:rFonts w:asciiTheme="minorHAnsi" w:hAnsiTheme="minorHAnsi"/>
          <w:b/>
          <w:bCs/>
          <w:szCs w:val="24"/>
          <w:u w:val="single"/>
        </w:rPr>
        <w:t>3</w:t>
      </w:r>
      <w:r w:rsidR="002D5360">
        <w:rPr>
          <w:rFonts w:asciiTheme="minorHAnsi" w:hAnsiTheme="minorHAnsi"/>
          <w:b/>
          <w:bCs/>
          <w:szCs w:val="24"/>
          <w:u w:val="single"/>
        </w:rPr>
        <w:t>0</w:t>
      </w:r>
      <w:r w:rsidRPr="00560E65">
        <w:rPr>
          <w:rFonts w:asciiTheme="minorHAnsi" w:hAnsiTheme="minorHAnsi"/>
          <w:b/>
          <w:bCs/>
          <w:szCs w:val="24"/>
        </w:rPr>
        <w:t>: Radiation Therapy Volume by Disease Center</w:t>
      </w:r>
      <w:r w:rsidR="004D1D8F">
        <w:rPr>
          <w:rFonts w:asciiTheme="minorHAnsi" w:hAnsiTheme="minorHAnsi"/>
          <w:b/>
          <w:bCs/>
          <w:szCs w:val="24"/>
        </w:rPr>
        <w:t>, Longwood Medical Campus</w:t>
      </w:r>
      <w:r w:rsidR="00FA095F">
        <w:rPr>
          <w:rStyle w:val="FootnoteReference"/>
          <w:rFonts w:asciiTheme="minorHAnsi" w:hAnsiTheme="minorHAnsi"/>
          <w:b/>
          <w:bCs/>
          <w:szCs w:val="24"/>
        </w:rPr>
        <w:footnoteReference w:id="83"/>
      </w:r>
    </w:p>
    <w:tbl>
      <w:tblPr>
        <w:tblW w:w="0" w:type="auto"/>
        <w:tblLook w:val="04A0" w:firstRow="1" w:lastRow="0" w:firstColumn="1" w:lastColumn="0" w:noHBand="0" w:noVBand="1"/>
      </w:tblPr>
      <w:tblGrid>
        <w:gridCol w:w="2905"/>
        <w:gridCol w:w="814"/>
        <w:gridCol w:w="814"/>
        <w:gridCol w:w="814"/>
        <w:gridCol w:w="814"/>
        <w:gridCol w:w="814"/>
        <w:gridCol w:w="814"/>
      </w:tblGrid>
      <w:tr w:rsidR="00024F43" w:rsidRPr="00E52C17" w14:paraId="3CC486A4" w14:textId="77777777" w:rsidTr="009E13F9">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C65D5"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lastRenderedPageBreak/>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532B50D4" w14:textId="36400D99" w:rsidR="00024F43" w:rsidRPr="001668BA" w:rsidRDefault="00A10298" w:rsidP="00C275E1">
            <w:pPr>
              <w:widowControl/>
              <w:autoSpaceDE/>
              <w:autoSpaceDN/>
              <w:jc w:val="center"/>
              <w:rPr>
                <w:rFonts w:asciiTheme="minorHAnsi" w:eastAsia="Times New Roman" w:hAnsiTheme="minorHAnsi"/>
                <w:b/>
                <w:color w:val="000000"/>
                <w:szCs w:val="24"/>
              </w:rPr>
            </w:pPr>
            <w:r w:rsidRPr="001668BA">
              <w:rPr>
                <w:rFonts w:asciiTheme="minorHAnsi" w:eastAsia="Times New Roman" w:hAnsiTheme="minorHAnsi"/>
                <w:b/>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3FC8B48D" w14:textId="32980A3F" w:rsidR="00024F43" w:rsidRPr="001668BA" w:rsidRDefault="00A10298" w:rsidP="00C275E1">
            <w:pPr>
              <w:widowControl/>
              <w:autoSpaceDE/>
              <w:autoSpaceDN/>
              <w:jc w:val="center"/>
              <w:rPr>
                <w:rFonts w:asciiTheme="minorHAnsi" w:eastAsia="Times New Roman" w:hAnsiTheme="minorHAnsi"/>
                <w:b/>
                <w:color w:val="000000"/>
                <w:szCs w:val="24"/>
              </w:rPr>
            </w:pPr>
            <w:r w:rsidRPr="001668BA">
              <w:rPr>
                <w:rFonts w:asciiTheme="minorHAnsi" w:eastAsia="Times New Roman" w:hAnsiTheme="minorHAnsi"/>
                <w:b/>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11C34F68" w14:textId="28C931A6" w:rsidR="00024F43" w:rsidRPr="001668BA" w:rsidRDefault="00A10298" w:rsidP="00C275E1">
            <w:pPr>
              <w:widowControl/>
              <w:autoSpaceDE/>
              <w:autoSpaceDN/>
              <w:jc w:val="center"/>
              <w:rPr>
                <w:rFonts w:asciiTheme="minorHAnsi" w:eastAsia="Times New Roman" w:hAnsiTheme="minorHAnsi"/>
                <w:b/>
                <w:color w:val="000000"/>
                <w:szCs w:val="24"/>
              </w:rPr>
            </w:pPr>
            <w:r w:rsidRPr="001668BA">
              <w:rPr>
                <w:rFonts w:asciiTheme="minorHAnsi" w:eastAsia="Times New Roman" w:hAnsiTheme="minorHAnsi"/>
                <w:b/>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0CC9F584" w14:textId="697E2880" w:rsidR="00024F43" w:rsidRPr="001668BA" w:rsidRDefault="00A10298" w:rsidP="00C275E1">
            <w:pPr>
              <w:widowControl/>
              <w:autoSpaceDE/>
              <w:autoSpaceDN/>
              <w:jc w:val="center"/>
              <w:rPr>
                <w:rFonts w:asciiTheme="minorHAnsi" w:eastAsia="Times New Roman" w:hAnsiTheme="minorHAnsi"/>
                <w:b/>
                <w:color w:val="000000"/>
                <w:szCs w:val="24"/>
              </w:rPr>
            </w:pPr>
            <w:r w:rsidRPr="001668BA">
              <w:rPr>
                <w:rFonts w:asciiTheme="minorHAnsi" w:eastAsia="Times New Roman" w:hAnsiTheme="minorHAnsi"/>
                <w:b/>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tcPr>
          <w:p w14:paraId="3ADC8D4A" w14:textId="178B0222" w:rsidR="00024F43" w:rsidRPr="001668BA" w:rsidRDefault="00A10298" w:rsidP="00C275E1">
            <w:pPr>
              <w:widowControl/>
              <w:autoSpaceDE/>
              <w:autoSpaceDN/>
              <w:jc w:val="center"/>
              <w:rPr>
                <w:rFonts w:asciiTheme="minorHAnsi" w:eastAsia="Times New Roman" w:hAnsiTheme="minorHAnsi"/>
                <w:b/>
                <w:color w:val="000000"/>
                <w:szCs w:val="24"/>
              </w:rPr>
            </w:pPr>
            <w:r w:rsidRPr="001668BA">
              <w:rPr>
                <w:rFonts w:asciiTheme="minorHAnsi" w:eastAsia="Times New Roman" w:hAnsiTheme="minorHAnsi"/>
                <w:b/>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3A251C89" w14:textId="77777777" w:rsidR="00024F43" w:rsidRPr="001668BA" w:rsidRDefault="00024F43" w:rsidP="00C275E1">
            <w:pPr>
              <w:widowControl/>
              <w:autoSpaceDE/>
              <w:autoSpaceDN/>
              <w:jc w:val="center"/>
              <w:rPr>
                <w:rFonts w:asciiTheme="minorHAnsi" w:eastAsia="Times New Roman" w:hAnsiTheme="minorHAnsi"/>
                <w:b/>
                <w:color w:val="000000"/>
                <w:szCs w:val="24"/>
              </w:rPr>
            </w:pPr>
            <w:r w:rsidRPr="001668BA">
              <w:rPr>
                <w:rFonts w:asciiTheme="minorHAnsi" w:eastAsia="Times New Roman" w:hAnsiTheme="minorHAnsi"/>
                <w:b/>
                <w:color w:val="000000"/>
                <w:szCs w:val="24"/>
              </w:rPr>
              <w:t>FY23</w:t>
            </w:r>
          </w:p>
        </w:tc>
      </w:tr>
      <w:tr w:rsidR="00024F43" w:rsidRPr="00E52C17" w14:paraId="429FF869"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E175F"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pacing w:val="-2"/>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4C837087" w14:textId="7CBB0AF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w:t>
            </w:r>
            <w:r w:rsidR="00C275E1" w:rsidRPr="00E52C17">
              <w:rPr>
                <w:rFonts w:asciiTheme="minorHAnsi" w:eastAsia="Times New Roman" w:hAnsiTheme="minorHAnsi"/>
                <w:color w:val="000000"/>
                <w:spacing w:val="-2"/>
                <w:szCs w:val="24"/>
              </w:rPr>
              <w:t>,</w:t>
            </w:r>
            <w:r w:rsidRPr="00E52C17">
              <w:rPr>
                <w:rFonts w:asciiTheme="minorHAnsi" w:eastAsia="Times New Roman" w:hAnsiTheme="minorHAnsi"/>
                <w:color w:val="000000"/>
                <w:spacing w:val="-2"/>
                <w:szCs w:val="24"/>
              </w:rPr>
              <w:t>034</w:t>
            </w:r>
          </w:p>
        </w:tc>
        <w:tc>
          <w:tcPr>
            <w:tcW w:w="0" w:type="auto"/>
            <w:tcBorders>
              <w:top w:val="nil"/>
              <w:left w:val="nil"/>
              <w:bottom w:val="single" w:sz="4" w:space="0" w:color="auto"/>
              <w:right w:val="single" w:sz="4" w:space="0" w:color="auto"/>
            </w:tcBorders>
            <w:shd w:val="clear" w:color="auto" w:fill="auto"/>
            <w:noWrap/>
            <w:vAlign w:val="bottom"/>
            <w:hideMark/>
          </w:tcPr>
          <w:p w14:paraId="6980BCCA" w14:textId="2EA0AA48"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w:t>
            </w:r>
            <w:r w:rsidR="00C275E1" w:rsidRPr="00E52C17">
              <w:rPr>
                <w:rFonts w:asciiTheme="minorHAnsi" w:eastAsia="Times New Roman" w:hAnsiTheme="minorHAnsi"/>
                <w:color w:val="000000"/>
                <w:spacing w:val="-2"/>
                <w:szCs w:val="24"/>
              </w:rPr>
              <w:t>,</w:t>
            </w:r>
            <w:r w:rsidRPr="00E52C17">
              <w:rPr>
                <w:rFonts w:asciiTheme="minorHAnsi" w:eastAsia="Times New Roman" w:hAnsiTheme="minorHAnsi"/>
                <w:color w:val="000000"/>
                <w:spacing w:val="-2"/>
                <w:szCs w:val="24"/>
              </w:rPr>
              <w:t>146</w:t>
            </w:r>
          </w:p>
        </w:tc>
        <w:tc>
          <w:tcPr>
            <w:tcW w:w="0" w:type="auto"/>
            <w:tcBorders>
              <w:top w:val="nil"/>
              <w:left w:val="nil"/>
              <w:bottom w:val="single" w:sz="4" w:space="0" w:color="auto"/>
              <w:right w:val="single" w:sz="4" w:space="0" w:color="auto"/>
            </w:tcBorders>
            <w:shd w:val="clear" w:color="auto" w:fill="auto"/>
            <w:noWrap/>
            <w:vAlign w:val="bottom"/>
            <w:hideMark/>
          </w:tcPr>
          <w:p w14:paraId="0AD771BF"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5"/>
                <w:szCs w:val="24"/>
              </w:rPr>
              <w:t>963</w:t>
            </w:r>
          </w:p>
        </w:tc>
        <w:tc>
          <w:tcPr>
            <w:tcW w:w="0" w:type="auto"/>
            <w:tcBorders>
              <w:top w:val="nil"/>
              <w:left w:val="nil"/>
              <w:bottom w:val="single" w:sz="4" w:space="0" w:color="auto"/>
              <w:right w:val="single" w:sz="4" w:space="0" w:color="auto"/>
            </w:tcBorders>
            <w:shd w:val="clear" w:color="auto" w:fill="auto"/>
            <w:noWrap/>
            <w:vAlign w:val="bottom"/>
            <w:hideMark/>
          </w:tcPr>
          <w:p w14:paraId="06335022" w14:textId="64B14C11"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w:t>
            </w:r>
            <w:r w:rsidR="00C275E1" w:rsidRPr="00E52C17">
              <w:rPr>
                <w:rFonts w:asciiTheme="minorHAnsi" w:eastAsia="Times New Roman" w:hAnsiTheme="minorHAnsi"/>
                <w:color w:val="000000"/>
                <w:spacing w:val="-2"/>
                <w:szCs w:val="24"/>
              </w:rPr>
              <w:t>,</w:t>
            </w:r>
            <w:r w:rsidRPr="00E52C17">
              <w:rPr>
                <w:rFonts w:asciiTheme="minorHAnsi" w:eastAsia="Times New Roman" w:hAnsiTheme="minorHAnsi"/>
                <w:color w:val="000000"/>
                <w:spacing w:val="-2"/>
                <w:szCs w:val="24"/>
              </w:rPr>
              <w:t>125</w:t>
            </w:r>
          </w:p>
        </w:tc>
        <w:tc>
          <w:tcPr>
            <w:tcW w:w="0" w:type="auto"/>
            <w:tcBorders>
              <w:top w:val="nil"/>
              <w:left w:val="nil"/>
              <w:bottom w:val="single" w:sz="4" w:space="0" w:color="auto"/>
              <w:right w:val="single" w:sz="4" w:space="0" w:color="auto"/>
            </w:tcBorders>
            <w:shd w:val="clear" w:color="auto" w:fill="auto"/>
            <w:noWrap/>
            <w:vAlign w:val="bottom"/>
            <w:hideMark/>
          </w:tcPr>
          <w:p w14:paraId="7995CE1D" w14:textId="00C0260F"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2"/>
                <w:szCs w:val="24"/>
              </w:rPr>
              <w:t>1</w:t>
            </w:r>
            <w:r w:rsidR="00C275E1" w:rsidRPr="00E52C17">
              <w:rPr>
                <w:rFonts w:asciiTheme="minorHAnsi" w:eastAsia="Times New Roman" w:hAnsiTheme="minorHAnsi"/>
                <w:color w:val="000000"/>
                <w:spacing w:val="-2"/>
                <w:szCs w:val="24"/>
              </w:rPr>
              <w:t>,</w:t>
            </w:r>
            <w:r w:rsidRPr="00E52C17">
              <w:rPr>
                <w:rFonts w:asciiTheme="minorHAnsi" w:eastAsia="Times New Roman" w:hAnsiTheme="minorHAnsi"/>
                <w:color w:val="000000"/>
                <w:spacing w:val="-2"/>
                <w:szCs w:val="24"/>
              </w:rPr>
              <w:t>125</w:t>
            </w:r>
          </w:p>
        </w:tc>
        <w:tc>
          <w:tcPr>
            <w:tcW w:w="0" w:type="auto"/>
            <w:tcBorders>
              <w:top w:val="nil"/>
              <w:left w:val="nil"/>
              <w:bottom w:val="single" w:sz="4" w:space="0" w:color="auto"/>
              <w:right w:val="single" w:sz="4" w:space="0" w:color="auto"/>
            </w:tcBorders>
            <w:shd w:val="clear" w:color="auto" w:fill="auto"/>
            <w:noWrap/>
            <w:vAlign w:val="bottom"/>
            <w:hideMark/>
          </w:tcPr>
          <w:p w14:paraId="03111D5C"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pacing w:val="-5"/>
                <w:szCs w:val="24"/>
              </w:rPr>
              <w:t>886</w:t>
            </w:r>
          </w:p>
        </w:tc>
      </w:tr>
      <w:tr w:rsidR="00024F43" w:rsidRPr="00E52C17" w14:paraId="3FC8065D"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09B183"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Breast Oncology Center</w:t>
            </w:r>
          </w:p>
        </w:tc>
        <w:tc>
          <w:tcPr>
            <w:tcW w:w="0" w:type="auto"/>
            <w:tcBorders>
              <w:top w:val="nil"/>
              <w:left w:val="nil"/>
              <w:bottom w:val="single" w:sz="4" w:space="0" w:color="auto"/>
              <w:right w:val="single" w:sz="4" w:space="0" w:color="auto"/>
            </w:tcBorders>
            <w:shd w:val="clear" w:color="auto" w:fill="auto"/>
            <w:noWrap/>
            <w:vAlign w:val="bottom"/>
            <w:hideMark/>
          </w:tcPr>
          <w:p w14:paraId="24EB9F25"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37.0%</w:t>
            </w:r>
          </w:p>
        </w:tc>
        <w:tc>
          <w:tcPr>
            <w:tcW w:w="0" w:type="auto"/>
            <w:tcBorders>
              <w:top w:val="nil"/>
              <w:left w:val="nil"/>
              <w:bottom w:val="single" w:sz="4" w:space="0" w:color="auto"/>
              <w:right w:val="single" w:sz="4" w:space="0" w:color="auto"/>
            </w:tcBorders>
            <w:shd w:val="clear" w:color="auto" w:fill="auto"/>
            <w:noWrap/>
            <w:vAlign w:val="bottom"/>
            <w:hideMark/>
          </w:tcPr>
          <w:p w14:paraId="7E451CE3"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35.3%</w:t>
            </w:r>
          </w:p>
        </w:tc>
        <w:tc>
          <w:tcPr>
            <w:tcW w:w="0" w:type="auto"/>
            <w:tcBorders>
              <w:top w:val="nil"/>
              <w:left w:val="nil"/>
              <w:bottom w:val="single" w:sz="4" w:space="0" w:color="auto"/>
              <w:right w:val="single" w:sz="4" w:space="0" w:color="auto"/>
            </w:tcBorders>
            <w:shd w:val="clear" w:color="auto" w:fill="auto"/>
            <w:noWrap/>
            <w:vAlign w:val="bottom"/>
            <w:hideMark/>
          </w:tcPr>
          <w:p w14:paraId="3C72377C"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35.8%</w:t>
            </w:r>
          </w:p>
        </w:tc>
        <w:tc>
          <w:tcPr>
            <w:tcW w:w="0" w:type="auto"/>
            <w:tcBorders>
              <w:top w:val="nil"/>
              <w:left w:val="nil"/>
              <w:bottom w:val="single" w:sz="4" w:space="0" w:color="auto"/>
              <w:right w:val="single" w:sz="4" w:space="0" w:color="auto"/>
            </w:tcBorders>
            <w:shd w:val="clear" w:color="auto" w:fill="auto"/>
            <w:noWrap/>
            <w:vAlign w:val="bottom"/>
            <w:hideMark/>
          </w:tcPr>
          <w:p w14:paraId="04C7762E"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39.8%</w:t>
            </w:r>
          </w:p>
        </w:tc>
        <w:tc>
          <w:tcPr>
            <w:tcW w:w="0" w:type="auto"/>
            <w:tcBorders>
              <w:top w:val="nil"/>
              <w:left w:val="nil"/>
              <w:bottom w:val="single" w:sz="4" w:space="0" w:color="auto"/>
              <w:right w:val="single" w:sz="4" w:space="0" w:color="auto"/>
            </w:tcBorders>
            <w:shd w:val="clear" w:color="auto" w:fill="auto"/>
            <w:noWrap/>
            <w:vAlign w:val="bottom"/>
            <w:hideMark/>
          </w:tcPr>
          <w:p w14:paraId="730D65ED"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14:paraId="640C1D2C"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45.7%</w:t>
            </w:r>
          </w:p>
        </w:tc>
      </w:tr>
      <w:tr w:rsidR="00024F43" w:rsidRPr="00E52C17" w14:paraId="7DADAB4C"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A8EE68"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Head and Neck Oncology</w:t>
            </w:r>
          </w:p>
        </w:tc>
        <w:tc>
          <w:tcPr>
            <w:tcW w:w="0" w:type="auto"/>
            <w:tcBorders>
              <w:top w:val="nil"/>
              <w:left w:val="nil"/>
              <w:bottom w:val="single" w:sz="4" w:space="0" w:color="auto"/>
              <w:right w:val="single" w:sz="4" w:space="0" w:color="auto"/>
            </w:tcBorders>
            <w:shd w:val="clear" w:color="auto" w:fill="auto"/>
            <w:noWrap/>
            <w:vAlign w:val="bottom"/>
            <w:hideMark/>
          </w:tcPr>
          <w:p w14:paraId="26CEF6B5"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24.3%</w:t>
            </w:r>
          </w:p>
        </w:tc>
        <w:tc>
          <w:tcPr>
            <w:tcW w:w="0" w:type="auto"/>
            <w:tcBorders>
              <w:top w:val="nil"/>
              <w:left w:val="nil"/>
              <w:bottom w:val="single" w:sz="4" w:space="0" w:color="auto"/>
              <w:right w:val="single" w:sz="4" w:space="0" w:color="auto"/>
            </w:tcBorders>
            <w:shd w:val="clear" w:color="auto" w:fill="auto"/>
            <w:noWrap/>
            <w:vAlign w:val="bottom"/>
            <w:hideMark/>
          </w:tcPr>
          <w:p w14:paraId="6CDB3905"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22.0%</w:t>
            </w:r>
          </w:p>
        </w:tc>
        <w:tc>
          <w:tcPr>
            <w:tcW w:w="0" w:type="auto"/>
            <w:tcBorders>
              <w:top w:val="nil"/>
              <w:left w:val="nil"/>
              <w:bottom w:val="single" w:sz="4" w:space="0" w:color="auto"/>
              <w:right w:val="single" w:sz="4" w:space="0" w:color="auto"/>
            </w:tcBorders>
            <w:shd w:val="clear" w:color="auto" w:fill="auto"/>
            <w:noWrap/>
            <w:vAlign w:val="bottom"/>
            <w:hideMark/>
          </w:tcPr>
          <w:p w14:paraId="312768A8"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20.2%</w:t>
            </w:r>
          </w:p>
        </w:tc>
        <w:tc>
          <w:tcPr>
            <w:tcW w:w="0" w:type="auto"/>
            <w:tcBorders>
              <w:top w:val="nil"/>
              <w:left w:val="nil"/>
              <w:bottom w:val="single" w:sz="4" w:space="0" w:color="auto"/>
              <w:right w:val="single" w:sz="4" w:space="0" w:color="auto"/>
            </w:tcBorders>
            <w:shd w:val="clear" w:color="auto" w:fill="auto"/>
            <w:noWrap/>
            <w:vAlign w:val="bottom"/>
            <w:hideMark/>
          </w:tcPr>
          <w:p w14:paraId="4FE6C7FA"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21.0%</w:t>
            </w:r>
          </w:p>
        </w:tc>
        <w:tc>
          <w:tcPr>
            <w:tcW w:w="0" w:type="auto"/>
            <w:tcBorders>
              <w:top w:val="nil"/>
              <w:left w:val="nil"/>
              <w:bottom w:val="single" w:sz="4" w:space="0" w:color="auto"/>
              <w:right w:val="single" w:sz="4" w:space="0" w:color="auto"/>
            </w:tcBorders>
            <w:shd w:val="clear" w:color="auto" w:fill="auto"/>
            <w:noWrap/>
            <w:vAlign w:val="bottom"/>
            <w:hideMark/>
          </w:tcPr>
          <w:p w14:paraId="63929E94"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20.5%</w:t>
            </w:r>
          </w:p>
        </w:tc>
        <w:tc>
          <w:tcPr>
            <w:tcW w:w="0" w:type="auto"/>
            <w:tcBorders>
              <w:top w:val="nil"/>
              <w:left w:val="nil"/>
              <w:bottom w:val="single" w:sz="4" w:space="0" w:color="auto"/>
              <w:right w:val="single" w:sz="4" w:space="0" w:color="auto"/>
            </w:tcBorders>
            <w:shd w:val="clear" w:color="auto" w:fill="auto"/>
            <w:noWrap/>
            <w:vAlign w:val="bottom"/>
            <w:hideMark/>
          </w:tcPr>
          <w:p w14:paraId="0ADA8F07"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26.1%</w:t>
            </w:r>
          </w:p>
        </w:tc>
      </w:tr>
      <w:tr w:rsidR="00024F43" w:rsidRPr="00E52C17" w14:paraId="10122DC1"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9185D0"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Thoracic Oncology Program</w:t>
            </w:r>
          </w:p>
        </w:tc>
        <w:tc>
          <w:tcPr>
            <w:tcW w:w="0" w:type="auto"/>
            <w:tcBorders>
              <w:top w:val="nil"/>
              <w:left w:val="nil"/>
              <w:bottom w:val="single" w:sz="4" w:space="0" w:color="auto"/>
              <w:right w:val="single" w:sz="4" w:space="0" w:color="auto"/>
            </w:tcBorders>
            <w:shd w:val="clear" w:color="auto" w:fill="auto"/>
            <w:noWrap/>
            <w:vAlign w:val="bottom"/>
            <w:hideMark/>
          </w:tcPr>
          <w:p w14:paraId="0BC73224"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19.4%</w:t>
            </w:r>
          </w:p>
        </w:tc>
        <w:tc>
          <w:tcPr>
            <w:tcW w:w="0" w:type="auto"/>
            <w:tcBorders>
              <w:top w:val="nil"/>
              <w:left w:val="nil"/>
              <w:bottom w:val="single" w:sz="4" w:space="0" w:color="auto"/>
              <w:right w:val="single" w:sz="4" w:space="0" w:color="auto"/>
            </w:tcBorders>
            <w:shd w:val="clear" w:color="auto" w:fill="auto"/>
            <w:noWrap/>
            <w:vAlign w:val="bottom"/>
            <w:hideMark/>
          </w:tcPr>
          <w:p w14:paraId="73DB3DAE"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16.9%</w:t>
            </w:r>
          </w:p>
        </w:tc>
        <w:tc>
          <w:tcPr>
            <w:tcW w:w="0" w:type="auto"/>
            <w:tcBorders>
              <w:top w:val="nil"/>
              <w:left w:val="nil"/>
              <w:bottom w:val="single" w:sz="4" w:space="0" w:color="auto"/>
              <w:right w:val="single" w:sz="4" w:space="0" w:color="auto"/>
            </w:tcBorders>
            <w:shd w:val="clear" w:color="auto" w:fill="auto"/>
            <w:noWrap/>
            <w:vAlign w:val="bottom"/>
            <w:hideMark/>
          </w:tcPr>
          <w:p w14:paraId="3CDA3BAA"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20.4%</w:t>
            </w:r>
          </w:p>
        </w:tc>
        <w:tc>
          <w:tcPr>
            <w:tcW w:w="0" w:type="auto"/>
            <w:tcBorders>
              <w:top w:val="nil"/>
              <w:left w:val="nil"/>
              <w:bottom w:val="single" w:sz="4" w:space="0" w:color="auto"/>
              <w:right w:val="single" w:sz="4" w:space="0" w:color="auto"/>
            </w:tcBorders>
            <w:shd w:val="clear" w:color="auto" w:fill="auto"/>
            <w:noWrap/>
            <w:vAlign w:val="bottom"/>
            <w:hideMark/>
          </w:tcPr>
          <w:p w14:paraId="1B2FC18D"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16.9%</w:t>
            </w:r>
          </w:p>
        </w:tc>
        <w:tc>
          <w:tcPr>
            <w:tcW w:w="0" w:type="auto"/>
            <w:tcBorders>
              <w:top w:val="nil"/>
              <w:left w:val="nil"/>
              <w:bottom w:val="single" w:sz="4" w:space="0" w:color="auto"/>
              <w:right w:val="single" w:sz="4" w:space="0" w:color="auto"/>
            </w:tcBorders>
            <w:shd w:val="clear" w:color="auto" w:fill="auto"/>
            <w:noWrap/>
            <w:vAlign w:val="bottom"/>
            <w:hideMark/>
          </w:tcPr>
          <w:p w14:paraId="1220FB11"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14.4%</w:t>
            </w:r>
          </w:p>
        </w:tc>
        <w:tc>
          <w:tcPr>
            <w:tcW w:w="0" w:type="auto"/>
            <w:tcBorders>
              <w:top w:val="nil"/>
              <w:left w:val="nil"/>
              <w:bottom w:val="single" w:sz="4" w:space="0" w:color="auto"/>
              <w:right w:val="single" w:sz="4" w:space="0" w:color="auto"/>
            </w:tcBorders>
            <w:shd w:val="clear" w:color="auto" w:fill="auto"/>
            <w:noWrap/>
            <w:vAlign w:val="bottom"/>
            <w:hideMark/>
          </w:tcPr>
          <w:p w14:paraId="164C8189"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13.8%</w:t>
            </w:r>
          </w:p>
        </w:tc>
      </w:tr>
      <w:tr w:rsidR="00024F43" w:rsidRPr="00E52C17" w14:paraId="33866C6E"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71F572" w14:textId="2FEDE17B"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Other Oncology</w:t>
            </w:r>
            <w:r w:rsidR="00A10298" w:rsidRPr="00E52C17">
              <w:rPr>
                <w:rStyle w:val="FootnoteReference"/>
                <w:rFonts w:asciiTheme="minorHAnsi" w:eastAsia="Times New Roman" w:hAnsiTheme="minorHAnsi"/>
                <w:color w:val="000000"/>
                <w:szCs w:val="24"/>
              </w:rPr>
              <w:footnoteReference w:id="84"/>
            </w:r>
          </w:p>
        </w:tc>
        <w:tc>
          <w:tcPr>
            <w:tcW w:w="0" w:type="auto"/>
            <w:tcBorders>
              <w:top w:val="nil"/>
              <w:left w:val="nil"/>
              <w:bottom w:val="single" w:sz="4" w:space="0" w:color="auto"/>
              <w:right w:val="single" w:sz="4" w:space="0" w:color="auto"/>
            </w:tcBorders>
            <w:shd w:val="clear" w:color="auto" w:fill="auto"/>
            <w:noWrap/>
            <w:vAlign w:val="bottom"/>
            <w:hideMark/>
          </w:tcPr>
          <w:p w14:paraId="42E1CFF6"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7.8%</w:t>
            </w:r>
          </w:p>
        </w:tc>
        <w:tc>
          <w:tcPr>
            <w:tcW w:w="0" w:type="auto"/>
            <w:tcBorders>
              <w:top w:val="nil"/>
              <w:left w:val="nil"/>
              <w:bottom w:val="single" w:sz="4" w:space="0" w:color="auto"/>
              <w:right w:val="single" w:sz="4" w:space="0" w:color="auto"/>
            </w:tcBorders>
            <w:shd w:val="clear" w:color="auto" w:fill="auto"/>
            <w:noWrap/>
            <w:vAlign w:val="bottom"/>
            <w:hideMark/>
          </w:tcPr>
          <w:p w14:paraId="6BF3D706"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8.8%</w:t>
            </w:r>
          </w:p>
        </w:tc>
        <w:tc>
          <w:tcPr>
            <w:tcW w:w="0" w:type="auto"/>
            <w:tcBorders>
              <w:top w:val="nil"/>
              <w:left w:val="nil"/>
              <w:bottom w:val="single" w:sz="4" w:space="0" w:color="auto"/>
              <w:right w:val="single" w:sz="4" w:space="0" w:color="auto"/>
            </w:tcBorders>
            <w:shd w:val="clear" w:color="auto" w:fill="auto"/>
            <w:noWrap/>
            <w:vAlign w:val="bottom"/>
            <w:hideMark/>
          </w:tcPr>
          <w:p w14:paraId="048CE60A"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7.7%</w:t>
            </w:r>
          </w:p>
        </w:tc>
        <w:tc>
          <w:tcPr>
            <w:tcW w:w="0" w:type="auto"/>
            <w:tcBorders>
              <w:top w:val="nil"/>
              <w:left w:val="nil"/>
              <w:bottom w:val="single" w:sz="4" w:space="0" w:color="auto"/>
              <w:right w:val="single" w:sz="4" w:space="0" w:color="auto"/>
            </w:tcBorders>
            <w:shd w:val="clear" w:color="auto" w:fill="auto"/>
            <w:noWrap/>
            <w:vAlign w:val="bottom"/>
            <w:hideMark/>
          </w:tcPr>
          <w:p w14:paraId="2C61ADA1"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14:paraId="3A4EC278"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7.6%</w:t>
            </w:r>
          </w:p>
        </w:tc>
        <w:tc>
          <w:tcPr>
            <w:tcW w:w="0" w:type="auto"/>
            <w:tcBorders>
              <w:top w:val="nil"/>
              <w:left w:val="nil"/>
              <w:bottom w:val="single" w:sz="4" w:space="0" w:color="auto"/>
              <w:right w:val="single" w:sz="4" w:space="0" w:color="auto"/>
            </w:tcBorders>
            <w:shd w:val="clear" w:color="auto" w:fill="auto"/>
            <w:noWrap/>
            <w:vAlign w:val="bottom"/>
            <w:hideMark/>
          </w:tcPr>
          <w:p w14:paraId="7A874C48"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6.9%</w:t>
            </w:r>
          </w:p>
        </w:tc>
      </w:tr>
      <w:tr w:rsidR="00024F43" w:rsidRPr="00E52C17" w14:paraId="1995E3CD"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FA7E9E"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Genitourinary Oncology</w:t>
            </w:r>
          </w:p>
        </w:tc>
        <w:tc>
          <w:tcPr>
            <w:tcW w:w="0" w:type="auto"/>
            <w:tcBorders>
              <w:top w:val="nil"/>
              <w:left w:val="nil"/>
              <w:bottom w:val="single" w:sz="4" w:space="0" w:color="auto"/>
              <w:right w:val="single" w:sz="4" w:space="0" w:color="auto"/>
            </w:tcBorders>
            <w:shd w:val="clear" w:color="auto" w:fill="auto"/>
            <w:noWrap/>
            <w:vAlign w:val="bottom"/>
            <w:hideMark/>
          </w:tcPr>
          <w:p w14:paraId="12D85841"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7.7%</w:t>
            </w:r>
          </w:p>
        </w:tc>
        <w:tc>
          <w:tcPr>
            <w:tcW w:w="0" w:type="auto"/>
            <w:tcBorders>
              <w:top w:val="nil"/>
              <w:left w:val="nil"/>
              <w:bottom w:val="single" w:sz="4" w:space="0" w:color="auto"/>
              <w:right w:val="single" w:sz="4" w:space="0" w:color="auto"/>
            </w:tcBorders>
            <w:shd w:val="clear" w:color="auto" w:fill="auto"/>
            <w:noWrap/>
            <w:vAlign w:val="bottom"/>
            <w:hideMark/>
          </w:tcPr>
          <w:p w14:paraId="10BE7BD3"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11.6%</w:t>
            </w:r>
          </w:p>
        </w:tc>
        <w:tc>
          <w:tcPr>
            <w:tcW w:w="0" w:type="auto"/>
            <w:tcBorders>
              <w:top w:val="nil"/>
              <w:left w:val="nil"/>
              <w:bottom w:val="single" w:sz="4" w:space="0" w:color="auto"/>
              <w:right w:val="single" w:sz="4" w:space="0" w:color="auto"/>
            </w:tcBorders>
            <w:shd w:val="clear" w:color="auto" w:fill="auto"/>
            <w:noWrap/>
            <w:vAlign w:val="bottom"/>
            <w:hideMark/>
          </w:tcPr>
          <w:p w14:paraId="76A108B1"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11.9%</w:t>
            </w:r>
          </w:p>
        </w:tc>
        <w:tc>
          <w:tcPr>
            <w:tcW w:w="0" w:type="auto"/>
            <w:tcBorders>
              <w:top w:val="nil"/>
              <w:left w:val="nil"/>
              <w:bottom w:val="single" w:sz="4" w:space="0" w:color="auto"/>
              <w:right w:val="single" w:sz="4" w:space="0" w:color="auto"/>
            </w:tcBorders>
            <w:shd w:val="clear" w:color="auto" w:fill="auto"/>
            <w:noWrap/>
            <w:vAlign w:val="bottom"/>
            <w:hideMark/>
          </w:tcPr>
          <w:p w14:paraId="1AD7739A"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13.0%</w:t>
            </w:r>
          </w:p>
        </w:tc>
        <w:tc>
          <w:tcPr>
            <w:tcW w:w="0" w:type="auto"/>
            <w:tcBorders>
              <w:top w:val="nil"/>
              <w:left w:val="nil"/>
              <w:bottom w:val="single" w:sz="4" w:space="0" w:color="auto"/>
              <w:right w:val="single" w:sz="4" w:space="0" w:color="auto"/>
            </w:tcBorders>
            <w:shd w:val="clear" w:color="auto" w:fill="auto"/>
            <w:noWrap/>
            <w:vAlign w:val="bottom"/>
            <w:hideMark/>
          </w:tcPr>
          <w:p w14:paraId="567A93D1"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14.3%</w:t>
            </w:r>
          </w:p>
        </w:tc>
        <w:tc>
          <w:tcPr>
            <w:tcW w:w="0" w:type="auto"/>
            <w:tcBorders>
              <w:top w:val="nil"/>
              <w:left w:val="nil"/>
              <w:bottom w:val="single" w:sz="4" w:space="0" w:color="auto"/>
              <w:right w:val="single" w:sz="4" w:space="0" w:color="auto"/>
            </w:tcBorders>
            <w:shd w:val="clear" w:color="auto" w:fill="auto"/>
            <w:noWrap/>
            <w:vAlign w:val="bottom"/>
            <w:hideMark/>
          </w:tcPr>
          <w:p w14:paraId="37858D98"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5.1%</w:t>
            </w:r>
          </w:p>
        </w:tc>
      </w:tr>
      <w:tr w:rsidR="00024F43" w:rsidRPr="00E52C17" w14:paraId="74A94193"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50F250"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Gastrointestinal Oncology</w:t>
            </w:r>
          </w:p>
        </w:tc>
        <w:tc>
          <w:tcPr>
            <w:tcW w:w="0" w:type="auto"/>
            <w:tcBorders>
              <w:top w:val="nil"/>
              <w:left w:val="nil"/>
              <w:bottom w:val="single" w:sz="4" w:space="0" w:color="auto"/>
              <w:right w:val="single" w:sz="4" w:space="0" w:color="auto"/>
            </w:tcBorders>
            <w:shd w:val="clear" w:color="auto" w:fill="auto"/>
            <w:noWrap/>
            <w:vAlign w:val="bottom"/>
            <w:hideMark/>
          </w:tcPr>
          <w:p w14:paraId="0A6C9B71"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2.3%</w:t>
            </w:r>
          </w:p>
        </w:tc>
        <w:tc>
          <w:tcPr>
            <w:tcW w:w="0" w:type="auto"/>
            <w:tcBorders>
              <w:top w:val="nil"/>
              <w:left w:val="nil"/>
              <w:bottom w:val="single" w:sz="4" w:space="0" w:color="auto"/>
              <w:right w:val="single" w:sz="4" w:space="0" w:color="auto"/>
            </w:tcBorders>
            <w:shd w:val="clear" w:color="auto" w:fill="auto"/>
            <w:noWrap/>
            <w:vAlign w:val="bottom"/>
            <w:hideMark/>
          </w:tcPr>
          <w:p w14:paraId="0393F042"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3.8%</w:t>
            </w:r>
          </w:p>
        </w:tc>
        <w:tc>
          <w:tcPr>
            <w:tcW w:w="0" w:type="auto"/>
            <w:tcBorders>
              <w:top w:val="nil"/>
              <w:left w:val="nil"/>
              <w:bottom w:val="single" w:sz="4" w:space="0" w:color="auto"/>
              <w:right w:val="single" w:sz="4" w:space="0" w:color="auto"/>
            </w:tcBorders>
            <w:shd w:val="clear" w:color="auto" w:fill="auto"/>
            <w:noWrap/>
            <w:vAlign w:val="bottom"/>
            <w:hideMark/>
          </w:tcPr>
          <w:p w14:paraId="5D74BBE9"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2.2%</w:t>
            </w:r>
          </w:p>
        </w:tc>
        <w:tc>
          <w:tcPr>
            <w:tcW w:w="0" w:type="auto"/>
            <w:tcBorders>
              <w:top w:val="nil"/>
              <w:left w:val="nil"/>
              <w:bottom w:val="single" w:sz="4" w:space="0" w:color="auto"/>
              <w:right w:val="single" w:sz="4" w:space="0" w:color="auto"/>
            </w:tcBorders>
            <w:shd w:val="clear" w:color="auto" w:fill="auto"/>
            <w:noWrap/>
            <w:vAlign w:val="bottom"/>
            <w:hideMark/>
          </w:tcPr>
          <w:p w14:paraId="6259D2BA"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2.5%</w:t>
            </w:r>
          </w:p>
        </w:tc>
        <w:tc>
          <w:tcPr>
            <w:tcW w:w="0" w:type="auto"/>
            <w:tcBorders>
              <w:top w:val="nil"/>
              <w:left w:val="nil"/>
              <w:bottom w:val="single" w:sz="4" w:space="0" w:color="auto"/>
              <w:right w:val="single" w:sz="4" w:space="0" w:color="auto"/>
            </w:tcBorders>
            <w:shd w:val="clear" w:color="auto" w:fill="auto"/>
            <w:noWrap/>
            <w:vAlign w:val="bottom"/>
            <w:hideMark/>
          </w:tcPr>
          <w:p w14:paraId="2AF617CB"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2.7%</w:t>
            </w:r>
          </w:p>
        </w:tc>
        <w:tc>
          <w:tcPr>
            <w:tcW w:w="0" w:type="auto"/>
            <w:tcBorders>
              <w:top w:val="nil"/>
              <w:left w:val="nil"/>
              <w:bottom w:val="single" w:sz="4" w:space="0" w:color="auto"/>
              <w:right w:val="single" w:sz="4" w:space="0" w:color="auto"/>
            </w:tcBorders>
            <w:shd w:val="clear" w:color="auto" w:fill="auto"/>
            <w:noWrap/>
            <w:vAlign w:val="bottom"/>
            <w:hideMark/>
          </w:tcPr>
          <w:p w14:paraId="3DFB81A4"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1.2%</w:t>
            </w:r>
          </w:p>
        </w:tc>
      </w:tr>
      <w:tr w:rsidR="00024F43" w:rsidRPr="00E52C17" w14:paraId="3CADED93" w14:textId="77777777" w:rsidTr="009E13F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58BCE" w14:textId="77777777" w:rsidR="00024F43" w:rsidRPr="00E52C17" w:rsidRDefault="00024F43" w:rsidP="00024F43">
            <w:pPr>
              <w:widowControl/>
              <w:autoSpaceDE/>
              <w:autoSpaceDN/>
              <w:rPr>
                <w:rFonts w:asciiTheme="minorHAnsi" w:eastAsia="Times New Roman" w:hAnsiTheme="minorHAnsi"/>
                <w:color w:val="000000"/>
                <w:szCs w:val="24"/>
              </w:rPr>
            </w:pPr>
            <w:r w:rsidRPr="00E52C17">
              <w:rPr>
                <w:rFonts w:asciiTheme="minorHAnsi" w:eastAsia="Times New Roman" w:hAnsiTheme="minorHAnsi"/>
                <w:color w:val="000000"/>
                <w:szCs w:val="24"/>
              </w:rPr>
              <w:t>Gynecology Oncology</w:t>
            </w:r>
          </w:p>
        </w:tc>
        <w:tc>
          <w:tcPr>
            <w:tcW w:w="0" w:type="auto"/>
            <w:tcBorders>
              <w:top w:val="nil"/>
              <w:left w:val="nil"/>
              <w:bottom w:val="single" w:sz="4" w:space="0" w:color="auto"/>
              <w:right w:val="single" w:sz="4" w:space="0" w:color="auto"/>
            </w:tcBorders>
            <w:shd w:val="clear" w:color="auto" w:fill="auto"/>
            <w:noWrap/>
            <w:vAlign w:val="bottom"/>
            <w:hideMark/>
          </w:tcPr>
          <w:p w14:paraId="33112ACA"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1.5%</w:t>
            </w:r>
          </w:p>
        </w:tc>
        <w:tc>
          <w:tcPr>
            <w:tcW w:w="0" w:type="auto"/>
            <w:tcBorders>
              <w:top w:val="nil"/>
              <w:left w:val="nil"/>
              <w:bottom w:val="single" w:sz="4" w:space="0" w:color="auto"/>
              <w:right w:val="single" w:sz="4" w:space="0" w:color="auto"/>
            </w:tcBorders>
            <w:shd w:val="clear" w:color="auto" w:fill="auto"/>
            <w:noWrap/>
            <w:vAlign w:val="bottom"/>
            <w:hideMark/>
          </w:tcPr>
          <w:p w14:paraId="34A34FC4"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1.8%</w:t>
            </w:r>
          </w:p>
        </w:tc>
        <w:tc>
          <w:tcPr>
            <w:tcW w:w="0" w:type="auto"/>
            <w:tcBorders>
              <w:top w:val="nil"/>
              <w:left w:val="nil"/>
              <w:bottom w:val="single" w:sz="4" w:space="0" w:color="auto"/>
              <w:right w:val="single" w:sz="4" w:space="0" w:color="auto"/>
            </w:tcBorders>
            <w:shd w:val="clear" w:color="auto" w:fill="auto"/>
            <w:noWrap/>
            <w:vAlign w:val="bottom"/>
            <w:hideMark/>
          </w:tcPr>
          <w:p w14:paraId="7837D782"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2.2%</w:t>
            </w:r>
          </w:p>
        </w:tc>
        <w:tc>
          <w:tcPr>
            <w:tcW w:w="0" w:type="auto"/>
            <w:tcBorders>
              <w:top w:val="nil"/>
              <w:left w:val="nil"/>
              <w:bottom w:val="single" w:sz="4" w:space="0" w:color="auto"/>
              <w:right w:val="single" w:sz="4" w:space="0" w:color="auto"/>
            </w:tcBorders>
            <w:shd w:val="clear" w:color="auto" w:fill="auto"/>
            <w:noWrap/>
            <w:vAlign w:val="bottom"/>
            <w:hideMark/>
          </w:tcPr>
          <w:p w14:paraId="1153971B"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1.2%</w:t>
            </w:r>
          </w:p>
        </w:tc>
        <w:tc>
          <w:tcPr>
            <w:tcW w:w="0" w:type="auto"/>
            <w:tcBorders>
              <w:top w:val="nil"/>
              <w:left w:val="nil"/>
              <w:bottom w:val="single" w:sz="4" w:space="0" w:color="auto"/>
              <w:right w:val="single" w:sz="4" w:space="0" w:color="auto"/>
            </w:tcBorders>
            <w:shd w:val="clear" w:color="auto" w:fill="auto"/>
            <w:noWrap/>
            <w:vAlign w:val="bottom"/>
            <w:hideMark/>
          </w:tcPr>
          <w:p w14:paraId="4ED8AA78"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1.0%</w:t>
            </w:r>
          </w:p>
        </w:tc>
        <w:tc>
          <w:tcPr>
            <w:tcW w:w="0" w:type="auto"/>
            <w:tcBorders>
              <w:top w:val="nil"/>
              <w:left w:val="nil"/>
              <w:bottom w:val="single" w:sz="4" w:space="0" w:color="auto"/>
              <w:right w:val="single" w:sz="4" w:space="0" w:color="auto"/>
            </w:tcBorders>
            <w:shd w:val="clear" w:color="auto" w:fill="auto"/>
            <w:noWrap/>
            <w:vAlign w:val="bottom"/>
            <w:hideMark/>
          </w:tcPr>
          <w:p w14:paraId="69109841" w14:textId="77777777" w:rsidR="00024F43" w:rsidRPr="00E52C17" w:rsidRDefault="00024F43" w:rsidP="00C275E1">
            <w:pPr>
              <w:widowControl/>
              <w:autoSpaceDE/>
              <w:autoSpaceDN/>
              <w:jc w:val="center"/>
              <w:rPr>
                <w:rFonts w:asciiTheme="minorHAnsi" w:eastAsia="Times New Roman" w:hAnsiTheme="minorHAnsi"/>
                <w:color w:val="000000"/>
                <w:szCs w:val="24"/>
              </w:rPr>
            </w:pPr>
            <w:r w:rsidRPr="00E52C17">
              <w:rPr>
                <w:rFonts w:asciiTheme="minorHAnsi" w:eastAsia="Times New Roman" w:hAnsiTheme="minorHAnsi"/>
                <w:color w:val="000000"/>
                <w:szCs w:val="24"/>
              </w:rPr>
              <w:t>1.4%</w:t>
            </w:r>
          </w:p>
        </w:tc>
      </w:tr>
    </w:tbl>
    <w:p w14:paraId="1B4B4110" w14:textId="77777777" w:rsidR="00B23489" w:rsidRDefault="00B23489" w:rsidP="00932E5D">
      <w:pPr>
        <w:rPr>
          <w:rFonts w:asciiTheme="minorHAnsi" w:hAnsiTheme="minorHAnsi"/>
          <w:szCs w:val="24"/>
        </w:rPr>
      </w:pPr>
    </w:p>
    <w:p w14:paraId="55C0F4F9" w14:textId="692F127F" w:rsidR="002A7795" w:rsidRDefault="00F10F6B" w:rsidP="00932E5D">
      <w:pPr>
        <w:rPr>
          <w:rFonts w:asciiTheme="minorHAnsi" w:hAnsiTheme="minorHAnsi"/>
          <w:szCs w:val="24"/>
        </w:rPr>
      </w:pPr>
      <w:r>
        <w:rPr>
          <w:rFonts w:asciiTheme="minorHAnsi" w:hAnsiTheme="minorHAnsi"/>
          <w:szCs w:val="24"/>
        </w:rPr>
        <w:t xml:space="preserve">Table </w:t>
      </w:r>
      <w:r w:rsidR="00A04B30">
        <w:rPr>
          <w:rFonts w:asciiTheme="minorHAnsi" w:hAnsiTheme="minorHAnsi"/>
          <w:szCs w:val="24"/>
        </w:rPr>
        <w:t>3</w:t>
      </w:r>
      <w:r w:rsidR="002D5360">
        <w:rPr>
          <w:rFonts w:asciiTheme="minorHAnsi" w:hAnsiTheme="minorHAnsi"/>
          <w:szCs w:val="24"/>
        </w:rPr>
        <w:t>1</w:t>
      </w:r>
      <w:r>
        <w:rPr>
          <w:rFonts w:asciiTheme="minorHAnsi" w:hAnsiTheme="minorHAnsi"/>
          <w:szCs w:val="24"/>
        </w:rPr>
        <w:t xml:space="preserve"> shows outpatient LINAC Wait Times in Days</w:t>
      </w:r>
      <w:r w:rsidR="003C0B2D">
        <w:rPr>
          <w:rFonts w:asciiTheme="minorHAnsi" w:hAnsiTheme="minorHAnsi"/>
          <w:szCs w:val="24"/>
        </w:rPr>
        <w:t>.</w:t>
      </w:r>
      <w:r w:rsidR="003C0B2D">
        <w:rPr>
          <w:rStyle w:val="FootnoteReference"/>
          <w:rFonts w:asciiTheme="minorHAnsi" w:hAnsiTheme="minorHAnsi"/>
          <w:szCs w:val="24"/>
        </w:rPr>
        <w:footnoteReference w:id="85"/>
      </w:r>
      <w:r>
        <w:rPr>
          <w:rFonts w:asciiTheme="minorHAnsi" w:hAnsiTheme="minorHAnsi"/>
          <w:szCs w:val="24"/>
        </w:rPr>
        <w:t xml:space="preserve"> </w:t>
      </w:r>
    </w:p>
    <w:p w14:paraId="382A4DC4" w14:textId="77777777" w:rsidR="00F10F6B" w:rsidRDefault="00F10F6B" w:rsidP="00932E5D">
      <w:pPr>
        <w:rPr>
          <w:rFonts w:asciiTheme="minorHAnsi" w:hAnsiTheme="minorHAnsi"/>
          <w:szCs w:val="24"/>
        </w:rPr>
      </w:pPr>
    </w:p>
    <w:p w14:paraId="051B7F79" w14:textId="0FDA55C5" w:rsidR="00F10F6B" w:rsidRPr="00F10F6B" w:rsidRDefault="00F10F6B" w:rsidP="00932E5D">
      <w:pPr>
        <w:rPr>
          <w:rFonts w:asciiTheme="minorHAnsi" w:hAnsiTheme="minorHAnsi"/>
          <w:b/>
          <w:bCs/>
          <w:szCs w:val="24"/>
        </w:rPr>
      </w:pPr>
      <w:r w:rsidRPr="00F10F6B">
        <w:rPr>
          <w:rFonts w:asciiTheme="minorHAnsi" w:hAnsiTheme="minorHAnsi"/>
          <w:b/>
          <w:bCs/>
          <w:szCs w:val="24"/>
          <w:u w:val="single"/>
        </w:rPr>
        <w:t xml:space="preserve">Table </w:t>
      </w:r>
      <w:r w:rsidR="00A04B30">
        <w:rPr>
          <w:rFonts w:asciiTheme="minorHAnsi" w:hAnsiTheme="minorHAnsi"/>
          <w:b/>
          <w:bCs/>
          <w:szCs w:val="24"/>
          <w:u w:val="single"/>
        </w:rPr>
        <w:t>3</w:t>
      </w:r>
      <w:r w:rsidR="002D5360">
        <w:rPr>
          <w:rFonts w:asciiTheme="minorHAnsi" w:hAnsiTheme="minorHAnsi"/>
          <w:b/>
          <w:bCs/>
          <w:szCs w:val="24"/>
          <w:u w:val="single"/>
        </w:rPr>
        <w:t>1</w:t>
      </w:r>
      <w:r w:rsidRPr="00F10F6B">
        <w:rPr>
          <w:rFonts w:asciiTheme="minorHAnsi" w:hAnsiTheme="minorHAnsi"/>
          <w:b/>
          <w:bCs/>
          <w:szCs w:val="24"/>
        </w:rPr>
        <w:t xml:space="preserve">: Average Outpatient LINAC Wait Times in Days </w:t>
      </w:r>
    </w:p>
    <w:tbl>
      <w:tblPr>
        <w:tblW w:w="0" w:type="auto"/>
        <w:tblLook w:val="04A0" w:firstRow="1" w:lastRow="0" w:firstColumn="1" w:lastColumn="0" w:noHBand="0" w:noVBand="1"/>
      </w:tblPr>
      <w:tblGrid>
        <w:gridCol w:w="1101"/>
        <w:gridCol w:w="695"/>
        <w:gridCol w:w="695"/>
        <w:gridCol w:w="695"/>
        <w:gridCol w:w="695"/>
        <w:gridCol w:w="695"/>
        <w:gridCol w:w="695"/>
      </w:tblGrid>
      <w:tr w:rsidR="00093845" w:rsidRPr="00875101" w14:paraId="0FBA0D7E" w14:textId="77777777" w:rsidTr="00093845">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9E5D15" w14:textId="77777777" w:rsidR="00093845" w:rsidRPr="00875101" w:rsidRDefault="00093845" w:rsidP="00093845">
            <w:pPr>
              <w:widowControl/>
              <w:autoSpaceDE/>
              <w:autoSpaceDN/>
              <w:rPr>
                <w:rFonts w:asciiTheme="minorHAnsi" w:eastAsia="Times New Roman" w:hAnsiTheme="minorHAnsi"/>
                <w:b/>
                <w:bCs/>
                <w:color w:val="000000"/>
                <w:szCs w:val="24"/>
              </w:rPr>
            </w:pPr>
            <w:r w:rsidRPr="00875101">
              <w:rPr>
                <w:rFonts w:asciiTheme="minorHAnsi" w:eastAsia="Times New Roman" w:hAnsiTheme="minorHAnsi"/>
                <w:b/>
                <w:bCs/>
                <w:color w:val="000000"/>
                <w:spacing w:val="-2"/>
                <w:szCs w:val="24"/>
              </w:rPr>
              <w:t>Modality</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065DDAC" w14:textId="77777777" w:rsidR="00093845" w:rsidRPr="00875101" w:rsidRDefault="00093845" w:rsidP="00A04B30">
            <w:pPr>
              <w:widowControl/>
              <w:autoSpaceDE/>
              <w:autoSpaceDN/>
              <w:jc w:val="center"/>
              <w:rPr>
                <w:rFonts w:asciiTheme="minorHAnsi" w:eastAsia="Times New Roman" w:hAnsiTheme="minorHAnsi"/>
                <w:b/>
                <w:bCs/>
                <w:color w:val="000000"/>
                <w:szCs w:val="24"/>
              </w:rPr>
            </w:pPr>
            <w:r w:rsidRPr="00875101">
              <w:rPr>
                <w:rFonts w:asciiTheme="minorHAnsi" w:eastAsia="Times New Roman" w:hAnsiTheme="minorHAns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EF5F0D2" w14:textId="77777777" w:rsidR="00093845" w:rsidRPr="00875101" w:rsidRDefault="00093845" w:rsidP="00A04B30">
            <w:pPr>
              <w:widowControl/>
              <w:autoSpaceDE/>
              <w:autoSpaceDN/>
              <w:jc w:val="center"/>
              <w:rPr>
                <w:rFonts w:asciiTheme="minorHAnsi" w:eastAsia="Times New Roman" w:hAnsiTheme="minorHAnsi"/>
                <w:b/>
                <w:bCs/>
                <w:color w:val="000000"/>
                <w:szCs w:val="24"/>
              </w:rPr>
            </w:pPr>
            <w:r w:rsidRPr="00875101">
              <w:rPr>
                <w:rFonts w:asciiTheme="minorHAnsi" w:eastAsia="Times New Roman" w:hAnsiTheme="minorHAns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C2459E4" w14:textId="77777777" w:rsidR="00093845" w:rsidRPr="00875101" w:rsidRDefault="00093845" w:rsidP="00A04B30">
            <w:pPr>
              <w:widowControl/>
              <w:autoSpaceDE/>
              <w:autoSpaceDN/>
              <w:jc w:val="center"/>
              <w:rPr>
                <w:rFonts w:asciiTheme="minorHAnsi" w:eastAsia="Times New Roman" w:hAnsiTheme="minorHAnsi"/>
                <w:b/>
                <w:bCs/>
                <w:color w:val="000000"/>
                <w:szCs w:val="24"/>
              </w:rPr>
            </w:pPr>
            <w:r w:rsidRPr="00875101">
              <w:rPr>
                <w:rFonts w:asciiTheme="minorHAnsi" w:eastAsia="Times New Roman" w:hAnsiTheme="minorHAns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999631B" w14:textId="77777777" w:rsidR="00093845" w:rsidRPr="00875101" w:rsidRDefault="00093845" w:rsidP="00A04B30">
            <w:pPr>
              <w:widowControl/>
              <w:autoSpaceDE/>
              <w:autoSpaceDN/>
              <w:jc w:val="center"/>
              <w:rPr>
                <w:rFonts w:asciiTheme="minorHAnsi" w:eastAsia="Times New Roman" w:hAnsiTheme="minorHAnsi"/>
                <w:b/>
                <w:bCs/>
                <w:color w:val="000000"/>
                <w:szCs w:val="24"/>
              </w:rPr>
            </w:pPr>
            <w:r w:rsidRPr="00875101">
              <w:rPr>
                <w:rFonts w:asciiTheme="minorHAnsi" w:eastAsia="Times New Roman" w:hAnsiTheme="minorHAns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C7BF680" w14:textId="77777777" w:rsidR="00093845" w:rsidRPr="00875101" w:rsidRDefault="00093845" w:rsidP="00A04B30">
            <w:pPr>
              <w:widowControl/>
              <w:autoSpaceDE/>
              <w:autoSpaceDN/>
              <w:jc w:val="center"/>
              <w:rPr>
                <w:rFonts w:asciiTheme="minorHAnsi" w:eastAsia="Times New Roman" w:hAnsiTheme="minorHAnsi"/>
                <w:b/>
                <w:bCs/>
                <w:color w:val="000000"/>
                <w:szCs w:val="24"/>
              </w:rPr>
            </w:pPr>
            <w:r w:rsidRPr="00875101">
              <w:rPr>
                <w:rFonts w:asciiTheme="minorHAnsi" w:eastAsia="Times New Roman" w:hAnsiTheme="minorHAns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0AAC515D" w14:textId="77777777" w:rsidR="00093845" w:rsidRPr="00875101" w:rsidRDefault="00093845" w:rsidP="00A04B30">
            <w:pPr>
              <w:widowControl/>
              <w:autoSpaceDE/>
              <w:autoSpaceDN/>
              <w:jc w:val="center"/>
              <w:rPr>
                <w:rFonts w:asciiTheme="minorHAnsi" w:eastAsia="Times New Roman" w:hAnsiTheme="minorHAnsi"/>
                <w:b/>
                <w:bCs/>
                <w:color w:val="000000"/>
                <w:szCs w:val="24"/>
              </w:rPr>
            </w:pPr>
            <w:r w:rsidRPr="00875101">
              <w:rPr>
                <w:rFonts w:asciiTheme="minorHAnsi" w:eastAsia="Times New Roman" w:hAnsiTheme="minorHAnsi"/>
                <w:b/>
                <w:bCs/>
                <w:color w:val="000000"/>
                <w:szCs w:val="24"/>
              </w:rPr>
              <w:t>FY23</w:t>
            </w:r>
          </w:p>
        </w:tc>
      </w:tr>
      <w:tr w:rsidR="00093845" w:rsidRPr="00875101" w14:paraId="7E081CCF" w14:textId="77777777" w:rsidTr="00093845">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1E0219" w14:textId="349F2E98" w:rsidR="00093845" w:rsidRPr="00875101" w:rsidRDefault="00B23489" w:rsidP="00093845">
            <w:pPr>
              <w:widowControl/>
              <w:autoSpaceDE/>
              <w:autoSpaceDN/>
              <w:rPr>
                <w:rFonts w:asciiTheme="minorHAnsi" w:eastAsia="Times New Roman" w:hAnsiTheme="minorHAnsi"/>
                <w:color w:val="000000"/>
                <w:szCs w:val="24"/>
              </w:rPr>
            </w:pPr>
            <w:r>
              <w:rPr>
                <w:rFonts w:asciiTheme="minorHAnsi" w:eastAsia="Times New Roman" w:hAnsiTheme="minorHAnsi"/>
                <w:color w:val="000000"/>
                <w:szCs w:val="24"/>
              </w:rPr>
              <w:t>LINAC</w:t>
            </w:r>
          </w:p>
        </w:tc>
        <w:tc>
          <w:tcPr>
            <w:tcW w:w="0" w:type="auto"/>
            <w:tcBorders>
              <w:top w:val="nil"/>
              <w:left w:val="nil"/>
              <w:bottom w:val="single" w:sz="4" w:space="0" w:color="auto"/>
              <w:right w:val="single" w:sz="4" w:space="0" w:color="auto"/>
            </w:tcBorders>
            <w:shd w:val="clear" w:color="auto" w:fill="auto"/>
            <w:vAlign w:val="center"/>
            <w:hideMark/>
          </w:tcPr>
          <w:p w14:paraId="2D4350C0" w14:textId="77777777" w:rsidR="00093845" w:rsidRPr="00875101" w:rsidRDefault="00093845" w:rsidP="00A04B30">
            <w:pPr>
              <w:widowControl/>
              <w:autoSpaceDE/>
              <w:autoSpaceDN/>
              <w:jc w:val="center"/>
              <w:rPr>
                <w:rFonts w:asciiTheme="minorHAnsi" w:eastAsia="Times New Roman" w:hAnsiTheme="minorHAnsi"/>
                <w:color w:val="000000"/>
                <w:szCs w:val="24"/>
              </w:rPr>
            </w:pPr>
            <w:r w:rsidRPr="00875101">
              <w:rPr>
                <w:rFonts w:asciiTheme="minorHAnsi" w:eastAsia="Times New Roman" w:hAnsiTheme="minorHAnsi"/>
                <w:color w:val="000000"/>
                <w:spacing w:val="-4"/>
                <w:szCs w:val="24"/>
              </w:rPr>
              <w:t>89.5</w:t>
            </w:r>
          </w:p>
        </w:tc>
        <w:tc>
          <w:tcPr>
            <w:tcW w:w="0" w:type="auto"/>
            <w:tcBorders>
              <w:top w:val="nil"/>
              <w:left w:val="nil"/>
              <w:bottom w:val="single" w:sz="4" w:space="0" w:color="auto"/>
              <w:right w:val="single" w:sz="4" w:space="0" w:color="auto"/>
            </w:tcBorders>
            <w:shd w:val="clear" w:color="auto" w:fill="auto"/>
            <w:vAlign w:val="center"/>
            <w:hideMark/>
          </w:tcPr>
          <w:p w14:paraId="0A7D9D29" w14:textId="77777777" w:rsidR="00093845" w:rsidRPr="00875101" w:rsidRDefault="00093845" w:rsidP="00A04B30">
            <w:pPr>
              <w:widowControl/>
              <w:autoSpaceDE/>
              <w:autoSpaceDN/>
              <w:jc w:val="center"/>
              <w:rPr>
                <w:rFonts w:asciiTheme="minorHAnsi" w:eastAsia="Times New Roman" w:hAnsiTheme="minorHAnsi"/>
                <w:color w:val="000000"/>
                <w:szCs w:val="24"/>
              </w:rPr>
            </w:pPr>
            <w:r w:rsidRPr="00875101">
              <w:rPr>
                <w:rFonts w:asciiTheme="minorHAnsi" w:eastAsia="Times New Roman" w:hAnsiTheme="minorHAnsi"/>
                <w:color w:val="000000"/>
                <w:spacing w:val="-4"/>
                <w:szCs w:val="24"/>
              </w:rPr>
              <w:t>96.8</w:t>
            </w:r>
          </w:p>
        </w:tc>
        <w:tc>
          <w:tcPr>
            <w:tcW w:w="0" w:type="auto"/>
            <w:tcBorders>
              <w:top w:val="nil"/>
              <w:left w:val="nil"/>
              <w:bottom w:val="single" w:sz="4" w:space="0" w:color="auto"/>
              <w:right w:val="single" w:sz="4" w:space="0" w:color="auto"/>
            </w:tcBorders>
            <w:shd w:val="clear" w:color="auto" w:fill="auto"/>
            <w:vAlign w:val="center"/>
            <w:hideMark/>
          </w:tcPr>
          <w:p w14:paraId="1002E558" w14:textId="77777777" w:rsidR="00093845" w:rsidRPr="00875101" w:rsidRDefault="00093845" w:rsidP="00A04B30">
            <w:pPr>
              <w:widowControl/>
              <w:autoSpaceDE/>
              <w:autoSpaceDN/>
              <w:jc w:val="center"/>
              <w:rPr>
                <w:rFonts w:asciiTheme="minorHAnsi" w:eastAsia="Times New Roman" w:hAnsiTheme="minorHAnsi"/>
                <w:color w:val="000000"/>
                <w:szCs w:val="24"/>
              </w:rPr>
            </w:pPr>
            <w:r w:rsidRPr="00875101">
              <w:rPr>
                <w:rFonts w:asciiTheme="minorHAnsi" w:eastAsia="Times New Roman" w:hAnsiTheme="minorHAnsi"/>
                <w:color w:val="000000"/>
                <w:spacing w:val="-4"/>
                <w:szCs w:val="24"/>
              </w:rPr>
              <w:t>80.1</w:t>
            </w:r>
          </w:p>
        </w:tc>
        <w:tc>
          <w:tcPr>
            <w:tcW w:w="0" w:type="auto"/>
            <w:tcBorders>
              <w:top w:val="nil"/>
              <w:left w:val="nil"/>
              <w:bottom w:val="single" w:sz="4" w:space="0" w:color="auto"/>
              <w:right w:val="single" w:sz="4" w:space="0" w:color="auto"/>
            </w:tcBorders>
            <w:shd w:val="clear" w:color="auto" w:fill="auto"/>
            <w:vAlign w:val="center"/>
            <w:hideMark/>
          </w:tcPr>
          <w:p w14:paraId="5A252454" w14:textId="77777777" w:rsidR="00093845" w:rsidRPr="00875101" w:rsidRDefault="00093845" w:rsidP="00A04B30">
            <w:pPr>
              <w:widowControl/>
              <w:autoSpaceDE/>
              <w:autoSpaceDN/>
              <w:jc w:val="center"/>
              <w:rPr>
                <w:rFonts w:asciiTheme="minorHAnsi" w:eastAsia="Times New Roman" w:hAnsiTheme="minorHAnsi"/>
                <w:color w:val="000000"/>
                <w:szCs w:val="24"/>
              </w:rPr>
            </w:pPr>
            <w:r w:rsidRPr="00875101">
              <w:rPr>
                <w:rFonts w:asciiTheme="minorHAnsi" w:eastAsia="Times New Roman" w:hAnsiTheme="minorHAnsi"/>
                <w:color w:val="000000"/>
                <w:spacing w:val="-5"/>
                <w:szCs w:val="24"/>
              </w:rPr>
              <w:t>69</w:t>
            </w:r>
          </w:p>
        </w:tc>
        <w:tc>
          <w:tcPr>
            <w:tcW w:w="0" w:type="auto"/>
            <w:tcBorders>
              <w:top w:val="nil"/>
              <w:left w:val="nil"/>
              <w:bottom w:val="single" w:sz="4" w:space="0" w:color="auto"/>
              <w:right w:val="single" w:sz="4" w:space="0" w:color="auto"/>
            </w:tcBorders>
            <w:shd w:val="clear" w:color="auto" w:fill="auto"/>
            <w:vAlign w:val="center"/>
            <w:hideMark/>
          </w:tcPr>
          <w:p w14:paraId="5DEF8FAB" w14:textId="77777777" w:rsidR="00093845" w:rsidRPr="00875101" w:rsidRDefault="00093845" w:rsidP="00A04B30">
            <w:pPr>
              <w:widowControl/>
              <w:autoSpaceDE/>
              <w:autoSpaceDN/>
              <w:jc w:val="center"/>
              <w:rPr>
                <w:rFonts w:asciiTheme="minorHAnsi" w:eastAsia="Times New Roman" w:hAnsiTheme="minorHAnsi"/>
                <w:color w:val="000000"/>
                <w:szCs w:val="24"/>
              </w:rPr>
            </w:pPr>
            <w:r w:rsidRPr="00875101">
              <w:rPr>
                <w:rFonts w:asciiTheme="minorHAnsi" w:eastAsia="Times New Roman" w:hAnsiTheme="minorHAnsi"/>
                <w:color w:val="000000"/>
                <w:spacing w:val="-5"/>
                <w:szCs w:val="24"/>
              </w:rPr>
              <w:t>60</w:t>
            </w:r>
          </w:p>
        </w:tc>
        <w:tc>
          <w:tcPr>
            <w:tcW w:w="0" w:type="auto"/>
            <w:tcBorders>
              <w:top w:val="nil"/>
              <w:left w:val="nil"/>
              <w:bottom w:val="single" w:sz="4" w:space="0" w:color="auto"/>
              <w:right w:val="single" w:sz="4" w:space="0" w:color="auto"/>
            </w:tcBorders>
            <w:shd w:val="clear" w:color="auto" w:fill="auto"/>
            <w:noWrap/>
            <w:vAlign w:val="bottom"/>
            <w:hideMark/>
          </w:tcPr>
          <w:p w14:paraId="4A677534" w14:textId="77777777" w:rsidR="00093845" w:rsidRPr="00875101" w:rsidRDefault="00093845" w:rsidP="00A04B30">
            <w:pPr>
              <w:widowControl/>
              <w:autoSpaceDE/>
              <w:autoSpaceDN/>
              <w:jc w:val="center"/>
              <w:rPr>
                <w:rFonts w:asciiTheme="minorHAnsi" w:eastAsia="Times New Roman" w:hAnsiTheme="minorHAnsi"/>
                <w:color w:val="000000"/>
                <w:szCs w:val="24"/>
              </w:rPr>
            </w:pPr>
            <w:r w:rsidRPr="00875101">
              <w:rPr>
                <w:rFonts w:asciiTheme="minorHAnsi" w:eastAsia="Times New Roman" w:hAnsiTheme="minorHAnsi"/>
                <w:color w:val="000000"/>
                <w:szCs w:val="24"/>
              </w:rPr>
              <w:t>55.3</w:t>
            </w:r>
          </w:p>
        </w:tc>
      </w:tr>
    </w:tbl>
    <w:p w14:paraId="3FB1A96B" w14:textId="77777777" w:rsidR="00F10F6B" w:rsidRDefault="00F10F6B" w:rsidP="00932E5D">
      <w:pPr>
        <w:rPr>
          <w:rFonts w:asciiTheme="minorHAnsi" w:hAnsiTheme="minorHAnsi"/>
          <w:szCs w:val="24"/>
        </w:rPr>
      </w:pPr>
    </w:p>
    <w:p w14:paraId="58B01130" w14:textId="6121D01B" w:rsidR="00093845" w:rsidRDefault="00A44409" w:rsidP="00932E5D">
      <w:pPr>
        <w:rPr>
          <w:rFonts w:asciiTheme="minorHAnsi" w:hAnsiTheme="minorHAnsi"/>
          <w:szCs w:val="24"/>
        </w:rPr>
      </w:pPr>
      <w:r>
        <w:rPr>
          <w:rFonts w:asciiTheme="minorHAnsi" w:hAnsiTheme="minorHAnsi"/>
          <w:szCs w:val="24"/>
        </w:rPr>
        <w:t xml:space="preserve">Table </w:t>
      </w:r>
      <w:r w:rsidR="00A04B30">
        <w:rPr>
          <w:rFonts w:asciiTheme="minorHAnsi" w:hAnsiTheme="minorHAnsi"/>
          <w:szCs w:val="24"/>
        </w:rPr>
        <w:t>3</w:t>
      </w:r>
      <w:r w:rsidR="002D5360">
        <w:rPr>
          <w:rFonts w:asciiTheme="minorHAnsi" w:hAnsiTheme="minorHAnsi"/>
          <w:szCs w:val="24"/>
        </w:rPr>
        <w:t>2</w:t>
      </w:r>
      <w:r>
        <w:rPr>
          <w:rFonts w:asciiTheme="minorHAnsi" w:hAnsiTheme="minorHAnsi"/>
          <w:szCs w:val="24"/>
        </w:rPr>
        <w:t xml:space="preserve"> shows outpatient LINAC Wait Times in days, excluding outliers. </w:t>
      </w:r>
    </w:p>
    <w:p w14:paraId="40E62995" w14:textId="77777777" w:rsidR="001738DA" w:rsidRDefault="001738DA" w:rsidP="00932E5D">
      <w:pPr>
        <w:rPr>
          <w:rFonts w:asciiTheme="minorHAnsi" w:hAnsiTheme="minorHAnsi"/>
          <w:szCs w:val="24"/>
        </w:rPr>
      </w:pPr>
    </w:p>
    <w:p w14:paraId="28DAF1F6" w14:textId="11F361AA" w:rsidR="001738DA" w:rsidRPr="001738DA" w:rsidRDefault="001738DA" w:rsidP="00932E5D">
      <w:pPr>
        <w:rPr>
          <w:rFonts w:asciiTheme="minorHAnsi" w:hAnsiTheme="minorHAnsi"/>
          <w:b/>
          <w:bCs/>
          <w:szCs w:val="24"/>
        </w:rPr>
      </w:pPr>
      <w:r w:rsidRPr="001738DA">
        <w:rPr>
          <w:rFonts w:asciiTheme="minorHAnsi" w:hAnsiTheme="minorHAnsi"/>
          <w:b/>
          <w:bCs/>
          <w:szCs w:val="24"/>
          <w:u w:val="single"/>
        </w:rPr>
        <w:t xml:space="preserve">Table </w:t>
      </w:r>
      <w:r w:rsidR="00A04B30">
        <w:rPr>
          <w:rFonts w:asciiTheme="minorHAnsi" w:hAnsiTheme="minorHAnsi"/>
          <w:b/>
          <w:bCs/>
          <w:szCs w:val="24"/>
          <w:u w:val="single"/>
        </w:rPr>
        <w:t>3</w:t>
      </w:r>
      <w:r w:rsidR="002D5360">
        <w:rPr>
          <w:rFonts w:asciiTheme="minorHAnsi" w:hAnsiTheme="minorHAnsi"/>
          <w:b/>
          <w:bCs/>
          <w:szCs w:val="24"/>
          <w:u w:val="single"/>
        </w:rPr>
        <w:t>2</w:t>
      </w:r>
      <w:r w:rsidRPr="001738DA">
        <w:rPr>
          <w:rFonts w:asciiTheme="minorHAnsi" w:hAnsiTheme="minorHAnsi"/>
          <w:b/>
          <w:bCs/>
          <w:szCs w:val="24"/>
        </w:rPr>
        <w:t xml:space="preserve">: Average Outpatient LINAC Wait Times in Days Excluding Outliers </w:t>
      </w:r>
    </w:p>
    <w:tbl>
      <w:tblPr>
        <w:tblW w:w="0" w:type="auto"/>
        <w:tblLook w:val="04A0" w:firstRow="1" w:lastRow="0" w:firstColumn="1" w:lastColumn="0" w:noHBand="0" w:noVBand="1"/>
      </w:tblPr>
      <w:tblGrid>
        <w:gridCol w:w="1101"/>
        <w:gridCol w:w="695"/>
        <w:gridCol w:w="695"/>
        <w:gridCol w:w="695"/>
        <w:gridCol w:w="695"/>
        <w:gridCol w:w="695"/>
        <w:gridCol w:w="695"/>
      </w:tblGrid>
      <w:tr w:rsidR="001738DA" w:rsidRPr="00875101" w14:paraId="1505044E" w14:textId="77777777" w:rsidTr="001354DA">
        <w:trPr>
          <w:trHeight w:val="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73815C4" w14:textId="77777777" w:rsidR="001738DA" w:rsidRPr="00875101" w:rsidRDefault="001738DA" w:rsidP="001738DA">
            <w:pPr>
              <w:widowControl/>
              <w:autoSpaceDE/>
              <w:autoSpaceDN/>
              <w:rPr>
                <w:rFonts w:eastAsia="Times New Roman" w:cs="Calibri"/>
                <w:b/>
                <w:bCs/>
                <w:color w:val="000000"/>
                <w:szCs w:val="24"/>
              </w:rPr>
            </w:pPr>
            <w:r w:rsidRPr="00875101">
              <w:rPr>
                <w:rFonts w:eastAsia="Times New Roman" w:cs="Calibri"/>
                <w:b/>
                <w:bCs/>
                <w:color w:val="000000"/>
                <w:spacing w:val="-2"/>
                <w:szCs w:val="24"/>
              </w:rPr>
              <w:t>Modality</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DA7BB78" w14:textId="77777777" w:rsidR="001738DA" w:rsidRPr="00875101" w:rsidRDefault="001738DA" w:rsidP="001738DA">
            <w:pPr>
              <w:widowControl/>
              <w:autoSpaceDE/>
              <w:autoSpaceDN/>
              <w:jc w:val="center"/>
              <w:rPr>
                <w:rFonts w:eastAsia="Times New Roman" w:cs="Calibri"/>
                <w:b/>
                <w:bCs/>
                <w:color w:val="000000"/>
                <w:szCs w:val="24"/>
              </w:rPr>
            </w:pPr>
            <w:r w:rsidRPr="00875101">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6CFDE70" w14:textId="77777777" w:rsidR="001738DA" w:rsidRPr="00875101" w:rsidRDefault="001738DA" w:rsidP="001738DA">
            <w:pPr>
              <w:widowControl/>
              <w:autoSpaceDE/>
              <w:autoSpaceDN/>
              <w:jc w:val="center"/>
              <w:rPr>
                <w:rFonts w:eastAsia="Times New Roman" w:cs="Calibri"/>
                <w:b/>
                <w:bCs/>
                <w:color w:val="000000"/>
                <w:szCs w:val="24"/>
              </w:rPr>
            </w:pPr>
            <w:r w:rsidRPr="00875101">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F951B1E" w14:textId="77777777" w:rsidR="001738DA" w:rsidRPr="00875101" w:rsidRDefault="001738DA" w:rsidP="001738DA">
            <w:pPr>
              <w:widowControl/>
              <w:autoSpaceDE/>
              <w:autoSpaceDN/>
              <w:jc w:val="center"/>
              <w:rPr>
                <w:rFonts w:eastAsia="Times New Roman" w:cs="Calibri"/>
                <w:b/>
                <w:bCs/>
                <w:color w:val="000000"/>
                <w:szCs w:val="24"/>
              </w:rPr>
            </w:pPr>
            <w:r w:rsidRPr="00875101">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63E4316" w14:textId="77777777" w:rsidR="001738DA" w:rsidRPr="00875101" w:rsidRDefault="001738DA" w:rsidP="001738DA">
            <w:pPr>
              <w:widowControl/>
              <w:autoSpaceDE/>
              <w:autoSpaceDN/>
              <w:jc w:val="center"/>
              <w:rPr>
                <w:rFonts w:eastAsia="Times New Roman" w:cs="Calibri"/>
                <w:b/>
                <w:bCs/>
                <w:color w:val="000000"/>
                <w:szCs w:val="24"/>
              </w:rPr>
            </w:pPr>
            <w:r w:rsidRPr="00875101">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DA08020" w14:textId="77777777" w:rsidR="001738DA" w:rsidRPr="00875101" w:rsidRDefault="001738DA" w:rsidP="001738DA">
            <w:pPr>
              <w:widowControl/>
              <w:autoSpaceDE/>
              <w:autoSpaceDN/>
              <w:jc w:val="center"/>
              <w:rPr>
                <w:rFonts w:eastAsia="Times New Roman" w:cs="Calibri"/>
                <w:b/>
                <w:bCs/>
                <w:color w:val="000000"/>
                <w:szCs w:val="24"/>
              </w:rPr>
            </w:pPr>
            <w:r w:rsidRPr="00875101">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7160435C" w14:textId="77777777" w:rsidR="001738DA" w:rsidRPr="00875101" w:rsidRDefault="001738DA" w:rsidP="001738DA">
            <w:pPr>
              <w:widowControl/>
              <w:autoSpaceDE/>
              <w:autoSpaceDN/>
              <w:jc w:val="center"/>
              <w:rPr>
                <w:rFonts w:eastAsia="Times New Roman" w:cs="Calibri"/>
                <w:b/>
                <w:bCs/>
                <w:color w:val="000000"/>
                <w:szCs w:val="24"/>
              </w:rPr>
            </w:pPr>
            <w:r w:rsidRPr="00875101">
              <w:rPr>
                <w:rFonts w:eastAsia="Times New Roman" w:cs="Calibri"/>
                <w:b/>
                <w:bCs/>
                <w:color w:val="000000"/>
                <w:szCs w:val="24"/>
              </w:rPr>
              <w:t>FY23</w:t>
            </w:r>
          </w:p>
        </w:tc>
      </w:tr>
      <w:tr w:rsidR="001738DA" w:rsidRPr="00875101" w14:paraId="71961048" w14:textId="77777777" w:rsidTr="001354DA">
        <w:trPr>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2DCC1" w14:textId="5573C5D7" w:rsidR="001738DA" w:rsidRPr="00875101" w:rsidRDefault="00B23489" w:rsidP="001738DA">
            <w:pPr>
              <w:widowControl/>
              <w:autoSpaceDE/>
              <w:autoSpaceDN/>
              <w:rPr>
                <w:rFonts w:eastAsia="Times New Roman" w:cs="Calibri"/>
                <w:color w:val="000000"/>
                <w:szCs w:val="24"/>
              </w:rPr>
            </w:pPr>
            <w:r>
              <w:rPr>
                <w:rFonts w:eastAsia="Times New Roman" w:cs="Calibri"/>
                <w:color w:val="000000"/>
                <w:szCs w:val="24"/>
              </w:rPr>
              <w:t>LINAC</w:t>
            </w:r>
          </w:p>
        </w:tc>
        <w:tc>
          <w:tcPr>
            <w:tcW w:w="0" w:type="auto"/>
            <w:tcBorders>
              <w:top w:val="nil"/>
              <w:left w:val="nil"/>
              <w:bottom w:val="single" w:sz="4" w:space="0" w:color="auto"/>
              <w:right w:val="single" w:sz="4" w:space="0" w:color="auto"/>
            </w:tcBorders>
            <w:shd w:val="clear" w:color="auto" w:fill="auto"/>
            <w:vAlign w:val="center"/>
            <w:hideMark/>
          </w:tcPr>
          <w:p w14:paraId="435BCFB3" w14:textId="77777777" w:rsidR="001738DA" w:rsidRPr="00875101" w:rsidRDefault="001738DA" w:rsidP="000D405B">
            <w:pPr>
              <w:widowControl/>
              <w:autoSpaceDE/>
              <w:autoSpaceDN/>
              <w:jc w:val="center"/>
              <w:rPr>
                <w:rFonts w:eastAsia="Times New Roman" w:cs="Calibri"/>
                <w:color w:val="000000"/>
                <w:szCs w:val="24"/>
              </w:rPr>
            </w:pPr>
            <w:r w:rsidRPr="00875101">
              <w:rPr>
                <w:rFonts w:eastAsia="Times New Roman" w:cs="Calibri"/>
                <w:color w:val="000000"/>
                <w:spacing w:val="-4"/>
                <w:szCs w:val="24"/>
              </w:rPr>
              <w:t>50.4</w:t>
            </w:r>
          </w:p>
        </w:tc>
        <w:tc>
          <w:tcPr>
            <w:tcW w:w="0" w:type="auto"/>
            <w:tcBorders>
              <w:top w:val="nil"/>
              <w:left w:val="nil"/>
              <w:bottom w:val="single" w:sz="4" w:space="0" w:color="auto"/>
              <w:right w:val="single" w:sz="4" w:space="0" w:color="auto"/>
            </w:tcBorders>
            <w:shd w:val="clear" w:color="auto" w:fill="auto"/>
            <w:vAlign w:val="center"/>
            <w:hideMark/>
          </w:tcPr>
          <w:p w14:paraId="343BDBF9" w14:textId="77777777" w:rsidR="001738DA" w:rsidRPr="00875101" w:rsidRDefault="001738DA" w:rsidP="000D405B">
            <w:pPr>
              <w:widowControl/>
              <w:autoSpaceDE/>
              <w:autoSpaceDN/>
              <w:jc w:val="center"/>
              <w:rPr>
                <w:rFonts w:eastAsia="Times New Roman" w:cs="Calibri"/>
                <w:color w:val="000000"/>
                <w:szCs w:val="24"/>
              </w:rPr>
            </w:pPr>
            <w:r w:rsidRPr="00875101">
              <w:rPr>
                <w:rFonts w:eastAsia="Times New Roman" w:cs="Calibri"/>
                <w:color w:val="000000"/>
                <w:spacing w:val="-5"/>
                <w:szCs w:val="24"/>
              </w:rPr>
              <w:t>52</w:t>
            </w:r>
          </w:p>
        </w:tc>
        <w:tc>
          <w:tcPr>
            <w:tcW w:w="0" w:type="auto"/>
            <w:tcBorders>
              <w:top w:val="nil"/>
              <w:left w:val="nil"/>
              <w:bottom w:val="single" w:sz="4" w:space="0" w:color="auto"/>
              <w:right w:val="single" w:sz="4" w:space="0" w:color="auto"/>
            </w:tcBorders>
            <w:shd w:val="clear" w:color="auto" w:fill="auto"/>
            <w:vAlign w:val="center"/>
            <w:hideMark/>
          </w:tcPr>
          <w:p w14:paraId="7772A00B" w14:textId="77777777" w:rsidR="001738DA" w:rsidRPr="00875101" w:rsidRDefault="001738DA" w:rsidP="000D405B">
            <w:pPr>
              <w:widowControl/>
              <w:autoSpaceDE/>
              <w:autoSpaceDN/>
              <w:jc w:val="center"/>
              <w:rPr>
                <w:rFonts w:eastAsia="Times New Roman" w:cs="Calibri"/>
                <w:color w:val="000000"/>
                <w:szCs w:val="24"/>
              </w:rPr>
            </w:pPr>
            <w:r w:rsidRPr="00875101">
              <w:rPr>
                <w:rFonts w:eastAsia="Times New Roman" w:cs="Calibri"/>
                <w:color w:val="000000"/>
                <w:spacing w:val="-4"/>
                <w:szCs w:val="24"/>
              </w:rPr>
              <w:t>54.9</w:t>
            </w:r>
          </w:p>
        </w:tc>
        <w:tc>
          <w:tcPr>
            <w:tcW w:w="0" w:type="auto"/>
            <w:tcBorders>
              <w:top w:val="nil"/>
              <w:left w:val="nil"/>
              <w:bottom w:val="single" w:sz="4" w:space="0" w:color="auto"/>
              <w:right w:val="single" w:sz="4" w:space="0" w:color="auto"/>
            </w:tcBorders>
            <w:shd w:val="clear" w:color="auto" w:fill="auto"/>
            <w:vAlign w:val="center"/>
            <w:hideMark/>
          </w:tcPr>
          <w:p w14:paraId="0372B5DE" w14:textId="77777777" w:rsidR="001738DA" w:rsidRPr="00875101" w:rsidRDefault="001738DA" w:rsidP="000D405B">
            <w:pPr>
              <w:widowControl/>
              <w:autoSpaceDE/>
              <w:autoSpaceDN/>
              <w:jc w:val="center"/>
              <w:rPr>
                <w:rFonts w:eastAsia="Times New Roman" w:cs="Calibri"/>
                <w:color w:val="000000"/>
                <w:szCs w:val="24"/>
              </w:rPr>
            </w:pPr>
            <w:r w:rsidRPr="00875101">
              <w:rPr>
                <w:rFonts w:eastAsia="Times New Roman" w:cs="Calibri"/>
                <w:color w:val="000000"/>
                <w:spacing w:val="-4"/>
                <w:szCs w:val="24"/>
              </w:rPr>
              <w:t>56.6</w:t>
            </w:r>
          </w:p>
        </w:tc>
        <w:tc>
          <w:tcPr>
            <w:tcW w:w="0" w:type="auto"/>
            <w:tcBorders>
              <w:top w:val="nil"/>
              <w:left w:val="nil"/>
              <w:bottom w:val="single" w:sz="4" w:space="0" w:color="auto"/>
              <w:right w:val="single" w:sz="4" w:space="0" w:color="auto"/>
            </w:tcBorders>
            <w:shd w:val="clear" w:color="auto" w:fill="auto"/>
            <w:vAlign w:val="center"/>
            <w:hideMark/>
          </w:tcPr>
          <w:p w14:paraId="62B7C077" w14:textId="77777777" w:rsidR="001738DA" w:rsidRPr="00875101" w:rsidRDefault="001738DA" w:rsidP="000D405B">
            <w:pPr>
              <w:widowControl/>
              <w:autoSpaceDE/>
              <w:autoSpaceDN/>
              <w:jc w:val="center"/>
              <w:rPr>
                <w:rFonts w:eastAsia="Times New Roman" w:cs="Calibri"/>
                <w:color w:val="000000"/>
                <w:szCs w:val="24"/>
              </w:rPr>
            </w:pPr>
            <w:r w:rsidRPr="00875101">
              <w:rPr>
                <w:rFonts w:eastAsia="Times New Roman" w:cs="Calibri"/>
                <w:color w:val="000000"/>
                <w:spacing w:val="-4"/>
                <w:szCs w:val="24"/>
              </w:rPr>
              <w:t>51.2</w:t>
            </w:r>
          </w:p>
        </w:tc>
        <w:tc>
          <w:tcPr>
            <w:tcW w:w="0" w:type="auto"/>
            <w:tcBorders>
              <w:top w:val="nil"/>
              <w:left w:val="nil"/>
              <w:bottom w:val="single" w:sz="4" w:space="0" w:color="auto"/>
              <w:right w:val="single" w:sz="4" w:space="0" w:color="auto"/>
            </w:tcBorders>
            <w:shd w:val="clear" w:color="auto" w:fill="auto"/>
            <w:vAlign w:val="center"/>
            <w:hideMark/>
          </w:tcPr>
          <w:p w14:paraId="3E5F85A0" w14:textId="77777777" w:rsidR="001738DA" w:rsidRPr="00875101" w:rsidRDefault="001738DA" w:rsidP="000D405B">
            <w:pPr>
              <w:widowControl/>
              <w:autoSpaceDE/>
              <w:autoSpaceDN/>
              <w:jc w:val="center"/>
              <w:rPr>
                <w:rFonts w:eastAsia="Times New Roman" w:cs="Calibri"/>
                <w:color w:val="000000"/>
                <w:szCs w:val="24"/>
              </w:rPr>
            </w:pPr>
            <w:r w:rsidRPr="00875101">
              <w:rPr>
                <w:rFonts w:eastAsia="Times New Roman" w:cs="Calibri"/>
                <w:color w:val="000000"/>
                <w:spacing w:val="-4"/>
                <w:szCs w:val="24"/>
              </w:rPr>
              <w:t>51.1</w:t>
            </w:r>
          </w:p>
        </w:tc>
      </w:tr>
    </w:tbl>
    <w:p w14:paraId="4256951C" w14:textId="77777777" w:rsidR="002A7795" w:rsidRDefault="002A7795" w:rsidP="00932E5D">
      <w:pPr>
        <w:rPr>
          <w:rFonts w:asciiTheme="minorHAnsi" w:hAnsiTheme="minorHAnsi"/>
          <w:szCs w:val="24"/>
        </w:rPr>
      </w:pPr>
    </w:p>
    <w:p w14:paraId="6FC2E58B" w14:textId="6EA8CA58" w:rsidR="000008EA" w:rsidRDefault="000008EA" w:rsidP="00BA2054">
      <w:pPr>
        <w:rPr>
          <w:rFonts w:asciiTheme="minorHAnsi" w:hAnsiTheme="minorHAnsi"/>
          <w:szCs w:val="24"/>
        </w:rPr>
      </w:pPr>
      <w:r>
        <w:rPr>
          <w:rFonts w:asciiTheme="minorHAnsi" w:hAnsiTheme="minorHAnsi"/>
          <w:szCs w:val="24"/>
        </w:rPr>
        <w:t>The Applicant explained that</w:t>
      </w:r>
      <w:r w:rsidRPr="000008EA">
        <w:rPr>
          <w:rFonts w:asciiTheme="minorHAnsi" w:hAnsiTheme="minorHAnsi"/>
          <w:szCs w:val="24"/>
        </w:rPr>
        <w:t xml:space="preserve"> LINAC wait times are derived from the time of a patient’s first consult with a Dana-Farber medical oncologist to their first treatment at Dana-Farber. </w:t>
      </w:r>
      <w:r w:rsidR="00683363">
        <w:rPr>
          <w:rFonts w:asciiTheme="minorHAnsi" w:hAnsiTheme="minorHAnsi"/>
          <w:szCs w:val="24"/>
        </w:rPr>
        <w:t>The Applicant states that t</w:t>
      </w:r>
      <w:r w:rsidRPr="000008EA">
        <w:rPr>
          <w:rFonts w:asciiTheme="minorHAnsi" w:hAnsiTheme="minorHAnsi"/>
          <w:szCs w:val="24"/>
        </w:rPr>
        <w:t>his time span is driven by the order of a patient’s oncology treatment plan and may depend on the type of cancer, tumor, or other clinical determinants. Further, patients may have an initial consult at Dana-Farber, receive care closer to home, and then later return to Dana-Farber for radiation oncology treatment. Th</w:t>
      </w:r>
      <w:r w:rsidR="00683363">
        <w:rPr>
          <w:rFonts w:asciiTheme="minorHAnsi" w:hAnsiTheme="minorHAnsi"/>
          <w:szCs w:val="24"/>
        </w:rPr>
        <w:t>e Applicant states that this sequence</w:t>
      </w:r>
      <w:r w:rsidRPr="000008EA">
        <w:rPr>
          <w:rFonts w:asciiTheme="minorHAnsi" w:hAnsiTheme="minorHAnsi"/>
          <w:szCs w:val="24"/>
        </w:rPr>
        <w:t xml:space="preserve"> can increase the time between first consult and the time before a patient’s first treatment at Dana-Farber. </w:t>
      </w:r>
      <w:r w:rsidR="00C41187">
        <w:rPr>
          <w:rFonts w:asciiTheme="minorHAnsi" w:hAnsiTheme="minorHAnsi"/>
          <w:szCs w:val="24"/>
        </w:rPr>
        <w:t xml:space="preserve">Table </w:t>
      </w:r>
      <w:r w:rsidR="00090E26">
        <w:rPr>
          <w:rFonts w:asciiTheme="minorHAnsi" w:hAnsiTheme="minorHAnsi"/>
          <w:szCs w:val="24"/>
        </w:rPr>
        <w:t>3</w:t>
      </w:r>
      <w:r w:rsidR="004D2DC2">
        <w:rPr>
          <w:rFonts w:asciiTheme="minorHAnsi" w:hAnsiTheme="minorHAnsi"/>
          <w:szCs w:val="24"/>
        </w:rPr>
        <w:t>2</w:t>
      </w:r>
      <w:r w:rsidRPr="000008EA">
        <w:rPr>
          <w:rFonts w:asciiTheme="minorHAnsi" w:hAnsiTheme="minorHAnsi"/>
          <w:szCs w:val="24"/>
        </w:rPr>
        <w:t xml:space="preserve"> removes the impact of those patients who took longer than one year to receive treatment at Dana-Farber for the aforementioned reasons. </w:t>
      </w:r>
      <w:r w:rsidR="006758D5">
        <w:rPr>
          <w:rFonts w:asciiTheme="minorHAnsi" w:hAnsiTheme="minorHAnsi"/>
          <w:szCs w:val="24"/>
        </w:rPr>
        <w:t>The Applicant states further that m</w:t>
      </w:r>
      <w:r w:rsidRPr="000008EA">
        <w:rPr>
          <w:rFonts w:asciiTheme="minorHAnsi" w:hAnsiTheme="minorHAnsi"/>
          <w:szCs w:val="24"/>
        </w:rPr>
        <w:t>ore targeted wait time data for radiation oncology patients are proprietary to BWH and Dana-Farber is restricted from disclosing such data.</w:t>
      </w:r>
    </w:p>
    <w:p w14:paraId="2C615548" w14:textId="77777777" w:rsidR="00CA573D" w:rsidRPr="000008EA" w:rsidRDefault="00CA573D" w:rsidP="00BA2054">
      <w:pPr>
        <w:rPr>
          <w:rFonts w:asciiTheme="minorHAnsi" w:hAnsiTheme="minorHAnsi"/>
          <w:szCs w:val="24"/>
        </w:rPr>
      </w:pPr>
    </w:p>
    <w:p w14:paraId="1B9098CB" w14:textId="7E7955DA" w:rsidR="00560E65" w:rsidRPr="00B07AF5" w:rsidRDefault="00B67E26" w:rsidP="00BA2054">
      <w:pPr>
        <w:rPr>
          <w:rFonts w:asciiTheme="minorHAnsi" w:hAnsiTheme="minorHAnsi"/>
          <w:i/>
          <w:iCs/>
          <w:szCs w:val="24"/>
          <w:u w:val="single"/>
        </w:rPr>
      </w:pPr>
      <w:r w:rsidRPr="00B07AF5">
        <w:rPr>
          <w:rFonts w:asciiTheme="minorHAnsi" w:hAnsiTheme="minorHAnsi"/>
          <w:i/>
          <w:iCs/>
          <w:szCs w:val="24"/>
          <w:u w:val="single"/>
        </w:rPr>
        <w:t xml:space="preserve">Projected Need for Radiation Therapy </w:t>
      </w:r>
    </w:p>
    <w:p w14:paraId="32CEB5C6" w14:textId="0FBEA2CC" w:rsidR="00B532BE" w:rsidRDefault="009200DE" w:rsidP="00BA2054">
      <w:pPr>
        <w:rPr>
          <w:rFonts w:asciiTheme="minorHAnsi" w:hAnsiTheme="minorHAnsi"/>
          <w:szCs w:val="24"/>
        </w:rPr>
      </w:pPr>
      <w:r w:rsidRPr="009200DE">
        <w:rPr>
          <w:rFonts w:asciiTheme="minorHAnsi" w:hAnsiTheme="minorHAnsi"/>
          <w:szCs w:val="24"/>
        </w:rPr>
        <w:t>The Applicant</w:t>
      </w:r>
      <w:r w:rsidR="003C43FC">
        <w:rPr>
          <w:rFonts w:asciiTheme="minorHAnsi" w:hAnsiTheme="minorHAnsi"/>
          <w:szCs w:val="24"/>
        </w:rPr>
        <w:t xml:space="preserve"> currently operates three LINACs in existing facilities </w:t>
      </w:r>
      <w:r w:rsidR="004C2D70">
        <w:rPr>
          <w:rFonts w:asciiTheme="minorHAnsi" w:hAnsiTheme="minorHAnsi"/>
          <w:szCs w:val="24"/>
        </w:rPr>
        <w:t xml:space="preserve">at 44 Binney Street </w:t>
      </w:r>
      <w:r w:rsidR="003C43FC">
        <w:rPr>
          <w:rFonts w:asciiTheme="minorHAnsi" w:hAnsiTheme="minorHAnsi"/>
          <w:szCs w:val="24"/>
        </w:rPr>
        <w:t>and</w:t>
      </w:r>
      <w:r w:rsidRPr="009200DE">
        <w:rPr>
          <w:rFonts w:asciiTheme="minorHAnsi" w:hAnsiTheme="minorHAnsi"/>
          <w:szCs w:val="24"/>
        </w:rPr>
        <w:t xml:space="preserve"> is </w:t>
      </w:r>
      <w:r w:rsidRPr="009200DE">
        <w:rPr>
          <w:rFonts w:asciiTheme="minorHAnsi" w:hAnsiTheme="minorHAnsi"/>
          <w:szCs w:val="24"/>
        </w:rPr>
        <w:lastRenderedPageBreak/>
        <w:t>proposing to add three LINACs through the Proposed Project</w:t>
      </w:r>
      <w:r w:rsidR="00A34FB5">
        <w:rPr>
          <w:rFonts w:asciiTheme="minorHAnsi" w:hAnsiTheme="minorHAnsi"/>
          <w:szCs w:val="24"/>
        </w:rPr>
        <w:t xml:space="preserve"> for a total of six LINACs</w:t>
      </w:r>
      <w:r w:rsidR="003C43FC">
        <w:rPr>
          <w:rFonts w:asciiTheme="minorHAnsi" w:hAnsiTheme="minorHAnsi"/>
          <w:szCs w:val="24"/>
        </w:rPr>
        <w:t xml:space="preserve">. The Applicant </w:t>
      </w:r>
      <w:r w:rsidRPr="009200DE">
        <w:rPr>
          <w:rFonts w:asciiTheme="minorHAnsi" w:hAnsiTheme="minorHAnsi"/>
          <w:szCs w:val="24"/>
        </w:rPr>
        <w:t>anticipates adding additional LINAC capacity in the future through the acquisition by lease of three LINACs currently licensed to BIDMC.</w:t>
      </w:r>
      <w:r w:rsidR="00440D08">
        <w:rPr>
          <w:rStyle w:val="FootnoteReference"/>
          <w:rFonts w:asciiTheme="minorHAnsi" w:hAnsiTheme="minorHAnsi"/>
          <w:szCs w:val="24"/>
        </w:rPr>
        <w:footnoteReference w:id="86"/>
      </w:r>
      <w:r w:rsidRPr="009200DE">
        <w:rPr>
          <w:rFonts w:asciiTheme="minorHAnsi" w:hAnsiTheme="minorHAnsi"/>
          <w:szCs w:val="24"/>
        </w:rPr>
        <w:t xml:space="preserve"> </w:t>
      </w:r>
    </w:p>
    <w:p w14:paraId="3DDF5AB7" w14:textId="77777777" w:rsidR="00B532BE" w:rsidRDefault="00B532BE" w:rsidP="00BA2054">
      <w:pPr>
        <w:rPr>
          <w:rFonts w:asciiTheme="minorHAnsi" w:hAnsiTheme="minorHAnsi"/>
          <w:szCs w:val="24"/>
        </w:rPr>
      </w:pPr>
    </w:p>
    <w:p w14:paraId="54B37E66" w14:textId="4768C893" w:rsidR="00EA03DD" w:rsidRPr="00AF5C5C" w:rsidRDefault="00BF2707" w:rsidP="00BA2054">
      <w:pPr>
        <w:rPr>
          <w:rFonts w:asciiTheme="minorHAnsi" w:hAnsiTheme="minorHAnsi"/>
          <w:szCs w:val="24"/>
        </w:rPr>
      </w:pPr>
      <w:r w:rsidRPr="00BF2707">
        <w:rPr>
          <w:rFonts w:asciiTheme="minorHAnsi" w:hAnsiTheme="minorHAnsi"/>
          <w:szCs w:val="24"/>
        </w:rPr>
        <w:t xml:space="preserve">The number of LINAC machines needed was calculated by dividing the projected 2032 annual need for LINAC sessions by a LINAC machine’s throughput. Throughput, or annual session capacity, of one LINAC was estimated, based on the Applicant’s historical experience. </w:t>
      </w:r>
      <w:r w:rsidR="003A0B9F" w:rsidRPr="003A0B9F">
        <w:rPr>
          <w:rFonts w:asciiTheme="minorHAnsi" w:hAnsiTheme="minorHAnsi"/>
          <w:szCs w:val="24"/>
        </w:rPr>
        <w:t xml:space="preserve">Tables </w:t>
      </w:r>
      <w:r w:rsidR="00503F77">
        <w:rPr>
          <w:rFonts w:asciiTheme="minorHAnsi" w:hAnsiTheme="minorHAnsi"/>
          <w:szCs w:val="24"/>
        </w:rPr>
        <w:t>3</w:t>
      </w:r>
      <w:r w:rsidR="002D5360">
        <w:rPr>
          <w:rFonts w:asciiTheme="minorHAnsi" w:hAnsiTheme="minorHAnsi"/>
          <w:szCs w:val="24"/>
        </w:rPr>
        <w:t>3</w:t>
      </w:r>
      <w:r w:rsidR="003A0B9F" w:rsidRPr="003A0B9F">
        <w:rPr>
          <w:rFonts w:asciiTheme="minorHAnsi" w:hAnsiTheme="minorHAnsi"/>
          <w:szCs w:val="24"/>
        </w:rPr>
        <w:t xml:space="preserve"> and </w:t>
      </w:r>
      <w:r w:rsidR="00503F77">
        <w:rPr>
          <w:rFonts w:asciiTheme="minorHAnsi" w:hAnsiTheme="minorHAnsi"/>
          <w:szCs w:val="24"/>
        </w:rPr>
        <w:t>3</w:t>
      </w:r>
      <w:r w:rsidR="002D5360">
        <w:rPr>
          <w:rFonts w:asciiTheme="minorHAnsi" w:hAnsiTheme="minorHAnsi"/>
          <w:szCs w:val="24"/>
        </w:rPr>
        <w:t>4</w:t>
      </w:r>
      <w:r w:rsidR="003A0B9F" w:rsidRPr="003A0B9F">
        <w:rPr>
          <w:rFonts w:asciiTheme="minorHAnsi" w:hAnsiTheme="minorHAnsi"/>
          <w:szCs w:val="24"/>
        </w:rPr>
        <w:t xml:space="preserve"> show the Applicant’s projected need for </w:t>
      </w:r>
      <w:r w:rsidR="003A0B9F">
        <w:rPr>
          <w:rFonts w:asciiTheme="minorHAnsi" w:hAnsiTheme="minorHAnsi"/>
          <w:szCs w:val="24"/>
        </w:rPr>
        <w:t>LINAC</w:t>
      </w:r>
      <w:r w:rsidR="002D3B0C">
        <w:rPr>
          <w:rFonts w:asciiTheme="minorHAnsi" w:hAnsiTheme="minorHAnsi"/>
          <w:szCs w:val="24"/>
        </w:rPr>
        <w:t>s</w:t>
      </w:r>
      <w:r w:rsidR="003A0B9F" w:rsidRPr="003A0B9F">
        <w:rPr>
          <w:rFonts w:asciiTheme="minorHAnsi" w:hAnsiTheme="minorHAnsi"/>
          <w:szCs w:val="24"/>
        </w:rPr>
        <w:t>.</w:t>
      </w:r>
      <w:r w:rsidR="002D3B0C" w:rsidRPr="002D3B0C">
        <w:rPr>
          <w:rFonts w:asciiTheme="minorHAnsi" w:hAnsiTheme="minorHAnsi"/>
          <w:szCs w:val="24"/>
        </w:rPr>
        <w:t xml:space="preserve"> </w:t>
      </w:r>
    </w:p>
    <w:p w14:paraId="563054FF" w14:textId="77777777" w:rsidR="003A0B9F" w:rsidRDefault="003A0B9F" w:rsidP="00BA2054">
      <w:pPr>
        <w:rPr>
          <w:rFonts w:asciiTheme="minorHAnsi" w:hAnsiTheme="minorHAnsi"/>
          <w:szCs w:val="24"/>
        </w:rPr>
      </w:pPr>
    </w:p>
    <w:p w14:paraId="00F34C52" w14:textId="56B1E1A5" w:rsidR="00B67E26" w:rsidRPr="00B67E26" w:rsidRDefault="00B67E26" w:rsidP="00932E5D">
      <w:pPr>
        <w:rPr>
          <w:rFonts w:asciiTheme="minorHAnsi" w:hAnsiTheme="minorHAnsi"/>
          <w:b/>
          <w:bCs/>
          <w:szCs w:val="24"/>
        </w:rPr>
      </w:pPr>
      <w:r w:rsidRPr="00B67E26">
        <w:rPr>
          <w:rFonts w:asciiTheme="minorHAnsi" w:hAnsiTheme="minorHAnsi"/>
          <w:b/>
          <w:bCs/>
          <w:szCs w:val="24"/>
          <w:u w:val="single"/>
        </w:rPr>
        <w:t xml:space="preserve">Table </w:t>
      </w:r>
      <w:r w:rsidR="00503F77">
        <w:rPr>
          <w:rFonts w:asciiTheme="minorHAnsi" w:hAnsiTheme="minorHAnsi"/>
          <w:b/>
          <w:bCs/>
          <w:szCs w:val="24"/>
          <w:u w:val="single"/>
        </w:rPr>
        <w:t>3</w:t>
      </w:r>
      <w:r w:rsidR="002D5360">
        <w:rPr>
          <w:rFonts w:asciiTheme="minorHAnsi" w:hAnsiTheme="minorHAnsi"/>
          <w:b/>
          <w:bCs/>
          <w:szCs w:val="24"/>
          <w:u w:val="single"/>
        </w:rPr>
        <w:t>3</w:t>
      </w:r>
      <w:r w:rsidRPr="00B67E26">
        <w:rPr>
          <w:rFonts w:asciiTheme="minorHAnsi" w:hAnsiTheme="minorHAnsi"/>
          <w:b/>
          <w:bCs/>
          <w:szCs w:val="24"/>
        </w:rPr>
        <w:t>: LINAC Throughput Assumptions</w:t>
      </w:r>
    </w:p>
    <w:tbl>
      <w:tblPr>
        <w:tblStyle w:val="TableGrid"/>
        <w:tblW w:w="0" w:type="auto"/>
        <w:tblLook w:val="04A0" w:firstRow="1" w:lastRow="0" w:firstColumn="1" w:lastColumn="0" w:noHBand="0" w:noVBand="1"/>
      </w:tblPr>
      <w:tblGrid>
        <w:gridCol w:w="1307"/>
        <w:gridCol w:w="1248"/>
        <w:gridCol w:w="1293"/>
        <w:gridCol w:w="1968"/>
        <w:gridCol w:w="1167"/>
        <w:gridCol w:w="1391"/>
      </w:tblGrid>
      <w:tr w:rsidR="00B67E26" w14:paraId="5D6FF17F" w14:textId="77777777" w:rsidTr="00B67E26">
        <w:tc>
          <w:tcPr>
            <w:tcW w:w="0" w:type="auto"/>
            <w:shd w:val="clear" w:color="auto" w:fill="DBE5F1" w:themeFill="accent1" w:themeFillTint="33"/>
          </w:tcPr>
          <w:p w14:paraId="2878DB96" w14:textId="77777777" w:rsidR="00B67E26" w:rsidRPr="000977E7" w:rsidRDefault="00B67E26">
            <w:pPr>
              <w:jc w:val="center"/>
              <w:rPr>
                <w:b/>
                <w:szCs w:val="24"/>
              </w:rPr>
            </w:pPr>
            <w:r w:rsidRPr="000977E7">
              <w:rPr>
                <w:b/>
                <w:szCs w:val="24"/>
              </w:rPr>
              <w:t>Equipment</w:t>
            </w:r>
          </w:p>
        </w:tc>
        <w:tc>
          <w:tcPr>
            <w:tcW w:w="0" w:type="auto"/>
            <w:shd w:val="clear" w:color="auto" w:fill="DBE5F1" w:themeFill="accent1" w:themeFillTint="33"/>
          </w:tcPr>
          <w:p w14:paraId="3F8CD1E0" w14:textId="77777777" w:rsidR="00B67E26" w:rsidRPr="000977E7" w:rsidRDefault="00B67E26" w:rsidP="009B1C5F">
            <w:pPr>
              <w:jc w:val="center"/>
              <w:rPr>
                <w:b/>
                <w:szCs w:val="24"/>
              </w:rPr>
            </w:pPr>
            <w:r w:rsidRPr="000977E7">
              <w:rPr>
                <w:b/>
                <w:szCs w:val="24"/>
              </w:rPr>
              <w:t>Days/Year</w:t>
            </w:r>
          </w:p>
        </w:tc>
        <w:tc>
          <w:tcPr>
            <w:tcW w:w="0" w:type="auto"/>
            <w:shd w:val="clear" w:color="auto" w:fill="DBE5F1" w:themeFill="accent1" w:themeFillTint="33"/>
          </w:tcPr>
          <w:p w14:paraId="185C43B0" w14:textId="77777777" w:rsidR="00B67E26" w:rsidRPr="000977E7" w:rsidRDefault="00B67E26" w:rsidP="009B1C5F">
            <w:pPr>
              <w:jc w:val="center"/>
              <w:rPr>
                <w:b/>
                <w:szCs w:val="24"/>
              </w:rPr>
            </w:pPr>
            <w:r w:rsidRPr="000977E7">
              <w:rPr>
                <w:b/>
                <w:szCs w:val="24"/>
              </w:rPr>
              <w:t>Hours/Day</w:t>
            </w:r>
          </w:p>
        </w:tc>
        <w:tc>
          <w:tcPr>
            <w:tcW w:w="0" w:type="auto"/>
            <w:shd w:val="clear" w:color="auto" w:fill="DBE5F1" w:themeFill="accent1" w:themeFillTint="33"/>
          </w:tcPr>
          <w:p w14:paraId="269D6B17" w14:textId="00FBC8E9" w:rsidR="00B67E26" w:rsidRPr="000977E7" w:rsidRDefault="00B67E26" w:rsidP="009B1C5F">
            <w:pPr>
              <w:jc w:val="center"/>
              <w:rPr>
                <w:b/>
                <w:szCs w:val="24"/>
              </w:rPr>
            </w:pPr>
            <w:r w:rsidRPr="000977E7">
              <w:rPr>
                <w:b/>
                <w:szCs w:val="24"/>
              </w:rPr>
              <w:t>Patient Time (</w:t>
            </w:r>
            <w:r w:rsidR="00A50F6E" w:rsidRPr="000977E7">
              <w:rPr>
                <w:b/>
                <w:szCs w:val="24"/>
              </w:rPr>
              <w:t>hr.</w:t>
            </w:r>
            <w:r w:rsidRPr="000977E7">
              <w:rPr>
                <w:b/>
                <w:szCs w:val="24"/>
              </w:rPr>
              <w:t>)</w:t>
            </w:r>
          </w:p>
        </w:tc>
        <w:tc>
          <w:tcPr>
            <w:tcW w:w="0" w:type="auto"/>
            <w:shd w:val="clear" w:color="auto" w:fill="DBE5F1" w:themeFill="accent1" w:themeFillTint="33"/>
          </w:tcPr>
          <w:p w14:paraId="00221505" w14:textId="77777777" w:rsidR="00B67E26" w:rsidRPr="000977E7" w:rsidRDefault="00B67E26" w:rsidP="009B1C5F">
            <w:pPr>
              <w:jc w:val="center"/>
              <w:rPr>
                <w:b/>
                <w:szCs w:val="24"/>
              </w:rPr>
            </w:pPr>
            <w:r w:rsidRPr="000977E7">
              <w:rPr>
                <w:b/>
                <w:szCs w:val="24"/>
              </w:rPr>
              <w:t>Efficiency</w:t>
            </w:r>
          </w:p>
        </w:tc>
        <w:tc>
          <w:tcPr>
            <w:tcW w:w="0" w:type="auto"/>
            <w:shd w:val="clear" w:color="auto" w:fill="DBE5F1" w:themeFill="accent1" w:themeFillTint="33"/>
          </w:tcPr>
          <w:p w14:paraId="368D151E" w14:textId="77777777" w:rsidR="00B67E26" w:rsidRPr="000977E7" w:rsidRDefault="00B67E26" w:rsidP="009B1C5F">
            <w:pPr>
              <w:jc w:val="center"/>
              <w:rPr>
                <w:b/>
                <w:szCs w:val="24"/>
              </w:rPr>
            </w:pPr>
            <w:r w:rsidRPr="000977E7">
              <w:rPr>
                <w:b/>
                <w:szCs w:val="24"/>
              </w:rPr>
              <w:t>Throughput</w:t>
            </w:r>
          </w:p>
        </w:tc>
      </w:tr>
      <w:tr w:rsidR="00B67E26" w14:paraId="02F5C976" w14:textId="77777777" w:rsidTr="00B67E26">
        <w:tc>
          <w:tcPr>
            <w:tcW w:w="0" w:type="auto"/>
          </w:tcPr>
          <w:p w14:paraId="2A9075F2" w14:textId="77777777" w:rsidR="00B67E26" w:rsidRDefault="00B67E26">
            <w:pPr>
              <w:jc w:val="both"/>
              <w:rPr>
                <w:bCs/>
                <w:szCs w:val="24"/>
              </w:rPr>
            </w:pPr>
            <w:r>
              <w:rPr>
                <w:bCs/>
                <w:szCs w:val="24"/>
              </w:rPr>
              <w:t>LINAC</w:t>
            </w:r>
          </w:p>
        </w:tc>
        <w:tc>
          <w:tcPr>
            <w:tcW w:w="0" w:type="auto"/>
          </w:tcPr>
          <w:p w14:paraId="03099278" w14:textId="77777777" w:rsidR="00B67E26" w:rsidRDefault="00B67E26" w:rsidP="009B1C5F">
            <w:pPr>
              <w:jc w:val="center"/>
              <w:rPr>
                <w:bCs/>
                <w:szCs w:val="24"/>
              </w:rPr>
            </w:pPr>
            <w:r w:rsidRPr="00E629EF">
              <w:rPr>
                <w:bCs/>
                <w:szCs w:val="24"/>
              </w:rPr>
              <w:t>250</w:t>
            </w:r>
          </w:p>
        </w:tc>
        <w:tc>
          <w:tcPr>
            <w:tcW w:w="0" w:type="auto"/>
          </w:tcPr>
          <w:p w14:paraId="2144B8FF" w14:textId="77777777" w:rsidR="00B67E26" w:rsidRDefault="00B67E26" w:rsidP="009B1C5F">
            <w:pPr>
              <w:jc w:val="center"/>
              <w:rPr>
                <w:bCs/>
                <w:szCs w:val="24"/>
              </w:rPr>
            </w:pPr>
            <w:r>
              <w:rPr>
                <w:bCs/>
                <w:szCs w:val="24"/>
              </w:rPr>
              <w:t>10</w:t>
            </w:r>
          </w:p>
        </w:tc>
        <w:tc>
          <w:tcPr>
            <w:tcW w:w="0" w:type="auto"/>
          </w:tcPr>
          <w:p w14:paraId="6479D957" w14:textId="77777777" w:rsidR="00B67E26" w:rsidRDefault="00B67E26" w:rsidP="009B1C5F">
            <w:pPr>
              <w:jc w:val="center"/>
              <w:rPr>
                <w:bCs/>
                <w:szCs w:val="24"/>
              </w:rPr>
            </w:pPr>
            <w:r>
              <w:rPr>
                <w:bCs/>
                <w:szCs w:val="24"/>
              </w:rPr>
              <w:t>0.3</w:t>
            </w:r>
          </w:p>
        </w:tc>
        <w:tc>
          <w:tcPr>
            <w:tcW w:w="0" w:type="auto"/>
          </w:tcPr>
          <w:p w14:paraId="3193D31F" w14:textId="77777777" w:rsidR="00B67E26" w:rsidRDefault="00B67E26" w:rsidP="009B1C5F">
            <w:pPr>
              <w:jc w:val="center"/>
              <w:rPr>
                <w:bCs/>
                <w:szCs w:val="24"/>
              </w:rPr>
            </w:pPr>
            <w:r>
              <w:rPr>
                <w:bCs/>
                <w:szCs w:val="24"/>
              </w:rPr>
              <w:t>85%</w:t>
            </w:r>
          </w:p>
        </w:tc>
        <w:tc>
          <w:tcPr>
            <w:tcW w:w="0" w:type="auto"/>
          </w:tcPr>
          <w:p w14:paraId="0F17110D" w14:textId="77777777" w:rsidR="00B67E26" w:rsidRDefault="00B67E26" w:rsidP="009B1C5F">
            <w:pPr>
              <w:jc w:val="center"/>
              <w:rPr>
                <w:bCs/>
                <w:szCs w:val="24"/>
              </w:rPr>
            </w:pPr>
            <w:r>
              <w:rPr>
                <w:bCs/>
                <w:szCs w:val="24"/>
              </w:rPr>
              <w:t>7,000</w:t>
            </w:r>
          </w:p>
        </w:tc>
      </w:tr>
    </w:tbl>
    <w:p w14:paraId="04283F78" w14:textId="77777777" w:rsidR="00B67E26" w:rsidRDefault="00B67E26" w:rsidP="00932E5D">
      <w:pPr>
        <w:rPr>
          <w:rFonts w:asciiTheme="minorHAnsi" w:hAnsiTheme="minorHAnsi"/>
          <w:szCs w:val="24"/>
        </w:rPr>
      </w:pPr>
    </w:p>
    <w:p w14:paraId="06D537CE" w14:textId="4CEC4BD7" w:rsidR="00B67E26" w:rsidRPr="00B67E26" w:rsidRDefault="00B67E26" w:rsidP="00932E5D">
      <w:pPr>
        <w:rPr>
          <w:rFonts w:asciiTheme="minorHAnsi" w:hAnsiTheme="minorHAnsi"/>
          <w:b/>
          <w:bCs/>
          <w:szCs w:val="24"/>
        </w:rPr>
      </w:pPr>
      <w:r w:rsidRPr="00B67E26">
        <w:rPr>
          <w:rFonts w:asciiTheme="minorHAnsi" w:hAnsiTheme="minorHAnsi"/>
          <w:b/>
          <w:bCs/>
          <w:szCs w:val="24"/>
          <w:u w:val="single"/>
        </w:rPr>
        <w:t xml:space="preserve">Table </w:t>
      </w:r>
      <w:r w:rsidR="00503F77">
        <w:rPr>
          <w:rFonts w:asciiTheme="minorHAnsi" w:hAnsiTheme="minorHAnsi"/>
          <w:b/>
          <w:bCs/>
          <w:szCs w:val="24"/>
          <w:u w:val="single"/>
        </w:rPr>
        <w:t>3</w:t>
      </w:r>
      <w:r w:rsidR="002D5360">
        <w:rPr>
          <w:rFonts w:asciiTheme="minorHAnsi" w:hAnsiTheme="minorHAnsi"/>
          <w:b/>
          <w:bCs/>
          <w:szCs w:val="24"/>
          <w:u w:val="single"/>
        </w:rPr>
        <w:t>4</w:t>
      </w:r>
      <w:r w:rsidRPr="00B67E26">
        <w:rPr>
          <w:rFonts w:asciiTheme="minorHAnsi" w:hAnsiTheme="minorHAnsi"/>
          <w:b/>
          <w:bCs/>
          <w:szCs w:val="24"/>
        </w:rPr>
        <w:t xml:space="preserve">: Projected </w:t>
      </w:r>
      <w:r w:rsidR="006A0612">
        <w:rPr>
          <w:rFonts w:asciiTheme="minorHAnsi" w:hAnsiTheme="minorHAnsi"/>
          <w:b/>
          <w:bCs/>
          <w:szCs w:val="24"/>
        </w:rPr>
        <w:t>Need</w:t>
      </w:r>
      <w:r w:rsidRPr="00B67E26">
        <w:rPr>
          <w:rFonts w:asciiTheme="minorHAnsi" w:hAnsiTheme="minorHAnsi"/>
          <w:b/>
          <w:bCs/>
          <w:szCs w:val="24"/>
        </w:rPr>
        <w:t xml:space="preserve"> for LINAC Sessions (w/ Proposed Project)</w:t>
      </w:r>
    </w:p>
    <w:tbl>
      <w:tblPr>
        <w:tblW w:w="0" w:type="auto"/>
        <w:tblLook w:val="04A0" w:firstRow="1" w:lastRow="0" w:firstColumn="1" w:lastColumn="0" w:noHBand="0" w:noVBand="1"/>
      </w:tblPr>
      <w:tblGrid>
        <w:gridCol w:w="3820"/>
        <w:gridCol w:w="885"/>
      </w:tblGrid>
      <w:tr w:rsidR="009906AD" w:rsidRPr="002A68EB" w14:paraId="417553B0" w14:textId="77777777" w:rsidTr="009F01E1">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11EF65A" w14:textId="77777777" w:rsidR="009906AD" w:rsidRPr="002A68EB" w:rsidRDefault="009906AD" w:rsidP="009906AD">
            <w:pPr>
              <w:widowControl/>
              <w:autoSpaceDE/>
              <w:autoSpaceDN/>
              <w:jc w:val="center"/>
              <w:rPr>
                <w:rFonts w:eastAsia="Times New Roman" w:cs="Calibri"/>
                <w:b/>
                <w:bCs/>
                <w:color w:val="000000"/>
                <w:szCs w:val="24"/>
              </w:rPr>
            </w:pPr>
            <w:r w:rsidRPr="002A68EB">
              <w:rPr>
                <w:rFonts w:eastAsia="Times New Roman" w:cs="Calibri"/>
                <w:b/>
                <w:bCs/>
                <w:color w:val="000000"/>
                <w:szCs w:val="24"/>
              </w:rPr>
              <w:t>Metric</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BDDA7A6" w14:textId="77777777" w:rsidR="009906AD" w:rsidRPr="002A68EB" w:rsidRDefault="009906AD" w:rsidP="009906AD">
            <w:pPr>
              <w:widowControl/>
              <w:autoSpaceDE/>
              <w:autoSpaceDN/>
              <w:jc w:val="center"/>
              <w:rPr>
                <w:rFonts w:eastAsia="Times New Roman" w:cs="Calibri"/>
                <w:b/>
                <w:bCs/>
                <w:color w:val="000000"/>
                <w:szCs w:val="24"/>
              </w:rPr>
            </w:pPr>
            <w:r w:rsidRPr="002A68EB">
              <w:rPr>
                <w:rFonts w:eastAsia="Times New Roman" w:cs="Calibri"/>
                <w:b/>
                <w:bCs/>
                <w:color w:val="000000"/>
                <w:szCs w:val="24"/>
              </w:rPr>
              <w:t>Total</w:t>
            </w:r>
          </w:p>
        </w:tc>
      </w:tr>
      <w:tr w:rsidR="00C84514" w:rsidRPr="002A68EB" w14:paraId="3831E767" w14:textId="77777777" w:rsidTr="009F01E1">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D4FFB9" w14:textId="77777777" w:rsidR="00C84514" w:rsidRPr="002A68EB" w:rsidRDefault="00C84514" w:rsidP="009906AD">
            <w:pPr>
              <w:widowControl/>
              <w:autoSpaceDE/>
              <w:autoSpaceDN/>
              <w:rPr>
                <w:rFonts w:eastAsia="Times New Roman" w:cs="Calibri"/>
                <w:b/>
                <w:bCs/>
                <w:color w:val="000000"/>
                <w:szCs w:val="24"/>
              </w:rPr>
            </w:pPr>
            <w:r w:rsidRPr="002A68EB">
              <w:rPr>
                <w:rFonts w:eastAsia="Times New Roman" w:cs="Calibri"/>
                <w:b/>
                <w:bCs/>
                <w:color w:val="000000"/>
                <w:szCs w:val="24"/>
              </w:rPr>
              <w:t>Applicant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184C3F" w14:textId="6DFAE2A0" w:rsidR="00C84514" w:rsidRPr="002A68EB" w:rsidRDefault="00C84514" w:rsidP="009906AD">
            <w:pPr>
              <w:widowControl/>
              <w:autoSpaceDE/>
              <w:autoSpaceDN/>
              <w:rPr>
                <w:rFonts w:eastAsia="Times New Roman" w:cs="Calibri"/>
                <w:b/>
                <w:bCs/>
                <w:color w:val="000000"/>
                <w:szCs w:val="24"/>
              </w:rPr>
            </w:pPr>
          </w:p>
        </w:tc>
      </w:tr>
      <w:tr w:rsidR="009906AD" w:rsidRPr="002A68EB" w14:paraId="6C64DF35" w14:textId="77777777" w:rsidTr="009F01E1">
        <w:trPr>
          <w:cantSplit/>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871E13" w14:textId="77777777" w:rsidR="009906AD" w:rsidRPr="002A68EB" w:rsidRDefault="009906AD" w:rsidP="009906AD">
            <w:pPr>
              <w:widowControl/>
              <w:autoSpaceDE/>
              <w:autoSpaceDN/>
              <w:rPr>
                <w:rFonts w:eastAsia="Times New Roman" w:cs="Calibri"/>
                <w:color w:val="000000"/>
                <w:szCs w:val="24"/>
              </w:rPr>
            </w:pPr>
            <w:r w:rsidRPr="002A68EB">
              <w:rPr>
                <w:rFonts w:eastAsia="Times New Roman" w:cs="Calibri"/>
                <w:color w:val="000000"/>
                <w:szCs w:val="24"/>
              </w:rPr>
              <w:t xml:space="preserve">Projected 2032 LINAC Sessions </w:t>
            </w:r>
          </w:p>
        </w:tc>
        <w:tc>
          <w:tcPr>
            <w:tcW w:w="0" w:type="auto"/>
            <w:tcBorders>
              <w:top w:val="nil"/>
              <w:left w:val="nil"/>
              <w:bottom w:val="single" w:sz="4" w:space="0" w:color="auto"/>
              <w:right w:val="single" w:sz="4" w:space="0" w:color="auto"/>
            </w:tcBorders>
            <w:shd w:val="clear" w:color="auto" w:fill="auto"/>
            <w:vAlign w:val="center"/>
            <w:hideMark/>
          </w:tcPr>
          <w:p w14:paraId="7399BFED" w14:textId="77777777" w:rsidR="009906AD" w:rsidRPr="002A68EB" w:rsidRDefault="009906AD" w:rsidP="009906AD">
            <w:pPr>
              <w:widowControl/>
              <w:autoSpaceDE/>
              <w:autoSpaceDN/>
              <w:jc w:val="center"/>
              <w:rPr>
                <w:rFonts w:eastAsia="Times New Roman" w:cs="Calibri"/>
                <w:color w:val="000000"/>
                <w:szCs w:val="24"/>
              </w:rPr>
            </w:pPr>
            <w:r w:rsidRPr="002A68EB">
              <w:rPr>
                <w:rFonts w:eastAsia="Times New Roman" w:cs="Calibri"/>
                <w:color w:val="000000"/>
                <w:szCs w:val="24"/>
              </w:rPr>
              <w:t>51,460</w:t>
            </w:r>
          </w:p>
        </w:tc>
      </w:tr>
      <w:tr w:rsidR="009906AD" w:rsidRPr="002A68EB" w14:paraId="13685C0B" w14:textId="77777777" w:rsidTr="009F01E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D3D4AF" w14:textId="77777777" w:rsidR="009906AD" w:rsidRPr="002A68EB" w:rsidRDefault="009906AD" w:rsidP="009906AD">
            <w:pPr>
              <w:widowControl/>
              <w:autoSpaceDE/>
              <w:autoSpaceDN/>
              <w:rPr>
                <w:rFonts w:eastAsia="Times New Roman" w:cs="Calibri"/>
                <w:b/>
                <w:bCs/>
                <w:color w:val="000000"/>
                <w:szCs w:val="24"/>
              </w:rPr>
            </w:pPr>
            <w:r w:rsidRPr="002A68EB">
              <w:rPr>
                <w:rFonts w:eastAsia="Times New Roman" w:cs="Calibri"/>
                <w:b/>
                <w:bCs/>
                <w:color w:val="000000"/>
                <w:szCs w:val="24"/>
              </w:rPr>
              <w:t>BIDMC</w:t>
            </w:r>
          </w:p>
        </w:tc>
        <w:tc>
          <w:tcPr>
            <w:tcW w:w="0" w:type="auto"/>
            <w:tcBorders>
              <w:top w:val="nil"/>
              <w:left w:val="nil"/>
              <w:bottom w:val="single" w:sz="4" w:space="0" w:color="auto"/>
              <w:right w:val="single" w:sz="4" w:space="0" w:color="auto"/>
            </w:tcBorders>
            <w:shd w:val="clear" w:color="auto" w:fill="auto"/>
            <w:vAlign w:val="center"/>
            <w:hideMark/>
          </w:tcPr>
          <w:p w14:paraId="7D933515" w14:textId="77777777" w:rsidR="009906AD" w:rsidRPr="002A68EB" w:rsidRDefault="009906AD" w:rsidP="009906AD">
            <w:pPr>
              <w:widowControl/>
              <w:autoSpaceDE/>
              <w:autoSpaceDN/>
              <w:jc w:val="center"/>
              <w:rPr>
                <w:rFonts w:eastAsia="Times New Roman" w:cs="Calibri"/>
                <w:color w:val="000000"/>
                <w:szCs w:val="24"/>
              </w:rPr>
            </w:pPr>
            <w:r w:rsidRPr="002A68EB">
              <w:rPr>
                <w:rFonts w:eastAsia="Times New Roman" w:cs="Calibri"/>
                <w:color w:val="000000" w:themeColor="text1"/>
                <w:szCs w:val="24"/>
              </w:rPr>
              <w:t xml:space="preserve"> </w:t>
            </w:r>
          </w:p>
        </w:tc>
      </w:tr>
      <w:tr w:rsidR="009906AD" w:rsidRPr="002A68EB" w14:paraId="1875F275" w14:textId="77777777" w:rsidTr="009F01E1">
        <w:trPr>
          <w:cantSplit/>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9FDDC0" w14:textId="77777777" w:rsidR="009906AD" w:rsidRPr="002A68EB" w:rsidRDefault="009906AD" w:rsidP="009906AD">
            <w:pPr>
              <w:widowControl/>
              <w:autoSpaceDE/>
              <w:autoSpaceDN/>
              <w:rPr>
                <w:rFonts w:eastAsia="Times New Roman" w:cs="Calibri"/>
                <w:color w:val="000000"/>
                <w:szCs w:val="24"/>
              </w:rPr>
            </w:pPr>
            <w:r w:rsidRPr="002A68EB">
              <w:rPr>
                <w:rFonts w:eastAsia="Times New Roman" w:cs="Calibri"/>
                <w:color w:val="000000"/>
                <w:szCs w:val="24"/>
              </w:rPr>
              <w:t>Projected 2032 LINAC Sessions</w:t>
            </w:r>
          </w:p>
        </w:tc>
        <w:tc>
          <w:tcPr>
            <w:tcW w:w="0" w:type="auto"/>
            <w:tcBorders>
              <w:top w:val="nil"/>
              <w:left w:val="nil"/>
              <w:bottom w:val="single" w:sz="4" w:space="0" w:color="auto"/>
              <w:right w:val="single" w:sz="4" w:space="0" w:color="auto"/>
            </w:tcBorders>
            <w:shd w:val="clear" w:color="auto" w:fill="auto"/>
            <w:vAlign w:val="center"/>
            <w:hideMark/>
          </w:tcPr>
          <w:p w14:paraId="010ADABB" w14:textId="77777777" w:rsidR="009906AD" w:rsidRPr="002A68EB" w:rsidRDefault="009906AD" w:rsidP="009906AD">
            <w:pPr>
              <w:widowControl/>
              <w:autoSpaceDE/>
              <w:autoSpaceDN/>
              <w:jc w:val="center"/>
              <w:rPr>
                <w:rFonts w:eastAsia="Times New Roman" w:cs="Calibri"/>
                <w:color w:val="000000"/>
                <w:szCs w:val="24"/>
              </w:rPr>
            </w:pPr>
            <w:r w:rsidRPr="002A68EB">
              <w:rPr>
                <w:rFonts w:eastAsia="Times New Roman" w:cs="Calibri"/>
                <w:color w:val="000000" w:themeColor="text1"/>
                <w:szCs w:val="24"/>
              </w:rPr>
              <w:t>18,080</w:t>
            </w:r>
          </w:p>
        </w:tc>
      </w:tr>
      <w:tr w:rsidR="009906AD" w:rsidRPr="002A68EB" w14:paraId="1BAE8BF9" w14:textId="77777777" w:rsidTr="009F01E1">
        <w:trPr>
          <w:cantSplit/>
          <w:trHeight w:val="5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E320A8" w14:textId="77777777" w:rsidR="009906AD" w:rsidRPr="002A68EB" w:rsidRDefault="009906AD" w:rsidP="009906AD">
            <w:pPr>
              <w:widowControl/>
              <w:autoSpaceDE/>
              <w:autoSpaceDN/>
              <w:rPr>
                <w:rFonts w:eastAsia="Times New Roman" w:cs="Calibri"/>
                <w:b/>
                <w:bCs/>
                <w:color w:val="000000"/>
                <w:szCs w:val="24"/>
              </w:rPr>
            </w:pPr>
            <w:r w:rsidRPr="002A68EB">
              <w:rPr>
                <w:rFonts w:eastAsia="Times New Roman" w:cs="Calibri"/>
                <w:b/>
                <w:bCs/>
                <w:color w:val="000000"/>
                <w:szCs w:val="24"/>
              </w:rPr>
              <w:t xml:space="preserve">Total Projected 2032 LINAC Sessions </w:t>
            </w:r>
          </w:p>
        </w:tc>
        <w:tc>
          <w:tcPr>
            <w:tcW w:w="0" w:type="auto"/>
            <w:tcBorders>
              <w:top w:val="nil"/>
              <w:left w:val="nil"/>
              <w:bottom w:val="single" w:sz="4" w:space="0" w:color="auto"/>
              <w:right w:val="single" w:sz="4" w:space="0" w:color="auto"/>
            </w:tcBorders>
            <w:shd w:val="clear" w:color="auto" w:fill="auto"/>
            <w:vAlign w:val="center"/>
            <w:hideMark/>
          </w:tcPr>
          <w:p w14:paraId="4768D48A" w14:textId="77777777" w:rsidR="009906AD" w:rsidRPr="002A68EB" w:rsidRDefault="009906AD" w:rsidP="009906AD">
            <w:pPr>
              <w:widowControl/>
              <w:autoSpaceDE/>
              <w:autoSpaceDN/>
              <w:jc w:val="center"/>
              <w:rPr>
                <w:rFonts w:eastAsia="Times New Roman" w:cs="Calibri"/>
                <w:color w:val="000000"/>
                <w:szCs w:val="24"/>
              </w:rPr>
            </w:pPr>
            <w:r w:rsidRPr="002A68EB">
              <w:rPr>
                <w:rFonts w:eastAsia="Times New Roman" w:cs="Calibri"/>
                <w:color w:val="000000" w:themeColor="text1"/>
                <w:szCs w:val="24"/>
              </w:rPr>
              <w:t>69,540</w:t>
            </w:r>
          </w:p>
        </w:tc>
      </w:tr>
      <w:tr w:rsidR="009906AD" w:rsidRPr="002A68EB" w14:paraId="482B7F77" w14:textId="77777777" w:rsidTr="009F01E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CA122" w14:textId="77777777" w:rsidR="009906AD" w:rsidRPr="002A68EB" w:rsidRDefault="009906AD" w:rsidP="009906AD">
            <w:pPr>
              <w:widowControl/>
              <w:autoSpaceDE/>
              <w:autoSpaceDN/>
              <w:rPr>
                <w:rFonts w:eastAsia="Times New Roman" w:cs="Calibri"/>
                <w:color w:val="000000"/>
                <w:szCs w:val="24"/>
              </w:rPr>
            </w:pPr>
            <w:r w:rsidRPr="002A68EB">
              <w:rPr>
                <w:rFonts w:eastAsia="Times New Roman" w:cs="Calibri"/>
                <w:color w:val="000000"/>
                <w:szCs w:val="24"/>
              </w:rPr>
              <w:t>Throughput</w:t>
            </w:r>
          </w:p>
        </w:tc>
        <w:tc>
          <w:tcPr>
            <w:tcW w:w="0" w:type="auto"/>
            <w:tcBorders>
              <w:top w:val="nil"/>
              <w:left w:val="nil"/>
              <w:bottom w:val="single" w:sz="4" w:space="0" w:color="auto"/>
              <w:right w:val="single" w:sz="4" w:space="0" w:color="auto"/>
            </w:tcBorders>
            <w:shd w:val="clear" w:color="auto" w:fill="auto"/>
            <w:vAlign w:val="center"/>
            <w:hideMark/>
          </w:tcPr>
          <w:p w14:paraId="3AFE4861" w14:textId="77777777" w:rsidR="009906AD" w:rsidRPr="002A68EB" w:rsidRDefault="009906AD" w:rsidP="009906AD">
            <w:pPr>
              <w:widowControl/>
              <w:autoSpaceDE/>
              <w:autoSpaceDN/>
              <w:jc w:val="center"/>
              <w:rPr>
                <w:rFonts w:eastAsia="Times New Roman" w:cs="Calibri"/>
                <w:color w:val="000000"/>
                <w:szCs w:val="24"/>
              </w:rPr>
            </w:pPr>
            <w:r w:rsidRPr="002A68EB">
              <w:rPr>
                <w:rFonts w:eastAsia="Times New Roman" w:cs="Calibri"/>
                <w:color w:val="000000"/>
                <w:szCs w:val="24"/>
              </w:rPr>
              <w:t>7,000</w:t>
            </w:r>
          </w:p>
        </w:tc>
      </w:tr>
      <w:tr w:rsidR="009906AD" w:rsidRPr="002A68EB" w14:paraId="55F60390" w14:textId="77777777" w:rsidTr="009F01E1">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5C3FC" w14:textId="77777777" w:rsidR="009906AD" w:rsidRPr="002A68EB" w:rsidRDefault="009906AD" w:rsidP="7572E528">
            <w:pPr>
              <w:widowControl/>
              <w:autoSpaceDE/>
              <w:autoSpaceDN/>
              <w:rPr>
                <w:rFonts w:eastAsia="Times New Roman" w:cs="Calibri"/>
                <w:b/>
                <w:bCs/>
                <w:color w:val="000000"/>
              </w:rPr>
            </w:pPr>
            <w:r w:rsidRPr="7572E528">
              <w:rPr>
                <w:rFonts w:eastAsia="Times New Roman" w:cs="Calibri"/>
                <w:b/>
                <w:bCs/>
                <w:color w:val="000000" w:themeColor="text1"/>
              </w:rPr>
              <w:t>Total LINAC Need</w:t>
            </w:r>
          </w:p>
        </w:tc>
        <w:tc>
          <w:tcPr>
            <w:tcW w:w="0" w:type="auto"/>
            <w:tcBorders>
              <w:top w:val="nil"/>
              <w:left w:val="nil"/>
              <w:bottom w:val="single" w:sz="4" w:space="0" w:color="auto"/>
              <w:right w:val="single" w:sz="4" w:space="0" w:color="auto"/>
            </w:tcBorders>
            <w:shd w:val="clear" w:color="auto" w:fill="auto"/>
            <w:vAlign w:val="center"/>
            <w:hideMark/>
          </w:tcPr>
          <w:p w14:paraId="08FC6687" w14:textId="69487A16" w:rsidR="009906AD" w:rsidRPr="002A68EB" w:rsidRDefault="009906AD" w:rsidP="7572E528">
            <w:pPr>
              <w:widowControl/>
              <w:autoSpaceDE/>
              <w:autoSpaceDN/>
              <w:jc w:val="center"/>
              <w:rPr>
                <w:rFonts w:eastAsia="Times New Roman" w:cs="Calibri"/>
                <w:b/>
                <w:bCs/>
                <w:color w:val="000000"/>
              </w:rPr>
            </w:pPr>
            <w:r w:rsidRPr="7572E528">
              <w:rPr>
                <w:rFonts w:eastAsia="Times New Roman" w:cs="Calibri"/>
                <w:b/>
                <w:bCs/>
                <w:color w:val="000000" w:themeColor="text1"/>
              </w:rPr>
              <w:t>10</w:t>
            </w:r>
          </w:p>
        </w:tc>
      </w:tr>
    </w:tbl>
    <w:p w14:paraId="2B3236A1" w14:textId="77777777" w:rsidR="00B67E26" w:rsidRDefault="00B67E26" w:rsidP="00932E5D">
      <w:pPr>
        <w:rPr>
          <w:rFonts w:asciiTheme="minorHAnsi" w:hAnsiTheme="minorHAnsi"/>
          <w:szCs w:val="24"/>
        </w:rPr>
      </w:pPr>
    </w:p>
    <w:p w14:paraId="0C69B489" w14:textId="267A5EAF" w:rsidR="00440D08" w:rsidRDefault="00895703" w:rsidP="00895703">
      <w:pPr>
        <w:rPr>
          <w:rFonts w:asciiTheme="minorHAnsi" w:hAnsiTheme="minorHAnsi"/>
          <w:szCs w:val="24"/>
        </w:rPr>
      </w:pPr>
      <w:r w:rsidRPr="00895703">
        <w:rPr>
          <w:rFonts w:asciiTheme="minorHAnsi" w:hAnsiTheme="minorHAnsi"/>
          <w:szCs w:val="24"/>
        </w:rPr>
        <w:t xml:space="preserve">DoN application materials and responses </w:t>
      </w:r>
      <w:r w:rsidR="00C929F8">
        <w:rPr>
          <w:rFonts w:asciiTheme="minorHAnsi" w:hAnsiTheme="minorHAnsi"/>
          <w:szCs w:val="24"/>
        </w:rPr>
        <w:t>include</w:t>
      </w:r>
      <w:r w:rsidRPr="00895703">
        <w:rPr>
          <w:rFonts w:asciiTheme="minorHAnsi" w:hAnsiTheme="minorHAnsi"/>
          <w:szCs w:val="24"/>
        </w:rPr>
        <w:t xml:space="preserve"> a complete description of the Applicant’s methodology for calculating </w:t>
      </w:r>
      <w:r>
        <w:rPr>
          <w:rFonts w:asciiTheme="minorHAnsi" w:hAnsiTheme="minorHAnsi"/>
          <w:szCs w:val="24"/>
        </w:rPr>
        <w:t>for LINAC equipment</w:t>
      </w:r>
      <w:r w:rsidRPr="00895703">
        <w:rPr>
          <w:rFonts w:asciiTheme="minorHAnsi" w:hAnsiTheme="minorHAnsi"/>
          <w:szCs w:val="24"/>
        </w:rPr>
        <w:t>.</w:t>
      </w:r>
    </w:p>
    <w:p w14:paraId="51748401" w14:textId="621CF82D" w:rsidR="00895703" w:rsidRPr="00895703" w:rsidRDefault="00895703" w:rsidP="00895703">
      <w:pPr>
        <w:rPr>
          <w:rFonts w:asciiTheme="minorHAnsi" w:hAnsiTheme="minorHAnsi"/>
          <w:szCs w:val="24"/>
        </w:rPr>
      </w:pPr>
      <w:r w:rsidRPr="00895703">
        <w:rPr>
          <w:rFonts w:asciiTheme="minorHAnsi" w:hAnsiTheme="minorHAnsi"/>
          <w:szCs w:val="24"/>
        </w:rPr>
        <w:t xml:space="preserve">  </w:t>
      </w:r>
    </w:p>
    <w:p w14:paraId="6F744380" w14:textId="6CE67BB6" w:rsidR="00B67E26" w:rsidRPr="00B67E26" w:rsidRDefault="00B67E26" w:rsidP="00932E5D">
      <w:pPr>
        <w:rPr>
          <w:rFonts w:asciiTheme="minorHAnsi" w:hAnsiTheme="minorHAnsi"/>
          <w:b/>
          <w:bCs/>
          <w:szCs w:val="24"/>
        </w:rPr>
      </w:pPr>
      <w:r w:rsidRPr="00B67E26">
        <w:rPr>
          <w:rFonts w:asciiTheme="minorHAnsi" w:hAnsiTheme="minorHAnsi"/>
          <w:b/>
          <w:bCs/>
          <w:szCs w:val="24"/>
        </w:rPr>
        <w:t xml:space="preserve">Projected Need for CT simulator </w:t>
      </w:r>
    </w:p>
    <w:p w14:paraId="01EAD73C" w14:textId="0318AD4B" w:rsidR="009C0E0C" w:rsidRDefault="00895703" w:rsidP="00BA2054">
      <w:pPr>
        <w:rPr>
          <w:rFonts w:asciiTheme="minorHAnsi" w:hAnsiTheme="minorHAnsi"/>
          <w:szCs w:val="24"/>
        </w:rPr>
      </w:pPr>
      <w:r>
        <w:rPr>
          <w:rFonts w:asciiTheme="minorHAnsi" w:hAnsiTheme="minorHAnsi"/>
          <w:szCs w:val="24"/>
        </w:rPr>
        <w:t xml:space="preserve">The Applicant states that </w:t>
      </w:r>
      <w:r w:rsidR="00924E08" w:rsidRPr="00924E08">
        <w:rPr>
          <w:rFonts w:asciiTheme="minorHAnsi" w:hAnsiTheme="minorHAnsi"/>
          <w:szCs w:val="24"/>
        </w:rPr>
        <w:t>the majority of patients will undergo imaging with a CT simulator</w:t>
      </w:r>
      <w:r>
        <w:rPr>
          <w:rFonts w:asciiTheme="minorHAnsi" w:hAnsiTheme="minorHAnsi"/>
          <w:szCs w:val="24"/>
        </w:rPr>
        <w:t xml:space="preserve"> to prepare for radiation treatment</w:t>
      </w:r>
      <w:r w:rsidR="00924E08" w:rsidRPr="00924E08">
        <w:rPr>
          <w:rFonts w:asciiTheme="minorHAnsi" w:hAnsiTheme="minorHAnsi"/>
          <w:szCs w:val="24"/>
        </w:rPr>
        <w:t xml:space="preserve">. </w:t>
      </w:r>
      <w:r w:rsidR="00A62C5E">
        <w:rPr>
          <w:rFonts w:asciiTheme="minorHAnsi" w:hAnsiTheme="minorHAnsi"/>
          <w:szCs w:val="24"/>
        </w:rPr>
        <w:t>The Applicant states that it owns and operates two CT simulators at its Radiation Oncology locations in Weymouth, MA</w:t>
      </w:r>
      <w:r w:rsidR="009200DE">
        <w:rPr>
          <w:rFonts w:asciiTheme="minorHAnsi" w:hAnsiTheme="minorHAnsi"/>
          <w:szCs w:val="24"/>
        </w:rPr>
        <w:t xml:space="preserve">. </w:t>
      </w:r>
      <w:r w:rsidR="00B77514">
        <w:rPr>
          <w:rFonts w:asciiTheme="minorHAnsi" w:hAnsiTheme="minorHAnsi"/>
          <w:szCs w:val="24"/>
        </w:rPr>
        <w:t xml:space="preserve">Currently, </w:t>
      </w:r>
      <w:r w:rsidR="00A62C5E">
        <w:rPr>
          <w:rFonts w:asciiTheme="minorHAnsi" w:hAnsiTheme="minorHAnsi"/>
          <w:szCs w:val="24"/>
        </w:rPr>
        <w:t xml:space="preserve">all CT simulators used by Dana-Farber on the Longwood Medical Campus are owned and operated by BWH. </w:t>
      </w:r>
      <w:r w:rsidR="00924E08" w:rsidRPr="00924E08">
        <w:rPr>
          <w:rFonts w:asciiTheme="minorHAnsi" w:hAnsiTheme="minorHAnsi"/>
          <w:szCs w:val="24"/>
        </w:rPr>
        <w:t xml:space="preserve">The Applicant proposes to add two CT simulators as part of the Proposed Project. In addition, BIDMC </w:t>
      </w:r>
      <w:r w:rsidR="00041009">
        <w:rPr>
          <w:rFonts w:asciiTheme="minorHAnsi" w:hAnsiTheme="minorHAnsi"/>
          <w:szCs w:val="24"/>
        </w:rPr>
        <w:t xml:space="preserve">has </w:t>
      </w:r>
      <w:r w:rsidR="00924E08" w:rsidRPr="00924E08">
        <w:rPr>
          <w:rFonts w:asciiTheme="minorHAnsi" w:hAnsiTheme="minorHAnsi"/>
          <w:szCs w:val="24"/>
        </w:rPr>
        <w:t xml:space="preserve">one CT simulator, which will continue to operate as part of the collaboration with the Applicant. </w:t>
      </w:r>
    </w:p>
    <w:p w14:paraId="311E3602" w14:textId="77777777" w:rsidR="009C0E0C" w:rsidRDefault="009C0E0C" w:rsidP="00BA2054">
      <w:pPr>
        <w:rPr>
          <w:rFonts w:asciiTheme="minorHAnsi" w:hAnsiTheme="minorHAnsi"/>
          <w:szCs w:val="24"/>
        </w:rPr>
      </w:pPr>
    </w:p>
    <w:p w14:paraId="34DDDB73" w14:textId="23DC3040" w:rsidR="00B04094" w:rsidRDefault="00B04094" w:rsidP="00BA2054">
      <w:pPr>
        <w:rPr>
          <w:rFonts w:asciiTheme="minorHAnsi" w:hAnsiTheme="minorHAnsi"/>
          <w:szCs w:val="24"/>
        </w:rPr>
      </w:pPr>
      <w:r w:rsidRPr="00B04094">
        <w:rPr>
          <w:rFonts w:asciiTheme="minorHAnsi" w:hAnsiTheme="minorHAnsi"/>
          <w:szCs w:val="24"/>
        </w:rPr>
        <w:t xml:space="preserve">Tables </w:t>
      </w:r>
      <w:r w:rsidR="00526991">
        <w:rPr>
          <w:rFonts w:asciiTheme="minorHAnsi" w:hAnsiTheme="minorHAnsi"/>
          <w:szCs w:val="24"/>
        </w:rPr>
        <w:t>3</w:t>
      </w:r>
      <w:r w:rsidR="002D5360">
        <w:rPr>
          <w:rFonts w:asciiTheme="minorHAnsi" w:hAnsiTheme="minorHAnsi"/>
          <w:szCs w:val="24"/>
        </w:rPr>
        <w:t>5</w:t>
      </w:r>
      <w:r w:rsidRPr="00B04094">
        <w:rPr>
          <w:rFonts w:asciiTheme="minorHAnsi" w:hAnsiTheme="minorHAnsi"/>
          <w:szCs w:val="24"/>
        </w:rPr>
        <w:t xml:space="preserve"> through </w:t>
      </w:r>
      <w:r w:rsidR="00526991">
        <w:rPr>
          <w:rFonts w:asciiTheme="minorHAnsi" w:hAnsiTheme="minorHAnsi"/>
          <w:szCs w:val="24"/>
        </w:rPr>
        <w:t>3</w:t>
      </w:r>
      <w:r w:rsidR="002D5360">
        <w:rPr>
          <w:rFonts w:asciiTheme="minorHAnsi" w:hAnsiTheme="minorHAnsi"/>
          <w:szCs w:val="24"/>
        </w:rPr>
        <w:t>7</w:t>
      </w:r>
      <w:r w:rsidRPr="00B04094">
        <w:rPr>
          <w:rFonts w:asciiTheme="minorHAnsi" w:hAnsiTheme="minorHAnsi"/>
          <w:szCs w:val="24"/>
        </w:rPr>
        <w:t xml:space="preserve"> show the Applicant’s projected need for CT simulators.</w:t>
      </w:r>
      <w:r w:rsidR="00401150" w:rsidRPr="00401150">
        <w:rPr>
          <w:rFonts w:asciiTheme="minorHAnsi" w:hAnsiTheme="minorHAnsi"/>
          <w:szCs w:val="24"/>
        </w:rPr>
        <w:t xml:space="preserve"> </w:t>
      </w:r>
      <w:r w:rsidR="00895703">
        <w:rPr>
          <w:rFonts w:asciiTheme="minorHAnsi" w:hAnsiTheme="minorHAnsi"/>
          <w:szCs w:val="24"/>
        </w:rPr>
        <w:t>The Applicant sta</w:t>
      </w:r>
      <w:r w:rsidR="00901CD4">
        <w:rPr>
          <w:rFonts w:asciiTheme="minorHAnsi" w:hAnsiTheme="minorHAnsi"/>
          <w:szCs w:val="24"/>
        </w:rPr>
        <w:t>t</w:t>
      </w:r>
      <w:r w:rsidR="00895703">
        <w:rPr>
          <w:rFonts w:asciiTheme="minorHAnsi" w:hAnsiTheme="minorHAnsi"/>
          <w:szCs w:val="24"/>
        </w:rPr>
        <w:t>es that b</w:t>
      </w:r>
      <w:r w:rsidR="00674941" w:rsidRPr="00674941">
        <w:rPr>
          <w:rFonts w:asciiTheme="minorHAnsi" w:hAnsiTheme="minorHAnsi"/>
          <w:szCs w:val="24"/>
        </w:rPr>
        <w:t xml:space="preserve">ecause CT simulators are used for diagnostic purposes for all patients undergoing treatment </w:t>
      </w:r>
      <w:r w:rsidR="00674941" w:rsidRPr="00674941">
        <w:rPr>
          <w:rFonts w:asciiTheme="minorHAnsi" w:hAnsiTheme="minorHAnsi"/>
          <w:szCs w:val="24"/>
        </w:rPr>
        <w:lastRenderedPageBreak/>
        <w:t>with LINACs, the Applicant assumed that each unique patient undergoing LINAC treatment also had one CT simulator treatment prior to receiving LINAC treatment. Each unique patient represents a “new start” and will require a CT simulation appointment, resulting in the estimated number of CT simulation scans.</w:t>
      </w:r>
    </w:p>
    <w:p w14:paraId="1D6C3A72" w14:textId="77777777" w:rsidR="00B04094" w:rsidRDefault="00B04094" w:rsidP="00BA2054">
      <w:pPr>
        <w:rPr>
          <w:rFonts w:asciiTheme="minorHAnsi" w:hAnsiTheme="minorHAnsi"/>
          <w:szCs w:val="24"/>
        </w:rPr>
      </w:pPr>
    </w:p>
    <w:p w14:paraId="1657AE85" w14:textId="6E5C0CDC" w:rsidR="00B67E26" w:rsidRPr="00B67E26" w:rsidRDefault="00B67E26" w:rsidP="00932E5D">
      <w:pPr>
        <w:rPr>
          <w:rFonts w:asciiTheme="minorHAnsi" w:hAnsiTheme="minorHAnsi"/>
          <w:b/>
          <w:bCs/>
          <w:szCs w:val="24"/>
        </w:rPr>
      </w:pPr>
      <w:r w:rsidRPr="00B67E26">
        <w:rPr>
          <w:rFonts w:asciiTheme="minorHAnsi" w:hAnsiTheme="minorHAnsi"/>
          <w:b/>
          <w:bCs/>
          <w:szCs w:val="24"/>
          <w:u w:val="single"/>
        </w:rPr>
        <w:t xml:space="preserve">Table </w:t>
      </w:r>
      <w:r w:rsidR="00526991">
        <w:rPr>
          <w:rFonts w:asciiTheme="minorHAnsi" w:hAnsiTheme="minorHAnsi"/>
          <w:b/>
          <w:bCs/>
          <w:szCs w:val="24"/>
          <w:u w:val="single"/>
        </w:rPr>
        <w:t>3</w:t>
      </w:r>
      <w:r w:rsidR="002D5360">
        <w:rPr>
          <w:rFonts w:asciiTheme="minorHAnsi" w:hAnsiTheme="minorHAnsi"/>
          <w:b/>
          <w:bCs/>
          <w:szCs w:val="24"/>
          <w:u w:val="single"/>
        </w:rPr>
        <w:t>5</w:t>
      </w:r>
      <w:r w:rsidRPr="00B67E26">
        <w:rPr>
          <w:rFonts w:asciiTheme="minorHAnsi" w:hAnsiTheme="minorHAnsi"/>
          <w:b/>
          <w:bCs/>
          <w:szCs w:val="24"/>
        </w:rPr>
        <w:t>: CT Simulator Throughput Assumptions</w:t>
      </w:r>
    </w:p>
    <w:tbl>
      <w:tblPr>
        <w:tblStyle w:val="TableGrid"/>
        <w:tblW w:w="0" w:type="auto"/>
        <w:tblLook w:val="04A0" w:firstRow="1" w:lastRow="0" w:firstColumn="1" w:lastColumn="0" w:noHBand="0" w:noVBand="1"/>
      </w:tblPr>
      <w:tblGrid>
        <w:gridCol w:w="1460"/>
        <w:gridCol w:w="1248"/>
        <w:gridCol w:w="1293"/>
        <w:gridCol w:w="1968"/>
        <w:gridCol w:w="1167"/>
        <w:gridCol w:w="1391"/>
      </w:tblGrid>
      <w:tr w:rsidR="00B67E26" w14:paraId="13006678" w14:textId="77777777" w:rsidTr="00B67E26">
        <w:trPr>
          <w:cantSplit/>
          <w:tblHeader/>
        </w:trPr>
        <w:tc>
          <w:tcPr>
            <w:tcW w:w="0" w:type="auto"/>
            <w:shd w:val="clear" w:color="auto" w:fill="DBE5F1" w:themeFill="accent1" w:themeFillTint="33"/>
          </w:tcPr>
          <w:p w14:paraId="4C54D8C8" w14:textId="77777777" w:rsidR="00B67E26" w:rsidRPr="000977E7" w:rsidRDefault="00B67E26">
            <w:pPr>
              <w:jc w:val="center"/>
              <w:rPr>
                <w:b/>
                <w:szCs w:val="24"/>
              </w:rPr>
            </w:pPr>
            <w:r w:rsidRPr="000977E7">
              <w:rPr>
                <w:b/>
                <w:szCs w:val="24"/>
              </w:rPr>
              <w:t>Equipment</w:t>
            </w:r>
          </w:p>
        </w:tc>
        <w:tc>
          <w:tcPr>
            <w:tcW w:w="0" w:type="auto"/>
            <w:shd w:val="clear" w:color="auto" w:fill="DBE5F1" w:themeFill="accent1" w:themeFillTint="33"/>
          </w:tcPr>
          <w:p w14:paraId="6E0D473C" w14:textId="77777777" w:rsidR="00B67E26" w:rsidRPr="000977E7" w:rsidRDefault="00B67E26">
            <w:pPr>
              <w:jc w:val="center"/>
              <w:rPr>
                <w:b/>
                <w:szCs w:val="24"/>
              </w:rPr>
            </w:pPr>
            <w:r w:rsidRPr="000977E7">
              <w:rPr>
                <w:b/>
                <w:szCs w:val="24"/>
              </w:rPr>
              <w:t>Days/Year</w:t>
            </w:r>
          </w:p>
        </w:tc>
        <w:tc>
          <w:tcPr>
            <w:tcW w:w="0" w:type="auto"/>
            <w:shd w:val="clear" w:color="auto" w:fill="DBE5F1" w:themeFill="accent1" w:themeFillTint="33"/>
          </w:tcPr>
          <w:p w14:paraId="0E72B166" w14:textId="77777777" w:rsidR="00B67E26" w:rsidRPr="000977E7" w:rsidRDefault="00B67E26">
            <w:pPr>
              <w:jc w:val="center"/>
              <w:rPr>
                <w:b/>
                <w:szCs w:val="24"/>
              </w:rPr>
            </w:pPr>
            <w:r w:rsidRPr="000977E7">
              <w:rPr>
                <w:b/>
                <w:szCs w:val="24"/>
              </w:rPr>
              <w:t>Hours/Day</w:t>
            </w:r>
          </w:p>
        </w:tc>
        <w:tc>
          <w:tcPr>
            <w:tcW w:w="0" w:type="auto"/>
            <w:shd w:val="clear" w:color="auto" w:fill="DBE5F1" w:themeFill="accent1" w:themeFillTint="33"/>
          </w:tcPr>
          <w:p w14:paraId="610C5F68" w14:textId="20B9B712" w:rsidR="00B67E26" w:rsidRPr="000977E7" w:rsidRDefault="00B67E26">
            <w:pPr>
              <w:jc w:val="center"/>
              <w:rPr>
                <w:b/>
                <w:szCs w:val="24"/>
              </w:rPr>
            </w:pPr>
            <w:r w:rsidRPr="000977E7">
              <w:rPr>
                <w:b/>
                <w:szCs w:val="24"/>
              </w:rPr>
              <w:t>Patient Time (</w:t>
            </w:r>
            <w:r w:rsidR="00A50F6E" w:rsidRPr="000977E7">
              <w:rPr>
                <w:b/>
                <w:szCs w:val="24"/>
              </w:rPr>
              <w:t>hr.</w:t>
            </w:r>
            <w:r w:rsidRPr="000977E7">
              <w:rPr>
                <w:b/>
                <w:szCs w:val="24"/>
              </w:rPr>
              <w:t>)</w:t>
            </w:r>
          </w:p>
        </w:tc>
        <w:tc>
          <w:tcPr>
            <w:tcW w:w="0" w:type="auto"/>
            <w:shd w:val="clear" w:color="auto" w:fill="DBE5F1" w:themeFill="accent1" w:themeFillTint="33"/>
          </w:tcPr>
          <w:p w14:paraId="32B51251" w14:textId="77777777" w:rsidR="00B67E26" w:rsidRPr="000977E7" w:rsidRDefault="00B67E26">
            <w:pPr>
              <w:jc w:val="center"/>
              <w:rPr>
                <w:b/>
                <w:szCs w:val="24"/>
              </w:rPr>
            </w:pPr>
            <w:r w:rsidRPr="000977E7">
              <w:rPr>
                <w:b/>
                <w:szCs w:val="24"/>
              </w:rPr>
              <w:t>Efficiency</w:t>
            </w:r>
          </w:p>
        </w:tc>
        <w:tc>
          <w:tcPr>
            <w:tcW w:w="0" w:type="auto"/>
            <w:shd w:val="clear" w:color="auto" w:fill="DBE5F1" w:themeFill="accent1" w:themeFillTint="33"/>
          </w:tcPr>
          <w:p w14:paraId="678C78BA" w14:textId="77777777" w:rsidR="00B67E26" w:rsidRPr="000977E7" w:rsidRDefault="00B67E26">
            <w:pPr>
              <w:jc w:val="center"/>
              <w:rPr>
                <w:b/>
                <w:szCs w:val="24"/>
              </w:rPr>
            </w:pPr>
            <w:r w:rsidRPr="000977E7">
              <w:rPr>
                <w:b/>
                <w:szCs w:val="24"/>
              </w:rPr>
              <w:t>Throughput</w:t>
            </w:r>
          </w:p>
        </w:tc>
      </w:tr>
      <w:tr w:rsidR="00B67E26" w14:paraId="6BCB1169" w14:textId="77777777" w:rsidTr="00B67E26">
        <w:trPr>
          <w:cantSplit/>
        </w:trPr>
        <w:tc>
          <w:tcPr>
            <w:tcW w:w="0" w:type="auto"/>
          </w:tcPr>
          <w:p w14:paraId="1167B67B" w14:textId="77777777" w:rsidR="00B67E26" w:rsidRDefault="00B67E26">
            <w:pPr>
              <w:jc w:val="both"/>
              <w:rPr>
                <w:bCs/>
                <w:szCs w:val="24"/>
              </w:rPr>
            </w:pPr>
            <w:r>
              <w:rPr>
                <w:bCs/>
                <w:szCs w:val="24"/>
              </w:rPr>
              <w:t>CT Simulator</w:t>
            </w:r>
          </w:p>
        </w:tc>
        <w:tc>
          <w:tcPr>
            <w:tcW w:w="0" w:type="auto"/>
          </w:tcPr>
          <w:p w14:paraId="52D03897" w14:textId="77777777" w:rsidR="00B67E26" w:rsidRDefault="00B67E26">
            <w:pPr>
              <w:jc w:val="center"/>
              <w:rPr>
                <w:bCs/>
                <w:szCs w:val="24"/>
              </w:rPr>
            </w:pPr>
            <w:r>
              <w:rPr>
                <w:bCs/>
                <w:szCs w:val="24"/>
              </w:rPr>
              <w:t>250</w:t>
            </w:r>
          </w:p>
        </w:tc>
        <w:tc>
          <w:tcPr>
            <w:tcW w:w="0" w:type="auto"/>
          </w:tcPr>
          <w:p w14:paraId="1917E3A2" w14:textId="77777777" w:rsidR="00B67E26" w:rsidRDefault="00B67E26">
            <w:pPr>
              <w:jc w:val="center"/>
              <w:rPr>
                <w:bCs/>
                <w:szCs w:val="24"/>
              </w:rPr>
            </w:pPr>
            <w:r>
              <w:rPr>
                <w:bCs/>
                <w:szCs w:val="24"/>
              </w:rPr>
              <w:t>10</w:t>
            </w:r>
          </w:p>
        </w:tc>
        <w:tc>
          <w:tcPr>
            <w:tcW w:w="0" w:type="auto"/>
          </w:tcPr>
          <w:p w14:paraId="44846B1C" w14:textId="77777777" w:rsidR="00B67E26" w:rsidRDefault="00B67E26">
            <w:pPr>
              <w:jc w:val="center"/>
              <w:rPr>
                <w:bCs/>
                <w:szCs w:val="24"/>
              </w:rPr>
            </w:pPr>
            <w:r>
              <w:rPr>
                <w:bCs/>
                <w:szCs w:val="24"/>
              </w:rPr>
              <w:t>1.0</w:t>
            </w:r>
          </w:p>
        </w:tc>
        <w:tc>
          <w:tcPr>
            <w:tcW w:w="0" w:type="auto"/>
          </w:tcPr>
          <w:p w14:paraId="270DDFEC" w14:textId="77777777" w:rsidR="00B67E26" w:rsidRDefault="00B67E26">
            <w:pPr>
              <w:jc w:val="center"/>
              <w:rPr>
                <w:bCs/>
                <w:szCs w:val="24"/>
              </w:rPr>
            </w:pPr>
            <w:r>
              <w:rPr>
                <w:bCs/>
                <w:szCs w:val="24"/>
              </w:rPr>
              <w:t>85%</w:t>
            </w:r>
          </w:p>
        </w:tc>
        <w:tc>
          <w:tcPr>
            <w:tcW w:w="0" w:type="auto"/>
          </w:tcPr>
          <w:p w14:paraId="5A5436E7" w14:textId="77777777" w:rsidR="00B67E26" w:rsidRDefault="00B67E26">
            <w:pPr>
              <w:jc w:val="center"/>
              <w:rPr>
                <w:bCs/>
                <w:szCs w:val="24"/>
              </w:rPr>
            </w:pPr>
            <w:r>
              <w:rPr>
                <w:bCs/>
                <w:szCs w:val="24"/>
              </w:rPr>
              <w:t>2,125</w:t>
            </w:r>
          </w:p>
        </w:tc>
      </w:tr>
    </w:tbl>
    <w:p w14:paraId="2B36EAEF" w14:textId="77777777" w:rsidR="00B67E26" w:rsidRDefault="00B67E26" w:rsidP="00932E5D">
      <w:pPr>
        <w:rPr>
          <w:rFonts w:asciiTheme="minorHAnsi" w:hAnsiTheme="minorHAnsi"/>
          <w:szCs w:val="24"/>
        </w:rPr>
      </w:pPr>
    </w:p>
    <w:p w14:paraId="24A4589F" w14:textId="6867B0AE" w:rsidR="00B67E26" w:rsidRPr="00B67E26" w:rsidRDefault="00B67E26" w:rsidP="00932E5D">
      <w:pPr>
        <w:rPr>
          <w:rFonts w:asciiTheme="minorHAnsi" w:hAnsiTheme="minorHAnsi"/>
          <w:b/>
          <w:bCs/>
          <w:szCs w:val="24"/>
        </w:rPr>
      </w:pPr>
      <w:r w:rsidRPr="00B67E26">
        <w:rPr>
          <w:rFonts w:asciiTheme="minorHAnsi" w:hAnsiTheme="minorHAnsi"/>
          <w:b/>
          <w:bCs/>
          <w:szCs w:val="24"/>
          <w:u w:val="single"/>
        </w:rPr>
        <w:t xml:space="preserve">Table </w:t>
      </w:r>
      <w:r w:rsidR="00526991">
        <w:rPr>
          <w:rFonts w:asciiTheme="minorHAnsi" w:hAnsiTheme="minorHAnsi"/>
          <w:b/>
          <w:bCs/>
          <w:szCs w:val="24"/>
          <w:u w:val="single"/>
        </w:rPr>
        <w:t>3</w:t>
      </w:r>
      <w:r w:rsidR="002D5360">
        <w:rPr>
          <w:rFonts w:asciiTheme="minorHAnsi" w:hAnsiTheme="minorHAnsi"/>
          <w:b/>
          <w:bCs/>
          <w:szCs w:val="24"/>
          <w:u w:val="single"/>
        </w:rPr>
        <w:t>6</w:t>
      </w:r>
      <w:r w:rsidRPr="00B67E26">
        <w:rPr>
          <w:rFonts w:asciiTheme="minorHAnsi" w:hAnsiTheme="minorHAnsi"/>
          <w:b/>
          <w:bCs/>
          <w:szCs w:val="24"/>
        </w:rPr>
        <w:t>: Total CT Simulator Appointments per Unique Patient (Applicant &amp; BIDMC Combined)</w:t>
      </w:r>
    </w:p>
    <w:tbl>
      <w:tblPr>
        <w:tblStyle w:val="TableGrid"/>
        <w:tblW w:w="0" w:type="auto"/>
        <w:tblLook w:val="04A0" w:firstRow="1" w:lastRow="0" w:firstColumn="1" w:lastColumn="0" w:noHBand="0" w:noVBand="1"/>
      </w:tblPr>
      <w:tblGrid>
        <w:gridCol w:w="4757"/>
        <w:gridCol w:w="885"/>
      </w:tblGrid>
      <w:tr w:rsidR="00B67E26" w:rsidRPr="00A068C2" w14:paraId="6F99E78B" w14:textId="77777777" w:rsidTr="00B67E26">
        <w:trPr>
          <w:cantSplit/>
          <w:trHeight w:val="303"/>
          <w:tblHeader/>
        </w:trPr>
        <w:tc>
          <w:tcPr>
            <w:tcW w:w="0" w:type="auto"/>
            <w:shd w:val="clear" w:color="auto" w:fill="DBE5F1" w:themeFill="accent1" w:themeFillTint="33"/>
            <w:noWrap/>
          </w:tcPr>
          <w:p w14:paraId="32B9B454" w14:textId="77777777" w:rsidR="00B67E26" w:rsidRPr="00A068C2" w:rsidRDefault="00B67E26">
            <w:pPr>
              <w:jc w:val="center"/>
              <w:rPr>
                <w:rFonts w:eastAsia="Times New Roman"/>
                <w:b/>
                <w:bCs/>
                <w:color w:val="000000"/>
              </w:rPr>
            </w:pPr>
            <w:r w:rsidRPr="00A068C2">
              <w:rPr>
                <w:rFonts w:eastAsia="Times New Roman"/>
                <w:b/>
                <w:bCs/>
                <w:color w:val="000000"/>
              </w:rPr>
              <w:t>Metric</w:t>
            </w:r>
          </w:p>
        </w:tc>
        <w:tc>
          <w:tcPr>
            <w:tcW w:w="0" w:type="auto"/>
            <w:shd w:val="clear" w:color="auto" w:fill="DBE5F1" w:themeFill="accent1" w:themeFillTint="33"/>
            <w:noWrap/>
          </w:tcPr>
          <w:p w14:paraId="1947B93C" w14:textId="77777777" w:rsidR="00B67E26" w:rsidRPr="00A068C2" w:rsidRDefault="00B67E26">
            <w:pPr>
              <w:jc w:val="center"/>
              <w:rPr>
                <w:rFonts w:eastAsia="Times New Roman"/>
                <w:b/>
                <w:bCs/>
                <w:color w:val="000000"/>
              </w:rPr>
            </w:pPr>
            <w:r w:rsidRPr="00A068C2">
              <w:rPr>
                <w:rFonts w:eastAsia="Times New Roman"/>
                <w:b/>
                <w:bCs/>
                <w:color w:val="000000"/>
              </w:rPr>
              <w:t>20</w:t>
            </w:r>
            <w:r>
              <w:rPr>
                <w:rFonts w:eastAsia="Times New Roman"/>
                <w:b/>
                <w:bCs/>
                <w:color w:val="000000"/>
              </w:rPr>
              <w:t>32</w:t>
            </w:r>
          </w:p>
        </w:tc>
      </w:tr>
      <w:tr w:rsidR="00B67E26" w:rsidRPr="00614A36" w14:paraId="0BDB9E5D" w14:textId="77777777" w:rsidTr="00B67E26">
        <w:trPr>
          <w:cantSplit/>
          <w:trHeight w:val="303"/>
        </w:trPr>
        <w:tc>
          <w:tcPr>
            <w:tcW w:w="0" w:type="auto"/>
            <w:noWrap/>
          </w:tcPr>
          <w:p w14:paraId="7E54BAE6" w14:textId="77777777" w:rsidR="00B67E26" w:rsidRPr="00914FEE" w:rsidRDefault="00B67E26">
            <w:pPr>
              <w:rPr>
                <w:rFonts w:eastAsia="Times New Roman"/>
                <w:color w:val="000000"/>
              </w:rPr>
            </w:pPr>
            <w:r>
              <w:rPr>
                <w:rFonts w:eastAsia="Times New Roman"/>
                <w:color w:val="000000"/>
              </w:rPr>
              <w:t xml:space="preserve">Unadjusted LINAC Sessions </w:t>
            </w:r>
          </w:p>
        </w:tc>
        <w:tc>
          <w:tcPr>
            <w:tcW w:w="0" w:type="auto"/>
            <w:noWrap/>
            <w:vAlign w:val="bottom"/>
          </w:tcPr>
          <w:p w14:paraId="1393100E" w14:textId="77777777" w:rsidR="00B67E26" w:rsidRPr="00914FEE" w:rsidRDefault="00B67E26">
            <w:pPr>
              <w:jc w:val="center"/>
              <w:rPr>
                <w:rFonts w:eastAsia="Times New Roman"/>
                <w:color w:val="000000"/>
              </w:rPr>
            </w:pPr>
            <w:r>
              <w:rPr>
                <w:rFonts w:eastAsia="Times New Roman"/>
                <w:color w:val="000000" w:themeColor="text1"/>
              </w:rPr>
              <w:t>65,536</w:t>
            </w:r>
          </w:p>
        </w:tc>
      </w:tr>
      <w:tr w:rsidR="00B67E26" w:rsidRPr="00614A36" w14:paraId="3D9F4F48" w14:textId="77777777" w:rsidTr="00B67E26">
        <w:trPr>
          <w:cantSplit/>
          <w:trHeight w:val="303"/>
        </w:trPr>
        <w:tc>
          <w:tcPr>
            <w:tcW w:w="0" w:type="auto"/>
            <w:noWrap/>
          </w:tcPr>
          <w:p w14:paraId="03570EE2" w14:textId="77777777" w:rsidR="00B67E26" w:rsidRDefault="00B67E26">
            <w:pPr>
              <w:rPr>
                <w:rFonts w:eastAsia="Times New Roman"/>
                <w:color w:val="000000"/>
              </w:rPr>
            </w:pPr>
            <w:r>
              <w:rPr>
                <w:rFonts w:eastAsia="Times New Roman"/>
                <w:color w:val="000000"/>
              </w:rPr>
              <w:t xml:space="preserve">Weighted Average Treatments/Unique Patient </w:t>
            </w:r>
          </w:p>
        </w:tc>
        <w:tc>
          <w:tcPr>
            <w:tcW w:w="0" w:type="auto"/>
            <w:noWrap/>
          </w:tcPr>
          <w:p w14:paraId="3DE2B750" w14:textId="77777777" w:rsidR="00B67E26" w:rsidRDefault="00B67E26">
            <w:pPr>
              <w:jc w:val="center"/>
              <w:rPr>
                <w:rFonts w:eastAsia="Times New Roman"/>
                <w:color w:val="000000"/>
              </w:rPr>
            </w:pPr>
            <w:r>
              <w:rPr>
                <w:rFonts w:eastAsia="Times New Roman"/>
                <w:color w:val="000000"/>
              </w:rPr>
              <w:t>11.0</w:t>
            </w:r>
          </w:p>
        </w:tc>
      </w:tr>
      <w:tr w:rsidR="00B67E26" w:rsidRPr="00614A36" w14:paraId="643C5603" w14:textId="77777777" w:rsidTr="00B67E26">
        <w:trPr>
          <w:cantSplit/>
          <w:trHeight w:val="303"/>
        </w:trPr>
        <w:tc>
          <w:tcPr>
            <w:tcW w:w="0" w:type="auto"/>
            <w:noWrap/>
          </w:tcPr>
          <w:p w14:paraId="23B1411E" w14:textId="77777777" w:rsidR="00B67E26" w:rsidRPr="000D77BB" w:rsidRDefault="00B67E26">
            <w:pPr>
              <w:rPr>
                <w:rFonts w:eastAsia="Times New Roman"/>
                <w:b/>
                <w:bCs/>
                <w:color w:val="000000"/>
              </w:rPr>
            </w:pPr>
            <w:r>
              <w:rPr>
                <w:rFonts w:eastAsia="Times New Roman"/>
                <w:b/>
                <w:bCs/>
                <w:color w:val="000000"/>
              </w:rPr>
              <w:t xml:space="preserve">Total Projected CT Simulator Treatments  </w:t>
            </w:r>
          </w:p>
        </w:tc>
        <w:tc>
          <w:tcPr>
            <w:tcW w:w="0" w:type="auto"/>
            <w:noWrap/>
            <w:vAlign w:val="center"/>
          </w:tcPr>
          <w:p w14:paraId="621BEC12" w14:textId="77777777" w:rsidR="00B67E26" w:rsidRPr="00B82EF2" w:rsidRDefault="00B67E26">
            <w:pPr>
              <w:jc w:val="center"/>
              <w:rPr>
                <w:rFonts w:eastAsia="Times New Roman"/>
                <w:b/>
                <w:bCs/>
                <w:color w:val="000000"/>
              </w:rPr>
            </w:pPr>
            <w:r w:rsidRPr="00B82EF2">
              <w:rPr>
                <w:rFonts w:eastAsia="Times New Roman"/>
                <w:b/>
                <w:bCs/>
                <w:color w:val="000000"/>
              </w:rPr>
              <w:t>5,</w:t>
            </w:r>
            <w:r>
              <w:rPr>
                <w:rFonts w:eastAsia="Times New Roman"/>
                <w:b/>
                <w:bCs/>
                <w:color w:val="000000"/>
              </w:rPr>
              <w:t>958</w:t>
            </w:r>
          </w:p>
        </w:tc>
      </w:tr>
    </w:tbl>
    <w:p w14:paraId="3698A1DD" w14:textId="77777777" w:rsidR="00B67E26" w:rsidRDefault="00B67E26" w:rsidP="00932E5D">
      <w:pPr>
        <w:rPr>
          <w:rFonts w:asciiTheme="minorHAnsi" w:hAnsiTheme="minorHAnsi"/>
          <w:szCs w:val="24"/>
        </w:rPr>
      </w:pPr>
    </w:p>
    <w:p w14:paraId="2E2D1381" w14:textId="6853733D" w:rsidR="00B67E26" w:rsidRPr="00B67E26" w:rsidRDefault="00B67E26" w:rsidP="00932E5D">
      <w:pPr>
        <w:rPr>
          <w:rFonts w:asciiTheme="minorHAnsi" w:hAnsiTheme="minorHAnsi"/>
          <w:b/>
          <w:bCs/>
          <w:szCs w:val="24"/>
        </w:rPr>
      </w:pPr>
      <w:r w:rsidRPr="00B67E26">
        <w:rPr>
          <w:rFonts w:asciiTheme="minorHAnsi" w:hAnsiTheme="minorHAnsi"/>
          <w:b/>
          <w:bCs/>
          <w:szCs w:val="24"/>
          <w:u w:val="single"/>
        </w:rPr>
        <w:t xml:space="preserve">Table </w:t>
      </w:r>
      <w:r w:rsidR="00526991">
        <w:rPr>
          <w:rFonts w:asciiTheme="minorHAnsi" w:hAnsiTheme="minorHAnsi"/>
          <w:b/>
          <w:bCs/>
          <w:szCs w:val="24"/>
          <w:u w:val="single"/>
        </w:rPr>
        <w:t>3</w:t>
      </w:r>
      <w:r w:rsidR="002D5360">
        <w:rPr>
          <w:rFonts w:asciiTheme="minorHAnsi" w:hAnsiTheme="minorHAnsi"/>
          <w:b/>
          <w:bCs/>
          <w:szCs w:val="24"/>
          <w:u w:val="single"/>
        </w:rPr>
        <w:t>7</w:t>
      </w:r>
      <w:r w:rsidRPr="00B67E26">
        <w:rPr>
          <w:rFonts w:asciiTheme="minorHAnsi" w:hAnsiTheme="minorHAnsi"/>
          <w:b/>
          <w:bCs/>
          <w:szCs w:val="24"/>
        </w:rPr>
        <w:t xml:space="preserve">: Projected </w:t>
      </w:r>
      <w:r w:rsidR="006A0612">
        <w:rPr>
          <w:rFonts w:asciiTheme="minorHAnsi" w:hAnsiTheme="minorHAnsi"/>
          <w:b/>
          <w:bCs/>
          <w:szCs w:val="24"/>
        </w:rPr>
        <w:t>Need</w:t>
      </w:r>
      <w:r w:rsidRPr="00B67E26">
        <w:rPr>
          <w:rFonts w:asciiTheme="minorHAnsi" w:hAnsiTheme="minorHAnsi"/>
          <w:b/>
          <w:bCs/>
          <w:szCs w:val="24"/>
        </w:rPr>
        <w:t xml:space="preserve"> for CT Simulator (w/ Proposed Project)</w:t>
      </w:r>
    </w:p>
    <w:tbl>
      <w:tblPr>
        <w:tblStyle w:val="TableGrid"/>
        <w:tblW w:w="0" w:type="auto"/>
        <w:tblLook w:val="04A0" w:firstRow="1" w:lastRow="0" w:firstColumn="1" w:lastColumn="0" w:noHBand="0" w:noVBand="1"/>
      </w:tblPr>
      <w:tblGrid>
        <w:gridCol w:w="4174"/>
        <w:gridCol w:w="763"/>
      </w:tblGrid>
      <w:tr w:rsidR="00B67E26" w14:paraId="4D040A9D" w14:textId="77777777" w:rsidTr="00B67E26">
        <w:trPr>
          <w:cantSplit/>
          <w:tblHeader/>
        </w:trPr>
        <w:tc>
          <w:tcPr>
            <w:tcW w:w="0" w:type="auto"/>
            <w:shd w:val="clear" w:color="auto" w:fill="DBE5F1" w:themeFill="accent1" w:themeFillTint="33"/>
          </w:tcPr>
          <w:p w14:paraId="01E4F177" w14:textId="77777777" w:rsidR="00B67E26" w:rsidRDefault="00B67E26">
            <w:pPr>
              <w:jc w:val="center"/>
              <w:rPr>
                <w:b/>
                <w:bCs/>
                <w:szCs w:val="24"/>
              </w:rPr>
            </w:pPr>
            <w:r>
              <w:rPr>
                <w:b/>
                <w:bCs/>
                <w:szCs w:val="24"/>
              </w:rPr>
              <w:t>Metric</w:t>
            </w:r>
          </w:p>
        </w:tc>
        <w:tc>
          <w:tcPr>
            <w:tcW w:w="0" w:type="auto"/>
            <w:shd w:val="clear" w:color="auto" w:fill="DBE5F1" w:themeFill="accent1" w:themeFillTint="33"/>
          </w:tcPr>
          <w:p w14:paraId="471007B2" w14:textId="77777777" w:rsidR="00B67E26" w:rsidRDefault="00B67E26">
            <w:pPr>
              <w:jc w:val="center"/>
              <w:rPr>
                <w:b/>
                <w:bCs/>
                <w:szCs w:val="24"/>
              </w:rPr>
            </w:pPr>
            <w:r>
              <w:rPr>
                <w:b/>
                <w:bCs/>
                <w:szCs w:val="24"/>
              </w:rPr>
              <w:t>2032</w:t>
            </w:r>
          </w:p>
        </w:tc>
      </w:tr>
      <w:tr w:rsidR="00B67E26" w14:paraId="0D4584E7" w14:textId="77777777" w:rsidTr="00B67E26">
        <w:trPr>
          <w:cantSplit/>
        </w:trPr>
        <w:tc>
          <w:tcPr>
            <w:tcW w:w="0" w:type="auto"/>
          </w:tcPr>
          <w:p w14:paraId="2F17F670" w14:textId="77777777" w:rsidR="00B67E26" w:rsidRPr="00465DBD" w:rsidRDefault="00B67E26">
            <w:pPr>
              <w:rPr>
                <w:szCs w:val="24"/>
              </w:rPr>
            </w:pPr>
            <w:r>
              <w:rPr>
                <w:szCs w:val="24"/>
              </w:rPr>
              <w:t>Projected 2032 CT Simulator Treatments</w:t>
            </w:r>
          </w:p>
        </w:tc>
        <w:tc>
          <w:tcPr>
            <w:tcW w:w="0" w:type="auto"/>
          </w:tcPr>
          <w:p w14:paraId="4555F284" w14:textId="77777777" w:rsidR="00B67E26" w:rsidRPr="00B82EF2" w:rsidRDefault="00B67E26">
            <w:pPr>
              <w:jc w:val="center"/>
              <w:rPr>
                <w:szCs w:val="24"/>
              </w:rPr>
            </w:pPr>
            <w:r w:rsidRPr="00B82EF2">
              <w:rPr>
                <w:rFonts w:eastAsia="Times New Roman"/>
                <w:color w:val="000000"/>
              </w:rPr>
              <w:t>5,</w:t>
            </w:r>
            <w:r>
              <w:rPr>
                <w:rFonts w:eastAsia="Times New Roman"/>
                <w:color w:val="000000"/>
              </w:rPr>
              <w:t>958</w:t>
            </w:r>
          </w:p>
        </w:tc>
      </w:tr>
      <w:tr w:rsidR="00B67E26" w14:paraId="7AA3BBE8" w14:textId="77777777" w:rsidTr="00B67E26">
        <w:trPr>
          <w:cantSplit/>
        </w:trPr>
        <w:tc>
          <w:tcPr>
            <w:tcW w:w="0" w:type="auto"/>
            <w:tcBorders>
              <w:bottom w:val="single" w:sz="4" w:space="0" w:color="auto"/>
            </w:tcBorders>
          </w:tcPr>
          <w:p w14:paraId="3F084851" w14:textId="77777777" w:rsidR="00B67E26" w:rsidRPr="0049156B" w:rsidRDefault="00B67E26">
            <w:pPr>
              <w:rPr>
                <w:szCs w:val="24"/>
              </w:rPr>
            </w:pPr>
            <w:r>
              <w:rPr>
                <w:szCs w:val="24"/>
              </w:rPr>
              <w:t>Throughput</w:t>
            </w:r>
          </w:p>
        </w:tc>
        <w:tc>
          <w:tcPr>
            <w:tcW w:w="0" w:type="auto"/>
            <w:tcBorders>
              <w:bottom w:val="single" w:sz="4" w:space="0" w:color="auto"/>
            </w:tcBorders>
          </w:tcPr>
          <w:p w14:paraId="3BCB2052" w14:textId="77777777" w:rsidR="00B67E26" w:rsidRPr="0049156B" w:rsidRDefault="00B67E26">
            <w:pPr>
              <w:jc w:val="center"/>
              <w:rPr>
                <w:szCs w:val="24"/>
              </w:rPr>
            </w:pPr>
            <w:r>
              <w:rPr>
                <w:szCs w:val="24"/>
              </w:rPr>
              <w:t>2,125</w:t>
            </w:r>
            <w:r w:rsidRPr="00E602D9">
              <w:rPr>
                <w:szCs w:val="24"/>
              </w:rPr>
              <w:t xml:space="preserve"> </w:t>
            </w:r>
          </w:p>
        </w:tc>
      </w:tr>
      <w:tr w:rsidR="00B67E26" w14:paraId="223770CF" w14:textId="77777777" w:rsidTr="00B67E26">
        <w:trPr>
          <w:cantSplit/>
        </w:trPr>
        <w:tc>
          <w:tcPr>
            <w:tcW w:w="0" w:type="auto"/>
            <w:tcBorders>
              <w:bottom w:val="single" w:sz="4" w:space="0" w:color="auto"/>
            </w:tcBorders>
            <w:vAlign w:val="center"/>
          </w:tcPr>
          <w:p w14:paraId="766CB67A" w14:textId="77777777" w:rsidR="00B67E26" w:rsidRPr="00F84982" w:rsidRDefault="00B67E26">
            <w:pPr>
              <w:rPr>
                <w:b/>
                <w:bCs/>
                <w:szCs w:val="24"/>
              </w:rPr>
            </w:pPr>
            <w:r w:rsidRPr="00F84982">
              <w:rPr>
                <w:b/>
                <w:bCs/>
                <w:szCs w:val="24"/>
              </w:rPr>
              <w:t>Total CT Simulator Need</w:t>
            </w:r>
          </w:p>
        </w:tc>
        <w:tc>
          <w:tcPr>
            <w:tcW w:w="0" w:type="auto"/>
            <w:tcBorders>
              <w:bottom w:val="single" w:sz="4" w:space="0" w:color="auto"/>
            </w:tcBorders>
            <w:vAlign w:val="center"/>
          </w:tcPr>
          <w:p w14:paraId="43A1689F" w14:textId="77777777" w:rsidR="00B67E26" w:rsidRPr="00F84982" w:rsidRDefault="00B67E26">
            <w:pPr>
              <w:jc w:val="center"/>
              <w:rPr>
                <w:b/>
                <w:bCs/>
                <w:szCs w:val="24"/>
              </w:rPr>
            </w:pPr>
            <w:r>
              <w:rPr>
                <w:b/>
                <w:bCs/>
                <w:szCs w:val="24"/>
              </w:rPr>
              <w:t>3</w:t>
            </w:r>
          </w:p>
        </w:tc>
      </w:tr>
    </w:tbl>
    <w:p w14:paraId="19FF5B62" w14:textId="77777777" w:rsidR="00BA2054" w:rsidRDefault="00BA2054" w:rsidP="003F3D2D">
      <w:pPr>
        <w:rPr>
          <w:rFonts w:cs="Calibri"/>
          <w:bCs/>
          <w:szCs w:val="24"/>
        </w:rPr>
      </w:pPr>
    </w:p>
    <w:p w14:paraId="1CD57222" w14:textId="56870CCB" w:rsidR="003128EC" w:rsidRPr="003128EC" w:rsidRDefault="003128EC" w:rsidP="003128EC">
      <w:pPr>
        <w:rPr>
          <w:rFonts w:cs="Calibri"/>
        </w:rPr>
      </w:pPr>
      <w:r w:rsidRPr="003128EC">
        <w:rPr>
          <w:rFonts w:cs="Calibri"/>
        </w:rPr>
        <w:t xml:space="preserve">DoN application materials and responses </w:t>
      </w:r>
      <w:r w:rsidR="009A12A1">
        <w:rPr>
          <w:rFonts w:cs="Calibri"/>
        </w:rPr>
        <w:t>include</w:t>
      </w:r>
      <w:r w:rsidRPr="003128EC">
        <w:rPr>
          <w:rFonts w:cs="Calibri"/>
        </w:rPr>
        <w:t xml:space="preserve"> a complete description of the Applicant’s methodology for calculating need</w:t>
      </w:r>
      <w:r>
        <w:rPr>
          <w:rFonts w:cs="Calibri"/>
        </w:rPr>
        <w:t xml:space="preserve"> for CT simulators</w:t>
      </w:r>
      <w:r w:rsidRPr="003128EC">
        <w:rPr>
          <w:rFonts w:cs="Calibri"/>
        </w:rPr>
        <w:t xml:space="preserve">.  </w:t>
      </w:r>
    </w:p>
    <w:p w14:paraId="21350883" w14:textId="77777777" w:rsidR="009F17BF" w:rsidRDefault="009F17BF" w:rsidP="00BA2054">
      <w:pPr>
        <w:rPr>
          <w:rFonts w:cs="Calibri"/>
        </w:rPr>
      </w:pPr>
    </w:p>
    <w:p w14:paraId="060F8D5A" w14:textId="16CE5E33" w:rsidR="009F17BF" w:rsidRPr="003B2CD4" w:rsidRDefault="003128EC" w:rsidP="00BA2054">
      <w:pPr>
        <w:rPr>
          <w:rFonts w:cs="Calibri"/>
          <w:b/>
          <w:bCs/>
        </w:rPr>
      </w:pPr>
      <w:r w:rsidRPr="003B2CD4">
        <w:rPr>
          <w:rFonts w:cs="Calibri"/>
          <w:b/>
          <w:bCs/>
        </w:rPr>
        <w:t>TTG Comments on Factor 1a</w:t>
      </w:r>
    </w:p>
    <w:p w14:paraId="57E7543D" w14:textId="01D611E0" w:rsidR="003F3D2D" w:rsidRDefault="00096483" w:rsidP="00BA2054">
      <w:pPr>
        <w:rPr>
          <w:rFonts w:cs="Calibri"/>
          <w:bCs/>
          <w:szCs w:val="24"/>
        </w:rPr>
      </w:pPr>
      <w:r w:rsidRPr="5AC4FF5C">
        <w:rPr>
          <w:rFonts w:cs="Calibri"/>
        </w:rPr>
        <w:t xml:space="preserve">The </w:t>
      </w:r>
      <w:r w:rsidR="003F3D2D" w:rsidRPr="5AC4FF5C">
        <w:rPr>
          <w:rFonts w:cs="Calibri"/>
        </w:rPr>
        <w:t xml:space="preserve">Mass General Brigham TTG </w:t>
      </w:r>
      <w:r w:rsidR="008C4ADA">
        <w:rPr>
          <w:rFonts w:cs="Calibri"/>
        </w:rPr>
        <w:t xml:space="preserve">submitted written comments </w:t>
      </w:r>
      <w:r w:rsidRPr="5AC4FF5C">
        <w:rPr>
          <w:rFonts w:cs="Calibri"/>
        </w:rPr>
        <w:t>asking the</w:t>
      </w:r>
      <w:r w:rsidR="003F3D2D" w:rsidRPr="5AC4FF5C">
        <w:rPr>
          <w:rFonts w:cs="Calibri"/>
        </w:rPr>
        <w:t xml:space="preserve"> Department to consider the following questions and related issues concerning the Applicant’s need argument for the Proposed Project</w:t>
      </w:r>
      <w:r w:rsidR="00C34720" w:rsidRPr="5AC4FF5C">
        <w:rPr>
          <w:rFonts w:cs="Calibri"/>
        </w:rPr>
        <w:t>.</w:t>
      </w:r>
      <w:r w:rsidR="003F3D2D" w:rsidRPr="5AC4FF5C">
        <w:rPr>
          <w:rFonts w:cs="Calibri"/>
        </w:rPr>
        <w:t xml:space="preserve"> </w:t>
      </w:r>
    </w:p>
    <w:p w14:paraId="7B23130E" w14:textId="77777777" w:rsidR="003F3D2D" w:rsidRPr="007D2D49" w:rsidRDefault="003F3D2D" w:rsidP="00BA2054">
      <w:pPr>
        <w:rPr>
          <w:rFonts w:cs="Calibri"/>
          <w:bCs/>
          <w:szCs w:val="24"/>
        </w:rPr>
      </w:pPr>
    </w:p>
    <w:p w14:paraId="60979840" w14:textId="2F83E98F" w:rsidR="003F3D2D" w:rsidRPr="007229C2" w:rsidRDefault="003F3D2D" w:rsidP="36B2A8D2">
      <w:pPr>
        <w:rPr>
          <w:rFonts w:cs="Calibri"/>
          <w:i/>
          <w:iCs/>
        </w:rPr>
      </w:pPr>
      <w:r w:rsidRPr="36B2A8D2">
        <w:rPr>
          <w:rFonts w:cs="Calibri"/>
          <w:i/>
          <w:iCs/>
        </w:rPr>
        <w:t>Has the Applicant established its own patient panel in accordance with the definition at 105 CMR 100.100?</w:t>
      </w:r>
    </w:p>
    <w:p w14:paraId="103BD1D3" w14:textId="2DE35BB4" w:rsidR="003F3D2D" w:rsidRDefault="003F3D2D" w:rsidP="00BA2054">
      <w:pPr>
        <w:rPr>
          <w:rFonts w:cs="Calibri"/>
          <w:bCs/>
          <w:szCs w:val="24"/>
        </w:rPr>
      </w:pPr>
      <w:r w:rsidRPr="007633AF">
        <w:rPr>
          <w:rFonts w:cs="Calibri"/>
          <w:bCs/>
          <w:szCs w:val="24"/>
        </w:rPr>
        <w:t xml:space="preserve">The </w:t>
      </w:r>
      <w:r w:rsidR="008A1492">
        <w:rPr>
          <w:rFonts w:cs="Calibri"/>
          <w:bCs/>
          <w:szCs w:val="24"/>
        </w:rPr>
        <w:t xml:space="preserve">TTG’s </w:t>
      </w:r>
      <w:r w:rsidRPr="007633AF">
        <w:rPr>
          <w:rFonts w:cs="Calibri"/>
          <w:bCs/>
          <w:szCs w:val="24"/>
        </w:rPr>
        <w:t>comments state</w:t>
      </w:r>
      <w:r w:rsidR="006A3982">
        <w:rPr>
          <w:rFonts w:cs="Calibri"/>
          <w:bCs/>
          <w:szCs w:val="24"/>
        </w:rPr>
        <w:t>d</w:t>
      </w:r>
      <w:r w:rsidRPr="007633AF">
        <w:rPr>
          <w:rFonts w:cs="Calibri"/>
          <w:bCs/>
          <w:szCs w:val="24"/>
        </w:rPr>
        <w:t xml:space="preserve"> that the Applicant does not meet the regulatory definition of Patient Panel, because </w:t>
      </w:r>
      <w:r w:rsidRPr="006D26E4">
        <w:rPr>
          <w:rFonts w:cs="Calibri"/>
          <w:bCs/>
          <w:szCs w:val="24"/>
        </w:rPr>
        <w:t>“</w:t>
      </w:r>
      <w:r w:rsidR="008C2271">
        <w:rPr>
          <w:rFonts w:cs="Calibri"/>
          <w:bCs/>
          <w:szCs w:val="24"/>
        </w:rPr>
        <w:t>w</w:t>
      </w:r>
      <w:r w:rsidRPr="006D26E4">
        <w:rPr>
          <w:rFonts w:cs="Calibri"/>
          <w:bCs/>
          <w:szCs w:val="24"/>
        </w:rPr>
        <w:t xml:space="preserve">e believe the Applicant created a </w:t>
      </w:r>
      <w:r w:rsidR="006A3982" w:rsidRPr="006D26E4">
        <w:rPr>
          <w:rFonts w:cs="Calibri"/>
          <w:bCs/>
          <w:szCs w:val="24"/>
        </w:rPr>
        <w:t>P</w:t>
      </w:r>
      <w:r w:rsidRPr="006D26E4">
        <w:rPr>
          <w:rFonts w:cs="Calibri"/>
          <w:bCs/>
          <w:szCs w:val="24"/>
        </w:rPr>
        <w:t xml:space="preserve">atient </w:t>
      </w:r>
      <w:r w:rsidR="006A3982" w:rsidRPr="006D26E4">
        <w:rPr>
          <w:rFonts w:cs="Calibri"/>
          <w:bCs/>
          <w:szCs w:val="24"/>
        </w:rPr>
        <w:t>P</w:t>
      </w:r>
      <w:r w:rsidRPr="006D26E4">
        <w:rPr>
          <w:rFonts w:cs="Calibri"/>
          <w:bCs/>
          <w:szCs w:val="24"/>
        </w:rPr>
        <w:t>anel that is based on an estimate of patients historically served by another existing hospital</w:t>
      </w:r>
      <w:r w:rsidR="00090F5B">
        <w:rPr>
          <w:rFonts w:cs="Calibri"/>
          <w:bCs/>
          <w:szCs w:val="24"/>
        </w:rPr>
        <w:t xml:space="preserve"> -</w:t>
      </w:r>
      <w:r w:rsidRPr="006D26E4">
        <w:rPr>
          <w:rFonts w:cs="Calibri"/>
          <w:bCs/>
          <w:szCs w:val="24"/>
        </w:rPr>
        <w:t xml:space="preserve"> BWH. These patients are patients of BWH, should be properly counted in the BWH patient panel, and should </w:t>
      </w:r>
      <w:r w:rsidR="0092433D" w:rsidRPr="006D26E4">
        <w:rPr>
          <w:rFonts w:cs="Calibri"/>
          <w:bCs/>
          <w:szCs w:val="24"/>
        </w:rPr>
        <w:t xml:space="preserve">not </w:t>
      </w:r>
      <w:r w:rsidRPr="006D26E4">
        <w:rPr>
          <w:rFonts w:cs="Calibri"/>
          <w:bCs/>
          <w:szCs w:val="24"/>
        </w:rPr>
        <w:t xml:space="preserve">also be counted as inpatients seen by the Applicant.”  </w:t>
      </w:r>
      <w:r w:rsidR="00904721">
        <w:rPr>
          <w:rFonts w:cs="Calibri"/>
          <w:bCs/>
          <w:szCs w:val="24"/>
        </w:rPr>
        <w:t>The</w:t>
      </w:r>
      <w:r w:rsidR="00B87140" w:rsidRPr="00904721">
        <w:rPr>
          <w:rFonts w:cs="Calibri"/>
          <w:bCs/>
          <w:szCs w:val="24"/>
        </w:rPr>
        <w:t xml:space="preserve"> comment</w:t>
      </w:r>
      <w:r w:rsidR="008A1492">
        <w:rPr>
          <w:rFonts w:cs="Calibri"/>
          <w:bCs/>
          <w:szCs w:val="24"/>
        </w:rPr>
        <w:t>s</w:t>
      </w:r>
      <w:r w:rsidR="00B87140" w:rsidRPr="00904721">
        <w:rPr>
          <w:rFonts w:cs="Calibri"/>
          <w:bCs/>
          <w:szCs w:val="24"/>
        </w:rPr>
        <w:t xml:space="preserve"> state </w:t>
      </w:r>
      <w:r w:rsidR="00904721">
        <w:rPr>
          <w:rFonts w:cs="Calibri"/>
          <w:bCs/>
          <w:szCs w:val="24"/>
        </w:rPr>
        <w:t xml:space="preserve">further </w:t>
      </w:r>
      <w:r w:rsidR="00B87140" w:rsidRPr="00904721">
        <w:rPr>
          <w:rFonts w:cs="Calibri"/>
          <w:bCs/>
          <w:szCs w:val="24"/>
        </w:rPr>
        <w:t xml:space="preserve">that </w:t>
      </w:r>
      <w:r w:rsidRPr="00904721">
        <w:rPr>
          <w:rFonts w:cs="Calibri"/>
          <w:bCs/>
          <w:szCs w:val="24"/>
        </w:rPr>
        <w:t xml:space="preserve">because BWH will continue to provide hundreds of inpatient beds dedicated to cancer care, even after implementation of the Proposed Project, “the Applicant’s </w:t>
      </w:r>
      <w:r w:rsidR="006A3982" w:rsidRPr="00904721">
        <w:rPr>
          <w:rFonts w:cs="Calibri"/>
          <w:bCs/>
          <w:szCs w:val="24"/>
        </w:rPr>
        <w:t>P</w:t>
      </w:r>
      <w:r w:rsidRPr="00904721">
        <w:rPr>
          <w:rFonts w:cs="Calibri"/>
          <w:bCs/>
          <w:szCs w:val="24"/>
        </w:rPr>
        <w:t xml:space="preserve">roposed </w:t>
      </w:r>
      <w:r w:rsidR="006A3982" w:rsidRPr="00904721">
        <w:rPr>
          <w:rFonts w:cs="Calibri"/>
          <w:bCs/>
          <w:szCs w:val="24"/>
        </w:rPr>
        <w:t>P</w:t>
      </w:r>
      <w:r w:rsidRPr="00904721">
        <w:rPr>
          <w:rFonts w:cs="Calibri"/>
          <w:bCs/>
          <w:szCs w:val="24"/>
        </w:rPr>
        <w:t>roject may represent unnecessary duplication of existing services.”</w:t>
      </w:r>
    </w:p>
    <w:p w14:paraId="4C5DAFAC" w14:textId="77777777" w:rsidR="000975AA" w:rsidRDefault="000975AA" w:rsidP="00BA2054">
      <w:pPr>
        <w:rPr>
          <w:rFonts w:cs="Calibri"/>
          <w:bCs/>
          <w:szCs w:val="24"/>
        </w:rPr>
      </w:pPr>
    </w:p>
    <w:p w14:paraId="0753FA47" w14:textId="3DA399C5" w:rsidR="001D1429" w:rsidRDefault="00E86A66">
      <w:pPr>
        <w:rPr>
          <w:rFonts w:cs="Calibri"/>
          <w:bCs/>
          <w:szCs w:val="24"/>
        </w:rPr>
      </w:pPr>
      <w:r>
        <w:rPr>
          <w:rFonts w:cs="Calibri"/>
          <w:bCs/>
          <w:szCs w:val="24"/>
        </w:rPr>
        <w:t xml:space="preserve">Staff Analysis: </w:t>
      </w:r>
      <w:r w:rsidR="005A367B">
        <w:rPr>
          <w:rFonts w:cs="Calibri"/>
          <w:bCs/>
          <w:szCs w:val="24"/>
        </w:rPr>
        <w:t>In the DoN regulations, Patient Panel is defined as “</w:t>
      </w:r>
      <w:r w:rsidR="005A367B" w:rsidRPr="005A367B">
        <w:rPr>
          <w:rFonts w:cs="Calibri"/>
          <w:bCs/>
          <w:szCs w:val="24"/>
        </w:rPr>
        <w:t xml:space="preserve">The total of the individual patients </w:t>
      </w:r>
      <w:r w:rsidR="005A367B" w:rsidRPr="005A367B">
        <w:rPr>
          <w:rFonts w:cs="Calibri"/>
          <w:bCs/>
          <w:szCs w:val="24"/>
        </w:rPr>
        <w:lastRenderedPageBreak/>
        <w:t>regardless of payer, including those patients seen within an emergency department(s) if applicable, seen over the course of the most recent complete 36-month period by the Applicant or Holder.</w:t>
      </w:r>
      <w:r w:rsidR="005A367B">
        <w:rPr>
          <w:rFonts w:cs="Calibri"/>
          <w:bCs/>
          <w:szCs w:val="24"/>
        </w:rPr>
        <w:t xml:space="preserve">” The Applicant has </w:t>
      </w:r>
      <w:r w:rsidR="00810EFB">
        <w:rPr>
          <w:rFonts w:cs="Calibri"/>
          <w:bCs/>
          <w:szCs w:val="24"/>
        </w:rPr>
        <w:t>affirmed</w:t>
      </w:r>
      <w:r w:rsidR="005A367B">
        <w:rPr>
          <w:rFonts w:cs="Calibri"/>
          <w:bCs/>
          <w:szCs w:val="24"/>
        </w:rPr>
        <w:t xml:space="preserve"> that </w:t>
      </w:r>
      <w:r w:rsidR="00232E89" w:rsidRPr="00232E89">
        <w:rPr>
          <w:rFonts w:cs="Calibri"/>
          <w:bCs/>
          <w:szCs w:val="24"/>
        </w:rPr>
        <w:t xml:space="preserve">Dana-Farber cares for 200 to 230 inpatient oncology patients every day. Thirty of these beds are located in Dana-Farber-licensed space, while the remaining are located in BWH-licensed space. </w:t>
      </w:r>
      <w:r w:rsidR="00B40702">
        <w:rPr>
          <w:rFonts w:cs="Calibri"/>
          <w:bCs/>
          <w:szCs w:val="24"/>
        </w:rPr>
        <w:t>T</w:t>
      </w:r>
      <w:r w:rsidR="00A21336">
        <w:rPr>
          <w:rFonts w:cs="Calibri"/>
          <w:bCs/>
          <w:szCs w:val="24"/>
        </w:rPr>
        <w:t>he Applicant</w:t>
      </w:r>
      <w:r w:rsidR="008A1492">
        <w:rPr>
          <w:rFonts w:cs="Calibri"/>
          <w:bCs/>
          <w:szCs w:val="24"/>
        </w:rPr>
        <w:t xml:space="preserve"> </w:t>
      </w:r>
      <w:r w:rsidR="00810EFB">
        <w:rPr>
          <w:rFonts w:cs="Calibri"/>
          <w:bCs/>
          <w:szCs w:val="24"/>
        </w:rPr>
        <w:t>states</w:t>
      </w:r>
      <w:r w:rsidR="008A1492">
        <w:rPr>
          <w:rFonts w:cs="Calibri"/>
          <w:bCs/>
          <w:szCs w:val="24"/>
        </w:rPr>
        <w:t xml:space="preserve"> that Dana-Farber</w:t>
      </w:r>
      <w:r w:rsidR="00A21336">
        <w:rPr>
          <w:rFonts w:cs="Calibri"/>
          <w:bCs/>
          <w:szCs w:val="24"/>
        </w:rPr>
        <w:t xml:space="preserve"> medical oncologists</w:t>
      </w:r>
      <w:r w:rsidR="00101C34">
        <w:rPr>
          <w:rFonts w:cs="Calibri"/>
          <w:bCs/>
          <w:szCs w:val="24"/>
        </w:rPr>
        <w:t xml:space="preserve"> and hospitalists</w:t>
      </w:r>
      <w:r w:rsidR="00B40702">
        <w:rPr>
          <w:rFonts w:cs="Calibri"/>
          <w:bCs/>
          <w:szCs w:val="24"/>
        </w:rPr>
        <w:t xml:space="preserve"> direct the care of these patients during their inpatient stay</w:t>
      </w:r>
      <w:r w:rsidR="009D06C9">
        <w:rPr>
          <w:rFonts w:cs="Calibri"/>
          <w:bCs/>
          <w:szCs w:val="24"/>
        </w:rPr>
        <w:t>, and Dana-Farber is the medical oncology provider for these patients outside of the hospital.</w:t>
      </w:r>
      <w:r w:rsidR="00A21336">
        <w:rPr>
          <w:rFonts w:cs="Calibri"/>
          <w:bCs/>
          <w:szCs w:val="24"/>
        </w:rPr>
        <w:t xml:space="preserve"> </w:t>
      </w:r>
      <w:r w:rsidR="008A1492">
        <w:rPr>
          <w:rFonts w:cs="Calibri"/>
          <w:bCs/>
          <w:szCs w:val="24"/>
        </w:rPr>
        <w:t xml:space="preserve">Additionally, </w:t>
      </w:r>
      <w:r w:rsidR="008A1492" w:rsidRPr="008A1492">
        <w:rPr>
          <w:rFonts w:cs="Calibri"/>
          <w:bCs/>
          <w:szCs w:val="24"/>
        </w:rPr>
        <w:t xml:space="preserve">BWH does not </w:t>
      </w:r>
      <w:r w:rsidR="004719B8">
        <w:rPr>
          <w:rFonts w:cs="Calibri"/>
          <w:bCs/>
          <w:szCs w:val="24"/>
        </w:rPr>
        <w:t>currently</w:t>
      </w:r>
      <w:r w:rsidR="008A1492" w:rsidRPr="008A1492">
        <w:rPr>
          <w:rFonts w:cs="Calibri"/>
          <w:bCs/>
          <w:szCs w:val="24"/>
        </w:rPr>
        <w:t xml:space="preserve"> employ any medical oncologists or medical oncology advanced practice providers of its own.</w:t>
      </w:r>
      <w:r w:rsidR="008A1492">
        <w:rPr>
          <w:rFonts w:cs="Calibri"/>
          <w:bCs/>
          <w:szCs w:val="24"/>
        </w:rPr>
        <w:t xml:space="preserve"> </w:t>
      </w:r>
    </w:p>
    <w:p w14:paraId="10839042" w14:textId="77777777" w:rsidR="001D1429" w:rsidRDefault="001D1429">
      <w:pPr>
        <w:rPr>
          <w:rFonts w:cs="Calibri"/>
          <w:bCs/>
          <w:szCs w:val="24"/>
        </w:rPr>
      </w:pPr>
    </w:p>
    <w:p w14:paraId="41A781D8" w14:textId="181F5DF0" w:rsidR="00720663" w:rsidRPr="00720663" w:rsidRDefault="00145502" w:rsidP="003B2CD4">
      <w:pPr>
        <w:rPr>
          <w:rFonts w:cs="Calibri"/>
          <w:bCs/>
          <w:szCs w:val="24"/>
        </w:rPr>
      </w:pPr>
      <w:r w:rsidRPr="00145502">
        <w:rPr>
          <w:rFonts w:cs="Calibri"/>
          <w:bCs/>
          <w:szCs w:val="24"/>
        </w:rPr>
        <w:t>As discussed further in Factor 2</w:t>
      </w:r>
      <w:r w:rsidR="00EB11A3">
        <w:rPr>
          <w:rFonts w:cs="Calibri"/>
          <w:bCs/>
          <w:szCs w:val="24"/>
        </w:rPr>
        <w:t>: Cost Containment</w:t>
      </w:r>
      <w:r>
        <w:rPr>
          <w:rFonts w:cs="Calibri"/>
          <w:bCs/>
          <w:szCs w:val="24"/>
        </w:rPr>
        <w:t>, t</w:t>
      </w:r>
      <w:r w:rsidR="00720663">
        <w:rPr>
          <w:rFonts w:cs="Calibri"/>
          <w:bCs/>
          <w:szCs w:val="24"/>
        </w:rPr>
        <w:t>he ICA report confirmed the Applicant’s estimates of inpatient discharges.</w:t>
      </w:r>
      <w:r w:rsidR="0072599F">
        <w:rPr>
          <w:rFonts w:cs="Calibri"/>
          <w:bCs/>
          <w:szCs w:val="24"/>
        </w:rPr>
        <w:t xml:space="preserve"> </w:t>
      </w:r>
      <w:r w:rsidR="0072599F" w:rsidRPr="0072599F">
        <w:rPr>
          <w:rFonts w:cs="Calibri"/>
          <w:bCs/>
          <w:szCs w:val="24"/>
        </w:rPr>
        <w:t>FTI</w:t>
      </w:r>
      <w:r w:rsidR="003C771C">
        <w:rPr>
          <w:rFonts w:cs="Calibri"/>
          <w:bCs/>
          <w:szCs w:val="24"/>
        </w:rPr>
        <w:t xml:space="preserve">, the consultant hired to complete the </w:t>
      </w:r>
      <w:r w:rsidR="006D3AC8">
        <w:rPr>
          <w:rFonts w:cs="Calibri"/>
          <w:bCs/>
          <w:szCs w:val="24"/>
        </w:rPr>
        <w:t>ICA</w:t>
      </w:r>
      <w:r w:rsidR="003C771C">
        <w:rPr>
          <w:rFonts w:cs="Calibri"/>
          <w:bCs/>
          <w:szCs w:val="24"/>
        </w:rPr>
        <w:t>,</w:t>
      </w:r>
      <w:r w:rsidR="0072599F" w:rsidRPr="0072599F">
        <w:rPr>
          <w:rFonts w:cs="Calibri"/>
          <w:bCs/>
          <w:szCs w:val="24"/>
        </w:rPr>
        <w:t xml:space="preserve"> developed a methodology to identify DFCI patients</w:t>
      </w:r>
      <w:r w:rsidR="00436D97">
        <w:rPr>
          <w:rFonts w:cs="Calibri"/>
          <w:bCs/>
          <w:szCs w:val="24"/>
        </w:rPr>
        <w:t xml:space="preserve"> </w:t>
      </w:r>
      <w:r w:rsidR="0072599F" w:rsidRPr="0072599F">
        <w:rPr>
          <w:rFonts w:cs="Calibri"/>
          <w:bCs/>
          <w:szCs w:val="24"/>
        </w:rPr>
        <w:t xml:space="preserve">receiving care from DFCI attending physicians in BWH licensed beds. </w:t>
      </w:r>
      <w:r w:rsidR="0072599F">
        <w:rPr>
          <w:rFonts w:cs="Calibri"/>
          <w:bCs/>
          <w:szCs w:val="24"/>
        </w:rPr>
        <w:t xml:space="preserve">Through this analysis, FTI reported that in 2022, </w:t>
      </w:r>
      <w:r w:rsidR="0072599F" w:rsidRPr="0072599F">
        <w:rPr>
          <w:rFonts w:cs="Calibri"/>
          <w:bCs/>
          <w:szCs w:val="24"/>
        </w:rPr>
        <w:t xml:space="preserve">DFCI physicians provided care for 1,022 discharges in </w:t>
      </w:r>
      <w:r w:rsidR="0072599F">
        <w:rPr>
          <w:rFonts w:cs="Calibri"/>
          <w:bCs/>
          <w:szCs w:val="24"/>
        </w:rPr>
        <w:t>its 30 licensed</w:t>
      </w:r>
      <w:r w:rsidR="0072599F" w:rsidRPr="0072599F">
        <w:rPr>
          <w:rFonts w:cs="Calibri"/>
          <w:bCs/>
          <w:szCs w:val="24"/>
        </w:rPr>
        <w:t xml:space="preserve"> beds</w:t>
      </w:r>
      <w:r w:rsidR="0072599F">
        <w:rPr>
          <w:rFonts w:cs="Calibri"/>
          <w:bCs/>
          <w:szCs w:val="24"/>
        </w:rPr>
        <w:t xml:space="preserve"> and </w:t>
      </w:r>
      <w:r w:rsidR="0072599F" w:rsidRPr="0072599F">
        <w:rPr>
          <w:rFonts w:cs="Calibri"/>
          <w:bCs/>
          <w:szCs w:val="24"/>
        </w:rPr>
        <w:t>DFCI attending physicians also provided care for 6,434 cancer discharges in beds leased from BWH.</w:t>
      </w:r>
      <w:r w:rsidR="0072599F">
        <w:rPr>
          <w:rStyle w:val="FootnoteReference"/>
          <w:rFonts w:cs="Calibri"/>
          <w:bCs/>
          <w:szCs w:val="24"/>
        </w:rPr>
        <w:footnoteReference w:id="87"/>
      </w:r>
      <w:r w:rsidR="0072599F" w:rsidRPr="0072599F">
        <w:rPr>
          <w:rFonts w:cs="Calibri"/>
          <w:bCs/>
          <w:szCs w:val="24"/>
        </w:rPr>
        <w:t xml:space="preserve"> </w:t>
      </w:r>
      <w:r w:rsidR="0072599F">
        <w:rPr>
          <w:rFonts w:cs="Calibri"/>
          <w:bCs/>
          <w:szCs w:val="24"/>
        </w:rPr>
        <w:t xml:space="preserve">FTI also examined BIDMC’s discharges in 2022, and </w:t>
      </w:r>
      <w:r w:rsidR="00720663">
        <w:rPr>
          <w:rFonts w:cs="Calibri"/>
          <w:bCs/>
          <w:szCs w:val="24"/>
        </w:rPr>
        <w:t>stat</w:t>
      </w:r>
      <w:r w:rsidR="0072599F">
        <w:rPr>
          <w:rFonts w:cs="Calibri"/>
          <w:bCs/>
          <w:szCs w:val="24"/>
        </w:rPr>
        <w:t>ed</w:t>
      </w:r>
      <w:r w:rsidR="008651BD">
        <w:rPr>
          <w:rFonts w:cs="Calibri"/>
          <w:bCs/>
          <w:szCs w:val="24"/>
        </w:rPr>
        <w:t>,</w:t>
      </w:r>
      <w:r w:rsidR="00720663">
        <w:rPr>
          <w:rFonts w:cs="Calibri"/>
          <w:bCs/>
          <w:szCs w:val="24"/>
        </w:rPr>
        <w:t xml:space="preserve"> “</w:t>
      </w:r>
      <w:r w:rsidR="00720663" w:rsidRPr="00720663">
        <w:rPr>
          <w:rFonts w:cs="Calibri"/>
          <w:bCs/>
          <w:szCs w:val="24"/>
        </w:rPr>
        <w:t>FTI’s methodology identifies 10,687 medical cancer care inpatient discharges in 2022 for BIDMC and DFCI combined. This is similar to the estimated number of combined discharges calculated by DFCI in its Application.</w:t>
      </w:r>
      <w:r w:rsidR="00720663">
        <w:rPr>
          <w:rFonts w:cs="Calibri"/>
          <w:bCs/>
          <w:szCs w:val="24"/>
        </w:rPr>
        <w:t>”</w:t>
      </w:r>
      <w:r w:rsidR="00720663">
        <w:rPr>
          <w:rFonts w:cs="Calibri"/>
          <w:bCs/>
          <w:szCs w:val="24"/>
          <w:vertAlign w:val="superscript"/>
        </w:rPr>
        <w:t xml:space="preserve"> </w:t>
      </w:r>
    </w:p>
    <w:p w14:paraId="7C459529" w14:textId="77777777" w:rsidR="00720663" w:rsidRDefault="00720663" w:rsidP="00BA2054">
      <w:pPr>
        <w:rPr>
          <w:rFonts w:cs="Calibri"/>
          <w:bCs/>
          <w:szCs w:val="24"/>
        </w:rPr>
      </w:pPr>
    </w:p>
    <w:p w14:paraId="28FD2012" w14:textId="2B5BCFF4" w:rsidR="000975AA" w:rsidRDefault="00A21336" w:rsidP="00BA2054">
      <w:pPr>
        <w:rPr>
          <w:rFonts w:cs="Calibri"/>
          <w:bCs/>
          <w:szCs w:val="24"/>
        </w:rPr>
      </w:pPr>
      <w:r>
        <w:rPr>
          <w:rFonts w:cs="Calibri"/>
          <w:bCs/>
          <w:szCs w:val="24"/>
        </w:rPr>
        <w:t>Therefore,</w:t>
      </w:r>
      <w:r w:rsidR="001A53E9">
        <w:rPr>
          <w:rFonts w:cs="Calibri"/>
          <w:bCs/>
          <w:szCs w:val="24"/>
        </w:rPr>
        <w:t xml:space="preserve"> staff find that the Applicant has established its Patient Panel in accordance with 105 CMR 100.100. </w:t>
      </w:r>
    </w:p>
    <w:p w14:paraId="04C9C96B" w14:textId="77777777" w:rsidR="00904721" w:rsidRPr="00904721" w:rsidRDefault="00904721" w:rsidP="00BA2054">
      <w:pPr>
        <w:rPr>
          <w:rFonts w:cs="Calibri"/>
          <w:bCs/>
          <w:szCs w:val="24"/>
        </w:rPr>
      </w:pPr>
    </w:p>
    <w:p w14:paraId="61ED4D5D" w14:textId="11AF41E0" w:rsidR="003F3D2D" w:rsidRPr="0082380F" w:rsidRDefault="003F3D2D" w:rsidP="36B2A8D2">
      <w:pPr>
        <w:rPr>
          <w:rFonts w:cs="Calibri"/>
          <w:i/>
          <w:iCs/>
        </w:rPr>
      </w:pPr>
      <w:r w:rsidRPr="36B2A8D2">
        <w:rPr>
          <w:rFonts w:cs="Calibri"/>
          <w:i/>
          <w:iCs/>
        </w:rPr>
        <w:t>Has the Application demonstrated need for the project consistent with 105 CMR 100.210(1) and Department precedent?</w:t>
      </w:r>
    </w:p>
    <w:p w14:paraId="77981202" w14:textId="4690A765" w:rsidR="003F3D2D" w:rsidRDefault="003F3D2D" w:rsidP="00BA2054">
      <w:pPr>
        <w:widowControl/>
        <w:autoSpaceDE/>
        <w:autoSpaceDN/>
        <w:contextualSpacing/>
        <w:rPr>
          <w:rFonts w:cs="Calibri"/>
          <w:bCs/>
          <w:szCs w:val="24"/>
        </w:rPr>
      </w:pPr>
      <w:r w:rsidRPr="00904721">
        <w:rPr>
          <w:rFonts w:cs="Calibri"/>
          <w:bCs/>
          <w:szCs w:val="24"/>
        </w:rPr>
        <w:t xml:space="preserve">The </w:t>
      </w:r>
      <w:r w:rsidR="008C2271">
        <w:rPr>
          <w:rFonts w:cs="Calibri"/>
          <w:bCs/>
          <w:szCs w:val="24"/>
        </w:rPr>
        <w:t xml:space="preserve">Mass General Brigham </w:t>
      </w:r>
      <w:r w:rsidR="008A1492">
        <w:rPr>
          <w:rFonts w:cs="Calibri"/>
          <w:bCs/>
          <w:szCs w:val="24"/>
        </w:rPr>
        <w:t xml:space="preserve">TTG </w:t>
      </w:r>
      <w:r w:rsidRPr="00904721">
        <w:rPr>
          <w:rFonts w:cs="Calibri"/>
          <w:bCs/>
          <w:szCs w:val="24"/>
        </w:rPr>
        <w:t>comment</w:t>
      </w:r>
      <w:r w:rsidR="008A1492">
        <w:rPr>
          <w:rFonts w:cs="Calibri"/>
          <w:bCs/>
          <w:szCs w:val="24"/>
        </w:rPr>
        <w:t>s</w:t>
      </w:r>
      <w:r w:rsidRPr="00904721">
        <w:rPr>
          <w:rFonts w:cs="Calibri"/>
          <w:bCs/>
          <w:szCs w:val="24"/>
        </w:rPr>
        <w:t xml:space="preserve"> state</w:t>
      </w:r>
      <w:r w:rsidR="006A3982" w:rsidRPr="00904721">
        <w:rPr>
          <w:rFonts w:cs="Calibri"/>
          <w:bCs/>
          <w:szCs w:val="24"/>
        </w:rPr>
        <w:t>d</w:t>
      </w:r>
      <w:r w:rsidR="00904721">
        <w:rPr>
          <w:rFonts w:cs="Calibri"/>
          <w:bCs/>
          <w:szCs w:val="24"/>
        </w:rPr>
        <w:t>,</w:t>
      </w:r>
      <w:r w:rsidRPr="00904721">
        <w:rPr>
          <w:rFonts w:cs="Calibri"/>
          <w:bCs/>
          <w:szCs w:val="24"/>
        </w:rPr>
        <w:t xml:space="preserve"> “</w:t>
      </w:r>
      <w:r w:rsidR="000F0EA2">
        <w:rPr>
          <w:rFonts w:cs="Calibri"/>
          <w:bCs/>
          <w:szCs w:val="24"/>
        </w:rPr>
        <w:t>I</w:t>
      </w:r>
      <w:r w:rsidRPr="00904721">
        <w:rPr>
          <w:rFonts w:cs="Calibri"/>
          <w:bCs/>
          <w:szCs w:val="24"/>
        </w:rPr>
        <w:t>t appears that the need for the project is based on estimated historical discharges instead of actual historical demand data because the Applicant does not have its own patient panel to support the need for a new 300 bed hospital</w:t>
      </w:r>
      <w:r w:rsidR="003402A2" w:rsidRPr="00904721">
        <w:rPr>
          <w:rFonts w:cs="Calibri"/>
          <w:bCs/>
          <w:szCs w:val="24"/>
        </w:rPr>
        <w:t>.</w:t>
      </w:r>
      <w:r w:rsidR="006A3982" w:rsidRPr="00904721">
        <w:rPr>
          <w:rFonts w:cs="Calibri"/>
          <w:bCs/>
          <w:szCs w:val="24"/>
        </w:rPr>
        <w:t xml:space="preserve"> </w:t>
      </w:r>
      <w:r w:rsidR="003402A2" w:rsidRPr="00904721">
        <w:rPr>
          <w:rFonts w:cs="Calibri"/>
          <w:bCs/>
          <w:szCs w:val="24"/>
        </w:rPr>
        <w:t>Further, it appears that t</w:t>
      </w:r>
      <w:r w:rsidRPr="00904721">
        <w:rPr>
          <w:rFonts w:cs="Calibri"/>
          <w:bCs/>
          <w:szCs w:val="24"/>
        </w:rPr>
        <w:t>he Applicant bases demand for inpatient beds on cancer incidence rate projections and this could represent inflated demand because not all cancer patients will require an inpatient admission.”</w:t>
      </w:r>
    </w:p>
    <w:p w14:paraId="640090B9" w14:textId="77777777" w:rsidR="006530D4" w:rsidRDefault="006530D4" w:rsidP="00BA2054">
      <w:pPr>
        <w:widowControl/>
        <w:autoSpaceDE/>
        <w:autoSpaceDN/>
        <w:contextualSpacing/>
        <w:rPr>
          <w:rFonts w:cs="Calibri"/>
          <w:bCs/>
          <w:szCs w:val="24"/>
        </w:rPr>
      </w:pPr>
    </w:p>
    <w:p w14:paraId="300AF124" w14:textId="46D00329" w:rsidR="00FF1FA2" w:rsidRDefault="006530D4" w:rsidP="00CC21A6">
      <w:pPr>
        <w:widowControl/>
        <w:autoSpaceDE/>
        <w:autoSpaceDN/>
        <w:contextualSpacing/>
        <w:rPr>
          <w:rFonts w:cs="Calibri"/>
          <w:bCs/>
          <w:szCs w:val="24"/>
        </w:rPr>
      </w:pPr>
      <w:r>
        <w:rPr>
          <w:rFonts w:cs="Calibri"/>
          <w:bCs/>
          <w:szCs w:val="24"/>
        </w:rPr>
        <w:t>Staff Analysis: Section 100.210</w:t>
      </w:r>
      <w:r w:rsidR="00C05A49">
        <w:rPr>
          <w:rFonts w:cs="Calibri"/>
          <w:bCs/>
          <w:szCs w:val="24"/>
        </w:rPr>
        <w:t xml:space="preserve"> (A)(1)(a) of the regulation </w:t>
      </w:r>
      <w:r w:rsidR="00455B7F">
        <w:rPr>
          <w:rFonts w:cs="Calibri"/>
          <w:bCs/>
          <w:szCs w:val="24"/>
        </w:rPr>
        <w:t>requires that</w:t>
      </w:r>
      <w:r w:rsidR="00C05A49">
        <w:rPr>
          <w:rFonts w:cs="Calibri"/>
          <w:bCs/>
          <w:szCs w:val="24"/>
        </w:rPr>
        <w:t>, “</w:t>
      </w:r>
      <w:r w:rsidR="00C05A49" w:rsidRPr="00C05A49">
        <w:rPr>
          <w:rFonts w:cs="Calibri"/>
          <w:bCs/>
          <w:szCs w:val="24"/>
        </w:rPr>
        <w:t>The Applicant has demonstrated sufficient need for the Proposed Project by the Applicant's Patient Panel</w:t>
      </w:r>
      <w:r w:rsidR="00C05A49">
        <w:rPr>
          <w:rFonts w:cs="Calibri"/>
          <w:bCs/>
          <w:szCs w:val="24"/>
        </w:rPr>
        <w:t xml:space="preserve">.” </w:t>
      </w:r>
    </w:p>
    <w:p w14:paraId="79DDAA09" w14:textId="3EF01CDD" w:rsidR="00FF1FA2" w:rsidRPr="00FF1FA2" w:rsidRDefault="00FF1FA2" w:rsidP="00FF1FA2">
      <w:pPr>
        <w:widowControl/>
        <w:autoSpaceDE/>
        <w:autoSpaceDN/>
        <w:contextualSpacing/>
        <w:rPr>
          <w:rFonts w:cs="Calibri"/>
          <w:bCs/>
          <w:szCs w:val="24"/>
        </w:rPr>
      </w:pPr>
      <w:r>
        <w:rPr>
          <w:rFonts w:cs="Calibri"/>
          <w:bCs/>
          <w:szCs w:val="24"/>
        </w:rPr>
        <w:t>As discussed further in Factor 2</w:t>
      </w:r>
      <w:r w:rsidR="00EB11A3">
        <w:rPr>
          <w:rFonts w:cs="Calibri"/>
          <w:bCs/>
          <w:szCs w:val="24"/>
        </w:rPr>
        <w:t>: Cost Containment</w:t>
      </w:r>
      <w:r>
        <w:rPr>
          <w:rFonts w:cs="Calibri"/>
          <w:bCs/>
          <w:szCs w:val="24"/>
        </w:rPr>
        <w:t>, the ICA report found that</w:t>
      </w:r>
      <w:r w:rsidRPr="00FF1FA2">
        <w:rPr>
          <w:rFonts w:asciiTheme="minorHAnsi" w:hAnsiTheme="minorHAnsi" w:cstheme="minorBidi"/>
          <w:kern w:val="2"/>
          <w:sz w:val="22"/>
          <w:szCs w:val="22"/>
          <w14:ligatures w14:val="standardContextual"/>
        </w:rPr>
        <w:t xml:space="preserve"> </w:t>
      </w:r>
      <w:r>
        <w:rPr>
          <w:rFonts w:cs="Calibri"/>
          <w:bCs/>
          <w:szCs w:val="24"/>
        </w:rPr>
        <w:t>e</w:t>
      </w:r>
      <w:r w:rsidRPr="00FF1FA2">
        <w:rPr>
          <w:rFonts w:cs="Calibri"/>
          <w:bCs/>
          <w:szCs w:val="24"/>
        </w:rPr>
        <w:t>xisting demand from DFCI and BIDMC patients is projected to immediately exceed the capacity of the new DFCI facility</w:t>
      </w:r>
      <w:r w:rsidR="005E3E2A">
        <w:rPr>
          <w:rFonts w:cs="Calibri"/>
          <w:bCs/>
          <w:szCs w:val="24"/>
        </w:rPr>
        <w:t xml:space="preserve">, and this will occur with </w:t>
      </w:r>
      <w:r w:rsidR="005E3E2A" w:rsidRPr="005E3E2A">
        <w:rPr>
          <w:rFonts w:cs="Calibri"/>
          <w:bCs/>
          <w:szCs w:val="24"/>
        </w:rPr>
        <w:t>no other projected changes in utilization at other hospitals</w:t>
      </w:r>
      <w:r w:rsidR="005E3E2A">
        <w:rPr>
          <w:rFonts w:cs="Calibri"/>
          <w:bCs/>
          <w:szCs w:val="24"/>
        </w:rPr>
        <w:t>.</w:t>
      </w:r>
      <w:r w:rsidR="000C4917">
        <w:rPr>
          <w:rFonts w:cs="Calibri"/>
          <w:bCs/>
          <w:szCs w:val="24"/>
        </w:rPr>
        <w:t xml:space="preserve"> The ICA report also states that FTI projects</w:t>
      </w:r>
      <w:r w:rsidR="000C4917" w:rsidRPr="000C4917">
        <w:t xml:space="preserve"> </w:t>
      </w:r>
      <w:r w:rsidR="000C4917">
        <w:rPr>
          <w:rFonts w:cs="Calibri"/>
          <w:bCs/>
          <w:szCs w:val="24"/>
        </w:rPr>
        <w:t>t</w:t>
      </w:r>
      <w:r w:rsidR="000C4917" w:rsidRPr="000C4917">
        <w:rPr>
          <w:rFonts w:cs="Calibri"/>
          <w:bCs/>
          <w:szCs w:val="24"/>
        </w:rPr>
        <w:t>he average daily census of inpatient cancer care</w:t>
      </w:r>
      <w:r w:rsidR="004C0442">
        <w:rPr>
          <w:rFonts w:cs="Calibri"/>
          <w:bCs/>
          <w:szCs w:val="24"/>
        </w:rPr>
        <w:t xml:space="preserve"> patients</w:t>
      </w:r>
      <w:r w:rsidR="000C4917" w:rsidRPr="000C4917">
        <w:rPr>
          <w:rFonts w:cs="Calibri"/>
          <w:bCs/>
          <w:szCs w:val="24"/>
        </w:rPr>
        <w:t xml:space="preserve"> in Massachusetts to </w:t>
      </w:r>
      <w:r w:rsidR="004C0442">
        <w:rPr>
          <w:rFonts w:cs="Calibri"/>
          <w:bCs/>
          <w:szCs w:val="24"/>
        </w:rPr>
        <w:t>increase</w:t>
      </w:r>
      <w:r w:rsidR="000C4917" w:rsidRPr="000C4917">
        <w:rPr>
          <w:rFonts w:cs="Calibri"/>
          <w:bCs/>
          <w:szCs w:val="24"/>
        </w:rPr>
        <w:t xml:space="preserve"> by 249 by 2030</w:t>
      </w:r>
      <w:r w:rsidR="00620320">
        <w:rPr>
          <w:rFonts w:cs="Calibri"/>
          <w:bCs/>
          <w:szCs w:val="24"/>
        </w:rPr>
        <w:t xml:space="preserve">, regardless of the Proposed Project. </w:t>
      </w:r>
    </w:p>
    <w:p w14:paraId="7FA0BFC9" w14:textId="77777777" w:rsidR="00090F5B" w:rsidRPr="00904721" w:rsidRDefault="00090F5B" w:rsidP="00BA2054">
      <w:pPr>
        <w:widowControl/>
        <w:autoSpaceDE/>
        <w:autoSpaceDN/>
        <w:contextualSpacing/>
        <w:rPr>
          <w:rFonts w:cs="Calibri"/>
          <w:bCs/>
          <w:szCs w:val="24"/>
        </w:rPr>
      </w:pPr>
    </w:p>
    <w:p w14:paraId="45B50A85" w14:textId="30A88A29" w:rsidR="003F3D2D" w:rsidRPr="003402A2" w:rsidRDefault="003F3D2D" w:rsidP="00BA2054">
      <w:pPr>
        <w:rPr>
          <w:rFonts w:cs="Calibri"/>
          <w:bCs/>
          <w:i/>
          <w:iCs/>
          <w:szCs w:val="24"/>
        </w:rPr>
      </w:pPr>
      <w:r w:rsidRPr="003402A2">
        <w:rPr>
          <w:rFonts w:cs="Calibri"/>
          <w:bCs/>
          <w:i/>
          <w:iCs/>
          <w:szCs w:val="24"/>
        </w:rPr>
        <w:t xml:space="preserve">Does the Application independently demonstrate need for additional DoN-required equipment (3 </w:t>
      </w:r>
      <w:r w:rsidRPr="003402A2">
        <w:rPr>
          <w:rFonts w:cs="Calibri"/>
          <w:bCs/>
          <w:i/>
          <w:iCs/>
          <w:szCs w:val="24"/>
        </w:rPr>
        <w:lastRenderedPageBreak/>
        <w:t>linear accelerators, 2 MRI, 2 CT, 1 PET</w:t>
      </w:r>
      <w:r w:rsidR="00B559FE">
        <w:rPr>
          <w:rFonts w:cs="Calibri"/>
          <w:bCs/>
          <w:i/>
          <w:iCs/>
          <w:szCs w:val="24"/>
        </w:rPr>
        <w:t>-</w:t>
      </w:r>
      <w:r w:rsidRPr="003402A2">
        <w:rPr>
          <w:rFonts w:cs="Calibri"/>
          <w:bCs/>
          <w:i/>
          <w:iCs/>
          <w:szCs w:val="24"/>
        </w:rPr>
        <w:t>CT) consistent with the Department’s precedent for review of similar projects?</w:t>
      </w:r>
    </w:p>
    <w:p w14:paraId="4BEA5A5E" w14:textId="43F2B35E" w:rsidR="0098789C" w:rsidRDefault="001608FB" w:rsidP="00BA2054">
      <w:pPr>
        <w:rPr>
          <w:rFonts w:cs="Calibri"/>
          <w:bCs/>
          <w:szCs w:val="24"/>
        </w:rPr>
      </w:pPr>
      <w:r>
        <w:rPr>
          <w:rFonts w:cs="Calibri"/>
          <w:bCs/>
          <w:szCs w:val="24"/>
        </w:rPr>
        <w:t xml:space="preserve">Mass General Brigham </w:t>
      </w:r>
      <w:r w:rsidR="00957F42">
        <w:rPr>
          <w:rFonts w:cs="Calibri"/>
          <w:bCs/>
          <w:szCs w:val="24"/>
        </w:rPr>
        <w:t>TTG</w:t>
      </w:r>
      <w:r w:rsidR="003F3D2D">
        <w:rPr>
          <w:rFonts w:cs="Calibri"/>
          <w:bCs/>
          <w:szCs w:val="24"/>
        </w:rPr>
        <w:t xml:space="preserve"> comments requested further analysis of the Applicant’s methodology used to determine need for DoN-required Equipment. </w:t>
      </w:r>
      <w:r w:rsidR="003F3D2D" w:rsidRPr="008E1D75">
        <w:rPr>
          <w:rFonts w:cs="Calibri"/>
          <w:bCs/>
          <w:szCs w:val="24"/>
        </w:rPr>
        <w:t>The comments state</w:t>
      </w:r>
      <w:r w:rsidR="006A3982" w:rsidRPr="008E1D75">
        <w:rPr>
          <w:rFonts w:cs="Calibri"/>
          <w:bCs/>
          <w:szCs w:val="24"/>
        </w:rPr>
        <w:t>d</w:t>
      </w:r>
      <w:r w:rsidR="008E1D75">
        <w:rPr>
          <w:rFonts w:cs="Calibri"/>
          <w:bCs/>
          <w:szCs w:val="24"/>
        </w:rPr>
        <w:t>,</w:t>
      </w:r>
      <w:r w:rsidR="003F3D2D" w:rsidRPr="008E1D75">
        <w:rPr>
          <w:rFonts w:cs="Calibri"/>
          <w:bCs/>
          <w:szCs w:val="24"/>
        </w:rPr>
        <w:t xml:space="preserve"> “the Applicant bases its projected volume for imaging on historical utilization by patients in its 30 licensed beds by looking at what percentage of those inpatients required imaging and applying that percentage to 300 beds. We do not believe that the use of a small sample to project the need for a project with 10 times the number of beds is a reliable basis for projecting need.” </w:t>
      </w:r>
    </w:p>
    <w:p w14:paraId="30706B91" w14:textId="77777777" w:rsidR="00957F42" w:rsidRDefault="00957F42" w:rsidP="00BA2054">
      <w:pPr>
        <w:rPr>
          <w:rFonts w:cs="Calibri"/>
          <w:bCs/>
          <w:szCs w:val="24"/>
        </w:rPr>
      </w:pPr>
    </w:p>
    <w:p w14:paraId="707F7023" w14:textId="6AFA65B5" w:rsidR="004751BD" w:rsidRPr="008E1D75" w:rsidRDefault="004751BD" w:rsidP="00BA2054">
      <w:pPr>
        <w:rPr>
          <w:rFonts w:cs="Calibri"/>
          <w:bCs/>
          <w:szCs w:val="24"/>
        </w:rPr>
      </w:pPr>
      <w:r>
        <w:rPr>
          <w:rFonts w:cs="Calibri"/>
          <w:bCs/>
          <w:szCs w:val="24"/>
        </w:rPr>
        <w:t xml:space="preserve">Staff Analysis: </w:t>
      </w:r>
      <w:r w:rsidR="004D14CA">
        <w:rPr>
          <w:rFonts w:cs="Calibri"/>
          <w:bCs/>
          <w:szCs w:val="24"/>
        </w:rPr>
        <w:t>the Applicant states, “</w:t>
      </w:r>
      <w:r w:rsidR="004D14CA" w:rsidRPr="004D14CA">
        <w:rPr>
          <w:rFonts w:cs="Calibri"/>
          <w:bCs/>
          <w:szCs w:val="24"/>
        </w:rPr>
        <w:t>Dana-Farber projected inpatient imaging need based on its 30 licensed beds because the data regarding BWH-licensed beds were not available from publicly available sources and nonpublic, BWH data are proprietary to BWH.</w:t>
      </w:r>
      <w:r w:rsidR="004D14CA">
        <w:rPr>
          <w:rFonts w:cs="Calibri"/>
          <w:bCs/>
          <w:szCs w:val="24"/>
        </w:rPr>
        <w:t xml:space="preserve">” </w:t>
      </w:r>
      <w:r w:rsidR="00480073">
        <w:rPr>
          <w:rFonts w:cs="Calibri"/>
          <w:bCs/>
          <w:szCs w:val="24"/>
        </w:rPr>
        <w:t xml:space="preserve">As </w:t>
      </w:r>
      <w:r w:rsidR="00C87B9F">
        <w:rPr>
          <w:rFonts w:cs="Calibri"/>
          <w:bCs/>
          <w:szCs w:val="24"/>
        </w:rPr>
        <w:t>discussed further in Factor 2</w:t>
      </w:r>
      <w:r w:rsidR="00EB11A3">
        <w:rPr>
          <w:rFonts w:cs="Calibri"/>
          <w:bCs/>
          <w:szCs w:val="24"/>
        </w:rPr>
        <w:t>: Cost Containment</w:t>
      </w:r>
      <w:r w:rsidR="00C87B9F">
        <w:rPr>
          <w:rFonts w:cs="Calibri"/>
          <w:bCs/>
          <w:szCs w:val="24"/>
        </w:rPr>
        <w:t xml:space="preserve">, </w:t>
      </w:r>
      <w:r w:rsidR="00265B76">
        <w:rPr>
          <w:rFonts w:cs="Calibri"/>
          <w:bCs/>
          <w:szCs w:val="24"/>
        </w:rPr>
        <w:t xml:space="preserve">FTI evaluated </w:t>
      </w:r>
      <w:r w:rsidR="00265B76" w:rsidRPr="00265B76">
        <w:rPr>
          <w:rFonts w:cs="Calibri"/>
          <w:bCs/>
          <w:szCs w:val="24"/>
        </w:rPr>
        <w:t>DFCI’s need for imaging equipment</w:t>
      </w:r>
      <w:r w:rsidR="00C87B9F">
        <w:rPr>
          <w:rFonts w:cs="Calibri"/>
          <w:bCs/>
          <w:szCs w:val="24"/>
        </w:rPr>
        <w:t xml:space="preserve"> </w:t>
      </w:r>
      <w:r w:rsidR="00265B76">
        <w:rPr>
          <w:rFonts w:cs="Calibri"/>
          <w:bCs/>
          <w:szCs w:val="24"/>
        </w:rPr>
        <w:t>and FTI’s projected MRI scanner, CT scanner, and PET-CT scanner</w:t>
      </w:r>
      <w:r w:rsidR="00480073">
        <w:rPr>
          <w:rFonts w:cs="Calibri"/>
          <w:bCs/>
          <w:szCs w:val="24"/>
        </w:rPr>
        <w:t xml:space="preserve"> </w:t>
      </w:r>
      <w:r w:rsidR="00265B76">
        <w:rPr>
          <w:rFonts w:cs="Calibri"/>
          <w:bCs/>
          <w:szCs w:val="24"/>
        </w:rPr>
        <w:t xml:space="preserve">were </w:t>
      </w:r>
      <w:r w:rsidR="00A23F7F">
        <w:rPr>
          <w:rFonts w:cs="Calibri"/>
          <w:bCs/>
          <w:szCs w:val="24"/>
        </w:rPr>
        <w:t>similar to</w:t>
      </w:r>
      <w:r w:rsidR="00265B76">
        <w:rPr>
          <w:rFonts w:cs="Calibri"/>
          <w:bCs/>
          <w:szCs w:val="24"/>
        </w:rPr>
        <w:t xml:space="preserve"> Dana-Farber’s projected need for imaging equipment.</w:t>
      </w:r>
      <w:r w:rsidR="00C87B9F">
        <w:rPr>
          <w:rFonts w:cs="Calibri"/>
          <w:bCs/>
          <w:szCs w:val="24"/>
        </w:rPr>
        <w:t xml:space="preserve"> </w:t>
      </w:r>
    </w:p>
    <w:p w14:paraId="791EF208" w14:textId="77777777" w:rsidR="0098789C" w:rsidRDefault="0098789C" w:rsidP="00BA2054">
      <w:pPr>
        <w:widowControl/>
        <w:autoSpaceDE/>
        <w:autoSpaceDN/>
        <w:contextualSpacing/>
        <w:rPr>
          <w:rFonts w:cs="Calibri"/>
          <w:bCs/>
          <w:szCs w:val="24"/>
        </w:rPr>
      </w:pPr>
    </w:p>
    <w:p w14:paraId="78901E59" w14:textId="6BC99B30" w:rsidR="005C6CBE" w:rsidRDefault="005C6CBE">
      <w:pPr>
        <w:rPr>
          <w:rFonts w:cs="Calibri"/>
        </w:rPr>
      </w:pPr>
      <w:r w:rsidRPr="1385119A">
        <w:rPr>
          <w:rFonts w:cs="Calibri"/>
        </w:rPr>
        <w:t xml:space="preserve">The </w:t>
      </w:r>
      <w:r w:rsidR="00C80AD8" w:rsidRPr="1385119A">
        <w:rPr>
          <w:rFonts w:cs="Calibri"/>
        </w:rPr>
        <w:t xml:space="preserve">Department also received comments from </w:t>
      </w:r>
      <w:r w:rsidR="004711B2" w:rsidRPr="1385119A">
        <w:rPr>
          <w:rFonts w:cs="Calibri"/>
        </w:rPr>
        <w:t xml:space="preserve">the </w:t>
      </w:r>
      <w:r w:rsidRPr="1385119A">
        <w:rPr>
          <w:rFonts w:cs="Calibri"/>
        </w:rPr>
        <w:t xml:space="preserve">1199SEIU </w:t>
      </w:r>
      <w:r w:rsidR="004711B2" w:rsidRPr="1385119A">
        <w:rPr>
          <w:rFonts w:cs="Calibri"/>
        </w:rPr>
        <w:t xml:space="preserve">TTG </w:t>
      </w:r>
      <w:r w:rsidR="00911614" w:rsidRPr="1385119A">
        <w:rPr>
          <w:rFonts w:cs="Calibri"/>
        </w:rPr>
        <w:t>which</w:t>
      </w:r>
      <w:r w:rsidR="00C80AD8" w:rsidRPr="1385119A">
        <w:rPr>
          <w:rFonts w:cs="Calibri"/>
        </w:rPr>
        <w:t xml:space="preserve"> </w:t>
      </w:r>
      <w:r w:rsidRPr="1385119A">
        <w:rPr>
          <w:rFonts w:cs="Calibri"/>
        </w:rPr>
        <w:t>raised concerns about the Proposed Project’s impact on the healthcare landscape</w:t>
      </w:r>
      <w:r w:rsidR="00E50FE6" w:rsidRPr="1385119A">
        <w:rPr>
          <w:rFonts w:cs="Calibri"/>
        </w:rPr>
        <w:t xml:space="preserve">. The comments </w:t>
      </w:r>
      <w:r w:rsidRPr="1385119A">
        <w:rPr>
          <w:rFonts w:cs="Calibri"/>
        </w:rPr>
        <w:t xml:space="preserve">requested the Department conduct additional analysis and request additional information from the Applicant to better understand the implications of the Proposed Project, </w:t>
      </w:r>
      <w:r w:rsidR="00E50FE6" w:rsidRPr="1385119A">
        <w:rPr>
          <w:rFonts w:cs="Calibri"/>
        </w:rPr>
        <w:t xml:space="preserve">and </w:t>
      </w:r>
      <w:r w:rsidRPr="1385119A">
        <w:rPr>
          <w:rFonts w:cs="Calibri"/>
        </w:rPr>
        <w:t xml:space="preserve">to contribute to an informed vote on the Proposed Project. The written comments </w:t>
      </w:r>
      <w:r w:rsidR="00414320" w:rsidRPr="1385119A">
        <w:rPr>
          <w:rFonts w:cs="Calibri"/>
        </w:rPr>
        <w:t xml:space="preserve">from 1199SEIU also </w:t>
      </w:r>
      <w:r w:rsidRPr="1385119A">
        <w:rPr>
          <w:rFonts w:cs="Calibri"/>
        </w:rPr>
        <w:t xml:space="preserve">expressed concerns about the proposed </w:t>
      </w:r>
      <w:r w:rsidR="00921D53" w:rsidRPr="1385119A">
        <w:rPr>
          <w:rFonts w:cs="Calibri"/>
        </w:rPr>
        <w:t>hospital</w:t>
      </w:r>
      <w:r w:rsidRPr="1385119A">
        <w:rPr>
          <w:rFonts w:cs="Calibri"/>
        </w:rPr>
        <w:t xml:space="preserve">’s impact on safety net hospitals in metro Boston and potentially across the state. </w:t>
      </w:r>
      <w:r w:rsidR="00FA61B9" w:rsidRPr="1385119A">
        <w:rPr>
          <w:rFonts w:cs="Calibri"/>
        </w:rPr>
        <w:t xml:space="preserve"> </w:t>
      </w:r>
      <w:r w:rsidRPr="1385119A">
        <w:rPr>
          <w:rFonts w:cs="Calibri"/>
        </w:rPr>
        <w:t>The comments stated</w:t>
      </w:r>
      <w:r w:rsidR="00FA61B9" w:rsidRPr="1385119A">
        <w:rPr>
          <w:rFonts w:cs="Calibri"/>
        </w:rPr>
        <w:t>,</w:t>
      </w:r>
      <w:r w:rsidRPr="1385119A">
        <w:rPr>
          <w:rFonts w:cs="Calibri"/>
        </w:rPr>
        <w:t xml:space="preserve"> “a new facility in Boston focusing exclusively on cancer care will pull patients from safety net hospitals in metro Boston and potentially across the state, and thereby constitute a financial threat to the survival of these hospitals, which are themselves economic engines and social anchors in their communities.” </w:t>
      </w:r>
      <w:r w:rsidR="78D01A4C" w:rsidRPr="67771AE9">
        <w:rPr>
          <w:rFonts w:cs="Calibri"/>
        </w:rPr>
        <w:t xml:space="preserve">To address this concern the comments included a request: “DoN staff might undertake an analysis of the extent to which net revenues at Massachusetts acute care hospitals flow from oncology care and the importance of these revenues to a hospital’s financial stability,” </w:t>
      </w:r>
      <w:r w:rsidR="701F01CF" w:rsidRPr="67771AE9">
        <w:rPr>
          <w:rFonts w:cs="Calibri"/>
        </w:rPr>
        <w:t>and</w:t>
      </w:r>
      <w:r w:rsidR="78D01A4C" w:rsidRPr="67771AE9">
        <w:rPr>
          <w:rFonts w:cs="Calibri"/>
        </w:rPr>
        <w:t xml:space="preserve"> the “development of enhanced modeling and planning to address the potentially negative impacts of a facility such as is being proposed.”  </w:t>
      </w:r>
    </w:p>
    <w:p w14:paraId="00A729FF" w14:textId="77777777" w:rsidR="00265B76" w:rsidRDefault="00265B76">
      <w:pPr>
        <w:rPr>
          <w:rFonts w:cs="Calibri"/>
        </w:rPr>
      </w:pPr>
    </w:p>
    <w:p w14:paraId="78CA0C02" w14:textId="351610B7" w:rsidR="00CA7BDE" w:rsidRDefault="00B51A70">
      <w:pPr>
        <w:rPr>
          <w:rFonts w:cs="Calibri"/>
        </w:rPr>
      </w:pPr>
      <w:r>
        <w:rPr>
          <w:rFonts w:cs="Calibri"/>
        </w:rPr>
        <w:t xml:space="preserve">Staff Analysis: </w:t>
      </w:r>
      <w:r w:rsidR="00500B9D">
        <w:rPr>
          <w:rFonts w:cs="Calibri"/>
        </w:rPr>
        <w:t xml:space="preserve">The Applicant has stated that </w:t>
      </w:r>
      <w:r w:rsidR="008E0B0A">
        <w:rPr>
          <w:rFonts w:cs="Calibri"/>
        </w:rPr>
        <w:t xml:space="preserve">the proposed hospital will improve access for </w:t>
      </w:r>
      <w:r w:rsidR="00316D92">
        <w:rPr>
          <w:rFonts w:cs="Calibri"/>
        </w:rPr>
        <w:t xml:space="preserve">patients from </w:t>
      </w:r>
      <w:r w:rsidR="00317FAC">
        <w:rPr>
          <w:rFonts w:cs="Calibri"/>
        </w:rPr>
        <w:t>underserved</w:t>
      </w:r>
      <w:r w:rsidR="008E0B0A">
        <w:rPr>
          <w:rFonts w:cs="Calibri"/>
        </w:rPr>
        <w:t xml:space="preserve"> and marginalized </w:t>
      </w:r>
      <w:r w:rsidR="00316D92">
        <w:rPr>
          <w:rFonts w:cs="Calibri"/>
        </w:rPr>
        <w:t xml:space="preserve">communities </w:t>
      </w:r>
      <w:r w:rsidR="008E0B0A">
        <w:rPr>
          <w:rFonts w:cs="Calibri"/>
        </w:rPr>
        <w:t xml:space="preserve">requiring the specialized care that the Applicant provides, including patients requiring transfers to the Applicant. Additionally, the Applicant </w:t>
      </w:r>
      <w:r w:rsidR="0093169F">
        <w:rPr>
          <w:rFonts w:cs="Calibri"/>
        </w:rPr>
        <w:t xml:space="preserve">maintains that it does not compete with community hospitals for patients, and </w:t>
      </w:r>
      <w:r w:rsidR="00985804">
        <w:rPr>
          <w:rFonts w:cs="Calibri"/>
        </w:rPr>
        <w:t>refers</w:t>
      </w:r>
      <w:r w:rsidR="008E0B0A">
        <w:rPr>
          <w:rFonts w:cs="Calibri"/>
        </w:rPr>
        <w:t xml:space="preserve"> </w:t>
      </w:r>
      <w:r w:rsidR="003B2734" w:rsidRPr="003B2734">
        <w:rPr>
          <w:rFonts w:cs="Calibri"/>
        </w:rPr>
        <w:t xml:space="preserve">patients </w:t>
      </w:r>
      <w:r w:rsidR="00985804">
        <w:rPr>
          <w:rFonts w:cs="Calibri"/>
        </w:rPr>
        <w:t>back to their community physicians once the specialized care they need is complete</w:t>
      </w:r>
      <w:r w:rsidR="003B2734" w:rsidRPr="003B2734">
        <w:rPr>
          <w:rFonts w:cs="Calibri"/>
        </w:rPr>
        <w:t>.</w:t>
      </w:r>
      <w:r w:rsidR="00066620">
        <w:rPr>
          <w:rFonts w:cs="Calibri"/>
        </w:rPr>
        <w:t xml:space="preserve"> </w:t>
      </w:r>
      <w:r w:rsidR="008D115A">
        <w:rPr>
          <w:rFonts w:cs="Calibri"/>
        </w:rPr>
        <w:t xml:space="preserve">The Applicant </w:t>
      </w:r>
      <w:r w:rsidR="00877EF3">
        <w:rPr>
          <w:rFonts w:cs="Calibri"/>
        </w:rPr>
        <w:t>states that together, Dana-Farber</w:t>
      </w:r>
      <w:r w:rsidR="00B86733">
        <w:rPr>
          <w:rFonts w:cs="Calibri"/>
        </w:rPr>
        <w:t xml:space="preserve">’s inpatient volume from Dana-Farber licensed beds, and patients treated in BWH-licensed beds managed by Dana-Farber medical oncologists, </w:t>
      </w:r>
      <w:r w:rsidR="00877EF3">
        <w:rPr>
          <w:rFonts w:cs="Calibri"/>
        </w:rPr>
        <w:t>and BIDMC</w:t>
      </w:r>
      <w:r w:rsidR="001F6307">
        <w:rPr>
          <w:rFonts w:cs="Calibri"/>
        </w:rPr>
        <w:t>’s</w:t>
      </w:r>
      <w:r w:rsidR="00877EF3">
        <w:rPr>
          <w:rFonts w:cs="Calibri"/>
        </w:rPr>
        <w:t xml:space="preserve"> inpatient cancer volume </w:t>
      </w:r>
      <w:r w:rsidR="005D4DEE">
        <w:rPr>
          <w:rFonts w:cs="Calibri"/>
        </w:rPr>
        <w:t>demonstrate</w:t>
      </w:r>
      <w:r w:rsidR="00877EF3">
        <w:rPr>
          <w:rFonts w:cs="Calibri"/>
        </w:rPr>
        <w:t xml:space="preserve"> need for the proposed hospital, and the Applicant </w:t>
      </w:r>
      <w:r w:rsidR="008D115A">
        <w:rPr>
          <w:rFonts w:cs="Calibri"/>
        </w:rPr>
        <w:t xml:space="preserve">expects that </w:t>
      </w:r>
      <w:r w:rsidR="00877EF3">
        <w:rPr>
          <w:rFonts w:cs="Calibri"/>
        </w:rPr>
        <w:t xml:space="preserve">existing </w:t>
      </w:r>
      <w:r w:rsidR="00CA0BF7">
        <w:rPr>
          <w:rFonts w:cs="Calibri"/>
        </w:rPr>
        <w:t xml:space="preserve">volume from Dana-Farber and BIDMC will together bring the proposed hospital to </w:t>
      </w:r>
      <w:r w:rsidR="005D4DEE">
        <w:rPr>
          <w:rFonts w:cs="Calibri"/>
        </w:rPr>
        <w:t xml:space="preserve">its maximum operating </w:t>
      </w:r>
      <w:r w:rsidR="00CA0BF7">
        <w:rPr>
          <w:rFonts w:cs="Calibri"/>
        </w:rPr>
        <w:t xml:space="preserve">capacity. </w:t>
      </w:r>
      <w:r w:rsidR="00CA7BDE">
        <w:rPr>
          <w:rFonts w:cs="Calibri"/>
        </w:rPr>
        <w:t>As discussed further in Factor 2</w:t>
      </w:r>
      <w:r w:rsidR="0063620A">
        <w:rPr>
          <w:rFonts w:cs="Calibri"/>
        </w:rPr>
        <w:t>: Cost Containment</w:t>
      </w:r>
      <w:r w:rsidR="00CA7BDE">
        <w:rPr>
          <w:rFonts w:cs="Calibri"/>
        </w:rPr>
        <w:t>, the</w:t>
      </w:r>
      <w:r w:rsidR="00F04A20">
        <w:rPr>
          <w:rFonts w:cs="Calibri"/>
        </w:rPr>
        <w:t xml:space="preserve"> ICA report </w:t>
      </w:r>
      <w:r w:rsidR="00265B76">
        <w:rPr>
          <w:rFonts w:cs="Calibri"/>
        </w:rPr>
        <w:t>found</w:t>
      </w:r>
      <w:r w:rsidR="00FF1BE0">
        <w:rPr>
          <w:rFonts w:cs="Calibri"/>
        </w:rPr>
        <w:t xml:space="preserve"> that </w:t>
      </w:r>
      <w:r w:rsidR="00265B76">
        <w:rPr>
          <w:rFonts w:cs="Calibri"/>
        </w:rPr>
        <w:t>e</w:t>
      </w:r>
      <w:r w:rsidR="003B4ACE" w:rsidRPr="003B4ACE">
        <w:rPr>
          <w:rFonts w:cs="Calibri"/>
        </w:rPr>
        <w:t xml:space="preserve">xisting demand from DFCI and BIDMC patients is projected to immediately exceed the capacity of the new </w:t>
      </w:r>
      <w:r w:rsidR="003B4ACE" w:rsidRPr="003B4ACE">
        <w:rPr>
          <w:rFonts w:cs="Calibri"/>
        </w:rPr>
        <w:lastRenderedPageBreak/>
        <w:t>DFCI facility</w:t>
      </w:r>
      <w:r w:rsidR="003B4ACE">
        <w:rPr>
          <w:rFonts w:cs="Calibri"/>
        </w:rPr>
        <w:t xml:space="preserve">, and </w:t>
      </w:r>
      <w:r w:rsidR="00FF1BE0">
        <w:rPr>
          <w:rFonts w:cs="Calibri"/>
        </w:rPr>
        <w:t>does not show diversion of resources away from existing safety net providers.</w:t>
      </w:r>
      <w:r w:rsidR="00265B76">
        <w:rPr>
          <w:rStyle w:val="FootnoteReference"/>
          <w:rFonts w:cs="Calibri"/>
        </w:rPr>
        <w:footnoteReference w:id="88"/>
      </w:r>
      <w:r w:rsidR="00FF1BE0">
        <w:rPr>
          <w:rFonts w:cs="Calibri"/>
        </w:rPr>
        <w:t xml:space="preserve"> </w:t>
      </w:r>
      <w:r w:rsidR="00F04A20">
        <w:rPr>
          <w:rFonts w:cs="Calibri"/>
        </w:rPr>
        <w:t xml:space="preserve"> </w:t>
      </w:r>
    </w:p>
    <w:p w14:paraId="1EFC2F22" w14:textId="77777777" w:rsidR="005C6CBE" w:rsidRPr="005C6CBE" w:rsidRDefault="005C6CBE" w:rsidP="00BA2054">
      <w:pPr>
        <w:widowControl/>
        <w:autoSpaceDE/>
        <w:autoSpaceDN/>
        <w:contextualSpacing/>
        <w:rPr>
          <w:rFonts w:cs="Calibri"/>
          <w:bCs/>
          <w:szCs w:val="24"/>
        </w:rPr>
      </w:pPr>
    </w:p>
    <w:p w14:paraId="44422520" w14:textId="77777777" w:rsidR="00C34720" w:rsidRPr="0084045C" w:rsidRDefault="00C34720" w:rsidP="00BA2054">
      <w:pPr>
        <w:rPr>
          <w:rFonts w:asciiTheme="minorHAnsi" w:hAnsiTheme="minorHAnsi"/>
          <w:b/>
          <w:bCs/>
          <w:szCs w:val="24"/>
        </w:rPr>
      </w:pPr>
      <w:r w:rsidRPr="0084045C">
        <w:rPr>
          <w:rFonts w:asciiTheme="minorHAnsi" w:hAnsiTheme="minorHAnsi"/>
          <w:b/>
          <w:bCs/>
          <w:szCs w:val="24"/>
        </w:rPr>
        <w:t>Staffing</w:t>
      </w:r>
    </w:p>
    <w:p w14:paraId="3CA53C37" w14:textId="5AF5B39E" w:rsidR="00E66054" w:rsidRDefault="00C34720">
      <w:pPr>
        <w:rPr>
          <w:rFonts w:asciiTheme="minorHAnsi" w:hAnsiTheme="minorHAnsi"/>
          <w:szCs w:val="24"/>
        </w:rPr>
      </w:pPr>
      <w:r>
        <w:rPr>
          <w:rFonts w:asciiTheme="minorHAnsi" w:hAnsiTheme="minorHAnsi"/>
          <w:szCs w:val="24"/>
        </w:rPr>
        <w:t>The Applicant states that a</w:t>
      </w:r>
      <w:r w:rsidRPr="0084045C">
        <w:rPr>
          <w:rFonts w:asciiTheme="minorHAnsi" w:hAnsiTheme="minorHAnsi"/>
          <w:szCs w:val="24"/>
        </w:rPr>
        <w:t xml:space="preserve">ll of </w:t>
      </w:r>
      <w:r>
        <w:rPr>
          <w:rFonts w:asciiTheme="minorHAnsi" w:hAnsiTheme="minorHAnsi"/>
          <w:szCs w:val="24"/>
        </w:rPr>
        <w:t>its</w:t>
      </w:r>
      <w:r w:rsidRPr="0084045C">
        <w:rPr>
          <w:rFonts w:asciiTheme="minorHAnsi" w:hAnsiTheme="minorHAnsi"/>
          <w:szCs w:val="24"/>
        </w:rPr>
        <w:t xml:space="preserve"> medical oncologists are employed by the Applicant, have privileges at BWH, and manage their patients’ care at BWH. </w:t>
      </w:r>
      <w:r>
        <w:rPr>
          <w:rFonts w:asciiTheme="minorHAnsi" w:hAnsiTheme="minorHAnsi"/>
          <w:szCs w:val="24"/>
        </w:rPr>
        <w:t>T</w:t>
      </w:r>
      <w:r w:rsidRPr="0084045C">
        <w:rPr>
          <w:rFonts w:asciiTheme="minorHAnsi" w:hAnsiTheme="minorHAnsi"/>
          <w:szCs w:val="24"/>
        </w:rPr>
        <w:t xml:space="preserve">he Applicant </w:t>
      </w:r>
      <w:r w:rsidR="00496614">
        <w:rPr>
          <w:rFonts w:asciiTheme="minorHAnsi" w:hAnsiTheme="minorHAnsi"/>
          <w:szCs w:val="24"/>
        </w:rPr>
        <w:t xml:space="preserve">states </w:t>
      </w:r>
      <w:r w:rsidR="00C82389">
        <w:rPr>
          <w:rFonts w:asciiTheme="minorHAnsi" w:hAnsiTheme="minorHAnsi"/>
          <w:szCs w:val="24"/>
        </w:rPr>
        <w:t xml:space="preserve">further </w:t>
      </w:r>
      <w:r w:rsidR="00496614">
        <w:rPr>
          <w:rFonts w:asciiTheme="minorHAnsi" w:hAnsiTheme="minorHAnsi"/>
          <w:szCs w:val="24"/>
        </w:rPr>
        <w:t xml:space="preserve">that it </w:t>
      </w:r>
      <w:r w:rsidRPr="0084045C">
        <w:rPr>
          <w:rFonts w:asciiTheme="minorHAnsi" w:hAnsiTheme="minorHAnsi"/>
          <w:szCs w:val="24"/>
        </w:rPr>
        <w:t xml:space="preserve">anticipates that all of </w:t>
      </w:r>
      <w:r w:rsidR="00496614">
        <w:rPr>
          <w:rFonts w:asciiTheme="minorHAnsi" w:hAnsiTheme="minorHAnsi"/>
          <w:szCs w:val="24"/>
        </w:rPr>
        <w:t>the Applicant’s</w:t>
      </w:r>
      <w:r w:rsidRPr="0084045C">
        <w:rPr>
          <w:rFonts w:asciiTheme="minorHAnsi" w:hAnsiTheme="minorHAnsi"/>
          <w:szCs w:val="24"/>
        </w:rPr>
        <w:t xml:space="preserve"> oncologists will </w:t>
      </w:r>
      <w:r w:rsidR="00AE6A2F">
        <w:rPr>
          <w:rFonts w:asciiTheme="minorHAnsi" w:hAnsiTheme="minorHAnsi"/>
          <w:szCs w:val="24"/>
        </w:rPr>
        <w:t>move</w:t>
      </w:r>
      <w:r w:rsidRPr="0084045C">
        <w:rPr>
          <w:rFonts w:asciiTheme="minorHAnsi" w:hAnsiTheme="minorHAnsi"/>
          <w:szCs w:val="24"/>
        </w:rPr>
        <w:t xml:space="preserve"> to the new facility and will continue to be employed by the Applicant. </w:t>
      </w:r>
      <w:r w:rsidR="00E66054">
        <w:rPr>
          <w:rFonts w:asciiTheme="minorHAnsi" w:hAnsiTheme="minorHAnsi"/>
          <w:szCs w:val="24"/>
        </w:rPr>
        <w:t xml:space="preserve">The Applicant states that </w:t>
      </w:r>
      <w:r w:rsidR="00982739">
        <w:rPr>
          <w:rFonts w:asciiTheme="minorHAnsi" w:hAnsiTheme="minorHAnsi"/>
          <w:szCs w:val="24"/>
        </w:rPr>
        <w:t xml:space="preserve">it conducted </w:t>
      </w:r>
      <w:r w:rsidR="00C125D6">
        <w:rPr>
          <w:rFonts w:asciiTheme="minorHAnsi" w:hAnsiTheme="minorHAnsi"/>
          <w:szCs w:val="24"/>
        </w:rPr>
        <w:t xml:space="preserve">town halls, faculty meetings, and faculty retreats </w:t>
      </w:r>
      <w:r w:rsidR="00982739">
        <w:rPr>
          <w:rFonts w:asciiTheme="minorHAnsi" w:hAnsiTheme="minorHAnsi"/>
          <w:szCs w:val="24"/>
        </w:rPr>
        <w:t>and through these meetings</w:t>
      </w:r>
      <w:r w:rsidR="00C125D6">
        <w:rPr>
          <w:rFonts w:asciiTheme="minorHAnsi" w:hAnsiTheme="minorHAnsi"/>
          <w:szCs w:val="24"/>
        </w:rPr>
        <w:t>, as well as through the Applicant’s community engagement</w:t>
      </w:r>
      <w:r w:rsidR="0002102F">
        <w:rPr>
          <w:rFonts w:asciiTheme="minorHAnsi" w:hAnsiTheme="minorHAnsi"/>
          <w:szCs w:val="24"/>
        </w:rPr>
        <w:t xml:space="preserve"> during the planning of the Proposed Project, Dana-Farber </w:t>
      </w:r>
      <w:r w:rsidR="00866E16">
        <w:rPr>
          <w:rFonts w:asciiTheme="minorHAnsi" w:hAnsiTheme="minorHAnsi"/>
          <w:szCs w:val="24"/>
        </w:rPr>
        <w:t xml:space="preserve">physician faculty have expressed enthusiasm about the Proposed Project. The Applicant states that it believes that the </w:t>
      </w:r>
      <w:r w:rsidR="004026DD">
        <w:rPr>
          <w:rFonts w:asciiTheme="minorHAnsi" w:hAnsiTheme="minorHAnsi"/>
          <w:szCs w:val="24"/>
        </w:rPr>
        <w:t>enthusiasm</w:t>
      </w:r>
      <w:r w:rsidR="00866E16">
        <w:rPr>
          <w:rFonts w:asciiTheme="minorHAnsi" w:hAnsiTheme="minorHAnsi"/>
          <w:szCs w:val="24"/>
        </w:rPr>
        <w:t xml:space="preserve"> expressed through theses </w:t>
      </w:r>
      <w:r w:rsidR="005E4DDA">
        <w:rPr>
          <w:rFonts w:asciiTheme="minorHAnsi" w:hAnsiTheme="minorHAnsi"/>
          <w:szCs w:val="24"/>
        </w:rPr>
        <w:t>forums</w:t>
      </w:r>
      <w:r w:rsidR="00866E16">
        <w:rPr>
          <w:rFonts w:asciiTheme="minorHAnsi" w:hAnsiTheme="minorHAnsi"/>
          <w:szCs w:val="24"/>
        </w:rPr>
        <w:t xml:space="preserve"> </w:t>
      </w:r>
      <w:r w:rsidR="004026DD">
        <w:rPr>
          <w:rFonts w:asciiTheme="minorHAnsi" w:hAnsiTheme="minorHAnsi"/>
          <w:szCs w:val="24"/>
        </w:rPr>
        <w:t xml:space="preserve">will aid in the Applicant’s recruitment and retention of oncologists. </w:t>
      </w:r>
      <w:r w:rsidR="00511E9E">
        <w:rPr>
          <w:rFonts w:asciiTheme="minorHAnsi" w:hAnsiTheme="minorHAnsi"/>
          <w:szCs w:val="24"/>
        </w:rPr>
        <w:t xml:space="preserve">The Applicant states further </w:t>
      </w:r>
      <w:r w:rsidR="0001716C">
        <w:rPr>
          <w:rFonts w:asciiTheme="minorHAnsi" w:hAnsiTheme="minorHAnsi"/>
          <w:szCs w:val="24"/>
        </w:rPr>
        <w:t xml:space="preserve">Dana-Farber has received national recognition for its </w:t>
      </w:r>
      <w:r w:rsidR="005E4DDA">
        <w:rPr>
          <w:rFonts w:asciiTheme="minorHAnsi" w:hAnsiTheme="minorHAnsi"/>
          <w:szCs w:val="24"/>
        </w:rPr>
        <w:t xml:space="preserve">positive </w:t>
      </w:r>
      <w:r w:rsidR="0001716C">
        <w:rPr>
          <w:rFonts w:asciiTheme="minorHAnsi" w:hAnsiTheme="minorHAnsi"/>
          <w:szCs w:val="24"/>
        </w:rPr>
        <w:t xml:space="preserve">work environment and </w:t>
      </w:r>
      <w:r w:rsidR="00C246C2">
        <w:rPr>
          <w:rFonts w:asciiTheme="minorHAnsi" w:hAnsiTheme="minorHAnsi"/>
          <w:szCs w:val="24"/>
        </w:rPr>
        <w:t xml:space="preserve">that </w:t>
      </w:r>
      <w:r w:rsidR="0001716C">
        <w:rPr>
          <w:rFonts w:asciiTheme="minorHAnsi" w:hAnsiTheme="minorHAnsi"/>
          <w:szCs w:val="24"/>
        </w:rPr>
        <w:t>the proposed hospital wil</w:t>
      </w:r>
      <w:r w:rsidR="00235619">
        <w:rPr>
          <w:rFonts w:asciiTheme="minorHAnsi" w:hAnsiTheme="minorHAnsi"/>
          <w:szCs w:val="24"/>
        </w:rPr>
        <w:t xml:space="preserve">l provide more opportunities for Dana-Farber to support and sustain a positive work environment. </w:t>
      </w:r>
    </w:p>
    <w:p w14:paraId="73F40DB0" w14:textId="77777777" w:rsidR="00E66054" w:rsidRDefault="00E66054">
      <w:pPr>
        <w:rPr>
          <w:rFonts w:asciiTheme="minorHAnsi" w:hAnsiTheme="minorHAnsi"/>
          <w:szCs w:val="24"/>
        </w:rPr>
      </w:pPr>
    </w:p>
    <w:p w14:paraId="0E4C0735" w14:textId="2A8C07A3" w:rsidR="001B6FD5" w:rsidRPr="00E66054" w:rsidRDefault="00C56BC4" w:rsidP="003B2CD4">
      <w:pPr>
        <w:rPr>
          <w:rFonts w:asciiTheme="minorHAnsi" w:hAnsiTheme="minorHAnsi"/>
        </w:rPr>
      </w:pPr>
      <w:r w:rsidRPr="1C764C1D">
        <w:rPr>
          <w:rFonts w:asciiTheme="minorHAnsi" w:hAnsiTheme="minorHAnsi"/>
        </w:rPr>
        <w:t>The</w:t>
      </w:r>
      <w:r w:rsidR="005B7477" w:rsidRPr="1C764C1D">
        <w:rPr>
          <w:rFonts w:asciiTheme="minorHAnsi" w:hAnsiTheme="minorHAnsi"/>
        </w:rPr>
        <w:t xml:space="preserve"> Applicant estimates that the proposed hospital, when fully operational, will </w:t>
      </w:r>
      <w:r w:rsidR="00003FC2" w:rsidRPr="1C764C1D">
        <w:rPr>
          <w:rFonts w:asciiTheme="minorHAnsi" w:hAnsiTheme="minorHAnsi"/>
        </w:rPr>
        <w:t>produce</w:t>
      </w:r>
      <w:r w:rsidR="005B7477" w:rsidRPr="1C764C1D">
        <w:rPr>
          <w:rFonts w:asciiTheme="minorHAnsi" w:hAnsiTheme="minorHAnsi"/>
        </w:rPr>
        <w:t xml:space="preserve"> approximately 2,400 new full</w:t>
      </w:r>
      <w:r w:rsidR="56BC6130" w:rsidRPr="1C764C1D">
        <w:rPr>
          <w:rFonts w:asciiTheme="minorHAnsi" w:hAnsiTheme="minorHAnsi"/>
        </w:rPr>
        <w:t>-time</w:t>
      </w:r>
      <w:r w:rsidR="005B7477" w:rsidRPr="1C764C1D">
        <w:rPr>
          <w:rFonts w:asciiTheme="minorHAnsi" w:hAnsiTheme="minorHAnsi"/>
        </w:rPr>
        <w:t xml:space="preserve"> equivalents (FTEs). T</w:t>
      </w:r>
      <w:r w:rsidR="00B1030A" w:rsidRPr="1C764C1D">
        <w:rPr>
          <w:rFonts w:asciiTheme="minorHAnsi" w:hAnsiTheme="minorHAnsi"/>
        </w:rPr>
        <w:t xml:space="preserve">he Applicant states that </w:t>
      </w:r>
      <w:r w:rsidR="00F01C0A" w:rsidRPr="1C764C1D">
        <w:rPr>
          <w:rFonts w:asciiTheme="minorHAnsi" w:hAnsiTheme="minorHAnsi"/>
        </w:rPr>
        <w:t>the specialized workforce that is required to staff the proposed hospital must be built, and that Dana-Farber is committed to building a diverse and representative clinical staff with specialized oncology expertise through the Applicant’s new and existing pipeline programs</w:t>
      </w:r>
      <w:r w:rsidR="009962B5" w:rsidRPr="1C764C1D">
        <w:rPr>
          <w:rFonts w:asciiTheme="minorHAnsi" w:hAnsiTheme="minorHAnsi"/>
        </w:rPr>
        <w:t xml:space="preserve">. These programs, </w:t>
      </w:r>
      <w:r w:rsidR="00CA1DCA" w:rsidRPr="1C764C1D">
        <w:rPr>
          <w:rFonts w:asciiTheme="minorHAnsi" w:hAnsiTheme="minorHAnsi"/>
        </w:rPr>
        <w:t xml:space="preserve">which </w:t>
      </w:r>
      <w:r w:rsidR="00934CF8" w:rsidRPr="1C764C1D">
        <w:rPr>
          <w:rFonts w:asciiTheme="minorHAnsi" w:hAnsiTheme="minorHAnsi"/>
        </w:rPr>
        <w:t xml:space="preserve">the Applicant states </w:t>
      </w:r>
      <w:r w:rsidR="00DA59A6" w:rsidRPr="1C764C1D">
        <w:rPr>
          <w:rFonts w:asciiTheme="minorHAnsi" w:hAnsiTheme="minorHAnsi"/>
        </w:rPr>
        <w:t xml:space="preserve">provide opportunities </w:t>
      </w:r>
      <w:r w:rsidR="003A6702" w:rsidRPr="1C764C1D">
        <w:rPr>
          <w:rFonts w:asciiTheme="minorHAnsi" w:hAnsiTheme="minorHAnsi"/>
        </w:rPr>
        <w:t>for</w:t>
      </w:r>
      <w:r w:rsidR="00DA59A6" w:rsidRPr="1C764C1D">
        <w:rPr>
          <w:rFonts w:asciiTheme="minorHAnsi" w:hAnsiTheme="minorHAnsi"/>
        </w:rPr>
        <w:t xml:space="preserve"> diverse individuals to enter the field of oncology and aim to improve economic mobility</w:t>
      </w:r>
      <w:r w:rsidR="00CA1DCA" w:rsidRPr="1C764C1D">
        <w:rPr>
          <w:rFonts w:asciiTheme="minorHAnsi" w:hAnsiTheme="minorHAnsi"/>
        </w:rPr>
        <w:t>,</w:t>
      </w:r>
      <w:r w:rsidR="00FC3DBB" w:rsidRPr="1C764C1D">
        <w:rPr>
          <w:rFonts w:asciiTheme="minorHAnsi" w:hAnsiTheme="minorHAnsi"/>
        </w:rPr>
        <w:t xml:space="preserve"> include</w:t>
      </w:r>
      <w:r w:rsidR="00960A18" w:rsidRPr="1C764C1D">
        <w:rPr>
          <w:rFonts w:asciiTheme="minorHAnsi" w:hAnsiTheme="minorHAnsi"/>
        </w:rPr>
        <w:t xml:space="preserve"> </w:t>
      </w:r>
      <w:r w:rsidR="001B6FD5" w:rsidRPr="1C764C1D">
        <w:rPr>
          <w:rFonts w:asciiTheme="minorHAnsi" w:hAnsiTheme="minorHAnsi"/>
        </w:rPr>
        <w:t xml:space="preserve">Dana-Farber’s </w:t>
      </w:r>
      <w:r w:rsidR="004F35DF" w:rsidRPr="1C764C1D">
        <w:rPr>
          <w:rFonts w:asciiTheme="minorHAnsi" w:hAnsiTheme="minorHAnsi"/>
        </w:rPr>
        <w:t>Nurse Residency Program with UMass Boston</w:t>
      </w:r>
      <w:r w:rsidR="004B7EDD" w:rsidRPr="1C764C1D">
        <w:rPr>
          <w:rFonts w:asciiTheme="minorHAnsi" w:hAnsiTheme="minorHAnsi"/>
        </w:rPr>
        <w:t>,</w:t>
      </w:r>
      <w:r w:rsidR="00960A18" w:rsidRPr="1C764C1D">
        <w:rPr>
          <w:rFonts w:asciiTheme="minorHAnsi" w:hAnsiTheme="minorHAnsi"/>
        </w:rPr>
        <w:t xml:space="preserve"> </w:t>
      </w:r>
      <w:r w:rsidR="001B6FD5" w:rsidRPr="1C764C1D">
        <w:rPr>
          <w:rFonts w:asciiTheme="minorHAnsi" w:hAnsiTheme="minorHAnsi"/>
        </w:rPr>
        <w:t>Dana-Farber’s advanced practice provider fellowship program in medical oncology and palliative care</w:t>
      </w:r>
      <w:r w:rsidR="004B7EDD" w:rsidRPr="1C764C1D">
        <w:rPr>
          <w:rFonts w:asciiTheme="minorHAnsi" w:hAnsiTheme="minorHAnsi"/>
        </w:rPr>
        <w:t xml:space="preserve">, and </w:t>
      </w:r>
      <w:r w:rsidR="00604EAA" w:rsidRPr="1C764C1D">
        <w:rPr>
          <w:rFonts w:asciiTheme="minorHAnsi" w:hAnsiTheme="minorHAnsi"/>
        </w:rPr>
        <w:t xml:space="preserve">a </w:t>
      </w:r>
      <w:r w:rsidR="001B6FD5" w:rsidRPr="1C764C1D">
        <w:rPr>
          <w:rFonts w:asciiTheme="minorHAnsi" w:hAnsiTheme="minorHAnsi"/>
        </w:rPr>
        <w:t>Dana-Farber-funded scholarship program to encourage entry-level employees to pursue nursing education</w:t>
      </w:r>
      <w:r w:rsidR="00960A18" w:rsidRPr="1C764C1D">
        <w:rPr>
          <w:rFonts w:asciiTheme="minorHAnsi" w:hAnsiTheme="minorHAnsi"/>
        </w:rPr>
        <w:t xml:space="preserve">. The Applicant states that </w:t>
      </w:r>
      <w:r w:rsidR="007636FA" w:rsidRPr="1C764C1D">
        <w:rPr>
          <w:rFonts w:asciiTheme="minorHAnsi" w:hAnsiTheme="minorHAnsi"/>
        </w:rPr>
        <w:t>it will expa</w:t>
      </w:r>
      <w:r w:rsidR="00A82215" w:rsidRPr="1C764C1D">
        <w:rPr>
          <w:rFonts w:asciiTheme="minorHAnsi" w:hAnsiTheme="minorHAnsi"/>
        </w:rPr>
        <w:t xml:space="preserve">nd </w:t>
      </w:r>
      <w:r w:rsidR="00FD7EBD" w:rsidRPr="1C764C1D">
        <w:rPr>
          <w:rFonts w:asciiTheme="minorHAnsi" w:hAnsiTheme="minorHAnsi"/>
        </w:rPr>
        <w:t xml:space="preserve">its </w:t>
      </w:r>
      <w:r w:rsidR="00A82215" w:rsidRPr="1C764C1D">
        <w:rPr>
          <w:rFonts w:asciiTheme="minorHAnsi" w:hAnsiTheme="minorHAnsi"/>
        </w:rPr>
        <w:t>existing pipeline programs</w:t>
      </w:r>
      <w:r w:rsidR="00B73E41" w:rsidRPr="1C764C1D">
        <w:rPr>
          <w:rFonts w:asciiTheme="minorHAnsi" w:hAnsiTheme="minorHAnsi"/>
        </w:rPr>
        <w:t>, including</w:t>
      </w:r>
      <w:r w:rsidR="005C1F78" w:rsidRPr="1C764C1D">
        <w:rPr>
          <w:rFonts w:asciiTheme="minorHAnsi" w:hAnsiTheme="minorHAnsi"/>
        </w:rPr>
        <w:t xml:space="preserve"> through such developments as the</w:t>
      </w:r>
      <w:r w:rsidR="00E015BB" w:rsidRPr="1C764C1D">
        <w:rPr>
          <w:rFonts w:asciiTheme="minorHAnsi" w:hAnsiTheme="minorHAnsi"/>
        </w:rPr>
        <w:t xml:space="preserve"> new</w:t>
      </w:r>
      <w:r w:rsidR="00674FDA" w:rsidRPr="00960A18">
        <w:t xml:space="preserve"> state</w:t>
      </w:r>
      <w:r w:rsidR="00E015BB">
        <w:t>-</w:t>
      </w:r>
      <w:r w:rsidR="00674FDA" w:rsidRPr="00960A18">
        <w:t>of</w:t>
      </w:r>
      <w:r w:rsidR="00E015BB">
        <w:t>-</w:t>
      </w:r>
      <w:r w:rsidR="00674FDA" w:rsidRPr="00960A18">
        <w:t>the</w:t>
      </w:r>
      <w:r w:rsidR="00E015BB">
        <w:t>-</w:t>
      </w:r>
      <w:r w:rsidR="00674FDA" w:rsidRPr="00960A18">
        <w:t xml:space="preserve">art simulation </w:t>
      </w:r>
      <w:r w:rsidR="008F4C51" w:rsidRPr="00960A18">
        <w:t>center,</w:t>
      </w:r>
      <w:r w:rsidR="00960A18">
        <w:t xml:space="preserve"> </w:t>
      </w:r>
      <w:r w:rsidR="00674FDA" w:rsidRPr="00960A18">
        <w:t>scheduled to open in 2025</w:t>
      </w:r>
      <w:r w:rsidR="00B73E41">
        <w:t>;</w:t>
      </w:r>
      <w:r w:rsidR="00E015BB">
        <w:t xml:space="preserve"> </w:t>
      </w:r>
      <w:r w:rsidR="00B73E41">
        <w:t xml:space="preserve">it will </w:t>
      </w:r>
      <w:r w:rsidR="005C1F78">
        <w:t>develop new pipeline programs</w:t>
      </w:r>
      <w:r w:rsidR="001A1EEE">
        <w:t>;</w:t>
      </w:r>
      <w:r w:rsidR="005C1F78">
        <w:t xml:space="preserve"> and </w:t>
      </w:r>
      <w:r w:rsidR="00B73E41">
        <w:t xml:space="preserve">it will </w:t>
      </w:r>
      <w:r w:rsidR="008F4C51">
        <w:t xml:space="preserve">expand upon its existing collaborations, </w:t>
      </w:r>
      <w:r w:rsidR="00B73E41">
        <w:t>in order to staff</w:t>
      </w:r>
      <w:r w:rsidR="008F4C51">
        <w:t xml:space="preserve"> the proposed hospital. The Applicant notes that it will also be able to attract and retain talent from around the world, </w:t>
      </w:r>
      <w:r w:rsidR="00192F89">
        <w:t>who will further contribute to the</w:t>
      </w:r>
      <w:r w:rsidR="008F4C51">
        <w:t xml:space="preserve"> staffing of the proposed hospital </w:t>
      </w:r>
    </w:p>
    <w:p w14:paraId="02E1981F" w14:textId="77777777" w:rsidR="009D35C0" w:rsidRDefault="009D35C0" w:rsidP="00BA2054">
      <w:pPr>
        <w:rPr>
          <w:rFonts w:asciiTheme="minorHAnsi" w:hAnsiTheme="minorHAnsi"/>
          <w:szCs w:val="24"/>
        </w:rPr>
      </w:pPr>
    </w:p>
    <w:p w14:paraId="70DE4EFB" w14:textId="53825375" w:rsidR="00674FDA" w:rsidRDefault="009D35C0" w:rsidP="36B2A8D2">
      <w:pPr>
        <w:rPr>
          <w:rFonts w:asciiTheme="minorHAnsi" w:hAnsiTheme="minorHAnsi"/>
        </w:rPr>
      </w:pPr>
      <w:r w:rsidRPr="36B2A8D2">
        <w:rPr>
          <w:rFonts w:asciiTheme="minorHAnsi" w:hAnsiTheme="minorHAnsi"/>
        </w:rPr>
        <w:t>The Applicant</w:t>
      </w:r>
      <w:r w:rsidR="007B4037" w:rsidRPr="36B2A8D2">
        <w:rPr>
          <w:rFonts w:asciiTheme="minorHAnsi" w:hAnsiTheme="minorHAnsi"/>
        </w:rPr>
        <w:t xml:space="preserve"> states that its</w:t>
      </w:r>
      <w:r w:rsidRPr="36B2A8D2">
        <w:rPr>
          <w:rFonts w:asciiTheme="minorHAnsi" w:hAnsiTheme="minorHAnsi"/>
        </w:rPr>
        <w:t xml:space="preserve"> </w:t>
      </w:r>
      <w:r w:rsidR="000E32F1" w:rsidRPr="36B2A8D2">
        <w:rPr>
          <w:rFonts w:asciiTheme="minorHAnsi" w:hAnsiTheme="minorHAnsi"/>
        </w:rPr>
        <w:t>Office of Workforce Development</w:t>
      </w:r>
      <w:r w:rsidR="00E46E4B" w:rsidRPr="36B2A8D2">
        <w:rPr>
          <w:rFonts w:asciiTheme="minorHAnsi" w:hAnsiTheme="minorHAnsi"/>
        </w:rPr>
        <w:t xml:space="preserve"> </w:t>
      </w:r>
      <w:r w:rsidR="004D7517" w:rsidRPr="36B2A8D2">
        <w:rPr>
          <w:rFonts w:asciiTheme="minorHAnsi" w:hAnsiTheme="minorHAnsi"/>
        </w:rPr>
        <w:t xml:space="preserve">provides underrepresented populations from Boston’s historically marginalized communities </w:t>
      </w:r>
      <w:r w:rsidR="00731FFC" w:rsidRPr="36B2A8D2">
        <w:rPr>
          <w:rFonts w:asciiTheme="minorHAnsi" w:hAnsiTheme="minorHAnsi"/>
        </w:rPr>
        <w:t xml:space="preserve">with </w:t>
      </w:r>
      <w:r w:rsidR="004D7517" w:rsidRPr="36B2A8D2">
        <w:rPr>
          <w:rFonts w:asciiTheme="minorHAnsi" w:hAnsiTheme="minorHAnsi"/>
        </w:rPr>
        <w:t>experiences at Dana-Farber</w:t>
      </w:r>
      <w:r w:rsidR="00E01D6F">
        <w:rPr>
          <w:rFonts w:asciiTheme="minorHAnsi" w:hAnsiTheme="minorHAnsi"/>
        </w:rPr>
        <w:t xml:space="preserve"> which </w:t>
      </w:r>
      <w:r w:rsidR="004D7517" w:rsidRPr="36B2A8D2">
        <w:rPr>
          <w:rFonts w:asciiTheme="minorHAnsi" w:hAnsiTheme="minorHAnsi"/>
        </w:rPr>
        <w:t>offer professional development and mentorship.</w:t>
      </w:r>
      <w:r w:rsidR="00606169" w:rsidRPr="36B2A8D2">
        <w:rPr>
          <w:rFonts w:asciiTheme="minorHAnsi" w:hAnsiTheme="minorHAnsi"/>
        </w:rPr>
        <w:t xml:space="preserve"> The </w:t>
      </w:r>
      <w:r w:rsidR="00160BAC">
        <w:rPr>
          <w:rFonts w:asciiTheme="minorHAnsi" w:hAnsiTheme="minorHAnsi"/>
        </w:rPr>
        <w:t xml:space="preserve">Applicant states that the </w:t>
      </w:r>
      <w:r w:rsidR="00606169" w:rsidRPr="36B2A8D2">
        <w:rPr>
          <w:rFonts w:asciiTheme="minorHAnsi" w:hAnsiTheme="minorHAnsi"/>
        </w:rPr>
        <w:t>Office develops relationships with community partners, including Roxbury Community College, the Urban League, Boston Public Schools, YMCA Training Inc., and Jewish Vocational Service</w:t>
      </w:r>
      <w:r w:rsidR="0073347F">
        <w:rPr>
          <w:rFonts w:asciiTheme="minorHAnsi" w:hAnsiTheme="minorHAnsi"/>
        </w:rPr>
        <w:t>s</w:t>
      </w:r>
      <w:r w:rsidR="004F4D59" w:rsidRPr="36B2A8D2">
        <w:rPr>
          <w:rFonts w:asciiTheme="minorHAnsi" w:hAnsiTheme="minorHAnsi"/>
        </w:rPr>
        <w:t xml:space="preserve"> (JVS)</w:t>
      </w:r>
      <w:r w:rsidR="00606169" w:rsidRPr="36B2A8D2">
        <w:rPr>
          <w:rFonts w:asciiTheme="minorHAnsi" w:hAnsiTheme="minorHAnsi"/>
        </w:rPr>
        <w:t xml:space="preserve">. </w:t>
      </w:r>
      <w:r w:rsidR="00651D58" w:rsidRPr="36B2A8D2">
        <w:rPr>
          <w:rFonts w:asciiTheme="minorHAnsi" w:hAnsiTheme="minorHAnsi"/>
        </w:rPr>
        <w:t xml:space="preserve">The Applicant states that </w:t>
      </w:r>
      <w:r w:rsidR="00211240" w:rsidRPr="36B2A8D2">
        <w:rPr>
          <w:rFonts w:asciiTheme="minorHAnsi" w:hAnsiTheme="minorHAnsi"/>
        </w:rPr>
        <w:t xml:space="preserve">workforce development initiatives </w:t>
      </w:r>
      <w:r w:rsidR="00856532" w:rsidRPr="36B2A8D2">
        <w:rPr>
          <w:rFonts w:asciiTheme="minorHAnsi" w:hAnsiTheme="minorHAnsi"/>
        </w:rPr>
        <w:t xml:space="preserve">over the next few years </w:t>
      </w:r>
      <w:r w:rsidR="00211240" w:rsidRPr="36B2A8D2">
        <w:rPr>
          <w:rFonts w:asciiTheme="minorHAnsi" w:hAnsiTheme="minorHAnsi"/>
        </w:rPr>
        <w:t>for the proposed hospital will focus on the following:</w:t>
      </w:r>
    </w:p>
    <w:p w14:paraId="0B23A982" w14:textId="407F87C4" w:rsidR="00211240" w:rsidRPr="00262294" w:rsidRDefault="00262294" w:rsidP="00F91720">
      <w:pPr>
        <w:pStyle w:val="ListParagraph"/>
        <w:numPr>
          <w:ilvl w:val="0"/>
          <w:numId w:val="14"/>
        </w:numPr>
        <w:rPr>
          <w:rFonts w:asciiTheme="minorHAnsi" w:hAnsiTheme="minorHAnsi"/>
          <w:b/>
          <w:bCs/>
          <w:i/>
          <w:iCs/>
          <w:szCs w:val="24"/>
        </w:rPr>
      </w:pPr>
      <w:r>
        <w:rPr>
          <w:rFonts w:asciiTheme="minorHAnsi" w:hAnsiTheme="minorHAnsi"/>
          <w:szCs w:val="24"/>
        </w:rPr>
        <w:t>Leveraging untapped talent sources in Boston and surrounding neighborhoods</w:t>
      </w:r>
    </w:p>
    <w:p w14:paraId="682125C0" w14:textId="778850B4" w:rsidR="00262294" w:rsidRPr="00262294" w:rsidRDefault="00262294" w:rsidP="00F91720">
      <w:pPr>
        <w:pStyle w:val="ListParagraph"/>
        <w:numPr>
          <w:ilvl w:val="0"/>
          <w:numId w:val="14"/>
        </w:numPr>
        <w:rPr>
          <w:rFonts w:asciiTheme="minorHAnsi" w:hAnsiTheme="minorHAnsi"/>
          <w:b/>
          <w:bCs/>
          <w:i/>
          <w:iCs/>
          <w:szCs w:val="24"/>
        </w:rPr>
      </w:pPr>
      <w:r>
        <w:rPr>
          <w:rFonts w:asciiTheme="minorHAnsi" w:hAnsiTheme="minorHAnsi"/>
          <w:szCs w:val="24"/>
        </w:rPr>
        <w:t xml:space="preserve">Establishing pipeline programs to address needs not covered in existing programs such as </w:t>
      </w:r>
      <w:r>
        <w:rPr>
          <w:rFonts w:asciiTheme="minorHAnsi" w:hAnsiTheme="minorHAnsi"/>
          <w:szCs w:val="24"/>
        </w:rPr>
        <w:lastRenderedPageBreak/>
        <w:t>biotechnology and clinical support</w:t>
      </w:r>
    </w:p>
    <w:p w14:paraId="4E11D875" w14:textId="11BF001C" w:rsidR="00262294" w:rsidRPr="00303B53" w:rsidRDefault="00303B53" w:rsidP="00F91720">
      <w:pPr>
        <w:pStyle w:val="ListParagraph"/>
        <w:numPr>
          <w:ilvl w:val="0"/>
          <w:numId w:val="14"/>
        </w:numPr>
        <w:rPr>
          <w:rFonts w:asciiTheme="minorHAnsi" w:hAnsiTheme="minorHAnsi"/>
          <w:b/>
          <w:bCs/>
          <w:i/>
          <w:iCs/>
          <w:szCs w:val="24"/>
        </w:rPr>
      </w:pPr>
      <w:r>
        <w:rPr>
          <w:rFonts w:asciiTheme="minorHAnsi" w:hAnsiTheme="minorHAnsi"/>
          <w:szCs w:val="24"/>
        </w:rPr>
        <w:t>Offering programs that support English as a Second Language (ESL), job skills training, citizenship test preparation, and college readiness</w:t>
      </w:r>
      <w:r w:rsidR="004B5A17">
        <w:rPr>
          <w:rFonts w:asciiTheme="minorHAnsi" w:hAnsiTheme="minorHAnsi"/>
          <w:szCs w:val="24"/>
        </w:rPr>
        <w:t xml:space="preserve">  </w:t>
      </w:r>
    </w:p>
    <w:p w14:paraId="266FCF19" w14:textId="6773F9F3" w:rsidR="00303B53" w:rsidRPr="00D52184" w:rsidRDefault="00303B53" w:rsidP="00F91720">
      <w:pPr>
        <w:pStyle w:val="ListParagraph"/>
        <w:numPr>
          <w:ilvl w:val="0"/>
          <w:numId w:val="14"/>
        </w:numPr>
        <w:rPr>
          <w:rFonts w:asciiTheme="minorHAnsi" w:hAnsiTheme="minorHAnsi"/>
          <w:b/>
          <w:bCs/>
          <w:i/>
          <w:iCs/>
          <w:szCs w:val="24"/>
        </w:rPr>
      </w:pPr>
      <w:r>
        <w:rPr>
          <w:rFonts w:asciiTheme="minorHAnsi" w:hAnsiTheme="minorHAnsi"/>
          <w:szCs w:val="24"/>
        </w:rPr>
        <w:t xml:space="preserve">Expanding scholarships, mentorship programs, and other resources </w:t>
      </w:r>
    </w:p>
    <w:p w14:paraId="7DA01A34" w14:textId="77777777" w:rsidR="00D52184" w:rsidRDefault="00D52184" w:rsidP="00BA2054">
      <w:pPr>
        <w:rPr>
          <w:rFonts w:asciiTheme="minorHAnsi" w:hAnsiTheme="minorHAnsi"/>
          <w:b/>
          <w:bCs/>
          <w:i/>
          <w:iCs/>
          <w:szCs w:val="24"/>
        </w:rPr>
      </w:pPr>
    </w:p>
    <w:p w14:paraId="3281CA43" w14:textId="30E19D42" w:rsidR="009F59B5" w:rsidRPr="009F59B5" w:rsidRDefault="00E01D6F" w:rsidP="36B2A8D2">
      <w:pPr>
        <w:rPr>
          <w:rFonts w:asciiTheme="minorHAnsi" w:hAnsiTheme="minorHAnsi"/>
        </w:rPr>
      </w:pPr>
      <w:r w:rsidRPr="00E01D6F">
        <w:rPr>
          <w:rFonts w:asciiTheme="minorHAnsi" w:hAnsiTheme="minorHAnsi"/>
        </w:rPr>
        <w:t>The Applicant states that it does not anticipate recruiting staff away from community hospitals.</w:t>
      </w:r>
      <w:r w:rsidR="00901CD4">
        <w:rPr>
          <w:rFonts w:asciiTheme="minorHAnsi" w:hAnsiTheme="minorHAnsi"/>
        </w:rPr>
        <w:t xml:space="preserve"> </w:t>
      </w:r>
      <w:r w:rsidR="009F59B5" w:rsidRPr="36B2A8D2">
        <w:rPr>
          <w:rFonts w:asciiTheme="minorHAnsi" w:hAnsiTheme="minorHAnsi"/>
        </w:rPr>
        <w:t xml:space="preserve">The Applicant affirms that its initiatives will support a diverse workforce and culturally competent providers in the proposed </w:t>
      </w:r>
      <w:r w:rsidR="00005E26">
        <w:rPr>
          <w:rFonts w:asciiTheme="minorHAnsi" w:hAnsiTheme="minorHAnsi"/>
        </w:rPr>
        <w:t>h</w:t>
      </w:r>
      <w:r w:rsidR="009F59B5" w:rsidRPr="36B2A8D2">
        <w:rPr>
          <w:rFonts w:asciiTheme="minorHAnsi" w:hAnsiTheme="minorHAnsi"/>
        </w:rPr>
        <w:t>ospital</w:t>
      </w:r>
      <w:r w:rsidR="00FA018D">
        <w:rPr>
          <w:rFonts w:asciiTheme="minorHAnsi" w:hAnsiTheme="minorHAnsi"/>
        </w:rPr>
        <w:t xml:space="preserve"> </w:t>
      </w:r>
      <w:r w:rsidR="009F59B5" w:rsidRPr="36B2A8D2">
        <w:rPr>
          <w:rFonts w:asciiTheme="minorHAnsi" w:hAnsiTheme="minorHAnsi"/>
        </w:rPr>
        <w:t>and will also help to address economic mobility and existing wage disparities, a</w:t>
      </w:r>
      <w:r w:rsidR="1F2E4246" w:rsidRPr="4C4F0435">
        <w:rPr>
          <w:rFonts w:asciiTheme="minorHAnsi" w:hAnsiTheme="minorHAnsi"/>
        </w:rPr>
        <w:t xml:space="preserve">s well as </w:t>
      </w:r>
      <w:r w:rsidR="00920575" w:rsidRPr="36B2A8D2">
        <w:rPr>
          <w:rFonts w:asciiTheme="minorHAnsi" w:hAnsiTheme="minorHAnsi"/>
        </w:rPr>
        <w:t xml:space="preserve">mitigate any need to recruit staff away from community hospitals. </w:t>
      </w:r>
    </w:p>
    <w:p w14:paraId="036A97AB" w14:textId="77777777" w:rsidR="009F59B5" w:rsidRDefault="009F59B5" w:rsidP="00BA2054">
      <w:pPr>
        <w:rPr>
          <w:rFonts w:asciiTheme="minorHAnsi" w:hAnsiTheme="minorHAnsi"/>
          <w:b/>
          <w:bCs/>
          <w:i/>
          <w:iCs/>
          <w:szCs w:val="24"/>
        </w:rPr>
      </w:pPr>
    </w:p>
    <w:p w14:paraId="405D4BC4" w14:textId="7CC6FEF6" w:rsidR="00263A7A" w:rsidRDefault="00263A7A" w:rsidP="00BA2054">
      <w:pPr>
        <w:rPr>
          <w:rFonts w:asciiTheme="minorHAnsi" w:hAnsiTheme="minorHAnsi"/>
          <w:szCs w:val="24"/>
        </w:rPr>
      </w:pPr>
      <w:r>
        <w:rPr>
          <w:rFonts w:asciiTheme="minorHAnsi" w:hAnsiTheme="minorHAnsi"/>
          <w:szCs w:val="24"/>
        </w:rPr>
        <w:t xml:space="preserve">The Applicant </w:t>
      </w:r>
      <w:r w:rsidR="00E01D6F">
        <w:rPr>
          <w:rFonts w:asciiTheme="minorHAnsi" w:hAnsiTheme="minorHAnsi"/>
          <w:szCs w:val="24"/>
        </w:rPr>
        <w:t xml:space="preserve">states that it </w:t>
      </w:r>
      <w:r>
        <w:rPr>
          <w:rFonts w:asciiTheme="minorHAnsi" w:hAnsiTheme="minorHAnsi"/>
          <w:szCs w:val="24"/>
        </w:rPr>
        <w:t xml:space="preserve">has an existing ambulatory program for older adults, in which </w:t>
      </w:r>
      <w:r w:rsidR="00E01D6F">
        <w:rPr>
          <w:rFonts w:asciiTheme="minorHAnsi" w:hAnsiTheme="minorHAnsi"/>
          <w:szCs w:val="24"/>
        </w:rPr>
        <w:t>G</w:t>
      </w:r>
      <w:r>
        <w:rPr>
          <w:rFonts w:asciiTheme="minorHAnsi" w:hAnsiTheme="minorHAnsi"/>
          <w:szCs w:val="24"/>
        </w:rPr>
        <w:t xml:space="preserve">eriatricians and medical oncologists develop care plans to meet the unique needs of older patients. The Applicant affirms that Geriatricians will be available for consultation when needed at the proposed hospital as part of its full complement of services. </w:t>
      </w:r>
    </w:p>
    <w:p w14:paraId="65372615" w14:textId="77777777" w:rsidR="00263A7A" w:rsidRPr="00263A7A" w:rsidRDefault="00263A7A" w:rsidP="00BA2054">
      <w:pPr>
        <w:rPr>
          <w:rFonts w:asciiTheme="minorHAnsi" w:hAnsiTheme="minorHAnsi"/>
          <w:szCs w:val="24"/>
        </w:rPr>
      </w:pPr>
    </w:p>
    <w:p w14:paraId="39BBDF89" w14:textId="4D1F73ED" w:rsidR="00A21722" w:rsidRDefault="00D52184" w:rsidP="00BA2054">
      <w:pPr>
        <w:rPr>
          <w:rFonts w:asciiTheme="minorHAnsi" w:hAnsiTheme="minorHAnsi"/>
          <w:szCs w:val="24"/>
        </w:rPr>
      </w:pPr>
      <w:r>
        <w:rPr>
          <w:rFonts w:asciiTheme="minorHAnsi" w:hAnsiTheme="minorHAnsi"/>
          <w:szCs w:val="24"/>
        </w:rPr>
        <w:t xml:space="preserve">The Department received comment from elected officials, concerning Dana-Farber’s existing </w:t>
      </w:r>
      <w:r w:rsidR="0085390E">
        <w:rPr>
          <w:rFonts w:asciiTheme="minorHAnsi" w:hAnsiTheme="minorHAnsi"/>
          <w:szCs w:val="24"/>
        </w:rPr>
        <w:t xml:space="preserve">pipeline </w:t>
      </w:r>
      <w:r>
        <w:rPr>
          <w:rFonts w:asciiTheme="minorHAnsi" w:hAnsiTheme="minorHAnsi"/>
          <w:szCs w:val="24"/>
        </w:rPr>
        <w:t>program</w:t>
      </w:r>
      <w:r w:rsidR="0085390E">
        <w:rPr>
          <w:rFonts w:asciiTheme="minorHAnsi" w:hAnsiTheme="minorHAnsi"/>
          <w:szCs w:val="24"/>
        </w:rPr>
        <w:t>ming</w:t>
      </w:r>
      <w:r w:rsidR="0016495A">
        <w:rPr>
          <w:rFonts w:asciiTheme="minorHAnsi" w:hAnsiTheme="minorHAnsi"/>
          <w:szCs w:val="24"/>
        </w:rPr>
        <w:t xml:space="preserve">. </w:t>
      </w:r>
      <w:r w:rsidR="0002256B" w:rsidRPr="0016495A">
        <w:rPr>
          <w:rFonts w:asciiTheme="minorHAnsi" w:hAnsiTheme="minorHAnsi"/>
          <w:szCs w:val="24"/>
        </w:rPr>
        <w:t xml:space="preserve">Massachusetts State Representative </w:t>
      </w:r>
      <w:r w:rsidR="00A21722" w:rsidRPr="0016495A">
        <w:rPr>
          <w:rFonts w:asciiTheme="minorHAnsi" w:hAnsiTheme="minorHAnsi"/>
          <w:szCs w:val="24"/>
        </w:rPr>
        <w:t>Chynah Tyler stated</w:t>
      </w:r>
      <w:r w:rsidR="00ED5009">
        <w:rPr>
          <w:rFonts w:asciiTheme="minorHAnsi" w:hAnsiTheme="minorHAnsi"/>
          <w:szCs w:val="24"/>
        </w:rPr>
        <w:t>,</w:t>
      </w:r>
      <w:r w:rsidR="00A21722" w:rsidRPr="0016495A">
        <w:rPr>
          <w:rFonts w:asciiTheme="minorHAnsi" w:hAnsiTheme="minorHAnsi"/>
          <w:szCs w:val="24"/>
        </w:rPr>
        <w:t xml:space="preserve"> “</w:t>
      </w:r>
      <w:r w:rsidR="004C56F2" w:rsidRPr="004C56F2">
        <w:rPr>
          <w:rFonts w:asciiTheme="minorHAnsi" w:hAnsiTheme="minorHAnsi"/>
          <w:szCs w:val="24"/>
        </w:rPr>
        <w:t>Dana Farber already collaborates with community college</w:t>
      </w:r>
      <w:r w:rsidR="00D21C9B">
        <w:rPr>
          <w:rFonts w:asciiTheme="minorHAnsi" w:hAnsiTheme="minorHAnsi"/>
          <w:szCs w:val="24"/>
        </w:rPr>
        <w:t>[s]</w:t>
      </w:r>
      <w:r w:rsidR="004C56F2" w:rsidRPr="004C56F2">
        <w:rPr>
          <w:rFonts w:asciiTheme="minorHAnsi" w:hAnsiTheme="minorHAnsi"/>
          <w:szCs w:val="24"/>
        </w:rPr>
        <w:t xml:space="preserve"> to equip young people and adults with the necessary skills to successfully pursue an education or career advancement in healthcare. </w:t>
      </w:r>
      <w:r w:rsidR="00A21722" w:rsidRPr="0016495A">
        <w:rPr>
          <w:rFonts w:asciiTheme="minorHAnsi" w:hAnsiTheme="minorHAnsi"/>
          <w:szCs w:val="24"/>
        </w:rPr>
        <w:t>They [Dana-Farber] also work with Boston Public Schools, a couple of schools in my district, in fact. The John D. O'Bryant High School, the Fenway School, the Madison Park Vocational Technical School, to provide summer intern experience for the students there from all diverse backgrounds who are placed in different departments across Dana Farber to learn about careers in healthcare. And I can tell you, these  students really appreciate and enjoy the opportunity. If it weren't for opportunities like this, they probably wouldn't have that access.”</w:t>
      </w:r>
    </w:p>
    <w:p w14:paraId="43A5B325" w14:textId="77777777" w:rsidR="0016495A" w:rsidRDefault="0016495A" w:rsidP="00BA2054">
      <w:pPr>
        <w:rPr>
          <w:rFonts w:asciiTheme="minorHAnsi" w:hAnsiTheme="minorHAnsi"/>
          <w:szCs w:val="24"/>
        </w:rPr>
      </w:pPr>
    </w:p>
    <w:p w14:paraId="30F9FB05" w14:textId="6550EB34" w:rsidR="00A24759" w:rsidRPr="00A24759" w:rsidRDefault="0016495A" w:rsidP="00A24759">
      <w:pPr>
        <w:rPr>
          <w:rFonts w:asciiTheme="minorHAnsi" w:hAnsiTheme="minorHAnsi"/>
        </w:rPr>
      </w:pPr>
      <w:r w:rsidRPr="36B2A8D2">
        <w:rPr>
          <w:rFonts w:asciiTheme="minorHAnsi" w:hAnsiTheme="minorHAnsi"/>
        </w:rPr>
        <w:t xml:space="preserve">The Department </w:t>
      </w:r>
      <w:r w:rsidR="00A76A8C" w:rsidRPr="36B2A8D2">
        <w:rPr>
          <w:rFonts w:asciiTheme="minorHAnsi" w:hAnsiTheme="minorHAnsi"/>
        </w:rPr>
        <w:t>r</w:t>
      </w:r>
      <w:r w:rsidRPr="36B2A8D2">
        <w:rPr>
          <w:rFonts w:asciiTheme="minorHAnsi" w:hAnsiTheme="minorHAnsi"/>
        </w:rPr>
        <w:t xml:space="preserve">eceived comment from Dana-Farber employees about the staffing of the proposed </w:t>
      </w:r>
      <w:r w:rsidR="007A0CF7" w:rsidRPr="36B2A8D2">
        <w:rPr>
          <w:rFonts w:asciiTheme="minorHAnsi" w:hAnsiTheme="minorHAnsi"/>
        </w:rPr>
        <w:t>hospital</w:t>
      </w:r>
      <w:r w:rsidRPr="36B2A8D2">
        <w:rPr>
          <w:rFonts w:asciiTheme="minorHAnsi" w:hAnsiTheme="minorHAnsi"/>
        </w:rPr>
        <w:t>.</w:t>
      </w:r>
      <w:r w:rsidR="00AA546D" w:rsidRPr="36B2A8D2">
        <w:rPr>
          <w:rFonts w:asciiTheme="minorHAnsi" w:hAnsiTheme="minorHAnsi"/>
        </w:rPr>
        <w:t xml:space="preserve"> </w:t>
      </w:r>
      <w:r w:rsidR="00EC6432" w:rsidRPr="36B2A8D2">
        <w:rPr>
          <w:rFonts w:asciiTheme="minorHAnsi" w:hAnsiTheme="minorHAnsi"/>
        </w:rPr>
        <w:t>Heidi Conway, Dana-Farber’s Senior Vice President, Human Resources and Chief People Officer stated</w:t>
      </w:r>
      <w:r w:rsidR="009046BF" w:rsidRPr="36B2A8D2">
        <w:rPr>
          <w:rFonts w:asciiTheme="minorHAnsi" w:hAnsiTheme="minorHAnsi"/>
        </w:rPr>
        <w:t>,</w:t>
      </w:r>
      <w:r w:rsidR="00EC6432" w:rsidRPr="36B2A8D2">
        <w:rPr>
          <w:rFonts w:asciiTheme="minorHAnsi" w:hAnsiTheme="minorHAnsi"/>
        </w:rPr>
        <w:t xml:space="preserve"> “</w:t>
      </w:r>
      <w:r w:rsidR="00DB5E98" w:rsidRPr="36B2A8D2">
        <w:rPr>
          <w:rFonts w:asciiTheme="minorHAnsi" w:hAnsiTheme="minorHAnsi"/>
        </w:rPr>
        <w:t>We expect there to be approximately 2,400 new jobs when the new hospital is fully operational</w:t>
      </w:r>
      <w:r w:rsidR="007739EC" w:rsidRPr="36B2A8D2">
        <w:rPr>
          <w:rFonts w:asciiTheme="minorHAnsi" w:hAnsiTheme="minorHAnsi"/>
        </w:rPr>
        <w:t xml:space="preserve"> - j</w:t>
      </w:r>
      <w:r w:rsidR="00DB5E98" w:rsidRPr="36B2A8D2">
        <w:rPr>
          <w:rFonts w:asciiTheme="minorHAnsi" w:hAnsiTheme="minorHAnsi"/>
        </w:rPr>
        <w:t>obs at all levels including administrative, clinical, nursing, support services, radiation oncology,</w:t>
      </w:r>
      <w:r w:rsidR="007739EC" w:rsidRPr="36B2A8D2">
        <w:rPr>
          <w:rFonts w:asciiTheme="minorHAnsi" w:hAnsiTheme="minorHAnsi"/>
        </w:rPr>
        <w:t xml:space="preserve"> imaging, lab services, pharmacy, management/supervisor, etc. These new jobs will allow us to expand the diversity of our workforce – a commitment that is of primary importance to us – and enhance our existing programs to serve more people and communities in meaningful ways to prepare them for careers in healthcare.</w:t>
      </w:r>
      <w:r w:rsidR="00E64B61" w:rsidRPr="36B2A8D2">
        <w:rPr>
          <w:rFonts w:asciiTheme="minorHAnsi" w:hAnsiTheme="minorHAnsi"/>
        </w:rPr>
        <w:t>”</w:t>
      </w:r>
      <w:r w:rsidR="00A24759">
        <w:rPr>
          <w:rFonts w:asciiTheme="minorHAnsi" w:hAnsiTheme="minorHAnsi"/>
        </w:rPr>
        <w:t xml:space="preserve"> In response to staff inquiry, t</w:t>
      </w:r>
      <w:r w:rsidR="00A24759" w:rsidRPr="003B2CD4">
        <w:rPr>
          <w:rFonts w:asciiTheme="minorHAnsi" w:hAnsiTheme="minorHAnsi"/>
        </w:rPr>
        <w:t xml:space="preserve">he Applicant </w:t>
      </w:r>
      <w:r w:rsidR="00A24759">
        <w:rPr>
          <w:rFonts w:asciiTheme="minorHAnsi" w:hAnsiTheme="minorHAnsi"/>
        </w:rPr>
        <w:t xml:space="preserve">states that it </w:t>
      </w:r>
      <w:r w:rsidR="00A24759" w:rsidRPr="003B2CD4">
        <w:rPr>
          <w:rFonts w:asciiTheme="minorHAnsi" w:hAnsiTheme="minorHAnsi"/>
        </w:rPr>
        <w:t xml:space="preserve">estimates that the </w:t>
      </w:r>
      <w:r w:rsidR="00A24759">
        <w:rPr>
          <w:rFonts w:asciiTheme="minorHAnsi" w:hAnsiTheme="minorHAnsi"/>
        </w:rPr>
        <w:t>proposed hospital</w:t>
      </w:r>
      <w:r w:rsidR="00A24759" w:rsidRPr="003B2CD4">
        <w:rPr>
          <w:rFonts w:asciiTheme="minorHAnsi" w:hAnsiTheme="minorHAnsi"/>
        </w:rPr>
        <w:t xml:space="preserve">, when fully operational, will yield approximately 2,400 new FTEs. </w:t>
      </w:r>
    </w:p>
    <w:p w14:paraId="011FC25E" w14:textId="77777777" w:rsidR="00A24759" w:rsidRPr="00A24759" w:rsidRDefault="00A24759" w:rsidP="00A24759">
      <w:pPr>
        <w:rPr>
          <w:rFonts w:asciiTheme="minorHAnsi" w:hAnsiTheme="minorHAnsi"/>
        </w:rPr>
      </w:pPr>
    </w:p>
    <w:p w14:paraId="0E505FD1" w14:textId="35481561" w:rsidR="00F36CF8" w:rsidRDefault="008E6359" w:rsidP="36B2A8D2">
      <w:pPr>
        <w:rPr>
          <w:rFonts w:asciiTheme="minorHAnsi" w:hAnsiTheme="minorHAnsi"/>
        </w:rPr>
      </w:pPr>
      <w:r w:rsidRPr="36B2A8D2">
        <w:rPr>
          <w:rFonts w:asciiTheme="minorHAnsi" w:hAnsiTheme="minorHAnsi"/>
        </w:rPr>
        <w:t>The Department also received comment</w:t>
      </w:r>
      <w:r w:rsidR="008D4914" w:rsidRPr="36B2A8D2">
        <w:rPr>
          <w:rFonts w:asciiTheme="minorHAnsi" w:hAnsiTheme="minorHAnsi"/>
        </w:rPr>
        <w:t>s</w:t>
      </w:r>
      <w:r w:rsidRPr="36B2A8D2">
        <w:rPr>
          <w:rFonts w:asciiTheme="minorHAnsi" w:hAnsiTheme="minorHAnsi"/>
        </w:rPr>
        <w:t xml:space="preserve"> from the 1199SEIU TTG</w:t>
      </w:r>
      <w:r w:rsidR="00FB3B47" w:rsidRPr="36B2A8D2">
        <w:rPr>
          <w:rFonts w:asciiTheme="minorHAnsi" w:hAnsiTheme="minorHAnsi"/>
        </w:rPr>
        <w:t xml:space="preserve"> </w:t>
      </w:r>
      <w:r w:rsidR="00F36CF8" w:rsidRPr="36B2A8D2">
        <w:rPr>
          <w:rFonts w:asciiTheme="minorHAnsi" w:hAnsiTheme="minorHAnsi"/>
        </w:rPr>
        <w:t>that</w:t>
      </w:r>
      <w:r w:rsidR="00D21A2F" w:rsidRPr="36B2A8D2">
        <w:rPr>
          <w:rFonts w:asciiTheme="minorHAnsi" w:hAnsiTheme="minorHAnsi"/>
        </w:rPr>
        <w:t xml:space="preserve"> expressed support </w:t>
      </w:r>
      <w:r w:rsidR="00762B15">
        <w:rPr>
          <w:rFonts w:asciiTheme="minorHAnsi" w:hAnsiTheme="minorHAnsi"/>
        </w:rPr>
        <w:t>for</w:t>
      </w:r>
      <w:r w:rsidR="00D21A2F" w:rsidRPr="36B2A8D2">
        <w:rPr>
          <w:rFonts w:asciiTheme="minorHAnsi" w:hAnsiTheme="minorHAnsi"/>
        </w:rPr>
        <w:t xml:space="preserve"> the Applicant’s long </w:t>
      </w:r>
      <w:r w:rsidR="16788452" w:rsidRPr="36B2A8D2">
        <w:rPr>
          <w:rFonts w:asciiTheme="minorHAnsi" w:hAnsiTheme="minorHAnsi"/>
        </w:rPr>
        <w:t>-</w:t>
      </w:r>
      <w:r w:rsidR="00D21A2F" w:rsidRPr="36B2A8D2">
        <w:rPr>
          <w:rFonts w:asciiTheme="minorHAnsi" w:hAnsiTheme="minorHAnsi"/>
        </w:rPr>
        <w:t>standing history and commitment to providing culturally competent care, and the proposed facility’s potential to make cutting edge oncology care more accessible and available to patients in Massachusetts, from across the U</w:t>
      </w:r>
      <w:r w:rsidR="00E01D6F">
        <w:rPr>
          <w:rFonts w:asciiTheme="minorHAnsi" w:hAnsiTheme="minorHAnsi"/>
        </w:rPr>
        <w:t>nited States</w:t>
      </w:r>
      <w:r w:rsidR="00D21A2F" w:rsidRPr="36B2A8D2">
        <w:rPr>
          <w:rFonts w:asciiTheme="minorHAnsi" w:hAnsiTheme="minorHAnsi"/>
        </w:rPr>
        <w:t xml:space="preserve"> and abroad.</w:t>
      </w:r>
      <w:r w:rsidR="006B2B2C" w:rsidRPr="36B2A8D2">
        <w:rPr>
          <w:rFonts w:asciiTheme="minorHAnsi" w:hAnsiTheme="minorHAnsi"/>
        </w:rPr>
        <w:t xml:space="preserve"> However, the comments</w:t>
      </w:r>
      <w:r w:rsidR="00D21A2F" w:rsidRPr="36B2A8D2">
        <w:rPr>
          <w:rFonts w:asciiTheme="minorHAnsi" w:hAnsiTheme="minorHAnsi"/>
        </w:rPr>
        <w:t xml:space="preserve"> also expressed </w:t>
      </w:r>
      <w:r w:rsidR="00F36CF8" w:rsidRPr="36B2A8D2">
        <w:rPr>
          <w:rFonts w:asciiTheme="minorHAnsi" w:hAnsiTheme="minorHAnsi"/>
        </w:rPr>
        <w:t xml:space="preserve">concern about the staffing of the proposed facility in the current environment in which </w:t>
      </w:r>
      <w:r w:rsidR="00F36CF8" w:rsidRPr="36B2A8D2">
        <w:rPr>
          <w:rFonts w:asciiTheme="minorHAnsi" w:hAnsiTheme="minorHAnsi"/>
        </w:rPr>
        <w:lastRenderedPageBreak/>
        <w:t>workforce shortages are a substantial concern, citing reporting from the Massachusetts Hospital Association (MHA) on workforce shortages at acute care hospitals and the resulting care delays and reduced access to care. The comments stated</w:t>
      </w:r>
      <w:r w:rsidR="009046BF" w:rsidRPr="36B2A8D2">
        <w:rPr>
          <w:rFonts w:asciiTheme="minorHAnsi" w:hAnsiTheme="minorHAnsi"/>
        </w:rPr>
        <w:t>,</w:t>
      </w:r>
      <w:r w:rsidR="00F36CF8" w:rsidRPr="36B2A8D2">
        <w:rPr>
          <w:rFonts w:asciiTheme="minorHAnsi" w:hAnsiTheme="minorHAnsi"/>
        </w:rPr>
        <w:t xml:space="preserve"> “</w:t>
      </w:r>
      <w:r w:rsidR="007A47E7" w:rsidRPr="36B2A8D2">
        <w:rPr>
          <w:rFonts w:asciiTheme="minorHAnsi" w:hAnsiTheme="minorHAnsi"/>
        </w:rPr>
        <w:t>W</w:t>
      </w:r>
      <w:r w:rsidR="00F36CF8" w:rsidRPr="36B2A8D2">
        <w:rPr>
          <w:rFonts w:asciiTheme="minorHAnsi" w:hAnsiTheme="minorHAnsi"/>
        </w:rPr>
        <w:t>e are very concerned about the implications of a new 300-bed facility for the already-strained healthcare workforce in the Commonwealth. How do BID-Lahey and DFCI intend to staff the new facility in an environment already facing substantial workforce shortages?” The comments go on to state</w:t>
      </w:r>
      <w:r w:rsidR="006B2B2C" w:rsidRPr="36B2A8D2">
        <w:rPr>
          <w:rFonts w:asciiTheme="minorHAnsi" w:hAnsiTheme="minorHAnsi"/>
        </w:rPr>
        <w:t xml:space="preserve"> further</w:t>
      </w:r>
      <w:r w:rsidR="009046BF" w:rsidRPr="36B2A8D2">
        <w:rPr>
          <w:rFonts w:asciiTheme="minorHAnsi" w:hAnsiTheme="minorHAnsi"/>
        </w:rPr>
        <w:t xml:space="preserve">, </w:t>
      </w:r>
      <w:r w:rsidR="00F36CF8" w:rsidRPr="36B2A8D2">
        <w:rPr>
          <w:rFonts w:asciiTheme="minorHAnsi" w:hAnsiTheme="minorHAnsi"/>
        </w:rPr>
        <w:t>“If the DFCI project goes forward, it must be accompanied by a comprehensive plan to recruit and retain sufficient staff as needed for 300 new inpatient beds as well as operating rooms, imaging services, and all other planned services.  And these recruitment and retention efforts should not be at the expense of other hospitals or healthcare providers.”</w:t>
      </w:r>
    </w:p>
    <w:p w14:paraId="6751EC25" w14:textId="77777777" w:rsidR="00066620" w:rsidRDefault="00066620" w:rsidP="36B2A8D2">
      <w:pPr>
        <w:rPr>
          <w:rFonts w:asciiTheme="minorHAnsi" w:hAnsiTheme="minorHAnsi"/>
        </w:rPr>
      </w:pPr>
    </w:p>
    <w:p w14:paraId="12A2BB07" w14:textId="22835D89" w:rsidR="00A24759" w:rsidRDefault="006238E7" w:rsidP="00A24759">
      <w:pPr>
        <w:rPr>
          <w:rFonts w:asciiTheme="minorHAnsi" w:hAnsiTheme="minorHAnsi"/>
          <w:bCs/>
          <w:szCs w:val="24"/>
        </w:rPr>
      </w:pPr>
      <w:r>
        <w:rPr>
          <w:rFonts w:asciiTheme="minorHAnsi" w:hAnsiTheme="minorHAnsi"/>
          <w:bCs/>
          <w:szCs w:val="24"/>
        </w:rPr>
        <w:t>The</w:t>
      </w:r>
      <w:r w:rsidR="00066620" w:rsidRPr="00066620">
        <w:rPr>
          <w:rFonts w:asciiTheme="minorHAnsi" w:hAnsiTheme="minorHAnsi"/>
          <w:bCs/>
          <w:szCs w:val="24"/>
        </w:rPr>
        <w:t xml:space="preserve"> Applicant</w:t>
      </w:r>
      <w:r w:rsidR="00066620">
        <w:rPr>
          <w:rFonts w:asciiTheme="minorHAnsi" w:hAnsiTheme="minorHAnsi"/>
          <w:bCs/>
          <w:szCs w:val="24"/>
        </w:rPr>
        <w:t xml:space="preserve"> affirms that its</w:t>
      </w:r>
      <w:r w:rsidR="00066620" w:rsidRPr="00066620">
        <w:rPr>
          <w:rFonts w:asciiTheme="minorHAnsi" w:hAnsiTheme="minorHAnsi"/>
          <w:bCs/>
          <w:szCs w:val="24"/>
        </w:rPr>
        <w:t xml:space="preserve"> plans for staffing the proposed hospital do not include the recruitment of staff away from community hospitals</w:t>
      </w:r>
      <w:r w:rsidR="001D3F3E">
        <w:rPr>
          <w:rFonts w:asciiTheme="minorHAnsi" w:hAnsiTheme="minorHAnsi"/>
          <w:bCs/>
          <w:szCs w:val="24"/>
        </w:rPr>
        <w:t xml:space="preserve">. The Applicant affirms instead, its commitment to drawing staff from new and existing pipeline programs, as well as from </w:t>
      </w:r>
      <w:r w:rsidR="008377EF">
        <w:rPr>
          <w:rFonts w:asciiTheme="minorHAnsi" w:hAnsiTheme="minorHAnsi"/>
          <w:bCs/>
          <w:szCs w:val="24"/>
        </w:rPr>
        <w:t xml:space="preserve">the </w:t>
      </w:r>
      <w:r w:rsidR="001D3F3E">
        <w:rPr>
          <w:rFonts w:asciiTheme="minorHAnsi" w:hAnsiTheme="minorHAnsi"/>
          <w:bCs/>
          <w:szCs w:val="24"/>
        </w:rPr>
        <w:t xml:space="preserve">recruitment of staff from </w:t>
      </w:r>
      <w:r w:rsidR="008377EF">
        <w:rPr>
          <w:rFonts w:asciiTheme="minorHAnsi" w:hAnsiTheme="minorHAnsi"/>
          <w:bCs/>
          <w:szCs w:val="24"/>
        </w:rPr>
        <w:t xml:space="preserve">all over the world. </w:t>
      </w:r>
      <w:r w:rsidR="001D3F3E">
        <w:rPr>
          <w:rFonts w:asciiTheme="minorHAnsi" w:hAnsiTheme="minorHAnsi"/>
          <w:bCs/>
          <w:szCs w:val="24"/>
        </w:rPr>
        <w:t xml:space="preserve"> </w:t>
      </w:r>
      <w:r w:rsidR="00066620" w:rsidRPr="00066620">
        <w:rPr>
          <w:rFonts w:asciiTheme="minorHAnsi" w:hAnsiTheme="minorHAnsi"/>
          <w:bCs/>
          <w:szCs w:val="24"/>
        </w:rPr>
        <w:t xml:space="preserve"> </w:t>
      </w:r>
    </w:p>
    <w:p w14:paraId="06E501F5" w14:textId="77777777" w:rsidR="00F2559D" w:rsidRDefault="00F2559D" w:rsidP="0028104A">
      <w:pPr>
        <w:rPr>
          <w:rFonts w:asciiTheme="minorHAnsi" w:hAnsiTheme="minorHAnsi"/>
          <w:b/>
          <w:bCs/>
          <w:i/>
          <w:iCs/>
          <w:szCs w:val="24"/>
        </w:rPr>
      </w:pPr>
    </w:p>
    <w:p w14:paraId="09DE79C9" w14:textId="5F4F7915" w:rsidR="00472A44" w:rsidRPr="0028104A" w:rsidRDefault="00A4110F" w:rsidP="0028104A">
      <w:pPr>
        <w:rPr>
          <w:rFonts w:asciiTheme="minorHAnsi" w:hAnsiTheme="minorHAnsi"/>
          <w:b/>
          <w:bCs/>
          <w:i/>
          <w:iCs/>
          <w:szCs w:val="24"/>
        </w:rPr>
      </w:pPr>
      <w:r w:rsidRPr="00932E5D">
        <w:rPr>
          <w:rFonts w:asciiTheme="minorHAnsi" w:hAnsiTheme="minorHAnsi"/>
          <w:b/>
          <w:bCs/>
          <w:i/>
          <w:iCs/>
          <w:szCs w:val="24"/>
        </w:rPr>
        <w:t>Analysis</w:t>
      </w:r>
    </w:p>
    <w:p w14:paraId="13BB646B" w14:textId="77777777" w:rsidR="00744CC7" w:rsidRDefault="00744CC7" w:rsidP="00744CC7">
      <w:pPr>
        <w:rPr>
          <w:b/>
        </w:rPr>
      </w:pPr>
    </w:p>
    <w:p w14:paraId="5922D952" w14:textId="24A8236B" w:rsidR="00C12AAE" w:rsidRDefault="00744CC7" w:rsidP="0028104A">
      <w:r w:rsidRPr="00744CC7">
        <w:t>Staff find that based on the historical and projected data provided by the Applicant,</w:t>
      </w:r>
      <w:r>
        <w:t xml:space="preserve"> </w:t>
      </w:r>
      <w:r w:rsidR="00BB25E2">
        <w:t>the Applicant</w:t>
      </w:r>
      <w:r w:rsidRPr="00744CC7">
        <w:t xml:space="preserve"> has demonstrated need to</w:t>
      </w:r>
      <w:r w:rsidR="00DD2DB2">
        <w:t xml:space="preserve"> increase inpatient </w:t>
      </w:r>
      <w:r w:rsidR="00C43280">
        <w:t xml:space="preserve">beds dedicated to </w:t>
      </w:r>
      <w:r w:rsidR="00DD2DB2">
        <w:t xml:space="preserve">cancer care </w:t>
      </w:r>
      <w:r w:rsidR="005865B6">
        <w:t xml:space="preserve">for adults </w:t>
      </w:r>
      <w:r w:rsidR="00DD2DB2">
        <w:t xml:space="preserve">and associated imaging and radiation </w:t>
      </w:r>
      <w:r w:rsidR="00727AF7">
        <w:t xml:space="preserve">oncology </w:t>
      </w:r>
      <w:r w:rsidR="00F106B2">
        <w:t>equipment to address Patient Panel need for oncology care</w:t>
      </w:r>
      <w:r w:rsidRPr="00744CC7">
        <w:t>.</w:t>
      </w:r>
      <w:r w:rsidR="00F106B2">
        <w:t xml:space="preserve"> </w:t>
      </w:r>
      <w:r w:rsidR="004F440A">
        <w:t>Staff concur that</w:t>
      </w:r>
      <w:r w:rsidR="00287CF8">
        <w:t xml:space="preserve"> alleviating </w:t>
      </w:r>
      <w:r w:rsidR="004F440A">
        <w:t xml:space="preserve">inpatient </w:t>
      </w:r>
      <w:r w:rsidR="00287CF8">
        <w:t xml:space="preserve">capacity constraints </w:t>
      </w:r>
      <w:r w:rsidR="004F440A">
        <w:t xml:space="preserve">can increase timely access </w:t>
      </w:r>
      <w:r w:rsidR="00D62E70">
        <w:t xml:space="preserve">to </w:t>
      </w:r>
      <w:r w:rsidR="00244A04">
        <w:t>the specialized care that Dana-Farber provides</w:t>
      </w:r>
      <w:r w:rsidR="00422FA6">
        <w:t xml:space="preserve">; </w:t>
      </w:r>
      <w:r w:rsidR="00E77D29">
        <w:t xml:space="preserve">address increasing need for inpatient cancer care resulting from </w:t>
      </w:r>
      <w:r w:rsidR="00016CE0">
        <w:t>existing capacity constraints</w:t>
      </w:r>
      <w:r w:rsidR="00422FA6">
        <w:t>; and</w:t>
      </w:r>
      <w:r w:rsidR="00016CE0">
        <w:t xml:space="preserve"> </w:t>
      </w:r>
      <w:r w:rsidR="00422FA6">
        <w:t xml:space="preserve">address </w:t>
      </w:r>
      <w:r w:rsidR="00016CE0">
        <w:t>increas</w:t>
      </w:r>
      <w:r w:rsidR="0006026C">
        <w:t xml:space="preserve">ing </w:t>
      </w:r>
      <w:r w:rsidR="00016CE0">
        <w:t xml:space="preserve">need </w:t>
      </w:r>
      <w:r w:rsidR="0006026C">
        <w:t xml:space="preserve">for inpatient capacity </w:t>
      </w:r>
      <w:r w:rsidR="00016CE0">
        <w:t xml:space="preserve">resulting from </w:t>
      </w:r>
      <w:r w:rsidR="00E77D29">
        <w:t xml:space="preserve">an aging population and </w:t>
      </w:r>
      <w:r w:rsidR="00C44A71">
        <w:t xml:space="preserve">increasing cancer incidence. </w:t>
      </w:r>
      <w:r w:rsidR="006C5FAC" w:rsidRPr="006C5FAC">
        <w:t xml:space="preserve">As a result, Staff finds that </w:t>
      </w:r>
      <w:r w:rsidR="00977BC4">
        <w:t xml:space="preserve">with the </w:t>
      </w:r>
      <w:r w:rsidR="00B520ED">
        <w:t>“</w:t>
      </w:r>
      <w:r w:rsidR="00944C1E">
        <w:t xml:space="preserve">Other </w:t>
      </w:r>
      <w:r w:rsidR="00977BC4">
        <w:t>Conditions</w:t>
      </w:r>
      <w:r w:rsidR="00B520ED">
        <w:t>”</w:t>
      </w:r>
      <w:r w:rsidR="00977BC4">
        <w:t xml:space="preserve"> Outlined below, </w:t>
      </w:r>
      <w:r w:rsidR="006C5FAC" w:rsidRPr="006C5FAC">
        <w:t>the Proposed Project meets the requirements of Factor 1a.</w:t>
      </w:r>
    </w:p>
    <w:p w14:paraId="0555C41E" w14:textId="77777777" w:rsidR="00C12AAE" w:rsidRDefault="00C12AAE" w:rsidP="0028104A"/>
    <w:p w14:paraId="0ADCD05D" w14:textId="2C007867" w:rsidR="00B447F3" w:rsidRPr="003436F0" w:rsidRDefault="00A4110F" w:rsidP="008917DC">
      <w:pPr>
        <w:pStyle w:val="Heading1"/>
        <w:spacing w:before="188"/>
        <w:ind w:left="0" w:right="403"/>
        <w:rPr>
          <w:rFonts w:asciiTheme="minorHAnsi" w:hAnsiTheme="minorHAnsi"/>
        </w:rPr>
      </w:pPr>
      <w:bookmarkStart w:id="12" w:name="_Toc190780583"/>
      <w:r w:rsidRPr="003436F0">
        <w:rPr>
          <w:rFonts w:asciiTheme="minorHAnsi" w:hAnsiTheme="minorHAnsi"/>
          <w:color w:val="42558C"/>
        </w:rPr>
        <w:t>Factor 1: b) Public health value, improved health outcomes and quality of life; assurances of health equity</w:t>
      </w:r>
      <w:bookmarkEnd w:id="12"/>
    </w:p>
    <w:p w14:paraId="0821EED9" w14:textId="1870D6E0" w:rsidR="00615885" w:rsidRDefault="00615885" w:rsidP="00915290">
      <w:pPr>
        <w:pStyle w:val="BodyText"/>
        <w:rPr>
          <w:rFonts w:asciiTheme="minorHAnsi" w:hAnsiTheme="minorHAnsi"/>
        </w:rPr>
      </w:pPr>
    </w:p>
    <w:p w14:paraId="14258A46" w14:textId="77777777" w:rsidR="00500799" w:rsidRPr="00500799" w:rsidRDefault="00500799" w:rsidP="00500799">
      <w:pPr>
        <w:pStyle w:val="BodyText"/>
        <w:rPr>
          <w:rFonts w:asciiTheme="minorHAnsi" w:hAnsiTheme="minorHAnsi"/>
        </w:rPr>
      </w:pPr>
      <w:r w:rsidRPr="00500799">
        <w:rPr>
          <w:rFonts w:asciiTheme="minorHAnsi" w:hAnsiTheme="minorHAnsi"/>
        </w:rPr>
        <w:t>For this element of Factor 1, the Applicant must demonstrate that the Proposed Project adds public</w:t>
      </w:r>
    </w:p>
    <w:p w14:paraId="7F3661F6" w14:textId="77777777" w:rsidR="00500799" w:rsidRPr="00500799" w:rsidRDefault="00500799" w:rsidP="00500799">
      <w:pPr>
        <w:pStyle w:val="BodyText"/>
        <w:rPr>
          <w:rFonts w:asciiTheme="minorHAnsi" w:hAnsiTheme="minorHAnsi"/>
        </w:rPr>
      </w:pPr>
      <w:r w:rsidRPr="00500799">
        <w:rPr>
          <w:rFonts w:asciiTheme="minorHAnsi" w:hAnsiTheme="minorHAnsi"/>
        </w:rPr>
        <w:t>health value in terms of improved health outcomes and quality of life for the Applicant’s existing</w:t>
      </w:r>
    </w:p>
    <w:p w14:paraId="6F693F33" w14:textId="645925F5" w:rsidR="00500799" w:rsidRDefault="00500799" w:rsidP="00500799">
      <w:pPr>
        <w:pStyle w:val="BodyText"/>
        <w:rPr>
          <w:rFonts w:asciiTheme="minorHAnsi" w:hAnsiTheme="minorHAnsi"/>
        </w:rPr>
      </w:pPr>
      <w:r w:rsidRPr="00500799">
        <w:rPr>
          <w:rFonts w:asciiTheme="minorHAnsi" w:hAnsiTheme="minorHAnsi"/>
        </w:rPr>
        <w:t>Patient Panel, while providing reasonable assurances of health equity.</w:t>
      </w:r>
    </w:p>
    <w:p w14:paraId="2827EBD5" w14:textId="77777777" w:rsidR="00500799" w:rsidRPr="00E04133" w:rsidRDefault="00500799" w:rsidP="00915290">
      <w:pPr>
        <w:pStyle w:val="BodyText"/>
        <w:rPr>
          <w:rFonts w:asciiTheme="minorHAnsi" w:hAnsiTheme="minorHAnsi"/>
        </w:rPr>
      </w:pPr>
    </w:p>
    <w:p w14:paraId="0B47360A" w14:textId="78E6A79E" w:rsidR="00E04133" w:rsidRDefault="00750186" w:rsidP="00915290">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915290">
      <w:pPr>
        <w:pStyle w:val="BodyText"/>
      </w:pPr>
    </w:p>
    <w:p w14:paraId="16C62C63" w14:textId="1AA7C97E" w:rsidR="00155855" w:rsidRDefault="008F0929" w:rsidP="5AC4FF5C">
      <w:pPr>
        <w:pStyle w:val="BodyText"/>
        <w:rPr>
          <w:rFonts w:asciiTheme="minorHAnsi" w:hAnsiTheme="minorHAnsi"/>
        </w:rPr>
      </w:pPr>
      <w:r w:rsidRPr="5AC4FF5C">
        <w:rPr>
          <w:rFonts w:asciiTheme="minorHAnsi" w:hAnsiTheme="minorHAnsi"/>
        </w:rPr>
        <w:t xml:space="preserve">The </w:t>
      </w:r>
      <w:r w:rsidR="00C13420" w:rsidRPr="5AC4FF5C">
        <w:rPr>
          <w:rFonts w:asciiTheme="minorHAnsi" w:hAnsiTheme="minorHAnsi"/>
        </w:rPr>
        <w:t>A</w:t>
      </w:r>
      <w:r w:rsidRPr="5AC4FF5C">
        <w:rPr>
          <w:rFonts w:asciiTheme="minorHAnsi" w:hAnsiTheme="minorHAnsi"/>
        </w:rPr>
        <w:t>pplicant states that the Proposed Project will increase the accessibility of inpatient medical oncology services and radiation therapy services for Massachusetts residents, especially for the highest acuity patients with the most complex diagnoses</w:t>
      </w:r>
      <w:r w:rsidR="0012706C" w:rsidRPr="5AC4FF5C">
        <w:rPr>
          <w:rFonts w:asciiTheme="minorHAnsi" w:hAnsiTheme="minorHAnsi"/>
        </w:rPr>
        <w:t xml:space="preserve">. </w:t>
      </w:r>
      <w:r w:rsidR="00136EC6">
        <w:rPr>
          <w:rFonts w:asciiTheme="minorHAnsi" w:hAnsiTheme="minorHAnsi"/>
        </w:rPr>
        <w:t>T</w:t>
      </w:r>
      <w:r w:rsidR="00136EC6" w:rsidRPr="00136EC6">
        <w:rPr>
          <w:rFonts w:asciiTheme="minorHAnsi" w:hAnsiTheme="minorHAnsi"/>
        </w:rPr>
        <w:t>o further support the argument that the proposed hospital’s singular focus on cancer care, supports better outcomes</w:t>
      </w:r>
      <w:r w:rsidR="00136EC6">
        <w:rPr>
          <w:rFonts w:asciiTheme="minorHAnsi" w:hAnsiTheme="minorHAnsi"/>
        </w:rPr>
        <w:t>, t</w:t>
      </w:r>
      <w:r w:rsidR="00155855" w:rsidRPr="5AC4FF5C">
        <w:rPr>
          <w:rFonts w:asciiTheme="minorHAnsi" w:hAnsiTheme="minorHAnsi"/>
        </w:rPr>
        <w:t>he Applicant cite</w:t>
      </w:r>
      <w:r w:rsidR="00136EC6">
        <w:rPr>
          <w:rFonts w:asciiTheme="minorHAnsi" w:hAnsiTheme="minorHAnsi"/>
        </w:rPr>
        <w:t>d</w:t>
      </w:r>
      <w:r w:rsidR="00155855" w:rsidRPr="5AC4FF5C">
        <w:rPr>
          <w:rFonts w:asciiTheme="minorHAnsi" w:hAnsiTheme="minorHAnsi"/>
        </w:rPr>
        <w:t xml:space="preserve"> a study on the long-term survival rates at hospitals that provide cancer care in the United States</w:t>
      </w:r>
      <w:r w:rsidR="000D64E6">
        <w:rPr>
          <w:rFonts w:asciiTheme="minorHAnsi" w:hAnsiTheme="minorHAnsi"/>
        </w:rPr>
        <w:t xml:space="preserve">, </w:t>
      </w:r>
      <w:r w:rsidR="000D64E6">
        <w:rPr>
          <w:rFonts w:asciiTheme="minorHAnsi" w:hAnsiTheme="minorHAnsi"/>
        </w:rPr>
        <w:lastRenderedPageBreak/>
        <w:t xml:space="preserve">including </w:t>
      </w:r>
      <w:r w:rsidR="00D46BC8">
        <w:rPr>
          <w:rFonts w:asciiTheme="minorHAnsi" w:hAnsiTheme="minorHAnsi"/>
        </w:rPr>
        <w:t xml:space="preserve">Prospective Payment System exempt (PPS-exempt) </w:t>
      </w:r>
      <w:r w:rsidR="000D64E6">
        <w:rPr>
          <w:rFonts w:asciiTheme="minorHAnsi" w:hAnsiTheme="minorHAnsi"/>
        </w:rPr>
        <w:t>hospitals</w:t>
      </w:r>
      <w:r w:rsidR="00024791">
        <w:rPr>
          <w:rFonts w:asciiTheme="minorHAnsi" w:hAnsiTheme="minorHAnsi"/>
        </w:rPr>
        <w:t xml:space="preserve"> like the Applicant</w:t>
      </w:r>
      <w:r w:rsidR="000D64E6">
        <w:rPr>
          <w:rFonts w:asciiTheme="minorHAnsi" w:hAnsiTheme="minorHAnsi"/>
        </w:rPr>
        <w:t xml:space="preserve">, </w:t>
      </w:r>
      <w:r w:rsidR="00F4466E">
        <w:rPr>
          <w:rFonts w:asciiTheme="minorHAnsi" w:hAnsiTheme="minorHAnsi"/>
        </w:rPr>
        <w:t>National Cancer Institute-designated Cancer Centers</w:t>
      </w:r>
      <w:r w:rsidR="00E2560B">
        <w:rPr>
          <w:rFonts w:asciiTheme="minorHAnsi" w:hAnsiTheme="minorHAnsi"/>
        </w:rPr>
        <w:t xml:space="preserve"> that are not PPS-exempt</w:t>
      </w:r>
      <w:r w:rsidR="00F4466E">
        <w:rPr>
          <w:rFonts w:asciiTheme="minorHAnsi" w:hAnsiTheme="minorHAnsi"/>
        </w:rPr>
        <w:t xml:space="preserve">, </w:t>
      </w:r>
      <w:r w:rsidR="000D64E6">
        <w:rPr>
          <w:rFonts w:asciiTheme="minorHAnsi" w:hAnsiTheme="minorHAnsi"/>
        </w:rPr>
        <w:t>Academic Medical Centers, and Community Hospitals</w:t>
      </w:r>
      <w:r w:rsidR="00E66545">
        <w:rPr>
          <w:rFonts w:asciiTheme="minorHAnsi" w:hAnsiTheme="minorHAnsi"/>
        </w:rPr>
        <w:t>. The study</w:t>
      </w:r>
      <w:r w:rsidR="00155855" w:rsidRPr="5AC4FF5C">
        <w:rPr>
          <w:rFonts w:asciiTheme="minorHAnsi" w:hAnsiTheme="minorHAnsi"/>
        </w:rPr>
        <w:t xml:space="preserve"> </w:t>
      </w:r>
      <w:r w:rsidR="00136EC6">
        <w:rPr>
          <w:rFonts w:asciiTheme="minorHAnsi" w:hAnsiTheme="minorHAnsi"/>
        </w:rPr>
        <w:t>states</w:t>
      </w:r>
      <w:r w:rsidR="00136EC6" w:rsidRPr="5AC4FF5C">
        <w:rPr>
          <w:rFonts w:asciiTheme="minorHAnsi" w:hAnsiTheme="minorHAnsi"/>
        </w:rPr>
        <w:t xml:space="preserve"> </w:t>
      </w:r>
      <w:r w:rsidR="00155855" w:rsidRPr="5AC4FF5C">
        <w:rPr>
          <w:rFonts w:asciiTheme="minorHAnsi" w:hAnsiTheme="minorHAnsi"/>
        </w:rPr>
        <w:t>that survival, an important patient outcome, differed by type of treating hospital.</w:t>
      </w:r>
      <w:r w:rsidR="00155855" w:rsidRPr="5AC4FF5C">
        <w:rPr>
          <w:rFonts w:asciiTheme="minorHAnsi" w:hAnsiTheme="minorHAnsi"/>
          <w:vertAlign w:val="superscript"/>
        </w:rPr>
        <w:endnoteReference w:id="39"/>
      </w:r>
      <w:r w:rsidR="00155855" w:rsidRPr="5AC4FF5C">
        <w:rPr>
          <w:rFonts w:asciiTheme="minorHAnsi" w:hAnsiTheme="minorHAnsi"/>
          <w:vertAlign w:val="superscript"/>
        </w:rPr>
        <w:t>,</w:t>
      </w:r>
      <w:r w:rsidR="00155855" w:rsidRPr="5AC4FF5C">
        <w:rPr>
          <w:rFonts w:asciiTheme="minorHAnsi" w:hAnsiTheme="minorHAnsi"/>
          <w:vertAlign w:val="superscript"/>
        </w:rPr>
        <w:footnoteReference w:id="89"/>
      </w:r>
      <w:r w:rsidR="00155855" w:rsidRPr="5AC4FF5C">
        <w:rPr>
          <w:rFonts w:asciiTheme="minorHAnsi" w:hAnsiTheme="minorHAnsi"/>
        </w:rPr>
        <w:t xml:space="preserve"> The risk-adjusted probability of death at </w:t>
      </w:r>
      <w:r w:rsidR="0089795F" w:rsidRPr="5AC4FF5C">
        <w:rPr>
          <w:rFonts w:asciiTheme="minorHAnsi" w:hAnsiTheme="minorHAnsi"/>
        </w:rPr>
        <w:t>one</w:t>
      </w:r>
      <w:r w:rsidR="00155855" w:rsidRPr="5AC4FF5C">
        <w:rPr>
          <w:rFonts w:asciiTheme="minorHAnsi" w:hAnsiTheme="minorHAnsi"/>
        </w:rPr>
        <w:t xml:space="preserve"> year for patients treated at PPS-exempt cancer hospitals</w:t>
      </w:r>
      <w:r w:rsidR="00906DD3">
        <w:rPr>
          <w:rFonts w:asciiTheme="minorHAnsi" w:hAnsiTheme="minorHAnsi"/>
        </w:rPr>
        <w:t xml:space="preserve"> that ha</w:t>
      </w:r>
      <w:r w:rsidR="00BE3BF2">
        <w:rPr>
          <w:rFonts w:asciiTheme="minorHAnsi" w:hAnsiTheme="minorHAnsi"/>
        </w:rPr>
        <w:t>ve</w:t>
      </w:r>
      <w:r w:rsidR="00906DD3">
        <w:rPr>
          <w:rFonts w:asciiTheme="minorHAnsi" w:hAnsiTheme="minorHAnsi"/>
        </w:rPr>
        <w:t xml:space="preserve"> a singular focus on cancer</w:t>
      </w:r>
      <w:r w:rsidR="00155855" w:rsidRPr="5AC4FF5C">
        <w:rPr>
          <w:rFonts w:asciiTheme="minorHAnsi" w:hAnsiTheme="minorHAnsi"/>
        </w:rPr>
        <w:t xml:space="preserve"> was 18% compared to 28% at community hospitals, with other types of hospitals falling between the two extremes.</w:t>
      </w:r>
      <w:r w:rsidR="00155855" w:rsidRPr="5AC4FF5C">
        <w:rPr>
          <w:rFonts w:asciiTheme="minorHAnsi" w:hAnsiTheme="minorHAnsi"/>
          <w:vertAlign w:val="superscript"/>
        </w:rPr>
        <w:endnoteReference w:id="40"/>
      </w:r>
      <w:r w:rsidR="00155855" w:rsidRPr="5AC4FF5C">
        <w:rPr>
          <w:rFonts w:asciiTheme="minorHAnsi" w:hAnsiTheme="minorHAnsi"/>
        </w:rPr>
        <w:t xml:space="preserve"> The risk-adjusted five-year survival rates for the hospital types were 53% at PPS-exempt hospitals; 49% for NCI cancer centers; 46% for AMCs; and 44% for community hospitals.</w:t>
      </w:r>
      <w:r w:rsidR="00155855" w:rsidRPr="5AC4FF5C">
        <w:rPr>
          <w:rFonts w:asciiTheme="minorHAnsi" w:hAnsiTheme="minorHAnsi"/>
          <w:vertAlign w:val="superscript"/>
        </w:rPr>
        <w:endnoteReference w:id="41"/>
      </w:r>
      <w:r w:rsidR="001933EE" w:rsidRPr="5AC4FF5C">
        <w:rPr>
          <w:rFonts w:asciiTheme="minorHAnsi" w:hAnsiTheme="minorHAnsi"/>
        </w:rPr>
        <w:t xml:space="preserve"> </w:t>
      </w:r>
      <w:r w:rsidR="001933EE" w:rsidRPr="001668BA">
        <w:rPr>
          <w:rFonts w:asciiTheme="minorHAnsi" w:hAnsiTheme="minorHAnsi"/>
        </w:rPr>
        <w:t>The Applicant cite</w:t>
      </w:r>
      <w:r w:rsidR="001A597F" w:rsidRPr="001668BA">
        <w:rPr>
          <w:rFonts w:asciiTheme="minorHAnsi" w:hAnsiTheme="minorHAnsi"/>
        </w:rPr>
        <w:t>d</w:t>
      </w:r>
      <w:r w:rsidR="001933EE" w:rsidRPr="001668BA">
        <w:rPr>
          <w:rFonts w:asciiTheme="minorHAnsi" w:hAnsiTheme="minorHAnsi"/>
        </w:rPr>
        <w:t xml:space="preserve"> </w:t>
      </w:r>
      <w:r w:rsidR="00EA78BB" w:rsidRPr="001668BA">
        <w:rPr>
          <w:rFonts w:asciiTheme="minorHAnsi" w:hAnsiTheme="minorHAnsi"/>
        </w:rPr>
        <w:t>another study</w:t>
      </w:r>
      <w:r w:rsidR="001933EE" w:rsidRPr="001668BA">
        <w:rPr>
          <w:rFonts w:asciiTheme="minorHAnsi" w:hAnsiTheme="minorHAnsi"/>
        </w:rPr>
        <w:t xml:space="preserve"> </w:t>
      </w:r>
      <w:r w:rsidR="00323D28" w:rsidRPr="001668BA">
        <w:rPr>
          <w:rFonts w:asciiTheme="minorHAnsi" w:hAnsiTheme="minorHAnsi"/>
        </w:rPr>
        <w:t xml:space="preserve">examining </w:t>
      </w:r>
      <w:r w:rsidR="002401A0" w:rsidRPr="001668BA">
        <w:rPr>
          <w:rFonts w:asciiTheme="minorHAnsi" w:hAnsiTheme="minorHAnsi"/>
        </w:rPr>
        <w:t xml:space="preserve">18 </w:t>
      </w:r>
      <w:r w:rsidR="00BD3919" w:rsidRPr="001668BA">
        <w:rPr>
          <w:rFonts w:asciiTheme="minorHAnsi" w:hAnsiTheme="minorHAnsi"/>
        </w:rPr>
        <w:t>postoperative</w:t>
      </w:r>
      <w:r w:rsidR="000F7112" w:rsidRPr="001668BA">
        <w:rPr>
          <w:rFonts w:asciiTheme="minorHAnsi" w:hAnsiTheme="minorHAnsi"/>
        </w:rPr>
        <w:t xml:space="preserve"> outcome</w:t>
      </w:r>
      <w:r w:rsidR="00BD3919" w:rsidRPr="001668BA">
        <w:rPr>
          <w:rFonts w:asciiTheme="minorHAnsi" w:hAnsiTheme="minorHAnsi"/>
        </w:rPr>
        <w:t xml:space="preserve"> measures at</w:t>
      </w:r>
      <w:r w:rsidR="001933EE" w:rsidRPr="001668BA">
        <w:rPr>
          <w:rFonts w:asciiTheme="minorHAnsi" w:hAnsiTheme="minorHAnsi"/>
        </w:rPr>
        <w:t xml:space="preserve"> </w:t>
      </w:r>
      <w:r w:rsidR="00813CED" w:rsidRPr="001668BA">
        <w:rPr>
          <w:rFonts w:asciiTheme="minorHAnsi" w:hAnsiTheme="minorHAnsi"/>
        </w:rPr>
        <w:t xml:space="preserve">hospitals affiliated with </w:t>
      </w:r>
      <w:r w:rsidR="00FE09F3" w:rsidRPr="001668BA">
        <w:rPr>
          <w:rFonts w:asciiTheme="minorHAnsi" w:hAnsiTheme="minorHAnsi"/>
        </w:rPr>
        <w:t>PPS-exempt hospitals</w:t>
      </w:r>
      <w:r w:rsidR="00644FA6" w:rsidRPr="001668BA">
        <w:rPr>
          <w:rFonts w:asciiTheme="minorHAnsi" w:hAnsiTheme="minorHAnsi"/>
        </w:rPr>
        <w:t xml:space="preserve">, </w:t>
      </w:r>
      <w:r w:rsidR="00D754A2" w:rsidRPr="001668BA">
        <w:rPr>
          <w:rFonts w:asciiTheme="minorHAnsi" w:hAnsiTheme="minorHAnsi"/>
        </w:rPr>
        <w:t xml:space="preserve">as compared to </w:t>
      </w:r>
      <w:r w:rsidR="00644FA6" w:rsidRPr="001668BA">
        <w:rPr>
          <w:rFonts w:asciiTheme="minorHAnsi" w:hAnsiTheme="minorHAnsi"/>
        </w:rPr>
        <w:t xml:space="preserve">National Cancer </w:t>
      </w:r>
      <w:r w:rsidR="00BD3C7F">
        <w:rPr>
          <w:rFonts w:asciiTheme="minorHAnsi" w:hAnsiTheme="minorHAnsi"/>
        </w:rPr>
        <w:t>Institute</w:t>
      </w:r>
      <w:r w:rsidR="00BD3C7F" w:rsidRPr="001668BA">
        <w:rPr>
          <w:rFonts w:asciiTheme="minorHAnsi" w:hAnsiTheme="minorHAnsi"/>
        </w:rPr>
        <w:t xml:space="preserve"> </w:t>
      </w:r>
      <w:r w:rsidR="005B5A15" w:rsidRPr="001668BA">
        <w:rPr>
          <w:rFonts w:asciiTheme="minorHAnsi" w:hAnsiTheme="minorHAnsi"/>
        </w:rPr>
        <w:t xml:space="preserve">designated </w:t>
      </w:r>
      <w:r w:rsidR="00644FA6" w:rsidRPr="001668BA">
        <w:rPr>
          <w:rFonts w:asciiTheme="minorHAnsi" w:hAnsiTheme="minorHAnsi"/>
        </w:rPr>
        <w:t xml:space="preserve">Cancer Centers </w:t>
      </w:r>
      <w:r w:rsidR="00AE44F4" w:rsidRPr="001668BA">
        <w:rPr>
          <w:rFonts w:asciiTheme="minorHAnsi" w:hAnsiTheme="minorHAnsi"/>
        </w:rPr>
        <w:t>and other hospitals that provide cancer care</w:t>
      </w:r>
      <w:r w:rsidR="00A36C31" w:rsidRPr="001668BA">
        <w:rPr>
          <w:rFonts w:asciiTheme="minorHAnsi" w:hAnsiTheme="minorHAnsi"/>
        </w:rPr>
        <w:t xml:space="preserve"> </w:t>
      </w:r>
      <w:r w:rsidR="00FD7110" w:rsidRPr="001668BA">
        <w:rPr>
          <w:rFonts w:asciiTheme="minorHAnsi" w:hAnsiTheme="minorHAnsi"/>
        </w:rPr>
        <w:t>in the United States</w:t>
      </w:r>
      <w:r w:rsidR="00E41B51" w:rsidRPr="001668BA">
        <w:rPr>
          <w:rFonts w:asciiTheme="minorHAnsi" w:hAnsiTheme="minorHAnsi"/>
        </w:rPr>
        <w:t xml:space="preserve">. The study found hospitals affiliated </w:t>
      </w:r>
      <w:r w:rsidR="0062089F" w:rsidRPr="001668BA">
        <w:rPr>
          <w:rFonts w:asciiTheme="minorHAnsi" w:hAnsiTheme="minorHAnsi"/>
        </w:rPr>
        <w:t>with PPS-exempt hospitals</w:t>
      </w:r>
      <w:r w:rsidR="00E41B51" w:rsidRPr="001668BA">
        <w:rPr>
          <w:rFonts w:asciiTheme="minorHAnsi" w:hAnsiTheme="minorHAnsi"/>
        </w:rPr>
        <w:t xml:space="preserve"> </w:t>
      </w:r>
      <w:r w:rsidR="00BD3C7F">
        <w:rPr>
          <w:rFonts w:asciiTheme="minorHAnsi" w:hAnsiTheme="minorHAnsi"/>
        </w:rPr>
        <w:t>less</w:t>
      </w:r>
      <w:r w:rsidR="00DF1444" w:rsidRPr="001668BA">
        <w:rPr>
          <w:rFonts w:asciiTheme="minorHAnsi" w:hAnsiTheme="minorHAnsi"/>
        </w:rPr>
        <w:t xml:space="preserve"> likely to have</w:t>
      </w:r>
      <w:r w:rsidR="000A1D10" w:rsidRPr="001668BA">
        <w:rPr>
          <w:rFonts w:asciiTheme="minorHAnsi" w:hAnsiTheme="minorHAnsi"/>
        </w:rPr>
        <w:t xml:space="preserve"> </w:t>
      </w:r>
      <w:r w:rsidR="006166CB" w:rsidRPr="001668BA">
        <w:rPr>
          <w:rFonts w:asciiTheme="minorHAnsi" w:hAnsiTheme="minorHAnsi"/>
        </w:rPr>
        <w:t xml:space="preserve">postoperative </w:t>
      </w:r>
      <w:r w:rsidR="00F71946" w:rsidRPr="001668BA">
        <w:rPr>
          <w:rFonts w:asciiTheme="minorHAnsi" w:hAnsiTheme="minorHAnsi"/>
        </w:rPr>
        <w:t xml:space="preserve">sepsis, acute renal failure, </w:t>
      </w:r>
      <w:r w:rsidR="00274BCF" w:rsidRPr="001668BA">
        <w:rPr>
          <w:rFonts w:asciiTheme="minorHAnsi" w:hAnsiTheme="minorHAnsi"/>
        </w:rPr>
        <w:t>and urinary tract infection</w:t>
      </w:r>
      <w:r w:rsidR="00A32F08" w:rsidRPr="001668BA">
        <w:rPr>
          <w:rFonts w:asciiTheme="minorHAnsi" w:hAnsiTheme="minorHAnsi"/>
        </w:rPr>
        <w:t>, and</w:t>
      </w:r>
      <w:r w:rsidR="00D23ECB" w:rsidRPr="001668BA">
        <w:rPr>
          <w:rFonts w:asciiTheme="minorHAnsi" w:hAnsiTheme="minorHAnsi"/>
        </w:rPr>
        <w:t xml:space="preserve"> had </w:t>
      </w:r>
      <w:r w:rsidR="003760FA" w:rsidRPr="001668BA">
        <w:rPr>
          <w:rFonts w:asciiTheme="minorHAnsi" w:hAnsiTheme="minorHAnsi"/>
        </w:rPr>
        <w:t xml:space="preserve">better outcomes for </w:t>
      </w:r>
      <w:r w:rsidR="00F11FF0" w:rsidRPr="001668BA">
        <w:rPr>
          <w:rFonts w:asciiTheme="minorHAnsi" w:hAnsiTheme="minorHAnsi"/>
        </w:rPr>
        <w:t>seven</w:t>
      </w:r>
      <w:r w:rsidR="003760FA" w:rsidRPr="001668BA">
        <w:rPr>
          <w:rFonts w:asciiTheme="minorHAnsi" w:hAnsiTheme="minorHAnsi"/>
        </w:rPr>
        <w:t xml:space="preserve"> of the</w:t>
      </w:r>
      <w:r w:rsidR="002401A0" w:rsidRPr="001668BA">
        <w:rPr>
          <w:rFonts w:asciiTheme="minorHAnsi" w:hAnsiTheme="minorHAnsi"/>
        </w:rPr>
        <w:t xml:space="preserve"> 18</w:t>
      </w:r>
      <w:r w:rsidR="003760FA" w:rsidRPr="001668BA">
        <w:rPr>
          <w:rFonts w:asciiTheme="minorHAnsi" w:hAnsiTheme="minorHAnsi"/>
        </w:rPr>
        <w:t xml:space="preserve"> outcomes measures.</w:t>
      </w:r>
      <w:r w:rsidR="007C598E" w:rsidRPr="4C4F0435">
        <w:rPr>
          <w:rStyle w:val="EndnoteReference"/>
          <w:rFonts w:asciiTheme="minorHAnsi" w:hAnsiTheme="minorHAnsi"/>
        </w:rPr>
        <w:endnoteReference w:id="42"/>
      </w:r>
      <w:r w:rsidR="00D754A2" w:rsidRPr="5AC4FF5C">
        <w:rPr>
          <w:rFonts w:asciiTheme="minorHAnsi" w:hAnsiTheme="minorHAnsi"/>
        </w:rPr>
        <w:t xml:space="preserve"> </w:t>
      </w:r>
    </w:p>
    <w:p w14:paraId="55990777" w14:textId="77777777" w:rsidR="008365D2" w:rsidRDefault="008365D2" w:rsidP="5AC4FF5C">
      <w:pPr>
        <w:pStyle w:val="BodyText"/>
        <w:rPr>
          <w:rFonts w:asciiTheme="minorHAnsi" w:hAnsiTheme="minorHAnsi"/>
        </w:rPr>
      </w:pPr>
    </w:p>
    <w:p w14:paraId="24069ABE" w14:textId="6E362839" w:rsidR="00E42A3C" w:rsidRPr="00E42A3C" w:rsidRDefault="00E42A3C" w:rsidP="00E42A3C">
      <w:pPr>
        <w:pStyle w:val="BodyText"/>
        <w:rPr>
          <w:rFonts w:asciiTheme="minorHAnsi" w:hAnsiTheme="minorHAnsi"/>
          <w:bCs/>
        </w:rPr>
      </w:pPr>
      <w:r w:rsidRPr="00E42A3C">
        <w:rPr>
          <w:rFonts w:asciiTheme="minorHAnsi" w:hAnsiTheme="minorHAnsi"/>
          <w:bCs/>
        </w:rPr>
        <w:t>The Applicant states that while the current facility is capable of supporting the subspecialized services that the Applicant provides, the current facility is not capable of keeping pace with rapid advances in cancer technologies and services</w:t>
      </w:r>
      <w:r w:rsidR="005F589C">
        <w:rPr>
          <w:rFonts w:asciiTheme="minorHAnsi" w:hAnsiTheme="minorHAnsi"/>
          <w:bCs/>
        </w:rPr>
        <w:t xml:space="preserve">, and would require </w:t>
      </w:r>
      <w:r w:rsidRPr="00E42A3C">
        <w:rPr>
          <w:rFonts w:asciiTheme="minorHAnsi" w:hAnsiTheme="minorHAnsi"/>
          <w:bCs/>
        </w:rPr>
        <w:t xml:space="preserve">renovations to keep up with advances but affirms that it is unable to undertake those renovations in the current facility, </w:t>
      </w:r>
      <w:r w:rsidR="0017729C">
        <w:rPr>
          <w:rFonts w:asciiTheme="minorHAnsi" w:hAnsiTheme="minorHAnsi"/>
          <w:bCs/>
        </w:rPr>
        <w:t>citing</w:t>
      </w:r>
      <w:r w:rsidRPr="00E42A3C">
        <w:rPr>
          <w:rFonts w:asciiTheme="minorHAnsi" w:hAnsiTheme="minorHAnsi"/>
          <w:bCs/>
        </w:rPr>
        <w:t xml:space="preserve"> </w:t>
      </w:r>
      <w:r w:rsidR="0017729C">
        <w:rPr>
          <w:rFonts w:asciiTheme="minorHAnsi" w:hAnsiTheme="minorHAnsi"/>
          <w:bCs/>
        </w:rPr>
        <w:t>its lack of control of the space</w:t>
      </w:r>
      <w:r w:rsidRPr="00E42A3C">
        <w:rPr>
          <w:rFonts w:asciiTheme="minorHAnsi" w:hAnsiTheme="minorHAnsi"/>
          <w:bCs/>
        </w:rPr>
        <w:t>. The Applicant states the need for renovations is documented in patient satisfaction scores from Press-Ganey</w:t>
      </w:r>
      <w:r w:rsidR="00BD3C7F">
        <w:rPr>
          <w:rFonts w:asciiTheme="minorHAnsi" w:hAnsiTheme="minorHAnsi"/>
          <w:bCs/>
        </w:rPr>
        <w:t>:</w:t>
      </w:r>
      <w:r w:rsidRPr="00E42A3C">
        <w:rPr>
          <w:rFonts w:asciiTheme="minorHAnsi" w:hAnsiTheme="minorHAnsi"/>
          <w:bCs/>
        </w:rPr>
        <w:t xml:space="preserve"> For the last quarter of 2023, the overall rating for the Applicant’s inpatient care was in the 94</w:t>
      </w:r>
      <w:r w:rsidRPr="00E42A3C">
        <w:rPr>
          <w:rFonts w:asciiTheme="minorHAnsi" w:hAnsiTheme="minorHAnsi"/>
          <w:bCs/>
          <w:vertAlign w:val="superscript"/>
        </w:rPr>
        <w:t>th</w:t>
      </w:r>
      <w:r w:rsidRPr="00E42A3C">
        <w:rPr>
          <w:rFonts w:asciiTheme="minorHAnsi" w:hAnsiTheme="minorHAnsi"/>
          <w:bCs/>
        </w:rPr>
        <w:t xml:space="preserve"> percentile while the “hospital environment” scored in the 38</w:t>
      </w:r>
      <w:r w:rsidRPr="00E42A3C">
        <w:rPr>
          <w:rFonts w:asciiTheme="minorHAnsi" w:hAnsiTheme="minorHAnsi"/>
          <w:bCs/>
          <w:vertAlign w:val="superscript"/>
        </w:rPr>
        <w:t>th</w:t>
      </w:r>
      <w:r w:rsidRPr="00E42A3C">
        <w:rPr>
          <w:rFonts w:asciiTheme="minorHAnsi" w:hAnsiTheme="minorHAnsi"/>
          <w:bCs/>
        </w:rPr>
        <w:t xml:space="preserve"> percentile, and the </w:t>
      </w:r>
      <w:r w:rsidR="00EA78BB">
        <w:rPr>
          <w:rFonts w:asciiTheme="minorHAnsi" w:hAnsiTheme="minorHAnsi"/>
          <w:bCs/>
        </w:rPr>
        <w:t>“</w:t>
      </w:r>
      <w:r w:rsidRPr="00E42A3C">
        <w:rPr>
          <w:rFonts w:asciiTheme="minorHAnsi" w:hAnsiTheme="minorHAnsi"/>
          <w:bCs/>
        </w:rPr>
        <w:t>quietness of the environment</w:t>
      </w:r>
      <w:r w:rsidR="00EA78BB">
        <w:rPr>
          <w:rFonts w:asciiTheme="minorHAnsi" w:hAnsiTheme="minorHAnsi"/>
          <w:bCs/>
        </w:rPr>
        <w:t>”</w:t>
      </w:r>
      <w:r w:rsidRPr="00E42A3C">
        <w:rPr>
          <w:rFonts w:asciiTheme="minorHAnsi" w:hAnsiTheme="minorHAnsi"/>
          <w:bCs/>
        </w:rPr>
        <w:t xml:space="preserve"> score</w:t>
      </w:r>
      <w:r w:rsidR="00EA78BB">
        <w:rPr>
          <w:rFonts w:asciiTheme="minorHAnsi" w:hAnsiTheme="minorHAnsi"/>
          <w:bCs/>
        </w:rPr>
        <w:t>d</w:t>
      </w:r>
      <w:r w:rsidRPr="00E42A3C">
        <w:rPr>
          <w:rFonts w:asciiTheme="minorHAnsi" w:hAnsiTheme="minorHAnsi"/>
          <w:bCs/>
        </w:rPr>
        <w:t xml:space="preserve"> in the 13</w:t>
      </w:r>
      <w:r w:rsidRPr="00E42A3C">
        <w:rPr>
          <w:rFonts w:asciiTheme="minorHAnsi" w:hAnsiTheme="minorHAnsi"/>
          <w:bCs/>
          <w:vertAlign w:val="superscript"/>
        </w:rPr>
        <w:t>th</w:t>
      </w:r>
      <w:r w:rsidRPr="00E42A3C">
        <w:rPr>
          <w:rFonts w:asciiTheme="minorHAnsi" w:hAnsiTheme="minorHAnsi"/>
          <w:bCs/>
        </w:rPr>
        <w:t xml:space="preserve"> percentile. The Applicant states that the scores reflect the lack of adequate space in the current facility for the use of technology and equipment which </w:t>
      </w:r>
      <w:r w:rsidR="00E321D7">
        <w:rPr>
          <w:rFonts w:asciiTheme="minorHAnsi" w:hAnsiTheme="minorHAnsi"/>
          <w:bCs/>
        </w:rPr>
        <w:t>while</w:t>
      </w:r>
      <w:r w:rsidRPr="00E42A3C">
        <w:rPr>
          <w:rFonts w:asciiTheme="minorHAnsi" w:hAnsiTheme="minorHAnsi"/>
          <w:bCs/>
        </w:rPr>
        <w:t xml:space="preserve"> vital to standard cancer treatment</w:t>
      </w:r>
      <w:r w:rsidR="00E321D7">
        <w:rPr>
          <w:rFonts w:asciiTheme="minorHAnsi" w:hAnsiTheme="minorHAnsi"/>
          <w:bCs/>
        </w:rPr>
        <w:t xml:space="preserve"> </w:t>
      </w:r>
      <w:r w:rsidRPr="00E42A3C">
        <w:rPr>
          <w:rFonts w:asciiTheme="minorHAnsi" w:hAnsiTheme="minorHAnsi"/>
          <w:bCs/>
        </w:rPr>
        <w:t xml:space="preserve">cannot be easily accommodated in the current physical plant. </w:t>
      </w:r>
    </w:p>
    <w:p w14:paraId="0D529FB1" w14:textId="77777777" w:rsidR="00155855" w:rsidRDefault="00155855" w:rsidP="00BA2054">
      <w:pPr>
        <w:pStyle w:val="BodyText"/>
        <w:rPr>
          <w:rFonts w:asciiTheme="minorHAnsi" w:hAnsiTheme="minorHAnsi"/>
        </w:rPr>
      </w:pPr>
    </w:p>
    <w:p w14:paraId="4D152582" w14:textId="2EB20E44" w:rsidR="004B1ACE" w:rsidRPr="004B1ACE" w:rsidRDefault="000F64D9" w:rsidP="00BA2054">
      <w:pPr>
        <w:pStyle w:val="BodyText"/>
        <w:rPr>
          <w:rFonts w:asciiTheme="minorHAnsi" w:hAnsiTheme="minorHAnsi"/>
        </w:rPr>
      </w:pPr>
      <w:r w:rsidRPr="001668BA">
        <w:rPr>
          <w:rFonts w:asciiTheme="minorHAnsi" w:hAnsiTheme="minorHAnsi"/>
        </w:rPr>
        <w:t xml:space="preserve">The Applicant states that the Proposed Project will </w:t>
      </w:r>
      <w:r w:rsidR="0012706C" w:rsidRPr="001668BA">
        <w:rPr>
          <w:rFonts w:asciiTheme="minorHAnsi" w:hAnsiTheme="minorHAnsi"/>
        </w:rPr>
        <w:t xml:space="preserve">support a patient-centric inpatient experience that improves </w:t>
      </w:r>
      <w:r w:rsidR="000E4C17" w:rsidRPr="001668BA">
        <w:rPr>
          <w:rFonts w:asciiTheme="minorHAnsi" w:hAnsiTheme="minorHAnsi"/>
        </w:rPr>
        <w:t xml:space="preserve">health </w:t>
      </w:r>
      <w:r w:rsidR="0012706C" w:rsidRPr="001668BA">
        <w:rPr>
          <w:rFonts w:asciiTheme="minorHAnsi" w:hAnsiTheme="minorHAnsi"/>
        </w:rPr>
        <w:t>outcomes, quality of life and patient experience</w:t>
      </w:r>
      <w:r w:rsidRPr="001668BA">
        <w:rPr>
          <w:rFonts w:asciiTheme="minorHAnsi" w:hAnsiTheme="minorHAnsi"/>
        </w:rPr>
        <w:t xml:space="preserve"> through the inclu</w:t>
      </w:r>
      <w:r w:rsidR="005D7817" w:rsidRPr="001668BA">
        <w:rPr>
          <w:rFonts w:asciiTheme="minorHAnsi" w:hAnsiTheme="minorHAnsi"/>
        </w:rPr>
        <w:t>sion</w:t>
      </w:r>
      <w:r w:rsidRPr="001668BA">
        <w:rPr>
          <w:rFonts w:asciiTheme="minorHAnsi" w:hAnsiTheme="minorHAnsi"/>
        </w:rPr>
        <w:t xml:space="preserve"> of</w:t>
      </w:r>
      <w:r w:rsidR="0012706C" w:rsidRPr="001668BA">
        <w:rPr>
          <w:rFonts w:asciiTheme="minorHAnsi" w:hAnsiTheme="minorHAnsi"/>
        </w:rPr>
        <w:t xml:space="preserve"> </w:t>
      </w:r>
      <w:r w:rsidR="00E321D7" w:rsidRPr="001668BA">
        <w:rPr>
          <w:rFonts w:asciiTheme="minorHAnsi" w:hAnsiTheme="minorHAnsi"/>
        </w:rPr>
        <w:t xml:space="preserve">the </w:t>
      </w:r>
      <w:r w:rsidR="0012706C" w:rsidRPr="001668BA">
        <w:rPr>
          <w:rFonts w:asciiTheme="minorHAnsi" w:hAnsiTheme="minorHAnsi"/>
        </w:rPr>
        <w:t>advanced telemedicine capacities, spaces and technology for family meetings, ICU-level capabilities to reduce the number of needed patient transfers, virtual reality systems for patient education and treatment, clinical trial units with collaborative research space to foster interdisciplinary work, adaptable room designs for changing technology and treatment needs, and improved accessibility to patient rooms and bathrooms.</w:t>
      </w:r>
      <w:r w:rsidR="00AC001B" w:rsidRPr="001668BA">
        <w:rPr>
          <w:rFonts w:asciiTheme="minorHAnsi" w:hAnsiTheme="minorHAnsi"/>
        </w:rPr>
        <w:t xml:space="preserve"> </w:t>
      </w:r>
      <w:r w:rsidR="007E4FAA" w:rsidRPr="001668BA">
        <w:rPr>
          <w:rFonts w:asciiTheme="minorHAnsi" w:hAnsiTheme="minorHAnsi"/>
        </w:rPr>
        <w:t xml:space="preserve">The Applicant states that </w:t>
      </w:r>
      <w:r w:rsidR="00983821" w:rsidRPr="001668BA">
        <w:rPr>
          <w:rFonts w:asciiTheme="minorHAnsi" w:hAnsiTheme="minorHAnsi"/>
        </w:rPr>
        <w:t xml:space="preserve">through the Proposed Project, it will be able to make investments in </w:t>
      </w:r>
      <w:r w:rsidR="0077374D" w:rsidRPr="001668BA">
        <w:rPr>
          <w:rFonts w:asciiTheme="minorHAnsi" w:hAnsiTheme="minorHAnsi"/>
        </w:rPr>
        <w:t>designing cutting edge solutions focused on the oncology experience, and provid</w:t>
      </w:r>
      <w:r w:rsidR="009B30E6" w:rsidRPr="001668BA">
        <w:rPr>
          <w:rFonts w:asciiTheme="minorHAnsi" w:hAnsiTheme="minorHAnsi"/>
        </w:rPr>
        <w:t>e</w:t>
      </w:r>
      <w:r w:rsidR="0077374D" w:rsidRPr="001668BA">
        <w:rPr>
          <w:rFonts w:asciiTheme="minorHAnsi" w:hAnsiTheme="minorHAnsi"/>
        </w:rPr>
        <w:t xml:space="preserve"> for accessible equitable care using technology solutions</w:t>
      </w:r>
      <w:r w:rsidR="003E3883" w:rsidRPr="001668BA">
        <w:rPr>
          <w:rFonts w:asciiTheme="minorHAnsi" w:hAnsiTheme="minorHAnsi"/>
        </w:rPr>
        <w:t>. The Applicant states that these types of</w:t>
      </w:r>
      <w:r w:rsidR="0077374D" w:rsidRPr="001668BA">
        <w:rPr>
          <w:rFonts w:asciiTheme="minorHAnsi" w:hAnsiTheme="minorHAnsi"/>
        </w:rPr>
        <w:t xml:space="preserve"> </w:t>
      </w:r>
      <w:r w:rsidR="00557B45" w:rsidRPr="001668BA">
        <w:rPr>
          <w:rFonts w:asciiTheme="minorHAnsi" w:hAnsiTheme="minorHAnsi"/>
        </w:rPr>
        <w:t xml:space="preserve">investments are not currently feasible </w:t>
      </w:r>
      <w:r w:rsidR="005662CE" w:rsidRPr="001668BA">
        <w:rPr>
          <w:rFonts w:asciiTheme="minorHAnsi" w:hAnsiTheme="minorHAnsi"/>
        </w:rPr>
        <w:t xml:space="preserve">nor </w:t>
      </w:r>
      <w:r w:rsidR="003E3883" w:rsidRPr="001668BA">
        <w:rPr>
          <w:rFonts w:asciiTheme="minorHAnsi" w:hAnsiTheme="minorHAnsi"/>
        </w:rPr>
        <w:t xml:space="preserve">are they </w:t>
      </w:r>
      <w:r w:rsidR="005662CE" w:rsidRPr="001668BA">
        <w:rPr>
          <w:rFonts w:asciiTheme="minorHAnsi" w:hAnsiTheme="minorHAnsi"/>
        </w:rPr>
        <w:t xml:space="preserve">cost effective </w:t>
      </w:r>
      <w:r w:rsidR="00557B45" w:rsidRPr="001668BA">
        <w:rPr>
          <w:rFonts w:asciiTheme="minorHAnsi" w:hAnsiTheme="minorHAnsi"/>
        </w:rPr>
        <w:t xml:space="preserve">to address in </w:t>
      </w:r>
      <w:r w:rsidR="003E3883" w:rsidRPr="001668BA">
        <w:rPr>
          <w:rFonts w:asciiTheme="minorHAnsi" w:hAnsiTheme="minorHAnsi"/>
        </w:rPr>
        <w:t>the Applicant’s</w:t>
      </w:r>
      <w:r w:rsidR="00557B45" w:rsidRPr="001668BA">
        <w:rPr>
          <w:rFonts w:asciiTheme="minorHAnsi" w:hAnsiTheme="minorHAnsi"/>
        </w:rPr>
        <w:t xml:space="preserve"> </w:t>
      </w:r>
      <w:r w:rsidR="001A452E" w:rsidRPr="001668BA">
        <w:rPr>
          <w:rFonts w:asciiTheme="minorHAnsi" w:hAnsiTheme="minorHAnsi"/>
        </w:rPr>
        <w:t>30 licensed beds.</w:t>
      </w:r>
      <w:r w:rsidR="001A452E">
        <w:rPr>
          <w:rFonts w:asciiTheme="minorHAnsi" w:hAnsiTheme="minorHAnsi"/>
        </w:rPr>
        <w:t xml:space="preserve"> </w:t>
      </w:r>
    </w:p>
    <w:p w14:paraId="3650C330" w14:textId="77777777" w:rsidR="004B1ACE" w:rsidRDefault="004B1ACE" w:rsidP="00BA2054">
      <w:pPr>
        <w:pStyle w:val="BodyText"/>
        <w:rPr>
          <w:rFonts w:asciiTheme="minorHAnsi" w:hAnsiTheme="minorHAnsi"/>
        </w:rPr>
      </w:pPr>
    </w:p>
    <w:p w14:paraId="24944805" w14:textId="6ADB1690" w:rsidR="00DC1DA7" w:rsidRDefault="0057212F" w:rsidP="00BA2054">
      <w:pPr>
        <w:pStyle w:val="BodyText"/>
        <w:rPr>
          <w:rFonts w:asciiTheme="minorHAnsi" w:hAnsiTheme="minorHAnsi"/>
        </w:rPr>
      </w:pPr>
      <w:r>
        <w:rPr>
          <w:rFonts w:asciiTheme="minorHAnsi" w:hAnsiTheme="minorHAnsi"/>
        </w:rPr>
        <w:t>The Applicant states s</w:t>
      </w:r>
      <w:r w:rsidR="008F0929">
        <w:rPr>
          <w:rFonts w:asciiTheme="minorHAnsi" w:hAnsiTheme="minorHAnsi"/>
        </w:rPr>
        <w:t>pecifically, the Proposed Project will:</w:t>
      </w:r>
    </w:p>
    <w:p w14:paraId="4AB1CBE5" w14:textId="71FD7CC8" w:rsidR="00122381" w:rsidRDefault="00071DBA" w:rsidP="00F91720">
      <w:pPr>
        <w:pStyle w:val="BodyText"/>
        <w:numPr>
          <w:ilvl w:val="0"/>
          <w:numId w:val="4"/>
        </w:numPr>
        <w:rPr>
          <w:rFonts w:asciiTheme="minorHAnsi" w:hAnsiTheme="minorHAnsi"/>
        </w:rPr>
      </w:pPr>
      <w:r>
        <w:rPr>
          <w:rFonts w:asciiTheme="minorHAnsi" w:hAnsiTheme="minorHAnsi"/>
        </w:rPr>
        <w:lastRenderedPageBreak/>
        <w:t>o</w:t>
      </w:r>
      <w:r w:rsidR="00471613">
        <w:rPr>
          <w:rFonts w:asciiTheme="minorHAnsi" w:hAnsiTheme="minorHAnsi"/>
        </w:rPr>
        <w:t>ffer greater</w:t>
      </w:r>
      <w:r w:rsidR="00A76DAF">
        <w:rPr>
          <w:rFonts w:asciiTheme="minorHAnsi" w:hAnsiTheme="minorHAnsi"/>
        </w:rPr>
        <w:t xml:space="preserve"> access to </w:t>
      </w:r>
      <w:r w:rsidR="00D64875">
        <w:rPr>
          <w:rFonts w:asciiTheme="minorHAnsi" w:hAnsiTheme="minorHAnsi"/>
        </w:rPr>
        <w:t xml:space="preserve">high quality </w:t>
      </w:r>
      <w:r w:rsidR="00471613">
        <w:rPr>
          <w:rFonts w:asciiTheme="minorHAnsi" w:hAnsiTheme="minorHAnsi"/>
        </w:rPr>
        <w:t xml:space="preserve">inpatient medical oncology and radiation therapy services </w:t>
      </w:r>
      <w:r w:rsidR="00A76DAF">
        <w:rPr>
          <w:rFonts w:asciiTheme="minorHAnsi" w:hAnsiTheme="minorHAnsi"/>
        </w:rPr>
        <w:t xml:space="preserve">for patients </w:t>
      </w:r>
      <w:r w:rsidR="00471613">
        <w:rPr>
          <w:rFonts w:asciiTheme="minorHAnsi" w:hAnsiTheme="minorHAnsi"/>
        </w:rPr>
        <w:t>requiring</w:t>
      </w:r>
      <w:r w:rsidR="00D64875">
        <w:rPr>
          <w:rFonts w:asciiTheme="minorHAnsi" w:hAnsiTheme="minorHAnsi"/>
        </w:rPr>
        <w:t xml:space="preserve"> advanced cancer care</w:t>
      </w:r>
      <w:r w:rsidR="005E0486">
        <w:rPr>
          <w:rFonts w:asciiTheme="minorHAnsi" w:hAnsiTheme="minorHAnsi"/>
        </w:rPr>
        <w:t>;</w:t>
      </w:r>
    </w:p>
    <w:p w14:paraId="5B34CD9E" w14:textId="24A90935" w:rsidR="00122381" w:rsidRDefault="00071DBA" w:rsidP="00F91720">
      <w:pPr>
        <w:pStyle w:val="BodyText"/>
        <w:numPr>
          <w:ilvl w:val="0"/>
          <w:numId w:val="4"/>
        </w:numPr>
        <w:rPr>
          <w:rFonts w:asciiTheme="minorHAnsi" w:hAnsiTheme="minorHAnsi"/>
        </w:rPr>
      </w:pPr>
      <w:r>
        <w:rPr>
          <w:rFonts w:asciiTheme="minorHAnsi" w:hAnsiTheme="minorHAnsi"/>
        </w:rPr>
        <w:t>m</w:t>
      </w:r>
      <w:r w:rsidR="009E32C4">
        <w:rPr>
          <w:rFonts w:asciiTheme="minorHAnsi" w:hAnsiTheme="minorHAnsi"/>
        </w:rPr>
        <w:t xml:space="preserve">eet </w:t>
      </w:r>
      <w:r w:rsidR="00123DFB">
        <w:rPr>
          <w:rFonts w:asciiTheme="minorHAnsi" w:hAnsiTheme="minorHAnsi"/>
        </w:rPr>
        <w:t>Patient Panel</w:t>
      </w:r>
      <w:r w:rsidR="009E32C4">
        <w:rPr>
          <w:rFonts w:asciiTheme="minorHAnsi" w:hAnsiTheme="minorHAnsi"/>
        </w:rPr>
        <w:t xml:space="preserve"> need for equipment to provide needed treatment</w:t>
      </w:r>
      <w:r w:rsidR="005E0486">
        <w:rPr>
          <w:rFonts w:asciiTheme="minorHAnsi" w:hAnsiTheme="minorHAnsi"/>
        </w:rPr>
        <w:t>;</w:t>
      </w:r>
    </w:p>
    <w:p w14:paraId="11E1A816" w14:textId="2B65EBE2" w:rsidR="00A04094" w:rsidRDefault="00DB1F41" w:rsidP="00F91720">
      <w:pPr>
        <w:pStyle w:val="BodyText"/>
        <w:numPr>
          <w:ilvl w:val="0"/>
          <w:numId w:val="4"/>
        </w:numPr>
        <w:rPr>
          <w:rFonts w:asciiTheme="minorHAnsi" w:hAnsiTheme="minorHAnsi"/>
        </w:rPr>
      </w:pPr>
      <w:r>
        <w:rPr>
          <w:rFonts w:asciiTheme="minorHAnsi" w:hAnsiTheme="minorHAnsi"/>
        </w:rPr>
        <w:t xml:space="preserve">create additional inpatient capacity that will help to </w:t>
      </w:r>
      <w:r w:rsidR="00071DBA">
        <w:rPr>
          <w:rFonts w:asciiTheme="minorHAnsi" w:hAnsiTheme="minorHAnsi"/>
        </w:rPr>
        <w:t>r</w:t>
      </w:r>
      <w:r w:rsidR="00A04094" w:rsidRPr="5AC4FF5C">
        <w:rPr>
          <w:rFonts w:asciiTheme="minorHAnsi" w:hAnsiTheme="minorHAnsi"/>
        </w:rPr>
        <w:t xml:space="preserve">educe </w:t>
      </w:r>
      <w:r w:rsidR="00D439C3" w:rsidRPr="5AC4FF5C">
        <w:rPr>
          <w:rFonts w:asciiTheme="minorHAnsi" w:hAnsiTheme="minorHAnsi"/>
        </w:rPr>
        <w:t>ED boarding</w:t>
      </w:r>
      <w:r w:rsidR="00A82362" w:rsidRPr="5AC4FF5C" w:rsidDel="00DB1F41">
        <w:rPr>
          <w:rFonts w:asciiTheme="minorHAnsi" w:hAnsiTheme="minorHAnsi"/>
        </w:rPr>
        <w:t xml:space="preserve">, </w:t>
      </w:r>
      <w:r w:rsidR="00FE2F98" w:rsidRPr="5AC4FF5C" w:rsidDel="00DB1F41">
        <w:rPr>
          <w:rFonts w:asciiTheme="minorHAnsi" w:hAnsiTheme="minorHAnsi"/>
        </w:rPr>
        <w:t>which is associated with negative patient</w:t>
      </w:r>
      <w:r w:rsidR="00D524BB" w:rsidRPr="5AC4FF5C" w:rsidDel="00DB1F41">
        <w:rPr>
          <w:rFonts w:asciiTheme="minorHAnsi" w:hAnsiTheme="minorHAnsi"/>
        </w:rPr>
        <w:t>-</w:t>
      </w:r>
      <w:r w:rsidR="00FE2F98" w:rsidRPr="5AC4FF5C" w:rsidDel="00DB1F41">
        <w:rPr>
          <w:rFonts w:asciiTheme="minorHAnsi" w:hAnsiTheme="minorHAnsi"/>
        </w:rPr>
        <w:t>related outcomes</w:t>
      </w:r>
      <w:r w:rsidR="005E0486" w:rsidRPr="5AC4FF5C">
        <w:rPr>
          <w:rFonts w:asciiTheme="minorHAnsi" w:hAnsiTheme="minorHAnsi"/>
        </w:rPr>
        <w:t>;</w:t>
      </w:r>
      <w:r w:rsidR="00D439C3" w:rsidRPr="5AC4FF5C">
        <w:rPr>
          <w:rFonts w:asciiTheme="minorHAnsi" w:hAnsiTheme="minorHAnsi"/>
        </w:rPr>
        <w:t xml:space="preserve"> </w:t>
      </w:r>
    </w:p>
    <w:p w14:paraId="3EA66A26" w14:textId="4F3AA723" w:rsidR="00FE2F98" w:rsidRDefault="00071DBA" w:rsidP="00F91720">
      <w:pPr>
        <w:pStyle w:val="BodyText"/>
        <w:numPr>
          <w:ilvl w:val="0"/>
          <w:numId w:val="4"/>
        </w:numPr>
        <w:rPr>
          <w:rFonts w:asciiTheme="minorHAnsi" w:hAnsiTheme="minorHAnsi"/>
        </w:rPr>
      </w:pPr>
      <w:r>
        <w:rPr>
          <w:rFonts w:asciiTheme="minorHAnsi" w:hAnsiTheme="minorHAnsi"/>
        </w:rPr>
        <w:t>r</w:t>
      </w:r>
      <w:r w:rsidR="00FE2F98">
        <w:rPr>
          <w:rFonts w:asciiTheme="minorHAnsi" w:hAnsiTheme="minorHAnsi"/>
        </w:rPr>
        <w:t>educe delays in access to care, which is associated with poor outcomes and increased mortality</w:t>
      </w:r>
      <w:r w:rsidR="00F24641">
        <w:rPr>
          <w:rFonts w:asciiTheme="minorHAnsi" w:hAnsiTheme="minorHAnsi"/>
        </w:rPr>
        <w:t>;</w:t>
      </w:r>
      <w:r w:rsidR="005E0486">
        <w:rPr>
          <w:rFonts w:asciiTheme="minorHAnsi" w:hAnsiTheme="minorHAnsi"/>
        </w:rPr>
        <w:t xml:space="preserve"> and </w:t>
      </w:r>
      <w:r w:rsidR="00FE2F98">
        <w:rPr>
          <w:rFonts w:asciiTheme="minorHAnsi" w:hAnsiTheme="minorHAnsi"/>
        </w:rPr>
        <w:t xml:space="preserve"> </w:t>
      </w:r>
    </w:p>
    <w:p w14:paraId="2400C9BA" w14:textId="182AC98D" w:rsidR="00CF669A" w:rsidRPr="00CF669A" w:rsidRDefault="00071DBA" w:rsidP="00F91720">
      <w:pPr>
        <w:pStyle w:val="BodyText"/>
        <w:numPr>
          <w:ilvl w:val="0"/>
          <w:numId w:val="4"/>
        </w:numPr>
        <w:rPr>
          <w:rFonts w:asciiTheme="minorHAnsi" w:hAnsiTheme="minorHAnsi"/>
        </w:rPr>
      </w:pPr>
      <w:r>
        <w:rPr>
          <w:rFonts w:asciiTheme="minorHAnsi" w:hAnsiTheme="minorHAnsi"/>
        </w:rPr>
        <w:t>i</w:t>
      </w:r>
      <w:r w:rsidR="00CF669A" w:rsidRPr="00CF669A">
        <w:rPr>
          <w:rFonts w:asciiTheme="minorHAnsi" w:hAnsiTheme="minorHAnsi"/>
        </w:rPr>
        <w:t xml:space="preserve">mprove access to clinical trials. </w:t>
      </w:r>
    </w:p>
    <w:p w14:paraId="45AEA1B2" w14:textId="1DA2DCA4" w:rsidR="00B26589" w:rsidRDefault="00B26589" w:rsidP="00BA2054">
      <w:pPr>
        <w:pStyle w:val="BodyText"/>
        <w:rPr>
          <w:rFonts w:asciiTheme="minorHAnsi" w:hAnsiTheme="minorHAnsi"/>
        </w:rPr>
      </w:pPr>
    </w:p>
    <w:p w14:paraId="233DA031" w14:textId="750522AE" w:rsidR="00FE4E5E" w:rsidRDefault="00CE2652" w:rsidP="003B2CD4">
      <w:pPr>
        <w:pStyle w:val="BodyText"/>
        <w:rPr>
          <w:rFonts w:asciiTheme="minorHAnsi" w:hAnsiTheme="minorHAnsi"/>
        </w:rPr>
      </w:pPr>
      <w:r w:rsidRPr="36B2A8D2">
        <w:rPr>
          <w:rFonts w:asciiTheme="minorHAnsi" w:hAnsiTheme="minorHAnsi"/>
        </w:rPr>
        <w:t xml:space="preserve">The Applicant </w:t>
      </w:r>
      <w:r w:rsidR="00E20398">
        <w:rPr>
          <w:rFonts w:asciiTheme="minorHAnsi" w:hAnsiTheme="minorHAnsi"/>
        </w:rPr>
        <w:t xml:space="preserve">also </w:t>
      </w:r>
      <w:r w:rsidRPr="36B2A8D2">
        <w:rPr>
          <w:rFonts w:asciiTheme="minorHAnsi" w:hAnsiTheme="minorHAnsi"/>
        </w:rPr>
        <w:t>states</w:t>
      </w:r>
      <w:r w:rsidR="00EB23CF">
        <w:rPr>
          <w:rFonts w:asciiTheme="minorHAnsi" w:hAnsiTheme="minorHAnsi"/>
        </w:rPr>
        <w:t xml:space="preserve"> </w:t>
      </w:r>
      <w:r w:rsidRPr="36B2A8D2">
        <w:rPr>
          <w:rFonts w:asciiTheme="minorHAnsi" w:hAnsiTheme="minorHAnsi"/>
        </w:rPr>
        <w:t>tha</w:t>
      </w:r>
      <w:r w:rsidR="00EE656C" w:rsidRPr="36B2A8D2">
        <w:rPr>
          <w:rFonts w:asciiTheme="minorHAnsi" w:hAnsiTheme="minorHAnsi"/>
        </w:rPr>
        <w:t>t policies of general hospitals don’t always serve the unique interests o</w:t>
      </w:r>
      <w:r w:rsidR="00EB23CF">
        <w:rPr>
          <w:rFonts w:asciiTheme="minorHAnsi" w:hAnsiTheme="minorHAnsi"/>
        </w:rPr>
        <w:t>r</w:t>
      </w:r>
      <w:r w:rsidR="00EE656C" w:rsidRPr="36B2A8D2">
        <w:rPr>
          <w:rFonts w:asciiTheme="minorHAnsi" w:hAnsiTheme="minorHAnsi"/>
        </w:rPr>
        <w:t xml:space="preserve"> needs of the cancer population, citing </w:t>
      </w:r>
      <w:r w:rsidR="00F40847" w:rsidRPr="36B2A8D2">
        <w:rPr>
          <w:rFonts w:asciiTheme="minorHAnsi" w:hAnsiTheme="minorHAnsi"/>
        </w:rPr>
        <w:t xml:space="preserve">conflicting </w:t>
      </w:r>
      <w:r w:rsidR="001D175D" w:rsidRPr="36B2A8D2">
        <w:rPr>
          <w:rFonts w:asciiTheme="minorHAnsi" w:hAnsiTheme="minorHAnsi"/>
        </w:rPr>
        <w:t>practices</w:t>
      </w:r>
      <w:r w:rsidR="00F40847" w:rsidRPr="36B2A8D2">
        <w:rPr>
          <w:rFonts w:asciiTheme="minorHAnsi" w:hAnsiTheme="minorHAnsi"/>
        </w:rPr>
        <w:t xml:space="preserve"> </w:t>
      </w:r>
      <w:r w:rsidR="001D175D" w:rsidRPr="36B2A8D2">
        <w:rPr>
          <w:rFonts w:asciiTheme="minorHAnsi" w:hAnsiTheme="minorHAnsi"/>
        </w:rPr>
        <w:t>for</w:t>
      </w:r>
      <w:r w:rsidR="00986D88" w:rsidRPr="36B2A8D2">
        <w:rPr>
          <w:rFonts w:asciiTheme="minorHAnsi" w:hAnsiTheme="minorHAnsi"/>
        </w:rPr>
        <w:t xml:space="preserve"> </w:t>
      </w:r>
      <w:r w:rsidR="004A3E8B">
        <w:rPr>
          <w:rFonts w:asciiTheme="minorHAnsi" w:hAnsiTheme="minorHAnsi"/>
        </w:rPr>
        <w:t>treating</w:t>
      </w:r>
      <w:r w:rsidR="001D175D" w:rsidRPr="36B2A8D2">
        <w:rPr>
          <w:rFonts w:asciiTheme="minorHAnsi" w:hAnsiTheme="minorHAnsi"/>
        </w:rPr>
        <w:t xml:space="preserve"> patients </w:t>
      </w:r>
      <w:r w:rsidR="00986D88" w:rsidRPr="36B2A8D2">
        <w:rPr>
          <w:rFonts w:asciiTheme="minorHAnsi" w:hAnsiTheme="minorHAnsi"/>
        </w:rPr>
        <w:t xml:space="preserve">in Dana-Farber licensed beds and BWH-licensed beds </w:t>
      </w:r>
      <w:r w:rsidR="001D175D" w:rsidRPr="36B2A8D2">
        <w:rPr>
          <w:rFonts w:asciiTheme="minorHAnsi" w:hAnsiTheme="minorHAnsi"/>
        </w:rPr>
        <w:t>regarding infection control</w:t>
      </w:r>
      <w:r w:rsidR="008A519D">
        <w:rPr>
          <w:rStyle w:val="FootnoteReference"/>
          <w:rFonts w:asciiTheme="minorHAnsi" w:hAnsiTheme="minorHAnsi"/>
        </w:rPr>
        <w:footnoteReference w:id="90"/>
      </w:r>
      <w:r w:rsidR="001D175D" w:rsidRPr="36B2A8D2">
        <w:rPr>
          <w:rFonts w:asciiTheme="minorHAnsi" w:hAnsiTheme="minorHAnsi"/>
        </w:rPr>
        <w:t xml:space="preserve"> </w:t>
      </w:r>
      <w:r w:rsidR="00290E8D" w:rsidRPr="36B2A8D2">
        <w:rPr>
          <w:rFonts w:asciiTheme="minorHAnsi" w:hAnsiTheme="minorHAnsi"/>
        </w:rPr>
        <w:t xml:space="preserve">and </w:t>
      </w:r>
      <w:r w:rsidR="001C64AE" w:rsidRPr="36B2A8D2">
        <w:rPr>
          <w:rFonts w:asciiTheme="minorHAnsi" w:hAnsiTheme="minorHAnsi"/>
        </w:rPr>
        <w:t xml:space="preserve">challenges </w:t>
      </w:r>
      <w:r w:rsidR="002179D0" w:rsidRPr="36B2A8D2">
        <w:rPr>
          <w:rFonts w:asciiTheme="minorHAnsi" w:hAnsiTheme="minorHAnsi"/>
        </w:rPr>
        <w:t xml:space="preserve">collecting </w:t>
      </w:r>
      <w:r w:rsidR="001C64AE" w:rsidRPr="36B2A8D2">
        <w:rPr>
          <w:rFonts w:asciiTheme="minorHAnsi" w:hAnsiTheme="minorHAnsi"/>
        </w:rPr>
        <w:t>routine data</w:t>
      </w:r>
      <w:r w:rsidR="002179D0" w:rsidRPr="36B2A8D2">
        <w:rPr>
          <w:rFonts w:asciiTheme="minorHAnsi" w:hAnsiTheme="minorHAnsi"/>
        </w:rPr>
        <w:t xml:space="preserve"> for the cancer patient population.</w:t>
      </w:r>
      <w:r w:rsidR="0017581C">
        <w:rPr>
          <w:rStyle w:val="FootnoteReference"/>
          <w:rFonts w:asciiTheme="minorHAnsi" w:hAnsiTheme="minorHAnsi"/>
        </w:rPr>
        <w:footnoteReference w:id="91"/>
      </w:r>
      <w:r w:rsidR="00470D03" w:rsidRPr="36B2A8D2">
        <w:rPr>
          <w:rFonts w:asciiTheme="minorHAnsi" w:hAnsiTheme="minorHAnsi"/>
        </w:rPr>
        <w:t xml:space="preserve"> </w:t>
      </w:r>
      <w:r w:rsidR="00ED3683" w:rsidRPr="36B2A8D2">
        <w:rPr>
          <w:rFonts w:asciiTheme="minorHAnsi" w:hAnsiTheme="minorHAnsi"/>
        </w:rPr>
        <w:t>The Applicant states that it expects survival rates,</w:t>
      </w:r>
      <w:r w:rsidR="000670DE" w:rsidRPr="36B2A8D2">
        <w:rPr>
          <w:rFonts w:asciiTheme="minorHAnsi" w:hAnsiTheme="minorHAnsi"/>
        </w:rPr>
        <w:t xml:space="preserve"> and</w:t>
      </w:r>
      <w:r w:rsidR="00ED3683" w:rsidRPr="36B2A8D2">
        <w:rPr>
          <w:rFonts w:asciiTheme="minorHAnsi" w:hAnsiTheme="minorHAnsi"/>
        </w:rPr>
        <w:t xml:space="preserve"> continuity of care</w:t>
      </w:r>
      <w:r w:rsidR="008640BF" w:rsidRPr="36B2A8D2">
        <w:rPr>
          <w:rFonts w:asciiTheme="minorHAnsi" w:hAnsiTheme="minorHAnsi"/>
        </w:rPr>
        <w:t xml:space="preserve"> to improve along with the ability to </w:t>
      </w:r>
      <w:r w:rsidR="00ED3683" w:rsidRPr="36B2A8D2">
        <w:rPr>
          <w:rFonts w:asciiTheme="minorHAnsi" w:hAnsiTheme="minorHAnsi"/>
        </w:rPr>
        <w:t>benchmark</w:t>
      </w:r>
      <w:r w:rsidR="008640BF" w:rsidRPr="36B2A8D2">
        <w:rPr>
          <w:rFonts w:asciiTheme="minorHAnsi" w:hAnsiTheme="minorHAnsi"/>
        </w:rPr>
        <w:t xml:space="preserve"> </w:t>
      </w:r>
      <w:r w:rsidR="00ED3683" w:rsidRPr="36B2A8D2">
        <w:rPr>
          <w:rFonts w:asciiTheme="minorHAnsi" w:hAnsiTheme="minorHAnsi"/>
        </w:rPr>
        <w:t>and track cancer-specific quality metrics</w:t>
      </w:r>
      <w:r w:rsidR="008640BF" w:rsidRPr="36B2A8D2">
        <w:rPr>
          <w:rFonts w:asciiTheme="minorHAnsi" w:hAnsiTheme="minorHAnsi"/>
        </w:rPr>
        <w:t xml:space="preserve">. </w:t>
      </w:r>
      <w:r w:rsidR="000D2B34">
        <w:rPr>
          <w:rFonts w:asciiTheme="minorHAnsi" w:hAnsiTheme="minorHAnsi"/>
        </w:rPr>
        <w:t>The Applicant asserts that</w:t>
      </w:r>
      <w:r w:rsidR="00ED3683" w:rsidRPr="36B2A8D2">
        <w:rPr>
          <w:rFonts w:asciiTheme="minorHAnsi" w:hAnsiTheme="minorHAnsi"/>
        </w:rPr>
        <w:t xml:space="preserve"> quality and inpatient patient satisfaction </w:t>
      </w:r>
      <w:r w:rsidR="008640BF" w:rsidRPr="36B2A8D2">
        <w:rPr>
          <w:rFonts w:asciiTheme="minorHAnsi" w:hAnsiTheme="minorHAnsi"/>
        </w:rPr>
        <w:t>will</w:t>
      </w:r>
      <w:r w:rsidR="00ED3683" w:rsidRPr="36B2A8D2">
        <w:rPr>
          <w:rFonts w:asciiTheme="minorHAnsi" w:hAnsiTheme="minorHAnsi"/>
        </w:rPr>
        <w:t xml:space="preserve"> improve and the number of adverse events </w:t>
      </w:r>
      <w:r w:rsidR="008640BF" w:rsidRPr="36B2A8D2">
        <w:rPr>
          <w:rFonts w:asciiTheme="minorHAnsi" w:hAnsiTheme="minorHAnsi"/>
        </w:rPr>
        <w:t>will</w:t>
      </w:r>
      <w:r w:rsidR="00ED3683" w:rsidRPr="36B2A8D2">
        <w:rPr>
          <w:rFonts w:asciiTheme="minorHAnsi" w:hAnsiTheme="minorHAnsi"/>
        </w:rPr>
        <w:t xml:space="preserve"> decrease, as a result of the Proposed Project</w:t>
      </w:r>
      <w:r w:rsidR="00470D03" w:rsidRPr="36B2A8D2">
        <w:rPr>
          <w:rFonts w:asciiTheme="minorHAnsi" w:hAnsiTheme="minorHAnsi"/>
        </w:rPr>
        <w:t xml:space="preserve"> and its sole focus on cancer care and treatment</w:t>
      </w:r>
      <w:r w:rsidR="00ED3683" w:rsidRPr="36B2A8D2">
        <w:rPr>
          <w:rFonts w:asciiTheme="minorHAnsi" w:hAnsiTheme="minorHAnsi"/>
        </w:rPr>
        <w:t xml:space="preserve">. </w:t>
      </w:r>
      <w:r w:rsidR="00DF7AFB" w:rsidRPr="36B2A8D2">
        <w:rPr>
          <w:rFonts w:asciiTheme="minorHAnsi" w:hAnsiTheme="minorHAnsi"/>
        </w:rPr>
        <w:t xml:space="preserve"> </w:t>
      </w:r>
    </w:p>
    <w:p w14:paraId="252C568D" w14:textId="77777777" w:rsidR="00DF7AFB" w:rsidRDefault="00DF7AFB" w:rsidP="00BA2054">
      <w:pPr>
        <w:pStyle w:val="BodyText"/>
        <w:rPr>
          <w:rFonts w:asciiTheme="minorHAnsi" w:hAnsiTheme="minorHAnsi"/>
        </w:rPr>
      </w:pPr>
    </w:p>
    <w:p w14:paraId="22012C83" w14:textId="02439F79" w:rsidR="007C5E32" w:rsidRDefault="00AC001B" w:rsidP="00BA2054">
      <w:pPr>
        <w:pStyle w:val="BodyText"/>
        <w:rPr>
          <w:rFonts w:asciiTheme="minorHAnsi" w:hAnsiTheme="minorHAnsi"/>
        </w:rPr>
      </w:pPr>
      <w:r>
        <w:rPr>
          <w:rFonts w:asciiTheme="minorHAnsi" w:hAnsiTheme="minorHAnsi"/>
        </w:rPr>
        <w:t>The</w:t>
      </w:r>
      <w:r w:rsidR="00886210" w:rsidRPr="00886210">
        <w:rPr>
          <w:rFonts w:asciiTheme="minorHAnsi" w:hAnsiTheme="minorHAnsi"/>
        </w:rPr>
        <w:t xml:space="preserve"> Applicant proposed metrics </w:t>
      </w:r>
      <w:r w:rsidR="00120865">
        <w:rPr>
          <w:rFonts w:asciiTheme="minorHAnsi" w:hAnsiTheme="minorHAnsi"/>
        </w:rPr>
        <w:t>to track</w:t>
      </w:r>
      <w:r>
        <w:rPr>
          <w:rFonts w:asciiTheme="minorHAnsi" w:hAnsiTheme="minorHAnsi"/>
        </w:rPr>
        <w:t xml:space="preserve"> the impact of the Proposed Project</w:t>
      </w:r>
      <w:r w:rsidR="00886210" w:rsidRPr="00886210">
        <w:rPr>
          <w:rFonts w:asciiTheme="minorHAnsi" w:hAnsiTheme="minorHAnsi"/>
        </w:rPr>
        <w:t>. The measures are presented in Appendix I</w:t>
      </w:r>
      <w:r w:rsidR="008E39FB">
        <w:rPr>
          <w:rFonts w:asciiTheme="minorHAnsi" w:hAnsiTheme="minorHAnsi"/>
        </w:rPr>
        <w:t>, along with additional measures proposed by staff</w:t>
      </w:r>
      <w:r w:rsidR="00596E4F">
        <w:rPr>
          <w:rFonts w:asciiTheme="minorHAnsi" w:hAnsiTheme="minorHAnsi"/>
        </w:rPr>
        <w:t>. The Applicant will track</w:t>
      </w:r>
      <w:r w:rsidR="00886210" w:rsidRPr="00886210">
        <w:rPr>
          <w:rFonts w:asciiTheme="minorHAnsi" w:hAnsiTheme="minorHAnsi"/>
        </w:rPr>
        <w:t xml:space="preserve"> and </w:t>
      </w:r>
      <w:r w:rsidR="00596E4F">
        <w:rPr>
          <w:rFonts w:asciiTheme="minorHAnsi" w:hAnsiTheme="minorHAnsi"/>
        </w:rPr>
        <w:t>report</w:t>
      </w:r>
      <w:r w:rsidR="00886210" w:rsidRPr="00886210">
        <w:rPr>
          <w:rFonts w:asciiTheme="minorHAnsi" w:hAnsiTheme="minorHAnsi"/>
        </w:rPr>
        <w:t xml:space="preserve"> on </w:t>
      </w:r>
      <w:r w:rsidR="00596E4F">
        <w:rPr>
          <w:rFonts w:asciiTheme="minorHAnsi" w:hAnsiTheme="minorHAnsi"/>
        </w:rPr>
        <w:t>the measures as part of their</w:t>
      </w:r>
      <w:r w:rsidR="00886210" w:rsidRPr="00886210">
        <w:rPr>
          <w:rFonts w:asciiTheme="minorHAnsi" w:hAnsiTheme="minorHAnsi"/>
        </w:rPr>
        <w:t xml:space="preserve"> annual </w:t>
      </w:r>
      <w:r w:rsidR="00596E4F">
        <w:rPr>
          <w:rFonts w:asciiTheme="minorHAnsi" w:hAnsiTheme="minorHAnsi"/>
        </w:rPr>
        <w:t>reporting</w:t>
      </w:r>
      <w:r w:rsidR="00886210" w:rsidRPr="00886210">
        <w:rPr>
          <w:rFonts w:asciiTheme="minorHAnsi" w:hAnsiTheme="minorHAnsi"/>
        </w:rPr>
        <w:t>.</w:t>
      </w:r>
    </w:p>
    <w:p w14:paraId="296689C8" w14:textId="77777777" w:rsidR="00FE2F98" w:rsidRDefault="00FE2F98" w:rsidP="00700D38">
      <w:pPr>
        <w:pStyle w:val="BodyText"/>
        <w:rPr>
          <w:rFonts w:asciiTheme="minorHAnsi" w:hAnsiTheme="minorHAnsi"/>
        </w:rPr>
      </w:pPr>
    </w:p>
    <w:p w14:paraId="221DF517" w14:textId="09B2C1C6" w:rsidR="00B447F3" w:rsidRDefault="00A4110F" w:rsidP="00932E5D">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7DC6939C" w14:textId="2EC79778" w:rsidR="004E4BB3" w:rsidRDefault="00CC1074" w:rsidP="00932E5D">
      <w:pPr>
        <w:rPr>
          <w:rFonts w:asciiTheme="minorHAnsi" w:hAnsiTheme="minorHAnsi"/>
          <w:b/>
          <w:bCs/>
          <w:i/>
          <w:iCs/>
          <w:szCs w:val="24"/>
        </w:rPr>
      </w:pPr>
      <w:r w:rsidRPr="00CC1074">
        <w:rPr>
          <w:rFonts w:asciiTheme="minorHAnsi" w:hAnsiTheme="minorHAnsi"/>
          <w:szCs w:val="24"/>
        </w:rPr>
        <w:t xml:space="preserve">Staff find that </w:t>
      </w:r>
      <w:r w:rsidR="007647FA">
        <w:rPr>
          <w:rFonts w:asciiTheme="minorHAnsi" w:hAnsiTheme="minorHAnsi"/>
          <w:szCs w:val="24"/>
        </w:rPr>
        <w:t xml:space="preserve">based on the information provided by the Applicant, </w:t>
      </w:r>
      <w:r w:rsidRPr="00CC1074">
        <w:rPr>
          <w:rFonts w:asciiTheme="minorHAnsi" w:hAnsiTheme="minorHAnsi"/>
          <w:szCs w:val="24"/>
        </w:rPr>
        <w:t xml:space="preserve">the various elements of the Proposed Project </w:t>
      </w:r>
      <w:r w:rsidR="007647FA">
        <w:rPr>
          <w:rFonts w:asciiTheme="minorHAnsi" w:hAnsiTheme="minorHAnsi"/>
          <w:szCs w:val="24"/>
        </w:rPr>
        <w:t>have the potential to</w:t>
      </w:r>
      <w:r w:rsidRPr="00CC1074">
        <w:rPr>
          <w:rFonts w:asciiTheme="minorHAnsi" w:hAnsiTheme="minorHAnsi"/>
          <w:szCs w:val="24"/>
        </w:rPr>
        <w:t xml:space="preserve"> contribute to improved health outcomes, quality of life, and patient satisfaction.</w:t>
      </w:r>
      <w:r w:rsidR="00300C35">
        <w:rPr>
          <w:rFonts w:asciiTheme="minorHAnsi" w:hAnsiTheme="minorHAnsi"/>
          <w:szCs w:val="24"/>
        </w:rPr>
        <w:t xml:space="preserve"> </w:t>
      </w:r>
      <w:r w:rsidRPr="00CC1074">
        <w:rPr>
          <w:rFonts w:asciiTheme="minorHAnsi" w:hAnsiTheme="minorHAnsi"/>
          <w:szCs w:val="24"/>
        </w:rPr>
        <w:t xml:space="preserve">The Applicant proposed specific outcome and process measures to track the impact of the Proposed Project, which staff have reviewed, and which will become a part of the reporting requirements. The measures are listed in Appendix I. </w:t>
      </w:r>
      <w:r w:rsidR="00CA385D" w:rsidRPr="00CA385D">
        <w:rPr>
          <w:rFonts w:asciiTheme="minorHAnsi" w:hAnsiTheme="minorHAnsi"/>
          <w:szCs w:val="24"/>
        </w:rPr>
        <w:t>As a result, Staff finds that the Applicant meets the requirements of Public Health Value: Health Outcomes as part of Factor 1b.</w:t>
      </w:r>
    </w:p>
    <w:p w14:paraId="7E97B2EA" w14:textId="5CE43AA8" w:rsidR="00E04133" w:rsidRPr="00B517EA" w:rsidRDefault="00303C0E" w:rsidP="00932E5D">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24CA9C9B" w14:textId="51476B4C" w:rsidR="00B0107B" w:rsidRDefault="00E434E7" w:rsidP="00BA2054">
      <w:pPr>
        <w:rPr>
          <w:rFonts w:cs="Calibri"/>
          <w:szCs w:val="24"/>
        </w:rPr>
      </w:pPr>
      <w:r>
        <w:rPr>
          <w:rFonts w:cs="Calibri"/>
          <w:szCs w:val="24"/>
        </w:rPr>
        <w:t xml:space="preserve">The Applicant affirmed </w:t>
      </w:r>
      <w:r w:rsidR="00E47942">
        <w:rPr>
          <w:rFonts w:cs="Calibri"/>
          <w:szCs w:val="24"/>
        </w:rPr>
        <w:t>its</w:t>
      </w:r>
      <w:r>
        <w:rPr>
          <w:rFonts w:cs="Calibri"/>
          <w:szCs w:val="24"/>
        </w:rPr>
        <w:t xml:space="preserve"> commitment to promoting equitable access to cancer care and to reducing barriers to </w:t>
      </w:r>
      <w:r w:rsidR="00AB7932">
        <w:rPr>
          <w:rFonts w:cs="Calibri"/>
          <w:szCs w:val="24"/>
        </w:rPr>
        <w:t xml:space="preserve">accessing </w:t>
      </w:r>
      <w:r>
        <w:rPr>
          <w:rFonts w:cs="Calibri"/>
          <w:szCs w:val="24"/>
        </w:rPr>
        <w:t xml:space="preserve">high-quality cancer care for medically underserved patients. </w:t>
      </w:r>
      <w:r w:rsidR="00FA5D0A">
        <w:rPr>
          <w:rFonts w:cs="Calibri"/>
          <w:szCs w:val="24"/>
        </w:rPr>
        <w:t xml:space="preserve">The Applicant states that its community outreach mission, formally adopted by </w:t>
      </w:r>
      <w:r w:rsidR="00013906">
        <w:rPr>
          <w:rFonts w:cs="Calibri"/>
          <w:szCs w:val="24"/>
        </w:rPr>
        <w:t>the Applicant’s board in 1995 and revised in 2022, seeks to accomplish the following: (1)</w:t>
      </w:r>
      <w:r w:rsidR="00EA3B8D" w:rsidRPr="00EA3B8D">
        <w:t xml:space="preserve"> </w:t>
      </w:r>
      <w:r w:rsidR="00EA3B8D" w:rsidRPr="00EA3B8D">
        <w:rPr>
          <w:rFonts w:cs="Calibri"/>
          <w:szCs w:val="24"/>
        </w:rPr>
        <w:t>expand access to the Applicant’s programs in early detection, screening, and cancer prevention and education to reach at-risk, historically marginalized, and diverse populations</w:t>
      </w:r>
      <w:r w:rsidR="00EA3B8D">
        <w:rPr>
          <w:rFonts w:cs="Calibri"/>
          <w:szCs w:val="24"/>
        </w:rPr>
        <w:t xml:space="preserve">; </w:t>
      </w:r>
      <w:r w:rsidR="009C2E7D">
        <w:rPr>
          <w:rFonts w:cs="Calibri"/>
          <w:szCs w:val="24"/>
        </w:rPr>
        <w:t xml:space="preserve">and </w:t>
      </w:r>
      <w:r w:rsidR="00EA3B8D">
        <w:rPr>
          <w:rFonts w:cs="Calibri"/>
          <w:szCs w:val="24"/>
        </w:rPr>
        <w:t xml:space="preserve">(2) </w:t>
      </w:r>
      <w:r w:rsidR="009C2E7D" w:rsidRPr="009C2E7D">
        <w:rPr>
          <w:rFonts w:cs="Calibri"/>
          <w:szCs w:val="24"/>
        </w:rPr>
        <w:t xml:space="preserve">partner with community health centers, </w:t>
      </w:r>
      <w:r w:rsidR="009C2E7D" w:rsidRPr="009C2E7D">
        <w:rPr>
          <w:rFonts w:cs="Calibri"/>
          <w:szCs w:val="24"/>
        </w:rPr>
        <w:lastRenderedPageBreak/>
        <w:t>community-based organizations, and government entities to assess, enhance, and improve the overall health and well-being of the members of the Applicant’s communities</w:t>
      </w:r>
      <w:r w:rsidR="009C2E7D">
        <w:rPr>
          <w:rFonts w:cs="Calibri"/>
          <w:szCs w:val="24"/>
        </w:rPr>
        <w:t>.</w:t>
      </w:r>
    </w:p>
    <w:p w14:paraId="0062FA79" w14:textId="77777777" w:rsidR="002B5A9D" w:rsidRDefault="002B5A9D" w:rsidP="00BA2054">
      <w:pPr>
        <w:rPr>
          <w:rFonts w:cs="Calibri"/>
          <w:szCs w:val="24"/>
        </w:rPr>
      </w:pPr>
    </w:p>
    <w:p w14:paraId="45EA5DDF" w14:textId="3606C7A4" w:rsidR="002B5A9D" w:rsidRDefault="00F40DEF" w:rsidP="00BA2054">
      <w:pPr>
        <w:rPr>
          <w:rFonts w:cs="Calibri"/>
          <w:szCs w:val="24"/>
        </w:rPr>
      </w:pPr>
      <w:r>
        <w:rPr>
          <w:rFonts w:cs="Calibri"/>
          <w:szCs w:val="24"/>
        </w:rPr>
        <w:t>The Applicant states that Dana-Farber prioritizes two initiatives to address disparities</w:t>
      </w:r>
      <w:r w:rsidR="003E3883">
        <w:rPr>
          <w:rFonts w:cs="Calibri"/>
          <w:szCs w:val="24"/>
        </w:rPr>
        <w:t xml:space="preserve"> that are</w:t>
      </w:r>
      <w:r>
        <w:rPr>
          <w:rFonts w:cs="Calibri"/>
          <w:szCs w:val="24"/>
        </w:rPr>
        <w:t xml:space="preserve"> consistent with the standards of The Joint Commission and Massachusetts Health and Hospital Association: (1) the development of a unique Enterprise-Wide Patient Demographics Tableau Dashboard in spring 2024, and (2) the formation, in summer 2024, of a committee chaired by Dana-Farber’s Chief Clinical Access and Equity Office to support prioritization, integration and evaluation of access and equity work across the entire organization</w:t>
      </w:r>
    </w:p>
    <w:p w14:paraId="40296AA9" w14:textId="77777777" w:rsidR="00B0107B" w:rsidRDefault="00B0107B" w:rsidP="00BA2054">
      <w:pPr>
        <w:rPr>
          <w:rFonts w:cs="Calibri"/>
          <w:szCs w:val="24"/>
        </w:rPr>
      </w:pPr>
    </w:p>
    <w:p w14:paraId="38D0DA09" w14:textId="403299C8" w:rsidR="00A14785" w:rsidRDefault="003E3883" w:rsidP="00BA2054">
      <w:pPr>
        <w:rPr>
          <w:rFonts w:cs="Calibri"/>
          <w:szCs w:val="24"/>
        </w:rPr>
      </w:pPr>
      <w:r>
        <w:rPr>
          <w:rFonts w:cs="Calibri"/>
          <w:szCs w:val="24"/>
        </w:rPr>
        <w:t>The Applicant states that the Proposed Project will allow if to further support health equity through</w:t>
      </w:r>
      <w:r w:rsidR="00E1617D" w:rsidRPr="00E1617D">
        <w:rPr>
          <w:rFonts w:cs="Calibri"/>
          <w:szCs w:val="24"/>
        </w:rPr>
        <w:t xml:space="preserve"> consolidat</w:t>
      </w:r>
      <w:r w:rsidR="00454EA4">
        <w:rPr>
          <w:rFonts w:cs="Calibri"/>
          <w:szCs w:val="24"/>
        </w:rPr>
        <w:t>ing</w:t>
      </w:r>
      <w:r w:rsidR="00E1617D" w:rsidRPr="00E1617D">
        <w:rPr>
          <w:rFonts w:cs="Calibri"/>
          <w:szCs w:val="24"/>
        </w:rPr>
        <w:t xml:space="preserve"> outreach efforts to a standalone inpatient hospita</w:t>
      </w:r>
      <w:r w:rsidR="00B40193">
        <w:rPr>
          <w:rFonts w:cs="Calibri"/>
          <w:szCs w:val="24"/>
        </w:rPr>
        <w:t>l</w:t>
      </w:r>
      <w:r w:rsidR="002B7008">
        <w:rPr>
          <w:rFonts w:cs="Calibri"/>
          <w:szCs w:val="24"/>
        </w:rPr>
        <w:t>;</w:t>
      </w:r>
      <w:r w:rsidR="00E1617D" w:rsidRPr="00E1617D">
        <w:rPr>
          <w:rFonts w:cs="Calibri"/>
          <w:szCs w:val="24"/>
        </w:rPr>
        <w:t xml:space="preserve"> </w:t>
      </w:r>
      <w:r>
        <w:rPr>
          <w:rFonts w:cs="Calibri"/>
          <w:szCs w:val="24"/>
        </w:rPr>
        <w:t xml:space="preserve">by </w:t>
      </w:r>
      <w:r w:rsidR="00E1617D" w:rsidRPr="00E1617D">
        <w:rPr>
          <w:rFonts w:cs="Calibri"/>
          <w:szCs w:val="24"/>
        </w:rPr>
        <w:t>provid</w:t>
      </w:r>
      <w:r>
        <w:rPr>
          <w:rFonts w:cs="Calibri"/>
          <w:szCs w:val="24"/>
        </w:rPr>
        <w:t>ing</w:t>
      </w:r>
      <w:r w:rsidR="00E1617D" w:rsidRPr="00E1617D">
        <w:rPr>
          <w:rFonts w:cs="Calibri"/>
          <w:szCs w:val="24"/>
        </w:rPr>
        <w:t xml:space="preserve"> a sole focus on cancer to its priority neighborhoods</w:t>
      </w:r>
      <w:r w:rsidR="00873999">
        <w:rPr>
          <w:rFonts w:cs="Calibri"/>
          <w:szCs w:val="24"/>
        </w:rPr>
        <w:t xml:space="preserve">, which </w:t>
      </w:r>
      <w:r w:rsidR="007E188A">
        <w:rPr>
          <w:rFonts w:cs="Calibri"/>
          <w:szCs w:val="24"/>
        </w:rPr>
        <w:t>the Applicant’s</w:t>
      </w:r>
      <w:r w:rsidR="00873999">
        <w:rPr>
          <w:rFonts w:cs="Calibri"/>
          <w:szCs w:val="24"/>
        </w:rPr>
        <w:t xml:space="preserve"> 2022 </w:t>
      </w:r>
      <w:r w:rsidR="008E31AE">
        <w:rPr>
          <w:rFonts w:cs="Calibri"/>
          <w:szCs w:val="24"/>
        </w:rPr>
        <w:t xml:space="preserve">Cancer-Focused </w:t>
      </w:r>
      <w:r w:rsidR="00873999">
        <w:rPr>
          <w:rFonts w:cs="Calibri"/>
          <w:szCs w:val="24"/>
        </w:rPr>
        <w:t xml:space="preserve">CHNA identified as </w:t>
      </w:r>
      <w:r w:rsidR="00F15CAC" w:rsidRPr="00F15CAC">
        <w:rPr>
          <w:rFonts w:cs="Calibri"/>
          <w:szCs w:val="24"/>
        </w:rPr>
        <w:t>Roxbury, Mission Hill, Dorchester, Mattapan, and Jamaica Plai</w:t>
      </w:r>
      <w:r w:rsidR="00F15CAC">
        <w:rPr>
          <w:rFonts w:cs="Calibri"/>
          <w:szCs w:val="24"/>
        </w:rPr>
        <w:t>n</w:t>
      </w:r>
      <w:r w:rsidR="002B7008">
        <w:rPr>
          <w:rFonts w:cs="Calibri"/>
          <w:szCs w:val="24"/>
        </w:rPr>
        <w:t>;</w:t>
      </w:r>
      <w:r w:rsidR="00E1617D" w:rsidRPr="00E1617D">
        <w:rPr>
          <w:rFonts w:cs="Calibri"/>
          <w:szCs w:val="24"/>
        </w:rPr>
        <w:t xml:space="preserve"> and </w:t>
      </w:r>
      <w:r w:rsidR="002B7008">
        <w:rPr>
          <w:rFonts w:cs="Calibri"/>
          <w:szCs w:val="24"/>
        </w:rPr>
        <w:t xml:space="preserve">through </w:t>
      </w:r>
      <w:r w:rsidR="00E1617D" w:rsidRPr="00E1617D">
        <w:rPr>
          <w:rFonts w:cs="Calibri"/>
          <w:szCs w:val="24"/>
        </w:rPr>
        <w:t>expand</w:t>
      </w:r>
      <w:r w:rsidR="002B7008">
        <w:rPr>
          <w:rFonts w:cs="Calibri"/>
          <w:szCs w:val="24"/>
        </w:rPr>
        <w:t>ing</w:t>
      </w:r>
      <w:r w:rsidR="00E1617D" w:rsidRPr="00E1617D">
        <w:rPr>
          <w:rFonts w:cs="Calibri"/>
          <w:szCs w:val="24"/>
        </w:rPr>
        <w:t xml:space="preserve"> capacity to </w:t>
      </w:r>
      <w:r w:rsidR="006F652E">
        <w:rPr>
          <w:rFonts w:cs="Calibri"/>
          <w:szCs w:val="24"/>
        </w:rPr>
        <w:t xml:space="preserve">historically </w:t>
      </w:r>
      <w:r w:rsidR="00E1617D" w:rsidRPr="00E1617D">
        <w:rPr>
          <w:rFonts w:cs="Calibri"/>
          <w:szCs w:val="24"/>
        </w:rPr>
        <w:t xml:space="preserve">marginalized </w:t>
      </w:r>
      <w:r w:rsidR="003F54DA">
        <w:rPr>
          <w:rFonts w:cs="Calibri"/>
          <w:szCs w:val="24"/>
        </w:rPr>
        <w:t>communities</w:t>
      </w:r>
      <w:r w:rsidR="003F54DA" w:rsidRPr="00E1617D">
        <w:rPr>
          <w:rFonts w:cs="Calibri"/>
          <w:szCs w:val="24"/>
        </w:rPr>
        <w:t xml:space="preserve"> </w:t>
      </w:r>
      <w:r w:rsidR="00332E38">
        <w:rPr>
          <w:rFonts w:cs="Calibri"/>
          <w:szCs w:val="24"/>
        </w:rPr>
        <w:t>throughout the greater Boston area</w:t>
      </w:r>
      <w:r w:rsidR="00E1617D" w:rsidRPr="00E1617D">
        <w:rPr>
          <w:rFonts w:cs="Calibri"/>
          <w:szCs w:val="24"/>
        </w:rPr>
        <w:t>.</w:t>
      </w:r>
      <w:r w:rsidR="00F15CAC">
        <w:rPr>
          <w:rStyle w:val="FootnoteReference"/>
          <w:rFonts w:cs="Calibri"/>
          <w:szCs w:val="24"/>
        </w:rPr>
        <w:footnoteReference w:id="92"/>
      </w:r>
      <w:r w:rsidR="00E1617D" w:rsidRPr="00E1617D">
        <w:rPr>
          <w:rFonts w:cs="Calibri"/>
          <w:szCs w:val="24"/>
        </w:rPr>
        <w:t xml:space="preserve"> </w:t>
      </w:r>
      <w:r w:rsidR="00E434E7">
        <w:rPr>
          <w:rFonts w:cs="Calibri"/>
          <w:szCs w:val="24"/>
        </w:rPr>
        <w:t>To that end, t</w:t>
      </w:r>
      <w:r w:rsidR="00FB58A1">
        <w:rPr>
          <w:rFonts w:cs="Calibri"/>
          <w:szCs w:val="24"/>
        </w:rPr>
        <w:t xml:space="preserve">he Applicant described </w:t>
      </w:r>
      <w:r w:rsidR="001B2008">
        <w:rPr>
          <w:rFonts w:cs="Calibri"/>
          <w:szCs w:val="24"/>
        </w:rPr>
        <w:t xml:space="preserve">a range of </w:t>
      </w:r>
      <w:r w:rsidR="001575E3">
        <w:rPr>
          <w:rFonts w:cs="Calibri"/>
          <w:szCs w:val="24"/>
        </w:rPr>
        <w:t xml:space="preserve">existing </w:t>
      </w:r>
      <w:r w:rsidR="001B2008">
        <w:rPr>
          <w:rFonts w:cs="Calibri"/>
          <w:szCs w:val="24"/>
        </w:rPr>
        <w:t>programs t</w:t>
      </w:r>
      <w:r w:rsidR="001575E3">
        <w:rPr>
          <w:rFonts w:cs="Calibri"/>
          <w:szCs w:val="24"/>
        </w:rPr>
        <w:t>hat</w:t>
      </w:r>
      <w:r w:rsidR="001B2008">
        <w:rPr>
          <w:rFonts w:cs="Calibri"/>
          <w:szCs w:val="24"/>
        </w:rPr>
        <w:t xml:space="preserve"> support equitable and culturally appropriate care</w:t>
      </w:r>
      <w:r w:rsidR="001575E3">
        <w:rPr>
          <w:rFonts w:cs="Calibri"/>
          <w:szCs w:val="24"/>
        </w:rPr>
        <w:t xml:space="preserve"> and that will be incorporated into the proposed hospital</w:t>
      </w:r>
      <w:r w:rsidR="001B2008">
        <w:rPr>
          <w:rFonts w:cs="Calibri"/>
          <w:szCs w:val="24"/>
        </w:rPr>
        <w:t xml:space="preserve">. </w:t>
      </w:r>
      <w:r w:rsidR="00822838">
        <w:rPr>
          <w:rFonts w:cs="Calibri"/>
          <w:szCs w:val="24"/>
        </w:rPr>
        <w:t>These</w:t>
      </w:r>
      <w:r w:rsidR="00C94B0C">
        <w:rPr>
          <w:rFonts w:cs="Calibri"/>
          <w:szCs w:val="24"/>
        </w:rPr>
        <w:t xml:space="preserve"> programs</w:t>
      </w:r>
      <w:r w:rsidR="00822838">
        <w:rPr>
          <w:rFonts w:cs="Calibri"/>
          <w:szCs w:val="24"/>
        </w:rPr>
        <w:t xml:space="preserve"> are </w:t>
      </w:r>
      <w:r w:rsidR="00AB7932">
        <w:rPr>
          <w:rFonts w:cs="Calibri"/>
          <w:szCs w:val="24"/>
        </w:rPr>
        <w:t>discussed</w:t>
      </w:r>
      <w:r w:rsidR="00187485">
        <w:rPr>
          <w:rFonts w:cs="Calibri"/>
          <w:szCs w:val="24"/>
        </w:rPr>
        <w:t xml:space="preserve"> </w:t>
      </w:r>
      <w:r w:rsidR="00822838">
        <w:rPr>
          <w:rFonts w:cs="Calibri"/>
          <w:szCs w:val="24"/>
        </w:rPr>
        <w:t>below and described in more detail in the Applicant’s DoN application</w:t>
      </w:r>
      <w:r w:rsidR="00974C23">
        <w:rPr>
          <w:rFonts w:cs="Calibri"/>
          <w:szCs w:val="24"/>
        </w:rPr>
        <w:t xml:space="preserve"> submission</w:t>
      </w:r>
      <w:r w:rsidR="00822838">
        <w:rPr>
          <w:rFonts w:cs="Calibri"/>
          <w:szCs w:val="24"/>
        </w:rPr>
        <w:t xml:space="preserve">. </w:t>
      </w:r>
    </w:p>
    <w:p w14:paraId="08F6DF39" w14:textId="77777777" w:rsidR="00562766" w:rsidRPr="00A14785" w:rsidRDefault="00562766" w:rsidP="00BA2054">
      <w:pPr>
        <w:rPr>
          <w:rFonts w:cs="Calibri"/>
          <w:szCs w:val="24"/>
        </w:rPr>
      </w:pPr>
    </w:p>
    <w:p w14:paraId="2EF196BB" w14:textId="52D4D3E9" w:rsidR="00822838" w:rsidRPr="004036E5" w:rsidRDefault="004036E5" w:rsidP="00BA2054">
      <w:pPr>
        <w:rPr>
          <w:rFonts w:cs="Calibri"/>
          <w:i/>
          <w:iCs/>
          <w:szCs w:val="24"/>
          <w:u w:val="single"/>
        </w:rPr>
      </w:pPr>
      <w:r w:rsidRPr="004036E5">
        <w:rPr>
          <w:rFonts w:cs="Calibri"/>
          <w:i/>
          <w:iCs/>
          <w:szCs w:val="24"/>
          <w:u w:val="single"/>
        </w:rPr>
        <w:t>The Joint Commission National Patient Safety Goals (NPSGs)</w:t>
      </w:r>
    </w:p>
    <w:p w14:paraId="2DACAF05" w14:textId="6ED59BFF" w:rsidR="009131DB" w:rsidRDefault="00C45DC1" w:rsidP="00BA2054">
      <w:pPr>
        <w:rPr>
          <w:rFonts w:cs="Calibri"/>
          <w:szCs w:val="24"/>
          <w:vertAlign w:val="superscript"/>
        </w:rPr>
      </w:pPr>
      <w:r w:rsidRPr="00822838">
        <w:rPr>
          <w:rFonts w:cs="Calibri"/>
          <w:szCs w:val="24"/>
        </w:rPr>
        <w:t>The Applicant</w:t>
      </w:r>
      <w:r w:rsidR="00BD0A82">
        <w:rPr>
          <w:rFonts w:cs="Calibri"/>
          <w:szCs w:val="24"/>
        </w:rPr>
        <w:t xml:space="preserve"> states that it </w:t>
      </w:r>
      <w:r w:rsidR="008E4476">
        <w:rPr>
          <w:rFonts w:cs="Calibri"/>
          <w:szCs w:val="24"/>
        </w:rPr>
        <w:t xml:space="preserve">adopted </w:t>
      </w:r>
      <w:r w:rsidRPr="00822838">
        <w:rPr>
          <w:rFonts w:cs="Calibri"/>
          <w:szCs w:val="24"/>
        </w:rPr>
        <w:t>the Joint Commission’s newest National Patient Safety Goal</w:t>
      </w:r>
      <w:r w:rsidR="00DB0D91">
        <w:rPr>
          <w:rFonts w:cs="Calibri"/>
          <w:szCs w:val="24"/>
        </w:rPr>
        <w:t xml:space="preserve"> which became e</w:t>
      </w:r>
      <w:r w:rsidR="00D93D2F">
        <w:rPr>
          <w:rFonts w:cs="Calibri"/>
          <w:szCs w:val="24"/>
        </w:rPr>
        <w:t>ffective</w:t>
      </w:r>
      <w:r w:rsidR="00DB0D91">
        <w:rPr>
          <w:rFonts w:cs="Calibri"/>
          <w:szCs w:val="24"/>
        </w:rPr>
        <w:t xml:space="preserve"> in</w:t>
      </w:r>
      <w:r w:rsidR="006F2025">
        <w:rPr>
          <w:rFonts w:cs="Calibri"/>
          <w:szCs w:val="24"/>
        </w:rPr>
        <w:t xml:space="preserve"> </w:t>
      </w:r>
      <w:r w:rsidR="008A4C91">
        <w:rPr>
          <w:rFonts w:cs="Calibri"/>
          <w:szCs w:val="24"/>
        </w:rPr>
        <w:t xml:space="preserve">2023, </w:t>
      </w:r>
      <w:r w:rsidR="008805E6">
        <w:rPr>
          <w:rFonts w:cs="Calibri"/>
          <w:szCs w:val="24"/>
        </w:rPr>
        <w:t xml:space="preserve">and </w:t>
      </w:r>
      <w:r w:rsidR="00B40193">
        <w:rPr>
          <w:rFonts w:cs="Calibri"/>
          <w:szCs w:val="24"/>
        </w:rPr>
        <w:t xml:space="preserve">which </w:t>
      </w:r>
      <w:r w:rsidR="008805E6">
        <w:rPr>
          <w:rFonts w:cs="Calibri"/>
          <w:szCs w:val="24"/>
        </w:rPr>
        <w:t>serve</w:t>
      </w:r>
      <w:r w:rsidR="00954464">
        <w:rPr>
          <w:rFonts w:cs="Calibri"/>
          <w:szCs w:val="24"/>
        </w:rPr>
        <w:t>s</w:t>
      </w:r>
      <w:r w:rsidR="006536CF">
        <w:rPr>
          <w:rFonts w:cs="Calibri"/>
          <w:szCs w:val="24"/>
        </w:rPr>
        <w:t xml:space="preserve"> as</w:t>
      </w:r>
      <w:r w:rsidR="008A4C91">
        <w:rPr>
          <w:rFonts w:cs="Calibri"/>
          <w:szCs w:val="24"/>
        </w:rPr>
        <w:t xml:space="preserve"> a means of ensuring patient safety in the healthcare setting</w:t>
      </w:r>
      <w:r w:rsidR="003B1723">
        <w:rPr>
          <w:rFonts w:cs="Calibri"/>
          <w:szCs w:val="24"/>
        </w:rPr>
        <w:t>.</w:t>
      </w:r>
      <w:r w:rsidR="008A4C91">
        <w:rPr>
          <w:rFonts w:cs="Calibri"/>
          <w:szCs w:val="24"/>
        </w:rPr>
        <w:t xml:space="preserve"> </w:t>
      </w:r>
      <w:r w:rsidR="00B36D63">
        <w:rPr>
          <w:rFonts w:cs="Calibri"/>
          <w:szCs w:val="24"/>
        </w:rPr>
        <w:t xml:space="preserve">The Applicant </w:t>
      </w:r>
      <w:r w:rsidR="00B40193">
        <w:rPr>
          <w:rFonts w:cs="Calibri"/>
          <w:szCs w:val="24"/>
        </w:rPr>
        <w:t xml:space="preserve">states that it </w:t>
      </w:r>
      <w:r w:rsidR="00B36D63">
        <w:rPr>
          <w:rFonts w:cs="Calibri"/>
          <w:szCs w:val="24"/>
        </w:rPr>
        <w:t>met all</w:t>
      </w:r>
      <w:r w:rsidR="00B61DC8">
        <w:rPr>
          <w:rFonts w:cs="Calibri"/>
          <w:szCs w:val="24"/>
        </w:rPr>
        <w:t xml:space="preserve"> six </w:t>
      </w:r>
      <w:r w:rsidR="000A218A">
        <w:rPr>
          <w:rFonts w:cs="Calibri"/>
          <w:szCs w:val="24"/>
        </w:rPr>
        <w:t>requirements associated with the health equity goal</w:t>
      </w:r>
      <w:r w:rsidR="00F110A0">
        <w:rPr>
          <w:rFonts w:cs="Calibri"/>
          <w:szCs w:val="24"/>
        </w:rPr>
        <w:t xml:space="preserve"> which </w:t>
      </w:r>
      <w:r w:rsidR="00F110A0" w:rsidRPr="00F110A0">
        <w:rPr>
          <w:rFonts w:cs="Calibri"/>
          <w:szCs w:val="24"/>
        </w:rPr>
        <w:t>is focused on improving health care equity as a quality and safety priority.</w:t>
      </w:r>
      <w:r w:rsidR="00F110A0" w:rsidRPr="00F110A0">
        <w:rPr>
          <w:rFonts w:cs="Calibri"/>
          <w:szCs w:val="24"/>
          <w:vertAlign w:val="superscript"/>
        </w:rPr>
        <w:endnoteReference w:id="43"/>
      </w:r>
      <w:r w:rsidR="00F110A0" w:rsidRPr="00F110A0">
        <w:rPr>
          <w:rFonts w:cs="Calibri"/>
          <w:szCs w:val="24"/>
          <w:vertAlign w:val="superscript"/>
        </w:rPr>
        <w:t>,</w:t>
      </w:r>
      <w:r w:rsidR="000A218A">
        <w:rPr>
          <w:rStyle w:val="FootnoteReference"/>
          <w:rFonts w:cs="Calibri"/>
          <w:szCs w:val="24"/>
        </w:rPr>
        <w:footnoteReference w:id="93"/>
      </w:r>
    </w:p>
    <w:p w14:paraId="2D903E38" w14:textId="77777777" w:rsidR="004C3874" w:rsidRDefault="004C3874" w:rsidP="00BA2054">
      <w:pPr>
        <w:rPr>
          <w:rFonts w:cs="Calibri"/>
          <w:i/>
          <w:iCs/>
          <w:szCs w:val="24"/>
          <w:u w:val="single"/>
        </w:rPr>
      </w:pPr>
    </w:p>
    <w:p w14:paraId="59F78FDB" w14:textId="6B0EB059" w:rsidR="009131DB" w:rsidRPr="008755F5" w:rsidRDefault="008755F5" w:rsidP="00BA2054">
      <w:pPr>
        <w:rPr>
          <w:rFonts w:cs="Calibri"/>
          <w:i/>
          <w:iCs/>
          <w:szCs w:val="24"/>
          <w:u w:val="single"/>
        </w:rPr>
      </w:pPr>
      <w:r w:rsidRPr="008755F5">
        <w:rPr>
          <w:rFonts w:cs="Calibri"/>
          <w:i/>
          <w:iCs/>
          <w:szCs w:val="24"/>
          <w:u w:val="single"/>
        </w:rPr>
        <w:t xml:space="preserve">Commitment to Clinical Access and Equity </w:t>
      </w:r>
    </w:p>
    <w:p w14:paraId="1EBB0A68" w14:textId="42C203D2" w:rsidR="008755F5" w:rsidRPr="009C770B" w:rsidRDefault="00612950" w:rsidP="00BA2054">
      <w:pPr>
        <w:rPr>
          <w:rFonts w:cs="Calibri"/>
          <w:szCs w:val="24"/>
        </w:rPr>
      </w:pPr>
      <w:r>
        <w:rPr>
          <w:rFonts w:cs="Calibri"/>
          <w:szCs w:val="24"/>
        </w:rPr>
        <w:t>Established in 201</w:t>
      </w:r>
      <w:r w:rsidR="00B52205">
        <w:rPr>
          <w:rFonts w:cs="Calibri"/>
          <w:szCs w:val="24"/>
        </w:rPr>
        <w:t>0</w:t>
      </w:r>
      <w:r>
        <w:rPr>
          <w:rFonts w:cs="Calibri"/>
          <w:szCs w:val="24"/>
        </w:rPr>
        <w:t xml:space="preserve">, the </w:t>
      </w:r>
      <w:r w:rsidR="003D43AA">
        <w:rPr>
          <w:rFonts w:cs="Calibri"/>
          <w:szCs w:val="24"/>
        </w:rPr>
        <w:t>Cancer Care Equity Program</w:t>
      </w:r>
      <w:r w:rsidR="00964769">
        <w:rPr>
          <w:rFonts w:cs="Calibri"/>
          <w:szCs w:val="24"/>
        </w:rPr>
        <w:t xml:space="preserve"> (CCEP)</w:t>
      </w:r>
      <w:r w:rsidR="00CA0D1E">
        <w:rPr>
          <w:rFonts w:cs="Calibri"/>
          <w:szCs w:val="24"/>
        </w:rPr>
        <w:t xml:space="preserve"> is a </w:t>
      </w:r>
      <w:r w:rsidR="007D409C">
        <w:rPr>
          <w:rFonts w:cs="Calibri"/>
          <w:szCs w:val="24"/>
        </w:rPr>
        <w:t>community-based clinical intervention</w:t>
      </w:r>
      <w:r w:rsidR="00CA0D1E">
        <w:rPr>
          <w:rFonts w:cs="Calibri"/>
          <w:szCs w:val="24"/>
        </w:rPr>
        <w:t xml:space="preserve"> that </w:t>
      </w:r>
      <w:r w:rsidR="00ED5F98">
        <w:rPr>
          <w:rFonts w:cs="Calibri"/>
          <w:szCs w:val="24"/>
        </w:rPr>
        <w:t>us</w:t>
      </w:r>
      <w:r w:rsidR="00CA0D1E">
        <w:rPr>
          <w:rFonts w:cs="Calibri"/>
          <w:szCs w:val="24"/>
        </w:rPr>
        <w:t xml:space="preserve">es </w:t>
      </w:r>
      <w:r w:rsidR="00ED5F98">
        <w:rPr>
          <w:rFonts w:cs="Calibri"/>
          <w:szCs w:val="24"/>
        </w:rPr>
        <w:t>a combination of co</w:t>
      </w:r>
      <w:r w:rsidR="00B40193">
        <w:rPr>
          <w:rFonts w:cs="Calibri"/>
          <w:szCs w:val="24"/>
        </w:rPr>
        <w:t>-</w:t>
      </w:r>
      <w:r w:rsidR="00ED5F98">
        <w:rPr>
          <w:rFonts w:cs="Calibri"/>
          <w:szCs w:val="24"/>
        </w:rPr>
        <w:t xml:space="preserve">location and patient navigation, </w:t>
      </w:r>
      <w:r w:rsidR="00E23EC7">
        <w:rPr>
          <w:rFonts w:cs="Calibri"/>
          <w:szCs w:val="24"/>
        </w:rPr>
        <w:t>to extend cancer care to marginalized populations</w:t>
      </w:r>
      <w:r w:rsidR="00ED5F98">
        <w:rPr>
          <w:rFonts w:cs="Calibri"/>
          <w:szCs w:val="24"/>
        </w:rPr>
        <w:t>.</w:t>
      </w:r>
      <w:r w:rsidR="00E93836">
        <w:rPr>
          <w:rStyle w:val="EndnoteReference"/>
          <w:rFonts w:cs="Calibri"/>
          <w:szCs w:val="24"/>
        </w:rPr>
        <w:endnoteReference w:id="44"/>
      </w:r>
      <w:r w:rsidR="00ED5F98">
        <w:rPr>
          <w:rFonts w:cs="Calibri"/>
          <w:szCs w:val="24"/>
        </w:rPr>
        <w:t xml:space="preserve"> Currently, </w:t>
      </w:r>
      <w:r w:rsidR="006C0C93">
        <w:rPr>
          <w:rFonts w:cs="Calibri"/>
          <w:szCs w:val="24"/>
        </w:rPr>
        <w:t xml:space="preserve">the Applicant holds </w:t>
      </w:r>
      <w:r w:rsidR="003665C4">
        <w:rPr>
          <w:rFonts w:cs="Calibri"/>
          <w:szCs w:val="24"/>
        </w:rPr>
        <w:t>on-site cancer clinics at two Federally Qualified Health Centers (FQHCs), Harvard Street Neighborhood Health Center in Dorchester, and The Dimock Health Center in Roxbury</w:t>
      </w:r>
      <w:r w:rsidR="008926DB">
        <w:rPr>
          <w:rFonts w:cs="Calibri"/>
          <w:szCs w:val="24"/>
        </w:rPr>
        <w:t xml:space="preserve">. The </w:t>
      </w:r>
      <w:r w:rsidR="00F65DEF">
        <w:rPr>
          <w:rFonts w:cs="Calibri"/>
          <w:szCs w:val="24"/>
        </w:rPr>
        <w:t xml:space="preserve">Applicant states that the </w:t>
      </w:r>
      <w:r w:rsidR="008926DB">
        <w:rPr>
          <w:rFonts w:cs="Calibri"/>
          <w:szCs w:val="24"/>
        </w:rPr>
        <w:t>clinics are</w:t>
      </w:r>
      <w:r w:rsidR="00DA1E5A">
        <w:rPr>
          <w:rFonts w:cs="Calibri"/>
          <w:szCs w:val="24"/>
        </w:rPr>
        <w:t xml:space="preserve"> staffed by a Dana-Farber clinical team</w:t>
      </w:r>
      <w:r w:rsidR="00C67FE4">
        <w:rPr>
          <w:rFonts w:cs="Calibri"/>
          <w:szCs w:val="24"/>
        </w:rPr>
        <w:t>, and p</w:t>
      </w:r>
      <w:r w:rsidR="00DA1E5A">
        <w:rPr>
          <w:rFonts w:cs="Calibri"/>
          <w:szCs w:val="24"/>
        </w:rPr>
        <w:t>atients</w:t>
      </w:r>
      <w:r w:rsidR="00C67FE4">
        <w:rPr>
          <w:rFonts w:cs="Calibri"/>
          <w:szCs w:val="24"/>
        </w:rPr>
        <w:t xml:space="preserve"> presenting</w:t>
      </w:r>
      <w:r w:rsidR="00DA1E5A">
        <w:rPr>
          <w:rFonts w:cs="Calibri"/>
          <w:szCs w:val="24"/>
        </w:rPr>
        <w:t xml:space="preserve"> with a cancer-related issue are navigated to </w:t>
      </w:r>
      <w:r w:rsidR="00F20D76">
        <w:rPr>
          <w:rFonts w:cs="Calibri"/>
          <w:szCs w:val="24"/>
        </w:rPr>
        <w:t xml:space="preserve">a cancer facility of their choosing, </w:t>
      </w:r>
      <w:r w:rsidR="0079278A">
        <w:rPr>
          <w:rFonts w:cs="Calibri"/>
          <w:szCs w:val="24"/>
        </w:rPr>
        <w:t>including</w:t>
      </w:r>
      <w:r w:rsidR="00F20D76">
        <w:rPr>
          <w:rFonts w:cs="Calibri"/>
          <w:szCs w:val="24"/>
        </w:rPr>
        <w:t xml:space="preserve"> </w:t>
      </w:r>
      <w:r w:rsidR="00DA1E5A">
        <w:rPr>
          <w:rFonts w:cs="Calibri"/>
          <w:szCs w:val="24"/>
        </w:rPr>
        <w:t>D</w:t>
      </w:r>
      <w:r w:rsidR="005C460E">
        <w:rPr>
          <w:rFonts w:cs="Calibri"/>
          <w:szCs w:val="24"/>
        </w:rPr>
        <w:t>ana-Farber</w:t>
      </w:r>
      <w:r w:rsidR="007D7A19">
        <w:rPr>
          <w:rFonts w:cs="Calibri"/>
          <w:szCs w:val="24"/>
        </w:rPr>
        <w:t xml:space="preserve">, for further care. </w:t>
      </w:r>
      <w:r w:rsidR="0032395E">
        <w:rPr>
          <w:rFonts w:cs="Calibri"/>
          <w:szCs w:val="24"/>
        </w:rPr>
        <w:t xml:space="preserve">A study on the outcomes of the </w:t>
      </w:r>
      <w:r w:rsidR="007B2514">
        <w:rPr>
          <w:rFonts w:cs="Calibri"/>
          <w:szCs w:val="24"/>
        </w:rPr>
        <w:t>Program</w:t>
      </w:r>
      <w:r w:rsidR="0032395E">
        <w:rPr>
          <w:rFonts w:cs="Calibri"/>
          <w:szCs w:val="24"/>
        </w:rPr>
        <w:t xml:space="preserve"> states that a</w:t>
      </w:r>
      <w:r w:rsidR="002850EA" w:rsidRPr="002850EA">
        <w:rPr>
          <w:rFonts w:cs="Calibri"/>
          <w:szCs w:val="24"/>
        </w:rPr>
        <w:t>t the two FQHC's, the time to a cancer diagnosis</w:t>
      </w:r>
      <w:r w:rsidR="0032395E">
        <w:rPr>
          <w:rFonts w:cs="Calibri"/>
          <w:szCs w:val="24"/>
        </w:rPr>
        <w:t xml:space="preserve"> </w:t>
      </w:r>
      <w:r w:rsidR="002850EA" w:rsidRPr="002850EA">
        <w:rPr>
          <w:rFonts w:cs="Calibri"/>
          <w:szCs w:val="24"/>
        </w:rPr>
        <w:t xml:space="preserve">dropped from </w:t>
      </w:r>
      <w:r w:rsidR="00F32A64">
        <w:rPr>
          <w:rFonts w:cs="Calibri"/>
          <w:szCs w:val="24"/>
        </w:rPr>
        <w:t xml:space="preserve">a historical </w:t>
      </w:r>
      <w:r w:rsidR="002850EA" w:rsidRPr="002850EA">
        <w:rPr>
          <w:rFonts w:cs="Calibri"/>
          <w:szCs w:val="24"/>
        </w:rPr>
        <w:t>32 days to 12</w:t>
      </w:r>
      <w:r w:rsidR="0032395E">
        <w:rPr>
          <w:rFonts w:cs="Calibri"/>
          <w:szCs w:val="24"/>
        </w:rPr>
        <w:t xml:space="preserve"> </w:t>
      </w:r>
      <w:r w:rsidR="00C04270">
        <w:rPr>
          <w:rFonts w:cs="Calibri"/>
          <w:szCs w:val="24"/>
        </w:rPr>
        <w:t>days, and</w:t>
      </w:r>
      <w:r w:rsidR="00431E84">
        <w:rPr>
          <w:rFonts w:cs="Calibri"/>
          <w:szCs w:val="24"/>
        </w:rPr>
        <w:t xml:space="preserve"> </w:t>
      </w:r>
      <w:r w:rsidR="00A761DC">
        <w:rPr>
          <w:rFonts w:cs="Calibri"/>
          <w:szCs w:val="24"/>
        </w:rPr>
        <w:t xml:space="preserve">a </w:t>
      </w:r>
      <w:r w:rsidR="00431E84">
        <w:rPr>
          <w:rFonts w:cs="Calibri"/>
          <w:szCs w:val="24"/>
        </w:rPr>
        <w:t>secondary effect was that</w:t>
      </w:r>
      <w:r w:rsidR="00C04270">
        <w:rPr>
          <w:rFonts w:cs="Calibri"/>
          <w:szCs w:val="24"/>
        </w:rPr>
        <w:t xml:space="preserve"> </w:t>
      </w:r>
      <w:r w:rsidR="00431E84">
        <w:rPr>
          <w:rFonts w:cs="Calibri"/>
          <w:szCs w:val="24"/>
        </w:rPr>
        <w:t>clinical trial enrollment increased</w:t>
      </w:r>
      <w:r w:rsidR="000D1304">
        <w:rPr>
          <w:rFonts w:cs="Calibri"/>
          <w:szCs w:val="24"/>
        </w:rPr>
        <w:t xml:space="preserve"> for participating </w:t>
      </w:r>
      <w:r w:rsidR="000D1304">
        <w:rPr>
          <w:rFonts w:cs="Calibri"/>
          <w:szCs w:val="24"/>
        </w:rPr>
        <w:lastRenderedPageBreak/>
        <w:t xml:space="preserve">patients compared to historical </w:t>
      </w:r>
      <w:r w:rsidR="00F65DEF">
        <w:rPr>
          <w:rFonts w:cs="Calibri"/>
          <w:szCs w:val="24"/>
        </w:rPr>
        <w:t xml:space="preserve">participation </w:t>
      </w:r>
      <w:r w:rsidR="000D1304">
        <w:rPr>
          <w:rFonts w:cs="Calibri"/>
          <w:szCs w:val="24"/>
        </w:rPr>
        <w:t>rates for marginalized populations</w:t>
      </w:r>
      <w:r w:rsidR="002850EA" w:rsidRPr="002850EA">
        <w:rPr>
          <w:rFonts w:cs="Calibri"/>
          <w:szCs w:val="24"/>
        </w:rPr>
        <w:t>.</w:t>
      </w:r>
      <w:r w:rsidR="002850EA">
        <w:rPr>
          <w:rStyle w:val="EndnoteReference"/>
          <w:rFonts w:cs="Calibri"/>
          <w:szCs w:val="24"/>
        </w:rPr>
        <w:endnoteReference w:id="45"/>
      </w:r>
      <w:r w:rsidR="001D2ADA">
        <w:rPr>
          <w:rFonts w:cs="Calibri"/>
          <w:szCs w:val="24"/>
          <w:vertAlign w:val="superscript"/>
        </w:rPr>
        <w:t>,</w:t>
      </w:r>
      <w:r w:rsidR="001D2ADA" w:rsidRPr="001D2ADA">
        <w:rPr>
          <w:rFonts w:cs="Calibri"/>
          <w:szCs w:val="24"/>
          <w:vertAlign w:val="superscript"/>
        </w:rPr>
        <w:endnoteReference w:id="46"/>
      </w:r>
      <w:r w:rsidR="009C770B">
        <w:rPr>
          <w:rFonts w:cs="Calibri"/>
          <w:szCs w:val="24"/>
          <w:vertAlign w:val="superscript"/>
        </w:rPr>
        <w:t xml:space="preserve"> </w:t>
      </w:r>
    </w:p>
    <w:p w14:paraId="139A7899" w14:textId="77777777" w:rsidR="00000F8C" w:rsidRDefault="00000F8C" w:rsidP="00BA2054">
      <w:pPr>
        <w:rPr>
          <w:rFonts w:cs="Calibri"/>
          <w:szCs w:val="24"/>
        </w:rPr>
      </w:pPr>
    </w:p>
    <w:p w14:paraId="5F8818EE" w14:textId="10B6D8F0" w:rsidR="006B61F3" w:rsidRPr="005C31B4" w:rsidRDefault="00000F8C" w:rsidP="006B61F3">
      <w:pPr>
        <w:rPr>
          <w:rFonts w:cs="Calibri"/>
          <w:szCs w:val="24"/>
        </w:rPr>
      </w:pPr>
      <w:r>
        <w:rPr>
          <w:rFonts w:cs="Calibri"/>
          <w:szCs w:val="24"/>
        </w:rPr>
        <w:t>The Applicant states that CCEP l</w:t>
      </w:r>
      <w:r w:rsidR="006F67AB">
        <w:rPr>
          <w:rFonts w:cs="Calibri"/>
          <w:szCs w:val="24"/>
        </w:rPr>
        <w:t>everag</w:t>
      </w:r>
      <w:r>
        <w:rPr>
          <w:rFonts w:cs="Calibri"/>
          <w:szCs w:val="24"/>
        </w:rPr>
        <w:t>es</w:t>
      </w:r>
      <w:r w:rsidR="00DB5565" w:rsidRPr="00DB5565">
        <w:rPr>
          <w:rFonts w:cs="Calibri"/>
          <w:szCs w:val="24"/>
        </w:rPr>
        <w:t xml:space="preserve"> Dana-Farber’s </w:t>
      </w:r>
      <w:r w:rsidR="00860035">
        <w:rPr>
          <w:rFonts w:cs="Calibri"/>
          <w:szCs w:val="24"/>
        </w:rPr>
        <w:t>CHNA</w:t>
      </w:r>
      <w:r w:rsidR="00DB5565" w:rsidRPr="00DB5565">
        <w:rPr>
          <w:rFonts w:cs="Calibri"/>
          <w:szCs w:val="24"/>
        </w:rPr>
        <w:t xml:space="preserve"> and the CHNA’s of other hospitals to better understand heath disparities in local communities</w:t>
      </w:r>
      <w:r w:rsidR="00851B92">
        <w:rPr>
          <w:rFonts w:cs="Calibri"/>
          <w:szCs w:val="24"/>
        </w:rPr>
        <w:t>,</w:t>
      </w:r>
      <w:r w:rsidR="00DB5565" w:rsidRPr="00DB5565">
        <w:rPr>
          <w:rFonts w:cs="Calibri"/>
          <w:szCs w:val="24"/>
        </w:rPr>
        <w:t xml:space="preserve"> to meet the needs of historically medically underserved populations and </w:t>
      </w:r>
      <w:r w:rsidR="00851B92">
        <w:rPr>
          <w:rFonts w:cs="Calibri"/>
          <w:szCs w:val="24"/>
        </w:rPr>
        <w:t xml:space="preserve">to </w:t>
      </w:r>
      <w:r w:rsidR="00DB5565" w:rsidRPr="00DB5565">
        <w:rPr>
          <w:rFonts w:cs="Calibri"/>
          <w:szCs w:val="24"/>
        </w:rPr>
        <w:t>address cancer disparities.</w:t>
      </w:r>
      <w:r w:rsidR="002B062C">
        <w:rPr>
          <w:rFonts w:cs="Calibri"/>
          <w:szCs w:val="24"/>
        </w:rPr>
        <w:t xml:space="preserve"> </w:t>
      </w:r>
      <w:r w:rsidR="006A41E3">
        <w:rPr>
          <w:rFonts w:cs="Calibri"/>
          <w:szCs w:val="24"/>
        </w:rPr>
        <w:t xml:space="preserve">The Applicant states </w:t>
      </w:r>
      <w:r w:rsidR="00A40884">
        <w:rPr>
          <w:rFonts w:cs="Calibri"/>
          <w:szCs w:val="24"/>
        </w:rPr>
        <w:t xml:space="preserve">further </w:t>
      </w:r>
      <w:r w:rsidR="006A41E3">
        <w:rPr>
          <w:rFonts w:cs="Calibri"/>
          <w:szCs w:val="24"/>
        </w:rPr>
        <w:t xml:space="preserve">that </w:t>
      </w:r>
      <w:r w:rsidR="002B062C">
        <w:rPr>
          <w:rFonts w:cs="Calibri"/>
          <w:szCs w:val="24"/>
        </w:rPr>
        <w:t>CCEP</w:t>
      </w:r>
      <w:r w:rsidR="00C638AF">
        <w:rPr>
          <w:rFonts w:cs="Calibri"/>
          <w:szCs w:val="24"/>
        </w:rPr>
        <w:t xml:space="preserve"> uses </w:t>
      </w:r>
      <w:r w:rsidR="009E57A9">
        <w:rPr>
          <w:rFonts w:cs="Calibri"/>
          <w:szCs w:val="24"/>
        </w:rPr>
        <w:t xml:space="preserve">existing data to </w:t>
      </w:r>
      <w:r w:rsidR="00DB5565" w:rsidRPr="00DB5565">
        <w:rPr>
          <w:rFonts w:cs="Calibri"/>
          <w:szCs w:val="24"/>
        </w:rPr>
        <w:t>monitor trends in patient populations</w:t>
      </w:r>
      <w:r w:rsidR="002B062C">
        <w:rPr>
          <w:rFonts w:cs="Calibri"/>
          <w:szCs w:val="24"/>
        </w:rPr>
        <w:t xml:space="preserve"> and access to care across the cancer continuum</w:t>
      </w:r>
      <w:r w:rsidR="00DB5565" w:rsidRPr="00DB5565">
        <w:rPr>
          <w:rFonts w:cs="Calibri"/>
          <w:szCs w:val="24"/>
        </w:rPr>
        <w:t xml:space="preserve"> </w:t>
      </w:r>
      <w:r w:rsidR="009E57A9">
        <w:rPr>
          <w:rFonts w:cs="Calibri"/>
          <w:szCs w:val="24"/>
        </w:rPr>
        <w:t>and develop</w:t>
      </w:r>
      <w:r w:rsidR="002B062C">
        <w:rPr>
          <w:rFonts w:cs="Calibri"/>
          <w:szCs w:val="24"/>
        </w:rPr>
        <w:t xml:space="preserve">s </w:t>
      </w:r>
      <w:r w:rsidR="00DB5565" w:rsidRPr="00DB5565">
        <w:rPr>
          <w:rFonts w:cs="Calibri"/>
          <w:szCs w:val="24"/>
        </w:rPr>
        <w:t>certain program specific data dashboards</w:t>
      </w:r>
      <w:r w:rsidR="00C638AF">
        <w:rPr>
          <w:rFonts w:cs="Calibri"/>
          <w:szCs w:val="24"/>
        </w:rPr>
        <w:t xml:space="preserve">, </w:t>
      </w:r>
      <w:r w:rsidR="00DB5565" w:rsidRPr="00DB5565">
        <w:rPr>
          <w:rFonts w:cs="Calibri"/>
          <w:szCs w:val="24"/>
        </w:rPr>
        <w:t xml:space="preserve">to visualize and continuously monitor the impact of CCEP’s interventions. </w:t>
      </w:r>
      <w:r w:rsidR="00E72F52" w:rsidRPr="00E72F52">
        <w:rPr>
          <w:rFonts w:cs="Calibri"/>
          <w:szCs w:val="24"/>
        </w:rPr>
        <w:t>The Applicant launched a</w:t>
      </w:r>
      <w:r w:rsidR="009316F8">
        <w:rPr>
          <w:rFonts w:cs="Calibri"/>
          <w:szCs w:val="24"/>
        </w:rPr>
        <w:t xml:space="preserve"> </w:t>
      </w:r>
      <w:r w:rsidR="00E72F52" w:rsidRPr="00E72F52">
        <w:rPr>
          <w:rFonts w:cs="Calibri"/>
          <w:szCs w:val="24"/>
        </w:rPr>
        <w:t xml:space="preserve">health equity patient dashboard in Spring 2024, </w:t>
      </w:r>
      <w:r w:rsidR="00F946E6">
        <w:rPr>
          <w:rFonts w:cs="Calibri"/>
          <w:szCs w:val="24"/>
        </w:rPr>
        <w:t xml:space="preserve">Dana-Farber </w:t>
      </w:r>
      <w:r w:rsidR="00F946E6" w:rsidRPr="00F946E6">
        <w:rPr>
          <w:rFonts w:cs="Calibri"/>
          <w:szCs w:val="24"/>
        </w:rPr>
        <w:t>Enterprise-Wide Patient Demographics Tableau Dashboard</w:t>
      </w:r>
      <w:r w:rsidR="00F946E6">
        <w:rPr>
          <w:rFonts w:cs="Calibri"/>
          <w:szCs w:val="24"/>
        </w:rPr>
        <w:t xml:space="preserve">, </w:t>
      </w:r>
      <w:r w:rsidR="00E72F52" w:rsidRPr="00E72F52">
        <w:rPr>
          <w:rFonts w:cs="Calibri"/>
          <w:szCs w:val="24"/>
        </w:rPr>
        <w:t xml:space="preserve">to standardize reporting of patient-level equity data, and to make the information more accessible for integration into programs and program measurement. The </w:t>
      </w:r>
      <w:r w:rsidR="0029513F">
        <w:rPr>
          <w:rFonts w:cs="Calibri"/>
          <w:szCs w:val="24"/>
        </w:rPr>
        <w:t>Applicant state</w:t>
      </w:r>
      <w:r w:rsidR="00A40884">
        <w:rPr>
          <w:rFonts w:cs="Calibri"/>
          <w:szCs w:val="24"/>
        </w:rPr>
        <w:t>s</w:t>
      </w:r>
      <w:r w:rsidR="009316F8">
        <w:rPr>
          <w:rFonts w:cs="Calibri"/>
          <w:szCs w:val="24"/>
        </w:rPr>
        <w:t xml:space="preserve"> </w:t>
      </w:r>
      <w:r w:rsidR="0029513F">
        <w:rPr>
          <w:rFonts w:cs="Calibri"/>
          <w:szCs w:val="24"/>
        </w:rPr>
        <w:t xml:space="preserve">that the </w:t>
      </w:r>
      <w:r w:rsidR="00901CD4" w:rsidRPr="00E72F52">
        <w:rPr>
          <w:rFonts w:cs="Calibri"/>
          <w:szCs w:val="24"/>
        </w:rPr>
        <w:t>Dashboard</w:t>
      </w:r>
      <w:r w:rsidR="00E72F52" w:rsidRPr="00E72F52">
        <w:rPr>
          <w:rFonts w:cs="Calibri"/>
          <w:szCs w:val="24"/>
        </w:rPr>
        <w:t xml:space="preserve"> will unify operational data with health equity/social justice to better advise on clinical access, health quality, and equity work across Dana-Farber. </w:t>
      </w:r>
      <w:r w:rsidR="00F36950" w:rsidRPr="00F36950">
        <w:rPr>
          <w:rFonts w:cs="Calibri"/>
          <w:szCs w:val="24"/>
        </w:rPr>
        <w:t>CCEP also works with Dana-Farber’s Community Benefits Office (CBO) to foster collaborative relationships with communit</w:t>
      </w:r>
      <w:r w:rsidR="00B40193">
        <w:rPr>
          <w:rFonts w:cs="Calibri"/>
          <w:szCs w:val="24"/>
        </w:rPr>
        <w:t>y</w:t>
      </w:r>
      <w:r w:rsidR="00F36950" w:rsidRPr="00F36950">
        <w:rPr>
          <w:rFonts w:cs="Calibri"/>
          <w:szCs w:val="24"/>
        </w:rPr>
        <w:t xml:space="preserve"> organizations to address the root causes of health disparities. </w:t>
      </w:r>
    </w:p>
    <w:p w14:paraId="7AA2393D" w14:textId="77777777" w:rsidR="00A65614" w:rsidRDefault="00A65614" w:rsidP="00BA2054">
      <w:pPr>
        <w:rPr>
          <w:rFonts w:cs="Calibri"/>
          <w:szCs w:val="24"/>
        </w:rPr>
      </w:pPr>
    </w:p>
    <w:p w14:paraId="20C41BD3" w14:textId="3AE936DF" w:rsidR="00DB5565" w:rsidRDefault="00B40193" w:rsidP="00BA2054">
      <w:pPr>
        <w:rPr>
          <w:rFonts w:cs="Calibri"/>
          <w:szCs w:val="24"/>
        </w:rPr>
      </w:pPr>
      <w:r>
        <w:rPr>
          <w:rFonts w:cs="Calibri"/>
          <w:szCs w:val="24"/>
        </w:rPr>
        <w:t>The Applicant states that a</w:t>
      </w:r>
      <w:r w:rsidR="000846F2">
        <w:rPr>
          <w:rFonts w:cs="Calibri"/>
          <w:szCs w:val="24"/>
        </w:rPr>
        <w:t xml:space="preserve">s a result of </w:t>
      </w:r>
      <w:r w:rsidR="00E0722A">
        <w:rPr>
          <w:rFonts w:cs="Calibri"/>
          <w:szCs w:val="24"/>
        </w:rPr>
        <w:t>its</w:t>
      </w:r>
      <w:r w:rsidR="000846F2">
        <w:rPr>
          <w:rFonts w:cs="Calibri"/>
          <w:szCs w:val="24"/>
        </w:rPr>
        <w:t xml:space="preserve"> </w:t>
      </w:r>
      <w:r w:rsidR="00841A89">
        <w:rPr>
          <w:rFonts w:cs="Calibri"/>
          <w:szCs w:val="24"/>
        </w:rPr>
        <w:t>efforts to address disparities</w:t>
      </w:r>
      <w:r w:rsidR="000846F2">
        <w:rPr>
          <w:rFonts w:cs="Calibri"/>
          <w:szCs w:val="24"/>
        </w:rPr>
        <w:t>, p</w:t>
      </w:r>
      <w:r w:rsidR="00DB5565" w:rsidRPr="00DB5565">
        <w:rPr>
          <w:rFonts w:cs="Calibri"/>
          <w:szCs w:val="24"/>
        </w:rPr>
        <w:t>atients reached through the outreach clinic have a 62% faster path to diagnosis and start of treatment compared with the historical average</w:t>
      </w:r>
      <w:r w:rsidR="000846F2">
        <w:rPr>
          <w:rFonts w:cs="Calibri"/>
          <w:szCs w:val="24"/>
        </w:rPr>
        <w:t>;</w:t>
      </w:r>
      <w:r w:rsidR="00DB5565" w:rsidRPr="00DB5565">
        <w:rPr>
          <w:rFonts w:cs="Calibri"/>
          <w:szCs w:val="24"/>
        </w:rPr>
        <w:t xml:space="preserve"> </w:t>
      </w:r>
      <w:r w:rsidR="000846F2">
        <w:rPr>
          <w:rFonts w:cs="Calibri"/>
          <w:szCs w:val="24"/>
        </w:rPr>
        <w:t>t</w:t>
      </w:r>
      <w:r w:rsidR="00DB5565" w:rsidRPr="00DB5565">
        <w:rPr>
          <w:rFonts w:cs="Calibri"/>
          <w:szCs w:val="24"/>
        </w:rPr>
        <w:t>wice as many patients from marginalized populations have enrolled in clinical trials at Dana-Farber than the historical average</w:t>
      </w:r>
      <w:r w:rsidR="000846F2">
        <w:rPr>
          <w:rFonts w:cs="Calibri"/>
          <w:szCs w:val="24"/>
        </w:rPr>
        <w:t>; and</w:t>
      </w:r>
      <w:r w:rsidR="00DB5565" w:rsidRPr="00DB5565">
        <w:rPr>
          <w:rFonts w:cs="Calibri"/>
          <w:szCs w:val="24"/>
        </w:rPr>
        <w:t xml:space="preserve"> </w:t>
      </w:r>
      <w:r w:rsidR="00C91109">
        <w:rPr>
          <w:rFonts w:cs="Calibri"/>
          <w:szCs w:val="24"/>
        </w:rPr>
        <w:t xml:space="preserve">currently, </w:t>
      </w:r>
      <w:r w:rsidR="00DB5565" w:rsidRPr="00DB5565">
        <w:rPr>
          <w:rFonts w:cs="Calibri"/>
          <w:szCs w:val="24"/>
        </w:rPr>
        <w:t xml:space="preserve">CCEP helps more than 600 patients seek diagnosis and treatment, housing, transportation, nutritional assistance, language services, and mental health care. </w:t>
      </w:r>
    </w:p>
    <w:p w14:paraId="61B8D72A" w14:textId="77777777" w:rsidR="00D813E6" w:rsidRDefault="00D813E6" w:rsidP="00BA2054">
      <w:pPr>
        <w:rPr>
          <w:rFonts w:cs="Calibri"/>
          <w:szCs w:val="24"/>
        </w:rPr>
      </w:pPr>
    </w:p>
    <w:p w14:paraId="43A357EE" w14:textId="6DE6841C" w:rsidR="00596B60" w:rsidRDefault="00596B60" w:rsidP="36B2A8D2">
      <w:pPr>
        <w:rPr>
          <w:rFonts w:cs="Calibri"/>
        </w:rPr>
      </w:pPr>
      <w:r w:rsidRPr="36B2A8D2">
        <w:rPr>
          <w:rFonts w:cs="Calibri"/>
        </w:rPr>
        <w:t xml:space="preserve">In comments submitted to the Department, Dr. Timothy Lathan, Dana-Farber’s Critical Access and Equity Officer, and co-creator of the CCEP, spoke to the impact that the proposed hospital will have on </w:t>
      </w:r>
      <w:r w:rsidR="00A970C5">
        <w:rPr>
          <w:rFonts w:cs="Calibri"/>
        </w:rPr>
        <w:t xml:space="preserve">Dana-Farber’s efforts to </w:t>
      </w:r>
      <w:r w:rsidRPr="36B2A8D2">
        <w:rPr>
          <w:rFonts w:cs="Calibri"/>
        </w:rPr>
        <w:t>advanc</w:t>
      </w:r>
      <w:r w:rsidR="00A970C5">
        <w:rPr>
          <w:rFonts w:cs="Calibri"/>
        </w:rPr>
        <w:t>e</w:t>
      </w:r>
      <w:r w:rsidRPr="36B2A8D2">
        <w:rPr>
          <w:rFonts w:cs="Calibri"/>
        </w:rPr>
        <w:t xml:space="preserve"> health equit</w:t>
      </w:r>
      <w:r w:rsidR="003D3882" w:rsidRPr="36B2A8D2">
        <w:rPr>
          <w:rFonts w:cs="Calibri"/>
        </w:rPr>
        <w:t>y</w:t>
      </w:r>
      <w:r w:rsidRPr="36B2A8D2">
        <w:rPr>
          <w:rFonts w:cs="Calibri"/>
        </w:rPr>
        <w:t>. Dr. Lathan states</w:t>
      </w:r>
      <w:r w:rsidR="00DE7D44" w:rsidRPr="36B2A8D2">
        <w:rPr>
          <w:rFonts w:cs="Calibri"/>
        </w:rPr>
        <w:t>,</w:t>
      </w:r>
      <w:r w:rsidRPr="36B2A8D2">
        <w:rPr>
          <w:rFonts w:cs="Calibri"/>
        </w:rPr>
        <w:t xml:space="preserve"> “The future dedicated cancer hospital is a powerful opportunity to advance equity in cancer research, care and outcome</w:t>
      </w:r>
      <w:r w:rsidR="00CD60B4">
        <w:rPr>
          <w:rFonts w:cs="Calibri"/>
        </w:rPr>
        <w:t>[</w:t>
      </w:r>
      <w:r w:rsidR="00807C0D" w:rsidRPr="36B2A8D2">
        <w:rPr>
          <w:rFonts w:cs="Calibri"/>
        </w:rPr>
        <w:t>s</w:t>
      </w:r>
      <w:r w:rsidR="00CD60B4">
        <w:rPr>
          <w:rFonts w:cs="Calibri"/>
        </w:rPr>
        <w:t>]</w:t>
      </w:r>
      <w:r w:rsidRPr="36B2A8D2">
        <w:rPr>
          <w:rFonts w:cs="Calibri"/>
        </w:rPr>
        <w:t>, so that we can reach a day where no community will be referred to as underserved.</w:t>
      </w:r>
      <w:r>
        <w:t xml:space="preserve"> </w:t>
      </w:r>
      <w:r w:rsidRPr="36B2A8D2">
        <w:rPr>
          <w:rFonts w:cs="Calibri"/>
        </w:rPr>
        <w:t>Our commitment to equitable cancer care and outcomes is at the core of our plans for the future hospital in collaboration with Beth Israel Deaconess Medical Center. This collaboration will advance access to cancer care, and help close health equity gaps in the communities that</w:t>
      </w:r>
      <w:r>
        <w:t xml:space="preserve"> </w:t>
      </w:r>
      <w:r w:rsidRPr="36B2A8D2">
        <w:rPr>
          <w:rFonts w:cs="Calibri"/>
        </w:rPr>
        <w:t>need it most. It will strengthen our ability to design programs that remove barrier</w:t>
      </w:r>
      <w:r w:rsidR="00E50CA8" w:rsidRPr="36B2A8D2">
        <w:rPr>
          <w:rFonts w:cs="Calibri"/>
        </w:rPr>
        <w:t>s to</w:t>
      </w:r>
      <w:r w:rsidRPr="36B2A8D2">
        <w:rPr>
          <w:rFonts w:cs="Calibri"/>
        </w:rPr>
        <w:t xml:space="preserve"> treatments and ensure that all patients have access to clinical trials and high quality cancer care.”</w:t>
      </w:r>
    </w:p>
    <w:p w14:paraId="4B6D6512" w14:textId="77777777" w:rsidR="00AF1C09" w:rsidRDefault="00AF1C09" w:rsidP="36B2A8D2">
      <w:pPr>
        <w:rPr>
          <w:rFonts w:cs="Calibri"/>
        </w:rPr>
      </w:pPr>
    </w:p>
    <w:p w14:paraId="79B6DDA2" w14:textId="77777777" w:rsidR="003F3600" w:rsidRDefault="003F3600" w:rsidP="00BA2054">
      <w:pPr>
        <w:rPr>
          <w:rFonts w:cs="Calibri"/>
          <w:szCs w:val="24"/>
        </w:rPr>
      </w:pPr>
    </w:p>
    <w:p w14:paraId="38EDDF06" w14:textId="3F670A20" w:rsidR="008755F5" w:rsidRPr="004E7726" w:rsidRDefault="004E7726" w:rsidP="00BA2054">
      <w:pPr>
        <w:rPr>
          <w:rFonts w:cs="Calibri"/>
          <w:i/>
          <w:iCs/>
          <w:szCs w:val="24"/>
          <w:u w:val="single"/>
        </w:rPr>
      </w:pPr>
      <w:r w:rsidRPr="004E7726">
        <w:rPr>
          <w:rFonts w:cs="Calibri"/>
          <w:i/>
          <w:iCs/>
          <w:szCs w:val="24"/>
          <w:u w:val="single"/>
        </w:rPr>
        <w:t>Community</w:t>
      </w:r>
      <w:r w:rsidR="00114295">
        <w:rPr>
          <w:rFonts w:cs="Calibri"/>
          <w:i/>
          <w:iCs/>
          <w:szCs w:val="24"/>
          <w:u w:val="single"/>
        </w:rPr>
        <w:t>-</w:t>
      </w:r>
      <w:r w:rsidRPr="004E7726">
        <w:rPr>
          <w:rFonts w:cs="Calibri"/>
          <w:i/>
          <w:iCs/>
          <w:szCs w:val="24"/>
          <w:u w:val="single"/>
        </w:rPr>
        <w:t>Focused Patient Navigation</w:t>
      </w:r>
    </w:p>
    <w:p w14:paraId="3168D40B" w14:textId="71B3FD2B" w:rsidR="000B29F1" w:rsidRDefault="008C6171" w:rsidP="00BA2054">
      <w:pPr>
        <w:rPr>
          <w:rFonts w:cs="Calibri"/>
          <w:szCs w:val="24"/>
        </w:rPr>
      </w:pPr>
      <w:r w:rsidRPr="008C6171">
        <w:rPr>
          <w:rFonts w:cs="Calibri"/>
          <w:szCs w:val="24"/>
        </w:rPr>
        <w:t>The Applicant</w:t>
      </w:r>
      <w:r w:rsidR="00B40193">
        <w:rPr>
          <w:rFonts w:cs="Calibri"/>
          <w:szCs w:val="24"/>
        </w:rPr>
        <w:t xml:space="preserve"> states that it</w:t>
      </w:r>
      <w:r w:rsidRPr="008C6171">
        <w:rPr>
          <w:rFonts w:cs="Calibri"/>
          <w:szCs w:val="24"/>
        </w:rPr>
        <w:t xml:space="preserve"> created a patient navigation program in 2005 to provide guidance to medically underserved patients and their families navigating the complexities of cancer care</w:t>
      </w:r>
      <w:r w:rsidR="008F61A5">
        <w:rPr>
          <w:rFonts w:cs="Calibri"/>
          <w:szCs w:val="24"/>
        </w:rPr>
        <w:t xml:space="preserve"> </w:t>
      </w:r>
      <w:r w:rsidRPr="008C6171">
        <w:rPr>
          <w:rFonts w:cs="Calibri"/>
          <w:szCs w:val="24"/>
        </w:rPr>
        <w:t>in a culturally appropriate manner.</w:t>
      </w:r>
      <w:r w:rsidR="000A66DC">
        <w:rPr>
          <w:rFonts w:cs="Calibri"/>
          <w:szCs w:val="24"/>
        </w:rPr>
        <w:t xml:space="preserve"> </w:t>
      </w:r>
      <w:r w:rsidR="00E86437" w:rsidRPr="00E86437">
        <w:rPr>
          <w:rFonts w:cs="Calibri"/>
          <w:szCs w:val="24"/>
        </w:rPr>
        <w:t>Patient navigation provides a wide range of support to help people with cancer to overcome barriers to obtain optimal and timely cancer services and effectively use available care resources.</w:t>
      </w:r>
      <w:r w:rsidR="00E86437" w:rsidRPr="00E86437">
        <w:rPr>
          <w:rFonts w:cs="Calibri"/>
          <w:szCs w:val="24"/>
          <w:vertAlign w:val="superscript"/>
        </w:rPr>
        <w:endnoteReference w:id="47"/>
      </w:r>
      <w:r w:rsidR="00E86437" w:rsidRPr="00E86437">
        <w:rPr>
          <w:rFonts w:cs="Calibri"/>
          <w:szCs w:val="24"/>
        </w:rPr>
        <w:t xml:space="preserve"> </w:t>
      </w:r>
      <w:r w:rsidR="000A66DC">
        <w:rPr>
          <w:rFonts w:cs="Calibri"/>
          <w:szCs w:val="24"/>
        </w:rPr>
        <w:t>The Applicant states that its</w:t>
      </w:r>
      <w:r w:rsidRPr="008C6171">
        <w:rPr>
          <w:rFonts w:cs="Calibri"/>
          <w:szCs w:val="24"/>
        </w:rPr>
        <w:t xml:space="preserve"> </w:t>
      </w:r>
      <w:r w:rsidR="000A66DC" w:rsidRPr="000A66DC">
        <w:rPr>
          <w:rFonts w:cs="Calibri"/>
          <w:szCs w:val="24"/>
        </w:rPr>
        <w:t xml:space="preserve">patient navigators have established visible relationships with community level providers such as community health centers, primary care </w:t>
      </w:r>
      <w:r w:rsidR="000A66DC" w:rsidRPr="000A66DC">
        <w:rPr>
          <w:rFonts w:cs="Calibri"/>
          <w:szCs w:val="24"/>
        </w:rPr>
        <w:lastRenderedPageBreak/>
        <w:t>practices, community hospitals and other social service organizations</w:t>
      </w:r>
      <w:r w:rsidR="000A66DC">
        <w:rPr>
          <w:rFonts w:cs="Calibri"/>
          <w:szCs w:val="24"/>
        </w:rPr>
        <w:t xml:space="preserve">. </w:t>
      </w:r>
      <w:r w:rsidRPr="008C6171">
        <w:rPr>
          <w:rFonts w:cs="Calibri"/>
          <w:szCs w:val="24"/>
        </w:rPr>
        <w:t>In 2021, the Patient Navigation Program was integrated with CCEP, in collaboration with Dana-Farber’s Community Benefits Office.</w:t>
      </w:r>
    </w:p>
    <w:p w14:paraId="72E9913B" w14:textId="77777777" w:rsidR="000B29F1" w:rsidRDefault="000B29F1" w:rsidP="00BA2054">
      <w:pPr>
        <w:rPr>
          <w:rFonts w:cs="Calibri"/>
          <w:szCs w:val="24"/>
        </w:rPr>
      </w:pPr>
    </w:p>
    <w:p w14:paraId="59A76A43" w14:textId="743ED124" w:rsidR="00E81833" w:rsidRDefault="00E44E48" w:rsidP="00BA2054">
      <w:pPr>
        <w:rPr>
          <w:rFonts w:cs="Calibri"/>
          <w:szCs w:val="24"/>
        </w:rPr>
      </w:pPr>
      <w:r>
        <w:rPr>
          <w:rFonts w:cs="Calibri"/>
          <w:szCs w:val="24"/>
        </w:rPr>
        <w:t xml:space="preserve">The Applicant cited several studies on the effectiveness of patient navigation in cancer care. </w:t>
      </w:r>
    </w:p>
    <w:p w14:paraId="3DB71E81" w14:textId="107EF6AD" w:rsidR="00E81833" w:rsidRDefault="005C6271" w:rsidP="00F91720">
      <w:pPr>
        <w:pStyle w:val="ListParagraph"/>
        <w:numPr>
          <w:ilvl w:val="0"/>
          <w:numId w:val="24"/>
        </w:numPr>
        <w:rPr>
          <w:rFonts w:cs="Calibri"/>
          <w:szCs w:val="24"/>
        </w:rPr>
      </w:pPr>
      <w:r w:rsidRPr="00E81833">
        <w:rPr>
          <w:rFonts w:cs="Calibri"/>
          <w:szCs w:val="24"/>
        </w:rPr>
        <w:t>A</w:t>
      </w:r>
      <w:r w:rsidR="00BC6609" w:rsidRPr="00E81833">
        <w:rPr>
          <w:rFonts w:cs="Calibri"/>
          <w:szCs w:val="24"/>
        </w:rPr>
        <w:t xml:space="preserve"> 2023</w:t>
      </w:r>
      <w:r w:rsidR="00815B8C" w:rsidRPr="00E81833">
        <w:rPr>
          <w:rFonts w:cs="Calibri"/>
          <w:szCs w:val="24"/>
        </w:rPr>
        <w:t xml:space="preserve"> study</w:t>
      </w:r>
      <w:r w:rsidRPr="00E81833">
        <w:rPr>
          <w:rFonts w:cs="Calibri"/>
          <w:szCs w:val="24"/>
        </w:rPr>
        <w:t xml:space="preserve"> on existing literature on patient navigation in cancer care and patient navigation models found patient navigation effective for improving uptake of cancer screening programs for breast, cervical, and colorectal cancer as well as shortening time frames from screening to diagnosis and from diagnosis to treatment initiation.</w:t>
      </w:r>
      <w:r w:rsidRPr="005C6271">
        <w:rPr>
          <w:vertAlign w:val="superscript"/>
        </w:rPr>
        <w:endnoteReference w:id="48"/>
      </w:r>
      <w:r w:rsidRPr="00E81833">
        <w:rPr>
          <w:rFonts w:cs="Calibri"/>
          <w:szCs w:val="24"/>
        </w:rPr>
        <w:t xml:space="preserve"> </w:t>
      </w:r>
    </w:p>
    <w:p w14:paraId="7F80A3D4" w14:textId="13C85CC1" w:rsidR="00723A70" w:rsidRDefault="00E81833" w:rsidP="00F91720">
      <w:pPr>
        <w:pStyle w:val="ListParagraph"/>
        <w:numPr>
          <w:ilvl w:val="0"/>
          <w:numId w:val="24"/>
        </w:numPr>
        <w:rPr>
          <w:rFonts w:cs="Calibri"/>
          <w:szCs w:val="24"/>
        </w:rPr>
      </w:pPr>
      <w:r>
        <w:rPr>
          <w:rFonts w:cs="Calibri"/>
          <w:szCs w:val="24"/>
        </w:rPr>
        <w:t>In a</w:t>
      </w:r>
      <w:r w:rsidR="00451043" w:rsidRPr="00E81833">
        <w:rPr>
          <w:rFonts w:cs="Calibri"/>
          <w:szCs w:val="24"/>
        </w:rPr>
        <w:t xml:space="preserve"> study </w:t>
      </w:r>
      <w:r w:rsidR="00523F14">
        <w:t xml:space="preserve">on </w:t>
      </w:r>
      <w:r w:rsidR="00523F14" w:rsidRPr="00E81833">
        <w:rPr>
          <w:rFonts w:cs="Calibri"/>
          <w:szCs w:val="24"/>
        </w:rPr>
        <w:t>five strategies to reduce unplanned acute care for patients with cancer</w:t>
      </w:r>
      <w:r w:rsidR="00451043" w:rsidRPr="00E81833">
        <w:rPr>
          <w:rFonts w:cs="Calibri"/>
          <w:szCs w:val="24"/>
        </w:rPr>
        <w:t xml:space="preserve">, patient navigator programs </w:t>
      </w:r>
      <w:r w:rsidR="00317A7E" w:rsidRPr="00E81833">
        <w:rPr>
          <w:rFonts w:cs="Calibri"/>
          <w:szCs w:val="24"/>
        </w:rPr>
        <w:t>were</w:t>
      </w:r>
      <w:r w:rsidR="00451043" w:rsidRPr="00E81833">
        <w:rPr>
          <w:rFonts w:cs="Calibri"/>
          <w:szCs w:val="24"/>
        </w:rPr>
        <w:t xml:space="preserve"> </w:t>
      </w:r>
      <w:r w:rsidR="00524668" w:rsidRPr="00E81833">
        <w:rPr>
          <w:rFonts w:cs="Calibri"/>
          <w:szCs w:val="24"/>
        </w:rPr>
        <w:t xml:space="preserve">one </w:t>
      </w:r>
      <w:r w:rsidR="00F87345" w:rsidRPr="00E81833">
        <w:rPr>
          <w:rFonts w:cs="Calibri"/>
          <w:szCs w:val="24"/>
        </w:rPr>
        <w:t xml:space="preserve">intervention </w:t>
      </w:r>
      <w:r w:rsidR="00524668" w:rsidRPr="00E81833">
        <w:rPr>
          <w:rFonts w:cs="Calibri"/>
          <w:szCs w:val="24"/>
        </w:rPr>
        <w:t>of an</w:t>
      </w:r>
      <w:r w:rsidR="00D648A7" w:rsidRPr="00E81833">
        <w:rPr>
          <w:rFonts w:cs="Calibri"/>
          <w:szCs w:val="24"/>
        </w:rPr>
        <w:t xml:space="preserve"> enhanced access and care coordination</w:t>
      </w:r>
      <w:r w:rsidR="00524668" w:rsidRPr="00E81833">
        <w:rPr>
          <w:rFonts w:cs="Calibri"/>
          <w:szCs w:val="24"/>
        </w:rPr>
        <w:t xml:space="preserve"> strategy</w:t>
      </w:r>
      <w:r w:rsidR="00D648A7" w:rsidRPr="00E81833">
        <w:rPr>
          <w:rFonts w:cs="Calibri"/>
          <w:szCs w:val="24"/>
        </w:rPr>
        <w:t xml:space="preserve">, that </w:t>
      </w:r>
      <w:r w:rsidR="00317A7E" w:rsidRPr="00E81833">
        <w:rPr>
          <w:rFonts w:cs="Calibri"/>
          <w:szCs w:val="24"/>
        </w:rPr>
        <w:t>was</w:t>
      </w:r>
      <w:r w:rsidR="00D648A7" w:rsidRPr="00E81833">
        <w:rPr>
          <w:rFonts w:cs="Calibri"/>
          <w:szCs w:val="24"/>
        </w:rPr>
        <w:t xml:space="preserve"> shown to </w:t>
      </w:r>
      <w:r w:rsidR="00006715" w:rsidRPr="00E81833">
        <w:rPr>
          <w:rFonts w:cs="Calibri"/>
          <w:szCs w:val="24"/>
        </w:rPr>
        <w:t>decrease ED visits and all</w:t>
      </w:r>
      <w:r w:rsidR="00524668" w:rsidRPr="00E81833">
        <w:rPr>
          <w:rFonts w:cs="Calibri"/>
          <w:szCs w:val="24"/>
        </w:rPr>
        <w:t>-</w:t>
      </w:r>
      <w:r w:rsidR="00006715" w:rsidRPr="00E81833">
        <w:rPr>
          <w:rFonts w:cs="Calibri"/>
          <w:szCs w:val="24"/>
        </w:rPr>
        <w:t>cause hospitalizations, in the last 30 days of life.</w:t>
      </w:r>
      <w:r w:rsidR="00524668">
        <w:rPr>
          <w:rStyle w:val="EndnoteReference"/>
          <w:rFonts w:cs="Calibri"/>
          <w:szCs w:val="24"/>
        </w:rPr>
        <w:endnoteReference w:id="49"/>
      </w:r>
      <w:r w:rsidR="00451043" w:rsidRPr="00E81833">
        <w:rPr>
          <w:rFonts w:cs="Calibri"/>
          <w:szCs w:val="24"/>
        </w:rPr>
        <w:t xml:space="preserve"> </w:t>
      </w:r>
    </w:p>
    <w:p w14:paraId="25BE7557" w14:textId="39BDCC03" w:rsidR="00723A70" w:rsidRPr="00723A70" w:rsidRDefault="00A74698" w:rsidP="00F91720">
      <w:pPr>
        <w:pStyle w:val="ListParagraph"/>
        <w:numPr>
          <w:ilvl w:val="0"/>
          <w:numId w:val="59"/>
        </w:numPr>
      </w:pPr>
      <w:r w:rsidRPr="00E81833">
        <w:rPr>
          <w:rFonts w:cs="Calibri"/>
          <w:szCs w:val="24"/>
        </w:rPr>
        <w:t>A</w:t>
      </w:r>
      <w:r w:rsidR="00F52B72" w:rsidRPr="00E81833">
        <w:rPr>
          <w:rFonts w:cs="Calibri"/>
          <w:szCs w:val="24"/>
        </w:rPr>
        <w:t xml:space="preserve"> secondary analysis </w:t>
      </w:r>
      <w:r w:rsidR="008D099D" w:rsidRPr="00E81833">
        <w:rPr>
          <w:rFonts w:cs="Calibri"/>
          <w:szCs w:val="24"/>
        </w:rPr>
        <w:t>of Accountability for Cancer Care through Undoing Racism and Equity (ACCURE), an antiracism prospective pragmatic trial at five cancer centers</w:t>
      </w:r>
      <w:r w:rsidR="00437745">
        <w:rPr>
          <w:rFonts w:cs="Calibri"/>
          <w:szCs w:val="24"/>
        </w:rPr>
        <w:t>,</w:t>
      </w:r>
      <w:r w:rsidR="008D099D" w:rsidRPr="00E81833">
        <w:rPr>
          <w:rFonts w:cs="Calibri"/>
          <w:szCs w:val="24"/>
        </w:rPr>
        <w:t xml:space="preserve"> assess</w:t>
      </w:r>
      <w:r w:rsidR="00437745">
        <w:rPr>
          <w:rFonts w:cs="Calibri"/>
          <w:szCs w:val="24"/>
        </w:rPr>
        <w:t>ed</w:t>
      </w:r>
      <w:r w:rsidR="008D099D" w:rsidRPr="00E81833">
        <w:rPr>
          <w:rFonts w:cs="Calibri"/>
          <w:szCs w:val="24"/>
        </w:rPr>
        <w:t xml:space="preserve"> </w:t>
      </w:r>
      <w:r w:rsidR="00792AE0">
        <w:rPr>
          <w:rFonts w:cs="Calibri"/>
          <w:szCs w:val="24"/>
        </w:rPr>
        <w:t>its</w:t>
      </w:r>
      <w:r w:rsidR="008D099D" w:rsidRPr="00E81833">
        <w:rPr>
          <w:rFonts w:cs="Calibri"/>
          <w:szCs w:val="24"/>
        </w:rPr>
        <w:t xml:space="preserve"> impact on overall timeliness of lung cancer surgery and racial disparities in timely surgery. P</w:t>
      </w:r>
      <w:r w:rsidR="00F52B72" w:rsidRPr="00E81833">
        <w:rPr>
          <w:rFonts w:cs="Calibri"/>
          <w:szCs w:val="24"/>
        </w:rPr>
        <w:t>atient navigation, one component of</w:t>
      </w:r>
      <w:r w:rsidR="002B2024" w:rsidRPr="00E81833">
        <w:rPr>
          <w:rFonts w:cs="Calibri"/>
          <w:szCs w:val="24"/>
        </w:rPr>
        <w:t xml:space="preserve"> </w:t>
      </w:r>
      <w:r w:rsidR="001A64F2" w:rsidRPr="00E81833">
        <w:rPr>
          <w:rFonts w:cs="Calibri"/>
          <w:szCs w:val="24"/>
        </w:rPr>
        <w:t xml:space="preserve">the intervention, </w:t>
      </w:r>
      <w:r w:rsidR="009A4995" w:rsidRPr="00E81833">
        <w:rPr>
          <w:rFonts w:cs="Calibri"/>
          <w:szCs w:val="24"/>
        </w:rPr>
        <w:t xml:space="preserve">was shown to </w:t>
      </w:r>
      <w:r w:rsidR="00D228E7" w:rsidRPr="00E81833">
        <w:rPr>
          <w:rFonts w:cs="Calibri"/>
          <w:szCs w:val="24"/>
        </w:rPr>
        <w:t xml:space="preserve">help improve </w:t>
      </w:r>
      <w:r w:rsidR="009A4995" w:rsidRPr="00E81833">
        <w:rPr>
          <w:rFonts w:cs="Calibri"/>
          <w:szCs w:val="24"/>
        </w:rPr>
        <w:t xml:space="preserve">overall timeliness of lung cancer surgery </w:t>
      </w:r>
      <w:r w:rsidR="00E856E1" w:rsidRPr="00E81833">
        <w:rPr>
          <w:rFonts w:cs="Calibri"/>
          <w:szCs w:val="24"/>
        </w:rPr>
        <w:t xml:space="preserve">for Black and White patients </w:t>
      </w:r>
      <w:r w:rsidR="009A4995" w:rsidRPr="00E81833">
        <w:rPr>
          <w:rFonts w:cs="Calibri"/>
          <w:szCs w:val="24"/>
        </w:rPr>
        <w:t>and a reduction in the racial gap in timely care</w:t>
      </w:r>
      <w:r w:rsidR="00475205" w:rsidRPr="00E81833">
        <w:rPr>
          <w:rFonts w:cs="Calibri"/>
          <w:szCs w:val="24"/>
        </w:rPr>
        <w:t>.</w:t>
      </w:r>
      <w:r w:rsidR="00D228E7">
        <w:rPr>
          <w:rStyle w:val="EndnoteReference"/>
          <w:rFonts w:cs="Calibri"/>
          <w:szCs w:val="24"/>
        </w:rPr>
        <w:endnoteReference w:id="50"/>
      </w:r>
      <w:r w:rsidR="00BB7E57" w:rsidRPr="00BB7E57">
        <w:t xml:space="preserve"> </w:t>
      </w:r>
    </w:p>
    <w:p w14:paraId="464DC614" w14:textId="77777777" w:rsidR="00164E9B" w:rsidRPr="00EF6A8C" w:rsidRDefault="00164E9B" w:rsidP="00723A70">
      <w:pPr>
        <w:pStyle w:val="ListParagraph"/>
        <w:ind w:left="720" w:firstLine="0"/>
      </w:pPr>
    </w:p>
    <w:p w14:paraId="20E9E8F4" w14:textId="41486ACD" w:rsidR="007070D2" w:rsidRDefault="00FC4C1A" w:rsidP="00BA2054">
      <w:pPr>
        <w:rPr>
          <w:rFonts w:cs="Calibri"/>
          <w:szCs w:val="24"/>
        </w:rPr>
      </w:pPr>
      <w:r>
        <w:rPr>
          <w:rFonts w:cs="Calibri"/>
          <w:szCs w:val="24"/>
        </w:rPr>
        <w:t>The Applicant states that it plans</w:t>
      </w:r>
      <w:r w:rsidR="004A469B" w:rsidRPr="004A469B">
        <w:rPr>
          <w:rFonts w:cs="Calibri"/>
          <w:szCs w:val="24"/>
        </w:rPr>
        <w:t xml:space="preserve"> to expand patient navigation services to the entire cancer center, </w:t>
      </w:r>
      <w:r w:rsidR="004A49D1">
        <w:rPr>
          <w:rFonts w:cs="Calibri"/>
          <w:szCs w:val="24"/>
        </w:rPr>
        <w:t xml:space="preserve">including regional sites, </w:t>
      </w:r>
      <w:r w:rsidR="004A469B" w:rsidRPr="004A469B">
        <w:rPr>
          <w:rFonts w:cs="Calibri"/>
          <w:szCs w:val="24"/>
        </w:rPr>
        <w:t>with integration into operations; an</w:t>
      </w:r>
      <w:r w:rsidR="004A469B">
        <w:rPr>
          <w:rFonts w:cs="Calibri"/>
          <w:szCs w:val="24"/>
        </w:rPr>
        <w:t>d</w:t>
      </w:r>
      <w:r w:rsidR="00A5174A">
        <w:rPr>
          <w:rFonts w:cs="Calibri"/>
          <w:szCs w:val="24"/>
        </w:rPr>
        <w:t xml:space="preserve"> expand patient navigation services</w:t>
      </w:r>
      <w:r w:rsidR="004A469B">
        <w:rPr>
          <w:rFonts w:cs="Calibri"/>
          <w:szCs w:val="24"/>
        </w:rPr>
        <w:t xml:space="preserve"> </w:t>
      </w:r>
      <w:r w:rsidR="004A469B" w:rsidRPr="004A469B">
        <w:rPr>
          <w:rFonts w:cs="Calibri"/>
          <w:szCs w:val="24"/>
        </w:rPr>
        <w:t xml:space="preserve">in community health centers and community networks to aid in increased access to cancer care. </w:t>
      </w:r>
      <w:r w:rsidR="00CF6474">
        <w:rPr>
          <w:rFonts w:cs="Calibri"/>
          <w:szCs w:val="24"/>
        </w:rPr>
        <w:t xml:space="preserve">The Applicant states that it will replicate and expand </w:t>
      </w:r>
      <w:r w:rsidR="009210AA">
        <w:rPr>
          <w:rFonts w:cs="Calibri"/>
          <w:szCs w:val="24"/>
        </w:rPr>
        <w:t xml:space="preserve">its </w:t>
      </w:r>
      <w:r w:rsidR="00CF6474">
        <w:rPr>
          <w:rFonts w:cs="Calibri"/>
          <w:szCs w:val="24"/>
        </w:rPr>
        <w:t xml:space="preserve">existing co-location model within a community health center to incorporate cancer diagnostic services and patient navigation in order to expedite evaluation and resolution of potential cancer diagnoses. </w:t>
      </w:r>
      <w:r w:rsidR="00C91109">
        <w:rPr>
          <w:rFonts w:cs="Calibri"/>
          <w:szCs w:val="24"/>
        </w:rPr>
        <w:t>The Applicant maintains that</w:t>
      </w:r>
      <w:r w:rsidR="004A469B">
        <w:rPr>
          <w:rFonts w:cs="Calibri"/>
          <w:szCs w:val="24"/>
        </w:rPr>
        <w:t xml:space="preserve"> </w:t>
      </w:r>
      <w:r w:rsidR="004A469B" w:rsidRPr="004A469B">
        <w:rPr>
          <w:rFonts w:cs="Calibri"/>
          <w:szCs w:val="24"/>
        </w:rPr>
        <w:t xml:space="preserve">BIDMC has existing affiliations and relationships with community health centers that can expand Dana-Farber’s patient navigation and co-location model into additional communities and neighborhoods </w:t>
      </w:r>
      <w:r w:rsidR="007F7D5B">
        <w:rPr>
          <w:rFonts w:cs="Calibri"/>
          <w:szCs w:val="24"/>
        </w:rPr>
        <w:t>which the Applicant</w:t>
      </w:r>
      <w:r w:rsidR="00982626">
        <w:rPr>
          <w:rFonts w:cs="Calibri"/>
          <w:szCs w:val="24"/>
        </w:rPr>
        <w:t xml:space="preserve"> states </w:t>
      </w:r>
      <w:r w:rsidR="004A469B" w:rsidRPr="004A469B">
        <w:rPr>
          <w:rFonts w:cs="Calibri"/>
          <w:szCs w:val="24"/>
        </w:rPr>
        <w:t xml:space="preserve">will </w:t>
      </w:r>
      <w:r w:rsidR="00F66931">
        <w:rPr>
          <w:rFonts w:cs="Calibri"/>
          <w:szCs w:val="24"/>
        </w:rPr>
        <w:t>improve</w:t>
      </w:r>
      <w:r w:rsidR="00F66931" w:rsidRPr="004A469B">
        <w:rPr>
          <w:rFonts w:cs="Calibri"/>
          <w:szCs w:val="24"/>
        </w:rPr>
        <w:t xml:space="preserve"> </w:t>
      </w:r>
      <w:r w:rsidR="004A469B" w:rsidRPr="004A469B">
        <w:rPr>
          <w:rFonts w:cs="Calibri"/>
          <w:szCs w:val="24"/>
        </w:rPr>
        <w:t xml:space="preserve">the coordination and delivery of services and </w:t>
      </w:r>
      <w:r w:rsidR="00F66931">
        <w:rPr>
          <w:rFonts w:cs="Calibri"/>
          <w:szCs w:val="24"/>
        </w:rPr>
        <w:t>improve patient connection</w:t>
      </w:r>
      <w:r w:rsidR="00EC7A3E">
        <w:rPr>
          <w:rFonts w:cs="Calibri"/>
          <w:szCs w:val="24"/>
        </w:rPr>
        <w:t xml:space="preserve"> </w:t>
      </w:r>
      <w:r w:rsidR="004A469B" w:rsidRPr="004A469B">
        <w:rPr>
          <w:rFonts w:cs="Calibri"/>
          <w:szCs w:val="24"/>
        </w:rPr>
        <w:t xml:space="preserve">to care throughout the cancer care continuum. </w:t>
      </w:r>
    </w:p>
    <w:p w14:paraId="6F7F0438" w14:textId="77777777" w:rsidR="007070D2" w:rsidRDefault="007070D2" w:rsidP="00BA2054">
      <w:pPr>
        <w:rPr>
          <w:rFonts w:cs="Calibri"/>
          <w:szCs w:val="24"/>
        </w:rPr>
      </w:pPr>
    </w:p>
    <w:p w14:paraId="423AA1C8" w14:textId="56E131E3" w:rsidR="004A469B" w:rsidRDefault="004A469B" w:rsidP="36B2A8D2">
      <w:pPr>
        <w:rPr>
          <w:rFonts w:cs="Calibri"/>
        </w:rPr>
      </w:pPr>
      <w:r w:rsidRPr="36B2A8D2">
        <w:rPr>
          <w:rFonts w:cs="Calibri"/>
        </w:rPr>
        <w:t>The Applicant states that it will also identify and pursue opportunities to improve patient financial access and reduce cost barriers for patients, including opportunities for financial assistance policy alignment with BIDMC.</w:t>
      </w:r>
      <w:r w:rsidR="0077721F">
        <w:rPr>
          <w:rFonts w:cs="Calibri"/>
        </w:rPr>
        <w:t xml:space="preserve"> This is discussed further in Factor 2: Delivery System Transformation. </w:t>
      </w:r>
    </w:p>
    <w:p w14:paraId="07DCE953" w14:textId="77777777" w:rsidR="005A25C0" w:rsidRDefault="005A25C0" w:rsidP="00BA2054">
      <w:pPr>
        <w:rPr>
          <w:rFonts w:cs="Calibri"/>
          <w:i/>
          <w:iCs/>
          <w:szCs w:val="24"/>
          <w:u w:val="single"/>
        </w:rPr>
      </w:pPr>
    </w:p>
    <w:p w14:paraId="542FFD04" w14:textId="721AC3F8" w:rsidR="00FF4B05" w:rsidRPr="000A7CD1" w:rsidRDefault="000A7CD1" w:rsidP="00BA2054">
      <w:pPr>
        <w:rPr>
          <w:rFonts w:cs="Calibri"/>
          <w:i/>
          <w:iCs/>
          <w:szCs w:val="24"/>
          <w:u w:val="single"/>
        </w:rPr>
      </w:pPr>
      <w:r w:rsidRPr="000A7CD1">
        <w:rPr>
          <w:rFonts w:cs="Calibri"/>
          <w:i/>
          <w:iCs/>
          <w:szCs w:val="24"/>
          <w:u w:val="single"/>
        </w:rPr>
        <w:t>Site Accessibility</w:t>
      </w:r>
    </w:p>
    <w:p w14:paraId="2B1FAFF2" w14:textId="13E6F2C2" w:rsidR="00825B12" w:rsidRPr="00825B12" w:rsidRDefault="00562500" w:rsidP="00BA2054">
      <w:pPr>
        <w:rPr>
          <w:rFonts w:cs="Calibri"/>
          <w:szCs w:val="24"/>
        </w:rPr>
      </w:pPr>
      <w:r>
        <w:rPr>
          <w:rFonts w:cs="Calibri"/>
          <w:szCs w:val="24"/>
        </w:rPr>
        <w:t xml:space="preserve">The </w:t>
      </w:r>
      <w:r w:rsidR="009B397D">
        <w:rPr>
          <w:rFonts w:cs="Calibri"/>
          <w:szCs w:val="24"/>
        </w:rPr>
        <w:t xml:space="preserve">Proposed Project will be located in the Longwood Medical Area, which is accessible by both car and public transportation. </w:t>
      </w:r>
      <w:r w:rsidR="00825B12" w:rsidRPr="00825B12">
        <w:rPr>
          <w:rFonts w:cs="Calibri"/>
          <w:szCs w:val="24"/>
        </w:rPr>
        <w:t xml:space="preserve">The Applicant maintains that the proposed hospital will be designed so that all patients can ambulate in a safe manner, including through the use of bridges and tunnels that connect the proposed hospital to Dana-Farber’s other facilities and </w:t>
      </w:r>
      <w:r w:rsidR="00E70B70">
        <w:rPr>
          <w:rFonts w:cs="Calibri"/>
          <w:szCs w:val="24"/>
        </w:rPr>
        <w:t xml:space="preserve">to </w:t>
      </w:r>
      <w:r w:rsidR="00825B12" w:rsidRPr="00825B12">
        <w:rPr>
          <w:rFonts w:cs="Calibri"/>
          <w:szCs w:val="24"/>
        </w:rPr>
        <w:t xml:space="preserve">BIDMC. </w:t>
      </w:r>
      <w:r w:rsidR="008675AF">
        <w:rPr>
          <w:rFonts w:cs="Calibri"/>
          <w:szCs w:val="24"/>
        </w:rPr>
        <w:t>The Applicant</w:t>
      </w:r>
      <w:r w:rsidR="00E70B70">
        <w:rPr>
          <w:rFonts w:cs="Calibri"/>
          <w:szCs w:val="24"/>
        </w:rPr>
        <w:t xml:space="preserve"> states</w:t>
      </w:r>
      <w:r w:rsidR="008675AF">
        <w:rPr>
          <w:rFonts w:cs="Calibri"/>
          <w:szCs w:val="24"/>
        </w:rPr>
        <w:t xml:space="preserve"> that connecting bridges and tunnels between the two buildings will facilitate patient transfers. </w:t>
      </w:r>
      <w:r w:rsidR="00825B12" w:rsidRPr="00825B12">
        <w:rPr>
          <w:rFonts w:cs="Calibri"/>
          <w:szCs w:val="24"/>
        </w:rPr>
        <w:t xml:space="preserve">Further, the proposed hospital will comply with all applicable legal and regulatory </w:t>
      </w:r>
      <w:r w:rsidR="00825B12" w:rsidRPr="00825B12">
        <w:rPr>
          <w:rFonts w:cs="Calibri"/>
          <w:szCs w:val="24"/>
        </w:rPr>
        <w:lastRenderedPageBreak/>
        <w:t xml:space="preserve">requirements, including Massachusetts Architectural Access Board and Americans with Disabilities Act (ADA). </w:t>
      </w:r>
      <w:r w:rsidR="00812DAF">
        <w:rPr>
          <w:rFonts w:cs="Calibri"/>
          <w:szCs w:val="24"/>
        </w:rPr>
        <w:t xml:space="preserve">The Applicant states that it maintains psychosocial and social work programs that are designed to improve the experience of patients, including </w:t>
      </w:r>
      <w:r w:rsidR="00636B57">
        <w:rPr>
          <w:rFonts w:cs="Calibri"/>
          <w:szCs w:val="24"/>
        </w:rPr>
        <w:t>patients</w:t>
      </w:r>
      <w:r w:rsidR="00812DAF">
        <w:rPr>
          <w:rFonts w:cs="Calibri"/>
          <w:szCs w:val="24"/>
        </w:rPr>
        <w:t xml:space="preserve"> with intellectual or development disabilities. </w:t>
      </w:r>
    </w:p>
    <w:p w14:paraId="7762FA0D" w14:textId="77777777" w:rsidR="00825B12" w:rsidRDefault="00825B12" w:rsidP="00BA2054">
      <w:pPr>
        <w:rPr>
          <w:rFonts w:cs="Calibri"/>
          <w:szCs w:val="24"/>
        </w:rPr>
      </w:pPr>
    </w:p>
    <w:p w14:paraId="132850D0" w14:textId="2243EF9C" w:rsidR="00050B27" w:rsidRDefault="00B219B0" w:rsidP="00BA2054">
      <w:pPr>
        <w:rPr>
          <w:rFonts w:cs="Calibri"/>
        </w:rPr>
      </w:pPr>
      <w:r w:rsidRPr="5898C719">
        <w:rPr>
          <w:rFonts w:cs="Calibri"/>
        </w:rPr>
        <w:t xml:space="preserve">Currently, </w:t>
      </w:r>
      <w:r w:rsidR="00A529FC" w:rsidRPr="5898C719">
        <w:rPr>
          <w:rFonts w:cs="Calibri"/>
        </w:rPr>
        <w:t>p</w:t>
      </w:r>
      <w:r w:rsidRPr="5898C719">
        <w:rPr>
          <w:rFonts w:cs="Calibri"/>
        </w:rPr>
        <w:t xml:space="preserve">atient </w:t>
      </w:r>
      <w:r w:rsidR="00A529FC" w:rsidRPr="5898C719">
        <w:rPr>
          <w:rFonts w:cs="Calibri"/>
        </w:rPr>
        <w:t>n</w:t>
      </w:r>
      <w:r w:rsidRPr="5898C719">
        <w:rPr>
          <w:rFonts w:cs="Calibri"/>
        </w:rPr>
        <w:t xml:space="preserve">avigators help patients to coordinate transportation to help prevent patient no-shows and delays in cancer treatment. </w:t>
      </w:r>
      <w:r w:rsidR="00801954" w:rsidRPr="5898C719">
        <w:rPr>
          <w:rFonts w:cs="Calibri"/>
        </w:rPr>
        <w:t>The Applicant states that</w:t>
      </w:r>
      <w:r w:rsidR="009C10A4">
        <w:rPr>
          <w:rFonts w:cs="Calibri"/>
        </w:rPr>
        <w:t xml:space="preserve"> of the</w:t>
      </w:r>
      <w:r w:rsidR="00801954" w:rsidRPr="5898C719">
        <w:rPr>
          <w:rFonts w:cs="Calibri"/>
        </w:rPr>
        <w:t xml:space="preserve"> </w:t>
      </w:r>
      <w:r w:rsidR="008E051E" w:rsidRPr="5898C719">
        <w:rPr>
          <w:rFonts w:cs="Calibri"/>
        </w:rPr>
        <w:t xml:space="preserve">15% of </w:t>
      </w:r>
      <w:r w:rsidR="005731D1" w:rsidRPr="5898C719">
        <w:rPr>
          <w:rFonts w:cs="Calibri"/>
        </w:rPr>
        <w:t xml:space="preserve"> unique patients </w:t>
      </w:r>
      <w:r w:rsidR="009C10A4">
        <w:rPr>
          <w:rFonts w:cs="Calibri"/>
        </w:rPr>
        <w:t xml:space="preserve">that </w:t>
      </w:r>
      <w:r w:rsidR="00197239" w:rsidRPr="5898C719">
        <w:rPr>
          <w:rFonts w:cs="Calibri"/>
        </w:rPr>
        <w:t xml:space="preserve">reported </w:t>
      </w:r>
      <w:r w:rsidR="008E051E" w:rsidRPr="5898C719">
        <w:rPr>
          <w:rFonts w:cs="Calibri"/>
        </w:rPr>
        <w:t>transportation barriers, 58%</w:t>
      </w:r>
      <w:r w:rsidR="008E051E" w:rsidRPr="5898C719" w:rsidDel="009C10A4">
        <w:rPr>
          <w:rFonts w:cs="Calibri"/>
        </w:rPr>
        <w:t xml:space="preserve"> </w:t>
      </w:r>
      <w:r w:rsidR="008E051E" w:rsidRPr="5898C719">
        <w:rPr>
          <w:rFonts w:cs="Calibri"/>
        </w:rPr>
        <w:t>self-identified as Black or African-American and 76% had either Medicare of Medicaid</w:t>
      </w:r>
      <w:r w:rsidR="00197239" w:rsidRPr="5898C719">
        <w:rPr>
          <w:rFonts w:cs="Calibri"/>
        </w:rPr>
        <w:t>. T</w:t>
      </w:r>
      <w:r w:rsidR="008E051E" w:rsidRPr="5898C719">
        <w:rPr>
          <w:rFonts w:cs="Calibri"/>
        </w:rPr>
        <w:t xml:space="preserve">he Applicant </w:t>
      </w:r>
      <w:r w:rsidR="00801954" w:rsidRPr="5898C719">
        <w:rPr>
          <w:rFonts w:cs="Calibri"/>
        </w:rPr>
        <w:t xml:space="preserve">maintains that it is </w:t>
      </w:r>
      <w:r w:rsidR="008E051E" w:rsidRPr="5898C719">
        <w:rPr>
          <w:rFonts w:cs="Calibri"/>
        </w:rPr>
        <w:t>working to address transportation needs of its Patient Panel</w:t>
      </w:r>
      <w:r w:rsidR="00801954" w:rsidRPr="5898C719">
        <w:rPr>
          <w:rFonts w:cs="Calibri"/>
        </w:rPr>
        <w:t xml:space="preserve"> by </w:t>
      </w:r>
      <w:r w:rsidR="008E051E" w:rsidRPr="5898C719">
        <w:rPr>
          <w:rFonts w:cs="Calibri"/>
        </w:rPr>
        <w:t>secur</w:t>
      </w:r>
      <w:r w:rsidR="00801954" w:rsidRPr="5898C719">
        <w:rPr>
          <w:rFonts w:cs="Calibri"/>
        </w:rPr>
        <w:t>ing</w:t>
      </w:r>
      <w:r w:rsidR="008E051E" w:rsidRPr="5898C719">
        <w:rPr>
          <w:rFonts w:cs="Calibri"/>
        </w:rPr>
        <w:t xml:space="preserve"> grant funding to continue to address transportation needs and </w:t>
      </w:r>
      <w:r w:rsidR="005731D1" w:rsidRPr="5898C719">
        <w:rPr>
          <w:rFonts w:cs="Calibri"/>
        </w:rPr>
        <w:t xml:space="preserve">reduce </w:t>
      </w:r>
      <w:r w:rsidR="008E051E" w:rsidRPr="5898C719">
        <w:rPr>
          <w:rFonts w:cs="Calibri"/>
        </w:rPr>
        <w:t>no-shows.</w:t>
      </w:r>
      <w:r w:rsidR="00EC7BD9" w:rsidRPr="5898C719">
        <w:rPr>
          <w:rFonts w:cs="Calibri"/>
        </w:rPr>
        <w:t xml:space="preserve"> </w:t>
      </w:r>
    </w:p>
    <w:p w14:paraId="61778978" w14:textId="77777777" w:rsidR="006E08E1" w:rsidRDefault="006E08E1" w:rsidP="00BA2054">
      <w:pPr>
        <w:rPr>
          <w:rFonts w:cs="Calibri"/>
          <w:szCs w:val="24"/>
        </w:rPr>
      </w:pPr>
    </w:p>
    <w:p w14:paraId="23727ECA" w14:textId="0553AFD9" w:rsidR="00050B27" w:rsidRPr="00C242C3" w:rsidRDefault="00050B27" w:rsidP="00BA2054">
      <w:pPr>
        <w:rPr>
          <w:rFonts w:cs="Calibri"/>
          <w:i/>
          <w:iCs/>
          <w:szCs w:val="24"/>
          <w:u w:val="single"/>
        </w:rPr>
      </w:pPr>
      <w:r w:rsidRPr="00C242C3">
        <w:rPr>
          <w:rFonts w:cs="Calibri"/>
          <w:i/>
          <w:iCs/>
          <w:szCs w:val="24"/>
          <w:u w:val="single"/>
        </w:rPr>
        <w:t xml:space="preserve">Interpreter Services </w:t>
      </w:r>
    </w:p>
    <w:p w14:paraId="11A9850A" w14:textId="203D53E4" w:rsidR="00551679" w:rsidRDefault="00AE7429" w:rsidP="00F37865">
      <w:pPr>
        <w:rPr>
          <w:rFonts w:cs="Calibri"/>
        </w:rPr>
      </w:pPr>
      <w:r>
        <w:rPr>
          <w:rFonts w:cs="Calibri"/>
        </w:rPr>
        <w:t xml:space="preserve">The </w:t>
      </w:r>
      <w:r w:rsidR="00D439D6">
        <w:rPr>
          <w:rFonts w:cs="Calibri"/>
        </w:rPr>
        <w:t xml:space="preserve">Applicant states that it had adopted the </w:t>
      </w:r>
      <w:r w:rsidR="00945A52">
        <w:rPr>
          <w:rFonts w:cs="Calibri"/>
        </w:rPr>
        <w:t xml:space="preserve">Communication and Language </w:t>
      </w:r>
      <w:r w:rsidR="00041693">
        <w:rPr>
          <w:rFonts w:cs="Calibri"/>
        </w:rPr>
        <w:t>standard</w:t>
      </w:r>
      <w:r w:rsidR="00945A52">
        <w:rPr>
          <w:rFonts w:cs="Calibri"/>
        </w:rPr>
        <w:t xml:space="preserve"> under the</w:t>
      </w:r>
      <w:r w:rsidR="00E064B1">
        <w:rPr>
          <w:rFonts w:cs="Calibri"/>
        </w:rPr>
        <w:t xml:space="preserve"> national </w:t>
      </w:r>
      <w:r w:rsidR="00D439D6">
        <w:rPr>
          <w:rFonts w:cs="Calibri"/>
        </w:rPr>
        <w:t>Culturally and Linguistically Appropriate Services (CLAS)</w:t>
      </w:r>
      <w:r w:rsidR="008C6D2E">
        <w:rPr>
          <w:rFonts w:cs="Calibri"/>
        </w:rPr>
        <w:t xml:space="preserve"> standards</w:t>
      </w:r>
      <w:r w:rsidR="00945A52">
        <w:rPr>
          <w:rFonts w:cs="Calibri"/>
        </w:rPr>
        <w:t>.</w:t>
      </w:r>
      <w:r w:rsidR="00D439D6">
        <w:rPr>
          <w:rFonts w:cs="Calibri"/>
        </w:rPr>
        <w:t xml:space="preserve"> </w:t>
      </w:r>
      <w:r w:rsidR="00DB6329">
        <w:rPr>
          <w:rFonts w:cs="Calibri"/>
        </w:rPr>
        <w:t xml:space="preserve">The </w:t>
      </w:r>
      <w:r w:rsidR="00F23C8C" w:rsidRPr="36B2A8D2">
        <w:rPr>
          <w:rFonts w:cs="Calibri"/>
        </w:rPr>
        <w:t xml:space="preserve">Applicant </w:t>
      </w:r>
      <w:r w:rsidR="00551679">
        <w:rPr>
          <w:rFonts w:cs="Calibri"/>
        </w:rPr>
        <w:t xml:space="preserve">also states that it </w:t>
      </w:r>
      <w:r w:rsidR="00F23C8C" w:rsidRPr="36B2A8D2">
        <w:rPr>
          <w:rFonts w:cs="Calibri"/>
        </w:rPr>
        <w:t>provides medical interpreters at no charge to patients and families who speak a language other than English</w:t>
      </w:r>
      <w:r w:rsidR="00DB6329" w:rsidRPr="00DB6329">
        <w:rPr>
          <w:rFonts w:cs="Calibri"/>
        </w:rPr>
        <w:t xml:space="preserve"> </w:t>
      </w:r>
      <w:r w:rsidR="00DB6329">
        <w:rPr>
          <w:rFonts w:cs="Calibri"/>
        </w:rPr>
        <w:t>t</w:t>
      </w:r>
      <w:r w:rsidR="00DB6329" w:rsidRPr="00DB6329">
        <w:rPr>
          <w:rFonts w:cs="Calibri"/>
        </w:rPr>
        <w:t xml:space="preserve">o ensure that all patients have access to high quality oncology services and </w:t>
      </w:r>
      <w:r w:rsidR="00C3064D">
        <w:rPr>
          <w:rFonts w:cs="Calibri"/>
        </w:rPr>
        <w:t xml:space="preserve">an </w:t>
      </w:r>
      <w:r w:rsidR="00DB6329" w:rsidRPr="00DB6329">
        <w:rPr>
          <w:rFonts w:cs="Calibri"/>
        </w:rPr>
        <w:t>exceptional patient experience</w:t>
      </w:r>
      <w:r w:rsidR="00F23C8C" w:rsidRPr="36B2A8D2">
        <w:rPr>
          <w:rFonts w:cs="Calibri"/>
        </w:rPr>
        <w:t>.</w:t>
      </w:r>
      <w:r w:rsidR="004E561B">
        <w:rPr>
          <w:rFonts w:cs="Calibri"/>
        </w:rPr>
        <w:t xml:space="preserve"> </w:t>
      </w:r>
      <w:r w:rsidR="00551679">
        <w:rPr>
          <w:rFonts w:cs="Calibri"/>
        </w:rPr>
        <w:t xml:space="preserve">The Applicant provided the following </w:t>
      </w:r>
      <w:r w:rsidR="00CF08EC">
        <w:rPr>
          <w:rFonts w:cs="Calibri"/>
        </w:rPr>
        <w:t>overview</w:t>
      </w:r>
      <w:r w:rsidR="00551679">
        <w:rPr>
          <w:rFonts w:cs="Calibri"/>
        </w:rPr>
        <w:t xml:space="preserve"> </w:t>
      </w:r>
      <w:r w:rsidR="00B22FCB">
        <w:rPr>
          <w:rFonts w:cs="Calibri"/>
        </w:rPr>
        <w:t>o</w:t>
      </w:r>
      <w:r w:rsidR="00551679">
        <w:rPr>
          <w:rFonts w:cs="Calibri"/>
        </w:rPr>
        <w:t>f Dana-Farber’s provision of interpreter services:</w:t>
      </w:r>
    </w:p>
    <w:p w14:paraId="280F81B9" w14:textId="68613380" w:rsidR="003C0737" w:rsidRDefault="003C0737" w:rsidP="00F91720">
      <w:pPr>
        <w:pStyle w:val="ListParagraph"/>
        <w:numPr>
          <w:ilvl w:val="0"/>
          <w:numId w:val="43"/>
        </w:numPr>
        <w:rPr>
          <w:rFonts w:cs="Calibri"/>
        </w:rPr>
      </w:pPr>
      <w:r>
        <w:rPr>
          <w:rFonts w:cs="Calibri"/>
        </w:rPr>
        <w:t xml:space="preserve">The Applicant’s interpreter services program covers over 200 languages. </w:t>
      </w:r>
    </w:p>
    <w:p w14:paraId="0C719CD5" w14:textId="234BF8AF" w:rsidR="00085FD8" w:rsidRDefault="00085FD8" w:rsidP="00F91720">
      <w:pPr>
        <w:pStyle w:val="ListParagraph"/>
        <w:numPr>
          <w:ilvl w:val="0"/>
          <w:numId w:val="43"/>
        </w:numPr>
        <w:rPr>
          <w:rFonts w:cs="Calibri"/>
        </w:rPr>
      </w:pPr>
      <w:r>
        <w:rPr>
          <w:rFonts w:cs="Calibri"/>
        </w:rPr>
        <w:t>The</w:t>
      </w:r>
      <w:r w:rsidR="00F23C8C" w:rsidRPr="00551679" w:rsidDel="00085FD8">
        <w:rPr>
          <w:rFonts w:cs="Calibri"/>
        </w:rPr>
        <w:t xml:space="preserve"> </w:t>
      </w:r>
      <w:r w:rsidR="00254BC8">
        <w:rPr>
          <w:rFonts w:cs="Calibri"/>
        </w:rPr>
        <w:t xml:space="preserve">Applicant uses </w:t>
      </w:r>
      <w:r w:rsidR="00F03DDA" w:rsidRPr="00551679">
        <w:rPr>
          <w:rFonts w:cs="Calibri"/>
        </w:rPr>
        <w:t>liv</w:t>
      </w:r>
      <w:r w:rsidR="006B1958" w:rsidRPr="00551679">
        <w:rPr>
          <w:rFonts w:cs="Calibri"/>
        </w:rPr>
        <w:t xml:space="preserve">e, </w:t>
      </w:r>
      <w:r w:rsidR="005E7B03" w:rsidRPr="00551679">
        <w:rPr>
          <w:rFonts w:cs="Calibri"/>
        </w:rPr>
        <w:t>in person</w:t>
      </w:r>
      <w:r w:rsidR="006B1958" w:rsidRPr="00551679">
        <w:rPr>
          <w:rFonts w:cs="Calibri"/>
        </w:rPr>
        <w:t xml:space="preserve"> interpreter services</w:t>
      </w:r>
      <w:r>
        <w:rPr>
          <w:rFonts w:cs="Calibri"/>
        </w:rPr>
        <w:t>;</w:t>
      </w:r>
      <w:r w:rsidR="006B1958" w:rsidRPr="00551679">
        <w:rPr>
          <w:rFonts w:cs="Calibri"/>
        </w:rPr>
        <w:t xml:space="preserve"> remote video services</w:t>
      </w:r>
      <w:r>
        <w:rPr>
          <w:rFonts w:cs="Calibri"/>
        </w:rPr>
        <w:t>;</w:t>
      </w:r>
      <w:r w:rsidR="006B1958" w:rsidRPr="00551679">
        <w:rPr>
          <w:rFonts w:cs="Calibri"/>
        </w:rPr>
        <w:t xml:space="preserve"> and service</w:t>
      </w:r>
      <w:r w:rsidR="004E561B" w:rsidRPr="00551679">
        <w:rPr>
          <w:rFonts w:cs="Calibri"/>
        </w:rPr>
        <w:t>s</w:t>
      </w:r>
      <w:r w:rsidR="006B1958" w:rsidRPr="00551679">
        <w:rPr>
          <w:rFonts w:cs="Calibri"/>
        </w:rPr>
        <w:t xml:space="preserve"> provided over</w:t>
      </w:r>
      <w:r w:rsidR="005E7B03" w:rsidRPr="00551679">
        <w:rPr>
          <w:rFonts w:cs="Calibri"/>
        </w:rPr>
        <w:t>-</w:t>
      </w:r>
      <w:r w:rsidR="006B1958" w:rsidRPr="00551679">
        <w:rPr>
          <w:rFonts w:cs="Calibri"/>
        </w:rPr>
        <w:t>the</w:t>
      </w:r>
      <w:r w:rsidR="005E7B03" w:rsidRPr="00551679">
        <w:rPr>
          <w:rFonts w:cs="Calibri"/>
        </w:rPr>
        <w:t>-</w:t>
      </w:r>
      <w:r w:rsidR="006B1958" w:rsidRPr="00551679">
        <w:rPr>
          <w:rFonts w:cs="Calibri"/>
        </w:rPr>
        <w:t xml:space="preserve">phone. </w:t>
      </w:r>
    </w:p>
    <w:p w14:paraId="477E7580" w14:textId="0ADE6906" w:rsidR="00100E27" w:rsidRDefault="00FF6B25" w:rsidP="00F91720">
      <w:pPr>
        <w:pStyle w:val="ListParagraph"/>
        <w:numPr>
          <w:ilvl w:val="0"/>
          <w:numId w:val="43"/>
        </w:numPr>
        <w:rPr>
          <w:rFonts w:cs="Calibri"/>
        </w:rPr>
      </w:pPr>
      <w:r>
        <w:rPr>
          <w:rFonts w:cs="Calibri"/>
        </w:rPr>
        <w:t>The Applicant provides i</w:t>
      </w:r>
      <w:r w:rsidR="004D5ECA" w:rsidRPr="00551679">
        <w:rPr>
          <w:rFonts w:cs="Calibri"/>
        </w:rPr>
        <w:t>nterpreter and translation services</w:t>
      </w:r>
      <w:r w:rsidR="00085FD8">
        <w:rPr>
          <w:rFonts w:cs="Calibri"/>
        </w:rPr>
        <w:t xml:space="preserve"> </w:t>
      </w:r>
      <w:r w:rsidR="004D5ECA" w:rsidRPr="00551679">
        <w:rPr>
          <w:rFonts w:cs="Calibri"/>
        </w:rPr>
        <w:t>for writ</w:t>
      </w:r>
      <w:r w:rsidR="00085FD8">
        <w:rPr>
          <w:rFonts w:cs="Calibri"/>
        </w:rPr>
        <w:t>ten</w:t>
      </w:r>
      <w:r w:rsidR="004D5ECA" w:rsidRPr="00551679">
        <w:rPr>
          <w:rFonts w:cs="Calibri"/>
        </w:rPr>
        <w:t xml:space="preserve"> communication in its patient portal and for </w:t>
      </w:r>
      <w:r w:rsidR="004E561B" w:rsidRPr="00551679">
        <w:rPr>
          <w:rFonts w:cs="Calibri"/>
        </w:rPr>
        <w:t xml:space="preserve">other written materials provided in the provision of care. </w:t>
      </w:r>
    </w:p>
    <w:p w14:paraId="25239DB1" w14:textId="2351BECB" w:rsidR="00100E27" w:rsidRPr="00100E27" w:rsidRDefault="00A07673" w:rsidP="00F91720">
      <w:pPr>
        <w:pStyle w:val="ListParagraph"/>
        <w:numPr>
          <w:ilvl w:val="0"/>
          <w:numId w:val="43"/>
        </w:numPr>
        <w:rPr>
          <w:rFonts w:cs="Calibri"/>
        </w:rPr>
      </w:pPr>
      <w:r w:rsidRPr="00100E27">
        <w:rPr>
          <w:rFonts w:cs="Calibri"/>
        </w:rPr>
        <w:t xml:space="preserve">The Applicant currently employs 51 </w:t>
      </w:r>
      <w:r w:rsidR="005D10F2" w:rsidRPr="00100E27">
        <w:rPr>
          <w:rFonts w:cs="Calibri"/>
        </w:rPr>
        <w:t>medical interpreters</w:t>
      </w:r>
      <w:r w:rsidR="003C0737">
        <w:rPr>
          <w:rFonts w:cs="Calibri"/>
        </w:rPr>
        <w:t xml:space="preserve"> co</w:t>
      </w:r>
      <w:r w:rsidR="00075A06">
        <w:t>vering 17 languages.</w:t>
      </w:r>
    </w:p>
    <w:p w14:paraId="4AB3CA70" w14:textId="77777777" w:rsidR="00100E27" w:rsidRDefault="00F056A9" w:rsidP="00F91720">
      <w:pPr>
        <w:pStyle w:val="ListParagraph"/>
        <w:numPr>
          <w:ilvl w:val="0"/>
          <w:numId w:val="43"/>
        </w:numPr>
        <w:rPr>
          <w:rFonts w:cs="Calibri"/>
        </w:rPr>
      </w:pPr>
      <w:r w:rsidRPr="00100E27">
        <w:rPr>
          <w:rFonts w:cs="Calibri"/>
        </w:rPr>
        <w:t>I</w:t>
      </w:r>
      <w:r w:rsidR="00002B61" w:rsidRPr="00100E27">
        <w:rPr>
          <w:rFonts w:cs="Calibri"/>
        </w:rPr>
        <w:t>nterpreters meet patients who are identified as having a primary language other than English and escort them through registration.</w:t>
      </w:r>
      <w:r w:rsidR="00513138" w:rsidRPr="00100E27">
        <w:rPr>
          <w:rFonts w:cs="Calibri"/>
        </w:rPr>
        <w:t xml:space="preserve"> </w:t>
      </w:r>
    </w:p>
    <w:p w14:paraId="195E25C8" w14:textId="07C9958C" w:rsidR="00100E27" w:rsidRPr="00100E27" w:rsidRDefault="000A2A2A" w:rsidP="00F91720">
      <w:pPr>
        <w:pStyle w:val="ListParagraph"/>
        <w:numPr>
          <w:ilvl w:val="0"/>
          <w:numId w:val="43"/>
        </w:numPr>
        <w:rPr>
          <w:rFonts w:cs="Calibri"/>
        </w:rPr>
      </w:pPr>
      <w:r w:rsidRPr="00100E27">
        <w:rPr>
          <w:rFonts w:cs="Calibri"/>
        </w:rPr>
        <w:t xml:space="preserve">Interpreter </w:t>
      </w:r>
      <w:r w:rsidR="000F18AE" w:rsidRPr="00100E27">
        <w:rPr>
          <w:rFonts w:cs="Calibri"/>
        </w:rPr>
        <w:t>Ambassadors</w:t>
      </w:r>
      <w:r w:rsidR="002E2399" w:rsidRPr="00100E27">
        <w:rPr>
          <w:rFonts w:cs="Calibri"/>
        </w:rPr>
        <w:t xml:space="preserve">, qualified medical interpreters </w:t>
      </w:r>
      <w:r w:rsidR="008A7C58" w:rsidRPr="00100E27">
        <w:rPr>
          <w:rFonts w:cs="Calibri"/>
        </w:rPr>
        <w:t xml:space="preserve">that </w:t>
      </w:r>
      <w:r w:rsidR="002E2399" w:rsidRPr="00100E27">
        <w:rPr>
          <w:rFonts w:cs="Calibri"/>
        </w:rPr>
        <w:t>provide</w:t>
      </w:r>
      <w:r w:rsidR="000F18AE" w:rsidRPr="00100E27">
        <w:rPr>
          <w:rFonts w:cs="Calibri"/>
        </w:rPr>
        <w:t xml:space="preserve"> </w:t>
      </w:r>
      <w:r w:rsidR="008A7C58" w:rsidRPr="00100E27">
        <w:rPr>
          <w:rFonts w:cs="Calibri"/>
        </w:rPr>
        <w:t xml:space="preserve">medical interpretation and </w:t>
      </w:r>
      <w:r w:rsidR="00040B15" w:rsidRPr="00100E27">
        <w:rPr>
          <w:rFonts w:cs="Calibri"/>
        </w:rPr>
        <w:t xml:space="preserve">support patients and staff through the patient’s continuum of care, </w:t>
      </w:r>
      <w:r w:rsidR="00072ECF" w:rsidRPr="00100E27">
        <w:rPr>
          <w:rFonts w:cs="Calibri"/>
        </w:rPr>
        <w:t xml:space="preserve">accompany patients to their appointments, help </w:t>
      </w:r>
      <w:r w:rsidR="00375292" w:rsidRPr="00100E27">
        <w:rPr>
          <w:rFonts w:cs="Calibri"/>
        </w:rPr>
        <w:t xml:space="preserve">patients </w:t>
      </w:r>
      <w:r w:rsidR="00072ECF" w:rsidRPr="00100E27">
        <w:rPr>
          <w:rFonts w:cs="Calibri"/>
        </w:rPr>
        <w:t xml:space="preserve">with referrals and pharmacy pick up, and inform </w:t>
      </w:r>
      <w:r w:rsidR="000F18AE" w:rsidRPr="00100E27">
        <w:rPr>
          <w:rFonts w:cs="Calibri"/>
        </w:rPr>
        <w:t>patients</w:t>
      </w:r>
      <w:r w:rsidR="00072ECF" w:rsidRPr="00100E27">
        <w:rPr>
          <w:rFonts w:cs="Calibri"/>
        </w:rPr>
        <w:t xml:space="preserve"> of the </w:t>
      </w:r>
      <w:r w:rsidR="00710A91" w:rsidRPr="00100E27">
        <w:rPr>
          <w:rFonts w:cs="Calibri"/>
        </w:rPr>
        <w:t xml:space="preserve">Applicant’s </w:t>
      </w:r>
      <w:r w:rsidR="00072ECF" w:rsidRPr="00100E27">
        <w:rPr>
          <w:rFonts w:cs="Calibri"/>
        </w:rPr>
        <w:t>supportive programs and resources.</w:t>
      </w:r>
      <w:r w:rsidR="0045414C">
        <w:t xml:space="preserve"> </w:t>
      </w:r>
    </w:p>
    <w:p w14:paraId="27F67E7F" w14:textId="29C11F1A" w:rsidR="00522304" w:rsidRPr="00522304" w:rsidRDefault="004407F7" w:rsidP="00F91720">
      <w:pPr>
        <w:pStyle w:val="ListParagraph"/>
        <w:numPr>
          <w:ilvl w:val="0"/>
          <w:numId w:val="43"/>
        </w:numPr>
        <w:rPr>
          <w:rFonts w:cs="Calibri"/>
        </w:rPr>
      </w:pPr>
      <w:r>
        <w:t>The Applicant provides</w:t>
      </w:r>
      <w:r w:rsidR="00BC4DE4" w:rsidRPr="00BC4DE4">
        <w:t xml:space="preserve"> American Sign Language Interpreters, certified deaf interpreters, and captioning access in real time to </w:t>
      </w:r>
      <w:r w:rsidR="3C62A1AD">
        <w:t>patients who are</w:t>
      </w:r>
      <w:r w:rsidR="0097306F">
        <w:t xml:space="preserve"> </w:t>
      </w:r>
      <w:r w:rsidR="00BC4DE4" w:rsidRPr="00BC4DE4">
        <w:t>deaf and hard of hearing.</w:t>
      </w:r>
    </w:p>
    <w:p w14:paraId="04D4D589" w14:textId="6C68103F" w:rsidR="00522304" w:rsidRPr="00522304" w:rsidRDefault="00BC4DE4" w:rsidP="00F91720">
      <w:pPr>
        <w:pStyle w:val="ListParagraph"/>
        <w:numPr>
          <w:ilvl w:val="0"/>
          <w:numId w:val="43"/>
        </w:numPr>
        <w:rPr>
          <w:rFonts w:cs="Calibri"/>
        </w:rPr>
      </w:pPr>
      <w:r w:rsidRPr="00BC4DE4">
        <w:t>The Applicant uses braille in permanent spaces and on signage</w:t>
      </w:r>
      <w:r w:rsidR="00870023">
        <w:t>.</w:t>
      </w:r>
    </w:p>
    <w:p w14:paraId="4A1D65A0" w14:textId="63C5DAA3" w:rsidR="00522304" w:rsidRPr="00522304" w:rsidRDefault="00522304" w:rsidP="00F91720">
      <w:pPr>
        <w:pStyle w:val="ListParagraph"/>
        <w:numPr>
          <w:ilvl w:val="0"/>
          <w:numId w:val="43"/>
        </w:numPr>
        <w:rPr>
          <w:rFonts w:cs="Calibri"/>
        </w:rPr>
      </w:pPr>
      <w:r>
        <w:t xml:space="preserve">The Applicant </w:t>
      </w:r>
      <w:r w:rsidR="00BC4DE4" w:rsidRPr="00BC4DE4">
        <w:t>provides materials in enlarged font and high contrast (text/color paper) for low vision patients</w:t>
      </w:r>
      <w:r w:rsidR="00870023">
        <w:t>.</w:t>
      </w:r>
      <w:r w:rsidR="00BC4DE4" w:rsidRPr="00BC4DE4">
        <w:t xml:space="preserve"> </w:t>
      </w:r>
    </w:p>
    <w:p w14:paraId="2C87B64C" w14:textId="70D2ED87" w:rsidR="00BC4DE4" w:rsidRPr="00100E27" w:rsidRDefault="00522304" w:rsidP="00F91720">
      <w:pPr>
        <w:pStyle w:val="ListParagraph"/>
        <w:numPr>
          <w:ilvl w:val="0"/>
          <w:numId w:val="43"/>
        </w:numPr>
        <w:rPr>
          <w:rFonts w:cs="Calibri"/>
        </w:rPr>
      </w:pPr>
      <w:r>
        <w:t xml:space="preserve">The Applicant </w:t>
      </w:r>
      <w:r w:rsidR="00BC4DE4" w:rsidRPr="00BC4DE4">
        <w:t xml:space="preserve">provides patients </w:t>
      </w:r>
      <w:r w:rsidR="4394A156">
        <w:t xml:space="preserve">who are blind </w:t>
      </w:r>
      <w:r w:rsidR="00BC4DE4" w:rsidRPr="00BC4DE4">
        <w:t>with access to audio-recording technology so patient/provider visits may be audio-recorded and referred to post-discharge.</w:t>
      </w:r>
    </w:p>
    <w:p w14:paraId="0E7FA8D9" w14:textId="77777777" w:rsidR="00614B2D" w:rsidRDefault="00614B2D" w:rsidP="00BA2054"/>
    <w:p w14:paraId="6446DD42" w14:textId="20B066BC" w:rsidR="00522304" w:rsidRDefault="00522304" w:rsidP="00BA2054">
      <w:pPr>
        <w:rPr>
          <w:rFonts w:cs="Calibri"/>
        </w:rPr>
      </w:pPr>
      <w:r w:rsidRPr="00551679">
        <w:rPr>
          <w:rFonts w:cs="Calibri"/>
        </w:rPr>
        <w:t xml:space="preserve">The Applicant </w:t>
      </w:r>
      <w:r>
        <w:rPr>
          <w:rFonts w:cs="Calibri"/>
        </w:rPr>
        <w:t>states that</w:t>
      </w:r>
      <w:r w:rsidR="00870023">
        <w:rPr>
          <w:rFonts w:cs="Calibri"/>
        </w:rPr>
        <w:t xml:space="preserve"> in</w:t>
      </w:r>
      <w:r w:rsidRPr="00551679">
        <w:rPr>
          <w:rFonts w:cs="Calibri"/>
        </w:rPr>
        <w:t xml:space="preserve"> FY24</w:t>
      </w:r>
      <w:r>
        <w:rPr>
          <w:rFonts w:cs="Calibri"/>
        </w:rPr>
        <w:t>,</w:t>
      </w:r>
      <w:r w:rsidRPr="00551679">
        <w:rPr>
          <w:rFonts w:cs="Calibri"/>
        </w:rPr>
        <w:t xml:space="preserve"> there were 88,587 requests filed for interpreter services; 51,128 </w:t>
      </w:r>
      <w:r w:rsidR="00870023">
        <w:rPr>
          <w:rFonts w:cs="Calibri"/>
        </w:rPr>
        <w:t xml:space="preserve">were </w:t>
      </w:r>
      <w:r w:rsidRPr="00551679">
        <w:rPr>
          <w:rFonts w:cs="Calibri"/>
        </w:rPr>
        <w:t xml:space="preserve">for in-person services, 8,758 </w:t>
      </w:r>
      <w:r w:rsidR="00870023">
        <w:rPr>
          <w:rFonts w:cs="Calibri"/>
        </w:rPr>
        <w:t>were</w:t>
      </w:r>
      <w:r w:rsidRPr="00551679">
        <w:rPr>
          <w:rFonts w:cs="Calibri"/>
        </w:rPr>
        <w:t xml:space="preserve"> </w:t>
      </w:r>
      <w:r w:rsidR="00870023">
        <w:rPr>
          <w:rFonts w:cs="Calibri"/>
        </w:rPr>
        <w:t xml:space="preserve">for </w:t>
      </w:r>
      <w:r w:rsidRPr="00551679">
        <w:rPr>
          <w:rFonts w:cs="Calibri"/>
        </w:rPr>
        <w:t>remote video, and 28,701 were over-the-phone. Additionally, there were 543 requests for translation of written communications</w:t>
      </w:r>
      <w:r>
        <w:rPr>
          <w:rFonts w:cs="Calibri"/>
        </w:rPr>
        <w:t>;</w:t>
      </w:r>
      <w:r w:rsidRPr="00551679">
        <w:rPr>
          <w:rFonts w:cs="Calibri"/>
        </w:rPr>
        <w:t xml:space="preserve"> 29 were related to </w:t>
      </w:r>
      <w:r w:rsidRPr="00551679">
        <w:rPr>
          <w:rFonts w:cs="Calibri"/>
        </w:rPr>
        <w:lastRenderedPageBreak/>
        <w:t xml:space="preserve">messages in the Applicant’s patient portal and 514 were related to the translation of other written materials. </w:t>
      </w:r>
      <w:r w:rsidR="001A16A1">
        <w:rPr>
          <w:rFonts w:cs="Calibri"/>
        </w:rPr>
        <w:t xml:space="preserve">In FY24, Spanish, Arabic, Chinese (Mandarin and Cantonese), Portuguese, and Russian were the top five languages requested by the Applicant’s Patient Panel. </w:t>
      </w:r>
    </w:p>
    <w:p w14:paraId="5E845848" w14:textId="77777777" w:rsidR="00522304" w:rsidRDefault="00522304" w:rsidP="00BA2054"/>
    <w:p w14:paraId="6E6AD3A2" w14:textId="2A61EBFA" w:rsidR="0001360E" w:rsidRDefault="00A64B3C" w:rsidP="00BA2054">
      <w:r>
        <w:t>The Applicant states that Dana-Farber staff receive</w:t>
      </w:r>
      <w:r w:rsidR="009535E2">
        <w:t xml:space="preserve">s training on </w:t>
      </w:r>
      <w:r w:rsidR="00751800">
        <w:t xml:space="preserve">the availability of interpreter services and how to work with interpreters. </w:t>
      </w:r>
      <w:r w:rsidR="004407F7">
        <w:t>T</w:t>
      </w:r>
      <w:r w:rsidR="00751800">
        <w:t xml:space="preserve">raining sessions for staff occur </w:t>
      </w:r>
      <w:r w:rsidR="00C11623">
        <w:t>as part of new employee orientation, at annual compliance training, at depart</w:t>
      </w:r>
      <w:r w:rsidR="00BC06F6">
        <w:t>ment</w:t>
      </w:r>
      <w:r w:rsidR="00C11623">
        <w:t xml:space="preserve">-specific onboarding, </w:t>
      </w:r>
      <w:r w:rsidR="00BC06F6">
        <w:t xml:space="preserve">at </w:t>
      </w:r>
      <w:r w:rsidR="00C11623">
        <w:t xml:space="preserve">staff meetings, and </w:t>
      </w:r>
      <w:r w:rsidR="004407F7">
        <w:t xml:space="preserve">at </w:t>
      </w:r>
      <w:r w:rsidR="00C11623">
        <w:t xml:space="preserve">professional development events. </w:t>
      </w:r>
    </w:p>
    <w:p w14:paraId="335F7D16" w14:textId="7050D645" w:rsidR="00D662C3" w:rsidRDefault="00D662C3" w:rsidP="00BA2054"/>
    <w:p w14:paraId="6C7CE20D" w14:textId="27CAFDAF" w:rsidR="00D662C3" w:rsidRDefault="00D662C3" w:rsidP="00BA2054">
      <w:pPr>
        <w:rPr>
          <w:i/>
          <w:iCs/>
          <w:u w:val="single"/>
        </w:rPr>
      </w:pPr>
      <w:r w:rsidRPr="00D662C3">
        <w:rPr>
          <w:i/>
          <w:iCs/>
          <w:u w:val="single"/>
        </w:rPr>
        <w:t>Training</w:t>
      </w:r>
    </w:p>
    <w:p w14:paraId="12DEF9C8" w14:textId="1BE27B53" w:rsidR="0001360E" w:rsidRDefault="00560C52" w:rsidP="00BA2054">
      <w:r>
        <w:t>The Applicant</w:t>
      </w:r>
      <w:r w:rsidR="0066388C">
        <w:t xml:space="preserve"> states that its</w:t>
      </w:r>
      <w:r w:rsidR="006B7AAA">
        <w:t xml:space="preserve"> </w:t>
      </w:r>
      <w:r>
        <w:t xml:space="preserve">existing </w:t>
      </w:r>
      <w:r w:rsidR="00D94EB4">
        <w:t xml:space="preserve">required </w:t>
      </w:r>
      <w:r>
        <w:t xml:space="preserve">cultural competency training will also </w:t>
      </w:r>
      <w:r w:rsidR="00A64803" w:rsidRPr="00A64803">
        <w:t>be required of</w:t>
      </w:r>
      <w:r w:rsidR="00A64803">
        <w:t xml:space="preserve"> any Dana-Farber employee working in the </w:t>
      </w:r>
      <w:r w:rsidR="00C5312B">
        <w:t>proposed</w:t>
      </w:r>
      <w:r w:rsidR="00A64803">
        <w:t xml:space="preserve"> </w:t>
      </w:r>
      <w:r w:rsidR="00BD3887">
        <w:t>hospital</w:t>
      </w:r>
      <w:r w:rsidR="007E645A">
        <w:t>. The training includes</w:t>
      </w:r>
      <w:r w:rsidR="00060841">
        <w:t xml:space="preserve"> a</w:t>
      </w:r>
      <w:r w:rsidR="00AC6DA6">
        <w:t>n</w:t>
      </w:r>
      <w:r w:rsidR="00060841">
        <w:t xml:space="preserve"> </w:t>
      </w:r>
      <w:r w:rsidR="000F06C3">
        <w:t>Inclusion, Diversity &amp; Equity (ID&amp;E) Foundational Education Curriculum cover</w:t>
      </w:r>
      <w:r w:rsidR="00C367E3">
        <w:t>ing</w:t>
      </w:r>
      <w:r w:rsidR="000F06C3">
        <w:t xml:space="preserve"> six </w:t>
      </w:r>
      <w:r w:rsidR="000B1419">
        <w:t>topics</w:t>
      </w:r>
      <w:r w:rsidR="00375292">
        <w:t>,</w:t>
      </w:r>
      <w:r w:rsidR="000F06C3">
        <w:t xml:space="preserve"> including unconscious bias, an</w:t>
      </w:r>
      <w:r w:rsidR="0066388C">
        <w:t>t</w:t>
      </w:r>
      <w:r w:rsidR="000F06C3">
        <w:t xml:space="preserve">i-racism, cultural </w:t>
      </w:r>
      <w:r w:rsidR="006F3838">
        <w:t xml:space="preserve">humility, inclusive workplaces, health equity and allyship. Additional Cultural Competency Training </w:t>
      </w:r>
      <w:r w:rsidR="00060841">
        <w:t>is required of</w:t>
      </w:r>
      <w:r w:rsidR="006F3838">
        <w:t xml:space="preserve"> nursing staff every other year. </w:t>
      </w:r>
      <w:r w:rsidR="00826FD2">
        <w:t xml:space="preserve">Disability Competency </w:t>
      </w:r>
      <w:r w:rsidR="003107C1">
        <w:t>C</w:t>
      </w:r>
      <w:r w:rsidR="00826FD2">
        <w:t xml:space="preserve">are </w:t>
      </w:r>
      <w:r w:rsidR="00060841">
        <w:t>Training</w:t>
      </w:r>
      <w:r w:rsidR="00C367E3">
        <w:t xml:space="preserve"> </w:t>
      </w:r>
      <w:r w:rsidR="00D018B5">
        <w:t>will be required of all staff starting</w:t>
      </w:r>
      <w:r w:rsidR="00826FD2">
        <w:t xml:space="preserve"> Summer 2024. </w:t>
      </w:r>
      <w:r w:rsidR="00EA1EAC">
        <w:t xml:space="preserve">A </w:t>
      </w:r>
      <w:r w:rsidR="00826FD2">
        <w:t>Patient Navigator Onboarding Progr</w:t>
      </w:r>
      <w:r w:rsidR="00C367E3">
        <w:t>a</w:t>
      </w:r>
      <w:r w:rsidR="00826FD2">
        <w:t>m</w:t>
      </w:r>
      <w:r w:rsidR="008A1604">
        <w:t xml:space="preserve"> </w:t>
      </w:r>
      <w:r w:rsidR="00375292">
        <w:t xml:space="preserve">was </w:t>
      </w:r>
      <w:r w:rsidR="00826FD2">
        <w:t>developed by CCEP</w:t>
      </w:r>
      <w:r w:rsidR="000310E4">
        <w:t xml:space="preserve"> and</w:t>
      </w:r>
      <w:r w:rsidR="00826FD2">
        <w:t xml:space="preserve"> includes clinic shadowing, evidence-based training, and ongoing education to develop skills and knowledge to support patients from all backgrounds and with a variety of needs.</w:t>
      </w:r>
      <w:r w:rsidR="00EA1EAC">
        <w:t xml:space="preserve"> </w:t>
      </w:r>
      <w:r w:rsidR="008A1604">
        <w:t xml:space="preserve">The </w:t>
      </w:r>
      <w:r w:rsidR="002D2D13">
        <w:t xml:space="preserve">Applicant states that its </w:t>
      </w:r>
      <w:r w:rsidR="00262CF3">
        <w:t>Office for ID&amp;E</w:t>
      </w:r>
      <w:r w:rsidR="008A1604">
        <w:t xml:space="preserve"> is</w:t>
      </w:r>
      <w:r w:rsidR="00262CF3">
        <w:t xml:space="preserve"> staffed with experts who lead training and provide individual and group coaching opportunities to staff to increase understanding and awareness of ID&amp;E in the work environment. </w:t>
      </w:r>
    </w:p>
    <w:p w14:paraId="2B639F9E" w14:textId="77777777" w:rsidR="00C97F2C" w:rsidRDefault="00C97F2C" w:rsidP="00BA2054"/>
    <w:p w14:paraId="6E82D623" w14:textId="39EACE54" w:rsidR="00C9243C" w:rsidRPr="00C9243C" w:rsidRDefault="00C9243C" w:rsidP="00BA2054">
      <w:pPr>
        <w:rPr>
          <w:i/>
          <w:iCs/>
          <w:u w:val="single"/>
        </w:rPr>
      </w:pPr>
      <w:r w:rsidRPr="00C9243C">
        <w:rPr>
          <w:i/>
          <w:iCs/>
          <w:u w:val="single"/>
        </w:rPr>
        <w:t>Screening and Education</w:t>
      </w:r>
    </w:p>
    <w:p w14:paraId="12BF439C" w14:textId="61D11F14" w:rsidR="00C97F2C" w:rsidRPr="00C97F2C" w:rsidRDefault="00C97F2C" w:rsidP="00BA2054">
      <w:r w:rsidRPr="00C97F2C">
        <w:t xml:space="preserve">The Applicant </w:t>
      </w:r>
      <w:r w:rsidR="0066388C">
        <w:t xml:space="preserve">states that it </w:t>
      </w:r>
      <w:r w:rsidRPr="00C97F2C">
        <w:t>will launch a new, b</w:t>
      </w:r>
      <w:r w:rsidR="006F19B6">
        <w:t>road</w:t>
      </w:r>
      <w:r w:rsidRPr="00C97F2C">
        <w:t>-based community screening and education campaign to increase awareness and access to its services. Th</w:t>
      </w:r>
      <w:r w:rsidR="00286E3C">
        <w:t>e</w:t>
      </w:r>
      <w:r w:rsidRPr="00C97F2C">
        <w:t xml:space="preserve"> campaign</w:t>
      </w:r>
      <w:r w:rsidR="009A62E6">
        <w:t>,</w:t>
      </w:r>
      <w:r w:rsidRPr="00C97F2C">
        <w:t xml:space="preserve"> which aligns with City of Boston health priorities, will focus on community practices and community health center</w:t>
      </w:r>
      <w:r w:rsidR="00AF3119">
        <w:t>s</w:t>
      </w:r>
      <w:r w:rsidR="0090528B">
        <w:t xml:space="preserve"> and </w:t>
      </w:r>
      <w:r w:rsidRPr="00C97F2C">
        <w:t xml:space="preserve">will leverage community-based programs currently in development, existing incidence and mortality data and the Applicant’s Dashboard. </w:t>
      </w:r>
    </w:p>
    <w:p w14:paraId="23B039E9" w14:textId="77777777" w:rsidR="00FF5FA1" w:rsidRDefault="00FF5FA1" w:rsidP="00BA2054"/>
    <w:p w14:paraId="01CEB3F2" w14:textId="77777777" w:rsidR="004A469B" w:rsidRPr="004A469B" w:rsidRDefault="004A469B" w:rsidP="00BA2054">
      <w:pPr>
        <w:rPr>
          <w:i/>
          <w:iCs/>
          <w:u w:val="single"/>
        </w:rPr>
      </w:pPr>
      <w:r w:rsidRPr="004A469B">
        <w:rPr>
          <w:i/>
          <w:iCs/>
          <w:u w:val="single"/>
        </w:rPr>
        <w:t xml:space="preserve">Additional Initiatives </w:t>
      </w:r>
    </w:p>
    <w:p w14:paraId="62F0C74C" w14:textId="4A04C60F" w:rsidR="004A551E" w:rsidRDefault="004A469B" w:rsidP="003B2CD4">
      <w:r w:rsidRPr="004A469B">
        <w:t>The Applicant described other initiatives to promote equitable access to cancer care</w:t>
      </w:r>
      <w:r w:rsidR="004A551E">
        <w:t>. Th</w:t>
      </w:r>
      <w:r w:rsidR="00991512">
        <w:t>e</w:t>
      </w:r>
      <w:r w:rsidR="004A551E">
        <w:t>s</w:t>
      </w:r>
      <w:r w:rsidR="00991512">
        <w:t>e</w:t>
      </w:r>
      <w:r w:rsidR="004A551E">
        <w:t xml:space="preserve"> include: </w:t>
      </w:r>
      <w:r w:rsidR="00FB4687">
        <w:t>a</w:t>
      </w:r>
      <w:r w:rsidRPr="004A469B">
        <w:t xml:space="preserve"> strategic alliance with Boston Medical Center (BMC), which allows BMC patients and physicians to access </w:t>
      </w:r>
      <w:r w:rsidR="00220927">
        <w:t xml:space="preserve">the </w:t>
      </w:r>
      <w:r w:rsidRPr="004A469B">
        <w:t>Applicant’s clinical trials</w:t>
      </w:r>
      <w:r w:rsidR="0013438E">
        <w:t>;</w:t>
      </w:r>
      <w:r w:rsidR="00DD1836">
        <w:t xml:space="preserve"> </w:t>
      </w:r>
      <w:r w:rsidR="00FB4687">
        <w:t>f</w:t>
      </w:r>
      <w:r w:rsidRPr="004A469B">
        <w:t>inancial counselors who work with patients to remove</w:t>
      </w:r>
      <w:r w:rsidR="00DD1836">
        <w:t xml:space="preserve"> barriers to </w:t>
      </w:r>
      <w:r w:rsidRPr="004A469B">
        <w:t>access</w:t>
      </w:r>
      <w:r w:rsidR="00DD1836">
        <w:t>ing</w:t>
      </w:r>
      <w:r w:rsidRPr="004A469B">
        <w:t xml:space="preserve"> </w:t>
      </w:r>
      <w:r w:rsidR="00DD1836">
        <w:t xml:space="preserve">care </w:t>
      </w:r>
      <w:r w:rsidRPr="004A469B">
        <w:t>by ensuring patients fully understand their available insurance coverage and any sources of potential financial assistance</w:t>
      </w:r>
      <w:r w:rsidR="00363579">
        <w:t>;</w:t>
      </w:r>
      <w:r w:rsidR="00FB4687">
        <w:t xml:space="preserve"> and</w:t>
      </w:r>
      <w:r w:rsidR="007F0DEE">
        <w:t xml:space="preserve"> </w:t>
      </w:r>
      <w:r w:rsidR="00503825">
        <w:t>the Applicant’s</w:t>
      </w:r>
      <w:r w:rsidRPr="004A469B">
        <w:t xml:space="preserve"> recent contract with Well</w:t>
      </w:r>
      <w:r w:rsidR="003F3600">
        <w:t>S</w:t>
      </w:r>
      <w:r w:rsidRPr="004A469B">
        <w:t>ense, formally the Boston Medical Center HealthNet Plan</w:t>
      </w:r>
      <w:r w:rsidR="00503825">
        <w:t>,</w:t>
      </w:r>
      <w:r w:rsidRPr="004A469B">
        <w:t xml:space="preserve"> which raised the percentage of MassHealth members </w:t>
      </w:r>
      <w:r w:rsidR="00D44158">
        <w:t xml:space="preserve">covered for care </w:t>
      </w:r>
      <w:r w:rsidR="00AF1BE0">
        <w:t xml:space="preserve">provided by </w:t>
      </w:r>
      <w:r w:rsidR="00503825">
        <w:t>the Applicant</w:t>
      </w:r>
      <w:r w:rsidR="00AF1BE0">
        <w:t xml:space="preserve"> </w:t>
      </w:r>
      <w:r w:rsidRPr="004A469B">
        <w:t>from 67% to 88%</w:t>
      </w:r>
      <w:r w:rsidR="003E4EEE">
        <w:t>.</w:t>
      </w:r>
      <w:r w:rsidRPr="004A469B">
        <w:rPr>
          <w:vertAlign w:val="superscript"/>
        </w:rPr>
        <w:footnoteReference w:id="94"/>
      </w:r>
      <w:r w:rsidRPr="004A469B">
        <w:t xml:space="preserve"> </w:t>
      </w:r>
    </w:p>
    <w:p w14:paraId="1C8B23FA" w14:textId="77777777" w:rsidR="004A551E" w:rsidRDefault="004A551E" w:rsidP="004A551E"/>
    <w:p w14:paraId="124A66D7" w14:textId="406EE82F" w:rsidR="00EE2ECB" w:rsidRPr="00621AEE" w:rsidRDefault="004A551E" w:rsidP="004A551E">
      <w:r w:rsidRPr="004A551E">
        <w:t xml:space="preserve">The Applicant states that Dana-Farber maintains relationships with a set of providers, including </w:t>
      </w:r>
      <w:r w:rsidRPr="004A551E">
        <w:lastRenderedPageBreak/>
        <w:t xml:space="preserve">BMC, </w:t>
      </w:r>
      <w:r w:rsidR="00DF0226">
        <w:t>and that</w:t>
      </w:r>
      <w:r>
        <w:t xml:space="preserve"> it</w:t>
      </w:r>
      <w:r w:rsidRPr="004A551E">
        <w:t xml:space="preserve"> hosts multi-site Dana-Farber clinical trials on th</w:t>
      </w:r>
      <w:r w:rsidR="00B01102">
        <w:t>ose</w:t>
      </w:r>
      <w:r w:rsidR="00DF0226">
        <w:t xml:space="preserve"> providers’</w:t>
      </w:r>
      <w:r w:rsidRPr="004A551E">
        <w:t xml:space="preserve"> campuses. </w:t>
      </w:r>
      <w:r>
        <w:t>S</w:t>
      </w:r>
      <w:r w:rsidRPr="004A551E">
        <w:t>ince 2020, 79 BMC patients have participated in Dana-Farber clinical trials on the BMC campus</w:t>
      </w:r>
      <w:r w:rsidR="00E020AA">
        <w:t xml:space="preserve">, and </w:t>
      </w:r>
      <w:r w:rsidR="00621AEE">
        <w:t xml:space="preserve">since FY21, BMC has experienced an 88% </w:t>
      </w:r>
      <w:r w:rsidR="00621AEE" w:rsidRPr="00621AEE">
        <w:t xml:space="preserve">increase </w:t>
      </w:r>
      <w:r w:rsidR="00621AEE" w:rsidRPr="003B2CD4">
        <w:t>in BMC patients receiving care at Dana-Farber</w:t>
      </w:r>
      <w:r w:rsidR="00621AEE">
        <w:t>.</w:t>
      </w:r>
    </w:p>
    <w:p w14:paraId="3C619DF6" w14:textId="77777777" w:rsidR="00EE2ECB" w:rsidRDefault="00EE2ECB" w:rsidP="004A551E"/>
    <w:p w14:paraId="41096570" w14:textId="4A83D2F2" w:rsidR="009D4F59" w:rsidRDefault="00505F22" w:rsidP="004A551E">
      <w:r>
        <w:t xml:space="preserve">The Applicant responded to staff inquiry about the barriers that patients </w:t>
      </w:r>
      <w:r w:rsidR="00A96DA5">
        <w:t>insured by</w:t>
      </w:r>
      <w:r>
        <w:t xml:space="preserve"> MassHealth experience when trying </w:t>
      </w:r>
      <w:r w:rsidR="00DF0226">
        <w:t xml:space="preserve">to </w:t>
      </w:r>
      <w:r>
        <w:t>access the Applicant’s services. The Applicant cited three</w:t>
      </w:r>
      <w:r w:rsidR="00D014C2">
        <w:t xml:space="preserve"> barriers </w:t>
      </w:r>
      <w:r>
        <w:t xml:space="preserve"> </w:t>
      </w:r>
      <w:r w:rsidR="0091464A">
        <w:t>MassHealth</w:t>
      </w:r>
      <w:r w:rsidR="00D014C2">
        <w:t xml:space="preserve"> patients encounter when </w:t>
      </w:r>
      <w:r>
        <w:t>accessing Dana-Farber</w:t>
      </w:r>
      <w:r w:rsidR="00207E49">
        <w:t>’s services</w:t>
      </w:r>
      <w:r>
        <w:t xml:space="preserve">: (1) </w:t>
      </w:r>
      <w:r w:rsidR="005146CE">
        <w:t xml:space="preserve">automatic assignment of </w:t>
      </w:r>
      <w:r w:rsidR="006B5D8D">
        <w:t>primary care providers (</w:t>
      </w:r>
      <w:r w:rsidR="005146CE">
        <w:t>PCPs</w:t>
      </w:r>
      <w:r w:rsidR="006B5D8D">
        <w:t>)</w:t>
      </w:r>
      <w:r w:rsidR="005146CE">
        <w:t xml:space="preserve"> which can impact the patient provider relationship and delay </w:t>
      </w:r>
      <w:r w:rsidR="005514B8">
        <w:t xml:space="preserve">access to care, (2) lack of coverage for certain newer </w:t>
      </w:r>
      <w:r w:rsidR="00C66A21">
        <w:t>treatment modalities/oncology drugs that are often ordered or prescribed by the Applicant</w:t>
      </w:r>
      <w:r w:rsidR="00E16359">
        <w:rPr>
          <w:rStyle w:val="FootnoteReference"/>
        </w:rPr>
        <w:footnoteReference w:id="95"/>
      </w:r>
      <w:r w:rsidR="00C66A21">
        <w:t xml:space="preserve">, and (3) </w:t>
      </w:r>
      <w:r w:rsidR="009D4F59">
        <w:t>MassHealth Accountable Care Organizations (ACOs) that are out of network for the Applicant.</w:t>
      </w:r>
      <w:r w:rsidR="008B5080">
        <w:rPr>
          <w:rStyle w:val="FootnoteReference"/>
        </w:rPr>
        <w:footnoteReference w:id="96"/>
      </w:r>
      <w:r w:rsidR="009D4F59">
        <w:t xml:space="preserve"> </w:t>
      </w:r>
      <w:r w:rsidR="005B7D48">
        <w:t>Th</w:t>
      </w:r>
      <w:r w:rsidR="009D4F59">
        <w:t xml:space="preserve">e Applicant states </w:t>
      </w:r>
      <w:r w:rsidR="00F20BD9">
        <w:t>its</w:t>
      </w:r>
      <w:r w:rsidR="00A202FA">
        <w:t xml:space="preserve"> </w:t>
      </w:r>
      <w:r w:rsidR="009D4F59">
        <w:t>recogni</w:t>
      </w:r>
      <w:r w:rsidR="00CA4267">
        <w:t>tion of</w:t>
      </w:r>
      <w:r w:rsidR="00353F63">
        <w:t xml:space="preserve"> the importance of contracting with MassHealth ACOs to minimize out</w:t>
      </w:r>
      <w:r w:rsidR="003E3935">
        <w:t>-</w:t>
      </w:r>
      <w:r w:rsidR="00353F63">
        <w:t>of</w:t>
      </w:r>
      <w:r w:rsidR="003E3935">
        <w:t>-</w:t>
      </w:r>
      <w:r w:rsidR="00353F63">
        <w:t>network issues for MassHealth patients</w:t>
      </w:r>
      <w:r w:rsidR="00A202FA">
        <w:t>.</w:t>
      </w:r>
      <w:r w:rsidR="007E70A7">
        <w:t xml:space="preserve"> </w:t>
      </w:r>
      <w:r w:rsidR="00A202FA">
        <w:t>The Applicant states that it</w:t>
      </w:r>
      <w:r w:rsidR="00353F63">
        <w:t xml:space="preserve"> </w:t>
      </w:r>
      <w:r w:rsidR="00A202FA">
        <w:t>contracts</w:t>
      </w:r>
      <w:r w:rsidR="0063194B">
        <w:t xml:space="preserve"> with the majority of the MassHealth ACOs</w:t>
      </w:r>
      <w:r w:rsidR="00A202FA">
        <w:t xml:space="preserve">, but notes </w:t>
      </w:r>
      <w:r w:rsidR="00926189">
        <w:t xml:space="preserve">that </w:t>
      </w:r>
      <w:r w:rsidR="00A96DA5">
        <w:t>the ACO model incentivizes those health systems that</w:t>
      </w:r>
      <w:r w:rsidR="00FC18DD">
        <w:t xml:space="preserve"> own</w:t>
      </w:r>
      <w:r w:rsidR="00A96DA5">
        <w:t xml:space="preserve"> and operate an ACO to keep care in their system</w:t>
      </w:r>
      <w:r w:rsidR="00926189">
        <w:t xml:space="preserve"> and</w:t>
      </w:r>
      <w:r w:rsidR="00F214F5">
        <w:t xml:space="preserve"> the Applicant</w:t>
      </w:r>
      <w:r w:rsidR="00926189" w:rsidRPr="00926189">
        <w:t xml:space="preserve"> does not </w:t>
      </w:r>
      <w:r w:rsidR="00926189">
        <w:t xml:space="preserve">currently </w:t>
      </w:r>
      <w:r w:rsidR="00926189" w:rsidRPr="00926189">
        <w:t>operate or own its own ACO</w:t>
      </w:r>
      <w:r w:rsidR="00926189">
        <w:t>.</w:t>
      </w:r>
    </w:p>
    <w:p w14:paraId="13ADDF90" w14:textId="77777777" w:rsidR="00122C00" w:rsidRDefault="00122C00" w:rsidP="004A551E"/>
    <w:p w14:paraId="40DF3FE2" w14:textId="088BDFD2" w:rsidR="00122C00" w:rsidRDefault="009D40C9" w:rsidP="004A551E">
      <w:r>
        <w:t>The Applicant states that i</w:t>
      </w:r>
      <w:r w:rsidR="0080054E">
        <w:t>t</w:t>
      </w:r>
      <w:r>
        <w:t xml:space="preserve"> </w:t>
      </w:r>
      <w:r w:rsidR="00F161CD">
        <w:t>recognizes the importance</w:t>
      </w:r>
      <w:r>
        <w:t xml:space="preserve"> </w:t>
      </w:r>
      <w:r w:rsidR="00F214F5">
        <w:t xml:space="preserve">of </w:t>
      </w:r>
      <w:r>
        <w:t>inform</w:t>
      </w:r>
      <w:r w:rsidR="00F161CD">
        <w:t>ing</w:t>
      </w:r>
      <w:r>
        <w:t xml:space="preserve"> </w:t>
      </w:r>
      <w:r w:rsidR="00E80E96">
        <w:t xml:space="preserve">Medicaid enrollees of the relationships that support access to </w:t>
      </w:r>
      <w:r w:rsidR="007A21F6">
        <w:t>Dana-Farber’s</w:t>
      </w:r>
      <w:r w:rsidR="00E80E96">
        <w:t xml:space="preserve"> services, </w:t>
      </w:r>
      <w:r w:rsidR="007A21F6">
        <w:t>and states</w:t>
      </w:r>
      <w:r w:rsidR="00926189">
        <w:t xml:space="preserve"> further</w:t>
      </w:r>
      <w:r w:rsidR="007A21F6">
        <w:t xml:space="preserve"> that it</w:t>
      </w:r>
      <w:r w:rsidR="00E80E96">
        <w:t xml:space="preserve"> will leverage existing programs such as CCEP, </w:t>
      </w:r>
      <w:r w:rsidR="00E61C49">
        <w:t xml:space="preserve">and the Applicant’s </w:t>
      </w:r>
      <w:r w:rsidR="005B1A47">
        <w:t>c</w:t>
      </w:r>
      <w:r w:rsidR="00E61C49">
        <w:t xml:space="preserve">ommunity </w:t>
      </w:r>
      <w:r w:rsidR="005B1A47">
        <w:t>h</w:t>
      </w:r>
      <w:r w:rsidR="00E61C49">
        <w:t xml:space="preserve">ealth </w:t>
      </w:r>
      <w:r w:rsidR="005B1A47">
        <w:t>p</w:t>
      </w:r>
      <w:r w:rsidR="00E61C49">
        <w:t>rogram</w:t>
      </w:r>
      <w:r w:rsidR="009157AE">
        <w:t>s</w:t>
      </w:r>
      <w:r w:rsidR="00E61C49">
        <w:t xml:space="preserve"> </w:t>
      </w:r>
      <w:r w:rsidR="007A21F6">
        <w:t>to further support efforts to expand access to Dana-Farber</w:t>
      </w:r>
      <w:r w:rsidR="00C24138">
        <w:t xml:space="preserve"> for patients insured by MassHealth</w:t>
      </w:r>
      <w:r w:rsidR="00E61C49">
        <w:t xml:space="preserve">. </w:t>
      </w:r>
      <w:r w:rsidR="00122C00" w:rsidRPr="00122C00">
        <w:t xml:space="preserve">The Applicant states that it expects an increase in its MassHealth payor mix with the Proposed Project due in part to the efforts that BIDMC has made in recent years to increase its MassHealth population and because of the preferred provider relationship that will exist between the Applicant and BIDMC. </w:t>
      </w:r>
    </w:p>
    <w:p w14:paraId="720C5DA0" w14:textId="77777777" w:rsidR="00566489" w:rsidRDefault="00566489" w:rsidP="00BA2054"/>
    <w:p w14:paraId="7F0F3ED6" w14:textId="77777777" w:rsidR="00FF5FA1" w:rsidRPr="00814B2A" w:rsidRDefault="00FF5FA1" w:rsidP="00BA2054">
      <w:pPr>
        <w:rPr>
          <w:rFonts w:cs="Calibri"/>
          <w:i/>
          <w:iCs/>
          <w:szCs w:val="24"/>
          <w:u w:val="single"/>
        </w:rPr>
      </w:pPr>
      <w:r w:rsidRPr="00814B2A">
        <w:rPr>
          <w:rFonts w:cs="Calibri"/>
          <w:i/>
          <w:iCs/>
          <w:szCs w:val="24"/>
          <w:u w:val="single"/>
        </w:rPr>
        <w:t xml:space="preserve">Expanding Health Equity through the Proposed Project </w:t>
      </w:r>
    </w:p>
    <w:p w14:paraId="690A75C3" w14:textId="20C38CB6" w:rsidR="00554936" w:rsidRDefault="00FF5FA1" w:rsidP="00BA2054">
      <w:pPr>
        <w:rPr>
          <w:rFonts w:cs="Calibri"/>
          <w:szCs w:val="24"/>
        </w:rPr>
      </w:pPr>
      <w:r>
        <w:rPr>
          <w:rFonts w:cs="Calibri"/>
          <w:szCs w:val="24"/>
        </w:rPr>
        <w:t xml:space="preserve">The Applicant </w:t>
      </w:r>
      <w:r w:rsidR="008D2BB9">
        <w:rPr>
          <w:rFonts w:cs="Calibri"/>
          <w:szCs w:val="24"/>
        </w:rPr>
        <w:t>states that t</w:t>
      </w:r>
      <w:r>
        <w:rPr>
          <w:rFonts w:cs="Calibri"/>
          <w:szCs w:val="24"/>
        </w:rPr>
        <w:t xml:space="preserve">he Proposed Project will </w:t>
      </w:r>
      <w:r w:rsidR="008D2BB9">
        <w:rPr>
          <w:rFonts w:cs="Calibri"/>
          <w:szCs w:val="24"/>
        </w:rPr>
        <w:t xml:space="preserve">allow it to </w:t>
      </w:r>
      <w:r>
        <w:rPr>
          <w:rFonts w:cs="Calibri"/>
          <w:szCs w:val="24"/>
        </w:rPr>
        <w:t xml:space="preserve">expand </w:t>
      </w:r>
      <w:r w:rsidR="004E16D2">
        <w:rPr>
          <w:rFonts w:cs="Calibri"/>
          <w:szCs w:val="24"/>
        </w:rPr>
        <w:t xml:space="preserve">upon existing programming </w:t>
      </w:r>
      <w:r w:rsidR="00697663">
        <w:rPr>
          <w:rFonts w:cs="Calibri"/>
          <w:szCs w:val="24"/>
        </w:rPr>
        <w:t xml:space="preserve">and create new pathways </w:t>
      </w:r>
      <w:r>
        <w:rPr>
          <w:rFonts w:cs="Calibri"/>
          <w:szCs w:val="24"/>
        </w:rPr>
        <w:t>to provide equitable access to cancer treatment across the continuum of cancer care</w:t>
      </w:r>
      <w:r w:rsidR="00FB1586">
        <w:rPr>
          <w:rFonts w:cs="Calibri"/>
          <w:szCs w:val="24"/>
        </w:rPr>
        <w:t xml:space="preserve"> in the following ways:</w:t>
      </w:r>
    </w:p>
    <w:p w14:paraId="68575C99" w14:textId="54CF5F08" w:rsidR="00FF5FA1" w:rsidRPr="00B1644E" w:rsidRDefault="00FF5FA1" w:rsidP="00F91720">
      <w:pPr>
        <w:pStyle w:val="ListParagraph"/>
        <w:numPr>
          <w:ilvl w:val="0"/>
          <w:numId w:val="13"/>
        </w:numPr>
        <w:rPr>
          <w:rFonts w:cs="Calibri"/>
          <w:szCs w:val="24"/>
        </w:rPr>
      </w:pPr>
      <w:r w:rsidRPr="00B1644E">
        <w:rPr>
          <w:rFonts w:cs="Calibri"/>
          <w:szCs w:val="24"/>
        </w:rPr>
        <w:t>The Proposed Project</w:t>
      </w:r>
      <w:r w:rsidR="00697663" w:rsidRPr="00B1644E">
        <w:rPr>
          <w:rFonts w:cs="Calibri"/>
          <w:szCs w:val="24"/>
        </w:rPr>
        <w:t>, with a sole focus on cancer,</w:t>
      </w:r>
      <w:r w:rsidRPr="00B1644E">
        <w:rPr>
          <w:rFonts w:cs="Calibri"/>
          <w:szCs w:val="24"/>
        </w:rPr>
        <w:t xml:space="preserve"> will allow the Applicant to consolidate outreach efforts to a standalone inpatient hospital for its community prevention and diagnostic services and expand </w:t>
      </w:r>
      <w:r w:rsidR="00697663" w:rsidRPr="00B1644E">
        <w:rPr>
          <w:rFonts w:cs="Calibri"/>
          <w:szCs w:val="24"/>
        </w:rPr>
        <w:t>the Applicant’s</w:t>
      </w:r>
      <w:r w:rsidRPr="00B1644E">
        <w:rPr>
          <w:rFonts w:cs="Calibri"/>
          <w:szCs w:val="24"/>
        </w:rPr>
        <w:t xml:space="preserve"> capacity to impact marginalized communities throughout the greater Boston area. </w:t>
      </w:r>
    </w:p>
    <w:p w14:paraId="7A8854B0" w14:textId="62F01090" w:rsidR="00FF5FA1" w:rsidRDefault="00FF5FA1" w:rsidP="00F91720">
      <w:pPr>
        <w:pStyle w:val="ListParagraph"/>
        <w:numPr>
          <w:ilvl w:val="0"/>
          <w:numId w:val="9"/>
        </w:numPr>
        <w:rPr>
          <w:rFonts w:cs="Calibri"/>
          <w:szCs w:val="24"/>
        </w:rPr>
      </w:pPr>
      <w:r>
        <w:rPr>
          <w:rFonts w:cs="Calibri"/>
          <w:szCs w:val="24"/>
        </w:rPr>
        <w:t>T</w:t>
      </w:r>
      <w:r w:rsidRPr="00814B2A">
        <w:rPr>
          <w:rFonts w:cs="Calibri"/>
          <w:szCs w:val="24"/>
        </w:rPr>
        <w:t xml:space="preserve">he Proposed Project will facilitate enhanced coordination of cancer prevention, outreach, and screening and diagnostic services for communities. </w:t>
      </w:r>
    </w:p>
    <w:p w14:paraId="5B29554F" w14:textId="3B1AD21D" w:rsidR="008A54BD" w:rsidRDefault="002A64B1" w:rsidP="00F91720">
      <w:pPr>
        <w:pStyle w:val="ListParagraph"/>
        <w:numPr>
          <w:ilvl w:val="0"/>
          <w:numId w:val="9"/>
        </w:numPr>
        <w:rPr>
          <w:rFonts w:cs="Calibri"/>
          <w:szCs w:val="24"/>
        </w:rPr>
      </w:pPr>
      <w:r>
        <w:rPr>
          <w:rFonts w:cs="Calibri"/>
          <w:szCs w:val="24"/>
        </w:rPr>
        <w:t>The</w:t>
      </w:r>
      <w:r w:rsidR="00943084">
        <w:rPr>
          <w:rFonts w:cs="Calibri"/>
          <w:szCs w:val="24"/>
        </w:rPr>
        <w:t xml:space="preserve"> Proposed Project</w:t>
      </w:r>
      <w:r>
        <w:rPr>
          <w:rFonts w:cs="Calibri"/>
          <w:szCs w:val="24"/>
        </w:rPr>
        <w:t xml:space="preserve"> will allow the </w:t>
      </w:r>
      <w:r w:rsidR="00FF5FA1" w:rsidRPr="00814B2A">
        <w:rPr>
          <w:rFonts w:cs="Calibri"/>
          <w:szCs w:val="24"/>
        </w:rPr>
        <w:t>Applicant</w:t>
      </w:r>
      <w:r>
        <w:rPr>
          <w:rFonts w:cs="Calibri"/>
          <w:szCs w:val="24"/>
        </w:rPr>
        <w:t xml:space="preserve"> to </w:t>
      </w:r>
      <w:r w:rsidR="00FF5FA1" w:rsidRPr="00814B2A">
        <w:rPr>
          <w:rFonts w:cs="Calibri"/>
          <w:szCs w:val="24"/>
        </w:rPr>
        <w:t xml:space="preserve">continue to facilitate expedited access to fully integrated cancer care services, </w:t>
      </w:r>
      <w:r w:rsidR="00CF2E40">
        <w:rPr>
          <w:rFonts w:cs="Calibri"/>
          <w:szCs w:val="24"/>
        </w:rPr>
        <w:t xml:space="preserve">and provide </w:t>
      </w:r>
      <w:r w:rsidR="00FF5FA1" w:rsidRPr="00814B2A">
        <w:rPr>
          <w:rFonts w:cs="Calibri"/>
          <w:szCs w:val="24"/>
        </w:rPr>
        <w:t>essential supportive services that positively impact overall health outcomes and patient experience.</w:t>
      </w:r>
    </w:p>
    <w:p w14:paraId="6AA21291" w14:textId="791632E2" w:rsidR="008A54BD" w:rsidRDefault="008A54BD" w:rsidP="00F91720">
      <w:pPr>
        <w:pStyle w:val="ListParagraph"/>
        <w:numPr>
          <w:ilvl w:val="0"/>
          <w:numId w:val="9"/>
        </w:numPr>
        <w:rPr>
          <w:rFonts w:cs="Calibri"/>
          <w:szCs w:val="24"/>
        </w:rPr>
      </w:pPr>
      <w:r>
        <w:rPr>
          <w:rFonts w:cs="Calibri"/>
          <w:szCs w:val="24"/>
        </w:rPr>
        <w:lastRenderedPageBreak/>
        <w:t>The</w:t>
      </w:r>
      <w:r w:rsidRPr="008A54BD">
        <w:rPr>
          <w:rFonts w:cs="Calibri"/>
          <w:szCs w:val="24"/>
        </w:rPr>
        <w:t xml:space="preserve"> Proposed Project</w:t>
      </w:r>
      <w:r>
        <w:rPr>
          <w:rFonts w:cs="Calibri"/>
          <w:szCs w:val="24"/>
        </w:rPr>
        <w:t xml:space="preserve"> will </w:t>
      </w:r>
      <w:r w:rsidRPr="008A54BD">
        <w:rPr>
          <w:rFonts w:cs="Calibri"/>
          <w:szCs w:val="24"/>
        </w:rPr>
        <w:t>increase inpatient capacity and integrat</w:t>
      </w:r>
      <w:r>
        <w:rPr>
          <w:rFonts w:cs="Calibri"/>
          <w:szCs w:val="24"/>
        </w:rPr>
        <w:t xml:space="preserve">e </w:t>
      </w:r>
      <w:r w:rsidRPr="008A54BD">
        <w:rPr>
          <w:rFonts w:cs="Calibri"/>
          <w:szCs w:val="24"/>
        </w:rPr>
        <w:t>existing access and equity programming</w:t>
      </w:r>
      <w:r>
        <w:rPr>
          <w:rFonts w:cs="Calibri"/>
          <w:szCs w:val="24"/>
        </w:rPr>
        <w:t xml:space="preserve"> into clinical operation which </w:t>
      </w:r>
      <w:r w:rsidRPr="008A54BD">
        <w:rPr>
          <w:rFonts w:cs="Calibri"/>
          <w:szCs w:val="24"/>
        </w:rPr>
        <w:t xml:space="preserve">will increase access for </w:t>
      </w:r>
      <w:r w:rsidR="00684F21">
        <w:rPr>
          <w:rFonts w:cs="Calibri"/>
          <w:szCs w:val="24"/>
        </w:rPr>
        <w:t xml:space="preserve">patients from </w:t>
      </w:r>
      <w:r w:rsidRPr="008A54BD">
        <w:rPr>
          <w:rFonts w:cs="Calibri"/>
          <w:szCs w:val="24"/>
        </w:rPr>
        <w:t xml:space="preserve">marginalized </w:t>
      </w:r>
      <w:r w:rsidR="00684F21">
        <w:rPr>
          <w:rFonts w:cs="Calibri"/>
          <w:szCs w:val="24"/>
        </w:rPr>
        <w:t>communities</w:t>
      </w:r>
      <w:r w:rsidRPr="008A54BD">
        <w:rPr>
          <w:rFonts w:cs="Calibri"/>
          <w:szCs w:val="24"/>
        </w:rPr>
        <w:t xml:space="preserve">.  </w:t>
      </w:r>
    </w:p>
    <w:p w14:paraId="509CB5E6" w14:textId="77777777" w:rsidR="006F0050" w:rsidRDefault="007E173F" w:rsidP="00F91720">
      <w:pPr>
        <w:pStyle w:val="ListParagraph"/>
        <w:numPr>
          <w:ilvl w:val="0"/>
          <w:numId w:val="9"/>
        </w:numPr>
        <w:rPr>
          <w:rFonts w:cs="Calibri"/>
          <w:szCs w:val="24"/>
        </w:rPr>
      </w:pPr>
      <w:r>
        <w:rPr>
          <w:rFonts w:cs="Calibri"/>
          <w:szCs w:val="24"/>
        </w:rPr>
        <w:t>The Proposed Project will a</w:t>
      </w:r>
      <w:r w:rsidR="004A469B" w:rsidRPr="004A469B">
        <w:rPr>
          <w:rFonts w:cs="Calibri"/>
          <w:szCs w:val="24"/>
        </w:rPr>
        <w:t xml:space="preserve">llow for </w:t>
      </w:r>
      <w:r w:rsidR="00B9505C">
        <w:rPr>
          <w:rFonts w:cs="Calibri"/>
          <w:szCs w:val="24"/>
        </w:rPr>
        <w:t>the Applicant</w:t>
      </w:r>
      <w:r w:rsidR="004A469B" w:rsidRPr="004A469B">
        <w:rPr>
          <w:rFonts w:cs="Calibri"/>
          <w:szCs w:val="24"/>
        </w:rPr>
        <w:t xml:space="preserve"> to proactively grow and expand its clinical trial programs</w:t>
      </w:r>
      <w:r w:rsidR="009321FB">
        <w:rPr>
          <w:rFonts w:cs="Calibri"/>
          <w:szCs w:val="24"/>
        </w:rPr>
        <w:t xml:space="preserve">. </w:t>
      </w:r>
    </w:p>
    <w:p w14:paraId="0084B47D" w14:textId="77777777" w:rsidR="006F0050" w:rsidRDefault="006F0050" w:rsidP="006F0050">
      <w:pPr>
        <w:rPr>
          <w:rFonts w:cs="Calibri"/>
          <w:szCs w:val="24"/>
        </w:rPr>
      </w:pPr>
    </w:p>
    <w:p w14:paraId="49CD6EF2" w14:textId="679C1E6B" w:rsidR="004A469B" w:rsidRPr="006F0050" w:rsidRDefault="00D24659" w:rsidP="006F0050">
      <w:pPr>
        <w:rPr>
          <w:rFonts w:cs="Calibri"/>
          <w:szCs w:val="24"/>
        </w:rPr>
      </w:pPr>
      <w:r>
        <w:rPr>
          <w:rFonts w:cs="Calibri"/>
          <w:szCs w:val="24"/>
        </w:rPr>
        <w:t>T</w:t>
      </w:r>
      <w:r w:rsidRPr="00D24659">
        <w:rPr>
          <w:rFonts w:cs="Calibri"/>
          <w:szCs w:val="24"/>
        </w:rPr>
        <w:t>he Applicants states that it is working to increase recruitment of patients from historically marginalized communities into clinical trials of new cancer therapies</w:t>
      </w:r>
      <w:r>
        <w:rPr>
          <w:rFonts w:cs="Calibri"/>
          <w:szCs w:val="24"/>
        </w:rPr>
        <w:t>, citing</w:t>
      </w:r>
      <w:r w:rsidR="00A97E3B">
        <w:rPr>
          <w:rFonts w:cs="Calibri"/>
          <w:szCs w:val="24"/>
        </w:rPr>
        <w:t xml:space="preserve"> </w:t>
      </w:r>
      <w:r w:rsidR="002454B8" w:rsidRPr="006F0050">
        <w:rPr>
          <w:rFonts w:cs="Calibri"/>
          <w:szCs w:val="24"/>
        </w:rPr>
        <w:t xml:space="preserve">two studies on </w:t>
      </w:r>
      <w:r w:rsidR="00071E79" w:rsidRPr="006F0050">
        <w:rPr>
          <w:rFonts w:cs="Calibri"/>
          <w:szCs w:val="24"/>
        </w:rPr>
        <w:t xml:space="preserve">diversity and inclusiveness in clinical trials, </w:t>
      </w:r>
      <w:r w:rsidR="009A6CEB" w:rsidRPr="006F0050">
        <w:rPr>
          <w:rFonts w:cs="Calibri"/>
          <w:szCs w:val="24"/>
        </w:rPr>
        <w:t>which discuss</w:t>
      </w:r>
      <w:r w:rsidR="00071E79" w:rsidRPr="006F0050">
        <w:rPr>
          <w:rFonts w:cs="Calibri"/>
          <w:szCs w:val="24"/>
        </w:rPr>
        <w:t xml:space="preserve"> underrepresentation in clinical trials</w:t>
      </w:r>
      <w:r w:rsidR="00E335B0" w:rsidRPr="006F0050">
        <w:rPr>
          <w:rFonts w:cs="Calibri"/>
          <w:szCs w:val="24"/>
        </w:rPr>
        <w:t>, the negative effects</w:t>
      </w:r>
      <w:r w:rsidR="000341E2">
        <w:rPr>
          <w:rFonts w:cs="Calibri"/>
          <w:szCs w:val="24"/>
        </w:rPr>
        <w:t xml:space="preserve"> of</w:t>
      </w:r>
      <w:r w:rsidR="00E335B0" w:rsidRPr="006F0050">
        <w:rPr>
          <w:rFonts w:cs="Calibri"/>
          <w:szCs w:val="24"/>
        </w:rPr>
        <w:t xml:space="preserve"> which include</w:t>
      </w:r>
      <w:r w:rsidR="00C0341C" w:rsidRPr="006F0050">
        <w:rPr>
          <w:rFonts w:cs="Calibri"/>
          <w:szCs w:val="24"/>
        </w:rPr>
        <w:t xml:space="preserve"> </w:t>
      </w:r>
      <w:r w:rsidR="006E10ED" w:rsidRPr="006F0050">
        <w:rPr>
          <w:rFonts w:cs="Calibri"/>
          <w:szCs w:val="24"/>
        </w:rPr>
        <w:t xml:space="preserve">understudied </w:t>
      </w:r>
      <w:r w:rsidR="00C22BF8" w:rsidRPr="006F0050">
        <w:rPr>
          <w:rFonts w:cs="Calibri"/>
          <w:szCs w:val="24"/>
        </w:rPr>
        <w:t>efficacy and safety of</w:t>
      </w:r>
      <w:r w:rsidR="00775820" w:rsidRPr="006F0050">
        <w:rPr>
          <w:rFonts w:cs="Calibri"/>
          <w:szCs w:val="24"/>
        </w:rPr>
        <w:t xml:space="preserve"> therapies for </w:t>
      </w:r>
      <w:r w:rsidR="00563B4C" w:rsidRPr="006F0050">
        <w:rPr>
          <w:rFonts w:cs="Calibri"/>
          <w:szCs w:val="24"/>
        </w:rPr>
        <w:t>underrepresented populations</w:t>
      </w:r>
      <w:r w:rsidR="00775820" w:rsidRPr="006F0050">
        <w:rPr>
          <w:rFonts w:cs="Calibri"/>
          <w:szCs w:val="24"/>
        </w:rPr>
        <w:t xml:space="preserve"> </w:t>
      </w:r>
      <w:r w:rsidR="007A49DA" w:rsidRPr="006F0050">
        <w:rPr>
          <w:rFonts w:cs="Calibri"/>
          <w:szCs w:val="24"/>
        </w:rPr>
        <w:t xml:space="preserve">and lack of access to the </w:t>
      </w:r>
      <w:r w:rsidR="00FF7278" w:rsidRPr="006F0050">
        <w:rPr>
          <w:rFonts w:cs="Calibri"/>
          <w:szCs w:val="24"/>
        </w:rPr>
        <w:t>health benefits obtained through clinical trial participation</w:t>
      </w:r>
      <w:r w:rsidR="005869D4" w:rsidRPr="006F0050">
        <w:rPr>
          <w:rFonts w:cs="Calibri"/>
          <w:szCs w:val="24"/>
        </w:rPr>
        <w:t>.</w:t>
      </w:r>
      <w:r w:rsidR="00470BCD">
        <w:rPr>
          <w:rStyle w:val="EndnoteReference"/>
          <w:rFonts w:cs="Calibri"/>
          <w:szCs w:val="24"/>
        </w:rPr>
        <w:endnoteReference w:id="51"/>
      </w:r>
      <w:r w:rsidR="00B36B17" w:rsidRPr="006F0050">
        <w:rPr>
          <w:rFonts w:cs="Calibri"/>
          <w:szCs w:val="24"/>
          <w:vertAlign w:val="superscript"/>
        </w:rPr>
        <w:t>,</w:t>
      </w:r>
      <w:r w:rsidR="00B36B17">
        <w:rPr>
          <w:rStyle w:val="EndnoteReference"/>
          <w:rFonts w:cs="Calibri"/>
          <w:szCs w:val="24"/>
        </w:rPr>
        <w:endnoteReference w:id="52"/>
      </w:r>
    </w:p>
    <w:p w14:paraId="27323F1F" w14:textId="77777777" w:rsidR="004A469B" w:rsidRDefault="004A469B" w:rsidP="00BA2054">
      <w:pPr>
        <w:rPr>
          <w:rFonts w:cs="Calibri"/>
          <w:szCs w:val="24"/>
        </w:rPr>
      </w:pPr>
    </w:p>
    <w:p w14:paraId="5B5F8DED" w14:textId="7063C741" w:rsidR="00D9155E" w:rsidRDefault="0015044C" w:rsidP="00D9155E">
      <w:pPr>
        <w:rPr>
          <w:rFonts w:asciiTheme="minorHAnsi" w:hAnsiTheme="minorHAnsi"/>
        </w:rPr>
      </w:pPr>
      <w:r>
        <w:rPr>
          <w:rFonts w:asciiTheme="minorHAnsi" w:hAnsiTheme="minorHAnsi"/>
        </w:rPr>
        <w:t xml:space="preserve">The Applicant states that </w:t>
      </w:r>
      <w:r w:rsidR="003A445E">
        <w:rPr>
          <w:rFonts w:asciiTheme="minorHAnsi" w:hAnsiTheme="minorHAnsi"/>
        </w:rPr>
        <w:t>bed constraints at BWH lead to long wait times in the ED for patients with cancer</w:t>
      </w:r>
      <w:r w:rsidR="00CA1E9C">
        <w:rPr>
          <w:rFonts w:asciiTheme="minorHAnsi" w:hAnsiTheme="minorHAnsi"/>
        </w:rPr>
        <w:t xml:space="preserve">, which </w:t>
      </w:r>
      <w:r w:rsidR="00590A61">
        <w:rPr>
          <w:rFonts w:asciiTheme="minorHAnsi" w:hAnsiTheme="minorHAnsi"/>
        </w:rPr>
        <w:t>results in</w:t>
      </w:r>
      <w:r w:rsidR="00C414F5">
        <w:rPr>
          <w:rFonts w:asciiTheme="minorHAnsi" w:hAnsiTheme="minorHAnsi"/>
        </w:rPr>
        <w:t xml:space="preserve"> </w:t>
      </w:r>
      <w:r w:rsidR="00EE1B82">
        <w:rPr>
          <w:rFonts w:asciiTheme="minorHAnsi" w:hAnsiTheme="minorHAnsi"/>
        </w:rPr>
        <w:t>some patients leaving before a bed is available</w:t>
      </w:r>
      <w:r w:rsidR="00BE4993">
        <w:rPr>
          <w:rFonts w:asciiTheme="minorHAnsi" w:hAnsiTheme="minorHAnsi"/>
        </w:rPr>
        <w:t>.</w:t>
      </w:r>
      <w:r w:rsidR="00D9155E" w:rsidRPr="67771AE9" w:rsidDel="00F06BC1">
        <w:rPr>
          <w:rFonts w:asciiTheme="minorHAnsi" w:hAnsiTheme="minorHAnsi"/>
        </w:rPr>
        <w:t xml:space="preserve"> </w:t>
      </w:r>
      <w:r w:rsidR="00FE49D8">
        <w:rPr>
          <w:rFonts w:asciiTheme="minorHAnsi" w:hAnsiTheme="minorHAnsi"/>
        </w:rPr>
        <w:t xml:space="preserve">The Applicant </w:t>
      </w:r>
      <w:r w:rsidR="00B92E89">
        <w:rPr>
          <w:rFonts w:asciiTheme="minorHAnsi" w:hAnsiTheme="minorHAnsi"/>
        </w:rPr>
        <w:t>also</w:t>
      </w:r>
      <w:r w:rsidR="00FE49D8">
        <w:rPr>
          <w:rFonts w:asciiTheme="minorHAnsi" w:hAnsiTheme="minorHAnsi"/>
        </w:rPr>
        <w:t xml:space="preserve"> states </w:t>
      </w:r>
      <w:r w:rsidR="00575D0B">
        <w:rPr>
          <w:rFonts w:asciiTheme="minorHAnsi" w:hAnsiTheme="minorHAnsi"/>
        </w:rPr>
        <w:t xml:space="preserve">that </w:t>
      </w:r>
      <w:r w:rsidR="00067813">
        <w:rPr>
          <w:rFonts w:asciiTheme="minorHAnsi" w:hAnsiTheme="minorHAnsi"/>
        </w:rPr>
        <w:t xml:space="preserve">in </w:t>
      </w:r>
      <w:r w:rsidR="00575D0B">
        <w:rPr>
          <w:rFonts w:asciiTheme="minorHAnsi" w:hAnsiTheme="minorHAnsi"/>
        </w:rPr>
        <w:t xml:space="preserve">its experience, </w:t>
      </w:r>
      <w:r w:rsidR="00737B0D">
        <w:rPr>
          <w:rFonts w:asciiTheme="minorHAnsi" w:hAnsiTheme="minorHAnsi"/>
        </w:rPr>
        <w:t>patients from marginalized groups</w:t>
      </w:r>
      <w:r w:rsidR="00D9155E" w:rsidRPr="67771AE9">
        <w:rPr>
          <w:rFonts w:asciiTheme="minorHAnsi" w:hAnsiTheme="minorHAnsi"/>
        </w:rPr>
        <w:t xml:space="preserve"> experience disproportionately high rates of hospitalization, as a result of the social determinants of health (SDoH) and baseline health disparities</w:t>
      </w:r>
      <w:r w:rsidR="00737B0D">
        <w:rPr>
          <w:rFonts w:asciiTheme="minorHAnsi" w:hAnsiTheme="minorHAnsi"/>
        </w:rPr>
        <w:t xml:space="preserve">, and </w:t>
      </w:r>
      <w:r w:rsidR="00D9155E" w:rsidRPr="67771AE9">
        <w:rPr>
          <w:rFonts w:asciiTheme="minorHAnsi" w:hAnsiTheme="minorHAnsi"/>
        </w:rPr>
        <w:t>are more likely to seek care from safety-net hospitals</w:t>
      </w:r>
      <w:r w:rsidR="00AE5A82">
        <w:rPr>
          <w:rFonts w:asciiTheme="minorHAnsi" w:hAnsiTheme="minorHAnsi"/>
        </w:rPr>
        <w:t xml:space="preserve"> that</w:t>
      </w:r>
      <w:r w:rsidR="00892A89">
        <w:rPr>
          <w:rFonts w:asciiTheme="minorHAnsi" w:hAnsiTheme="minorHAnsi"/>
        </w:rPr>
        <w:t xml:space="preserve"> </w:t>
      </w:r>
      <w:r w:rsidR="00D9155E" w:rsidRPr="67771AE9">
        <w:rPr>
          <w:rFonts w:asciiTheme="minorHAnsi" w:hAnsiTheme="minorHAnsi"/>
        </w:rPr>
        <w:t>experience resource constraints that can re</w:t>
      </w:r>
      <w:r w:rsidR="00152741">
        <w:rPr>
          <w:rFonts w:asciiTheme="minorHAnsi" w:hAnsiTheme="minorHAnsi"/>
        </w:rPr>
        <w:t>sult in</w:t>
      </w:r>
      <w:r w:rsidR="00D9155E" w:rsidRPr="67771AE9">
        <w:rPr>
          <w:rFonts w:asciiTheme="minorHAnsi" w:hAnsiTheme="minorHAnsi"/>
        </w:rPr>
        <w:t xml:space="preserve"> </w:t>
      </w:r>
      <w:r w:rsidR="00293709">
        <w:rPr>
          <w:rFonts w:asciiTheme="minorHAnsi" w:hAnsiTheme="minorHAnsi"/>
        </w:rPr>
        <w:t xml:space="preserve">a </w:t>
      </w:r>
      <w:r w:rsidR="000D3E43">
        <w:rPr>
          <w:rFonts w:asciiTheme="minorHAnsi" w:hAnsiTheme="minorHAnsi"/>
        </w:rPr>
        <w:t>patient transfer to another hospital</w:t>
      </w:r>
      <w:r w:rsidR="00D9155E" w:rsidRPr="67771AE9">
        <w:rPr>
          <w:rFonts w:asciiTheme="minorHAnsi" w:hAnsiTheme="minorHAnsi"/>
        </w:rPr>
        <w:t xml:space="preserve"> </w:t>
      </w:r>
      <w:r w:rsidR="000D3E43">
        <w:rPr>
          <w:rFonts w:asciiTheme="minorHAnsi" w:hAnsiTheme="minorHAnsi"/>
        </w:rPr>
        <w:t>when</w:t>
      </w:r>
      <w:r w:rsidR="00D9155E" w:rsidRPr="67771AE9">
        <w:rPr>
          <w:rFonts w:asciiTheme="minorHAnsi" w:hAnsiTheme="minorHAnsi"/>
        </w:rPr>
        <w:t xml:space="preserve"> more specialized care is required. </w:t>
      </w:r>
    </w:p>
    <w:p w14:paraId="7BD4B102" w14:textId="77777777" w:rsidR="00D9155E" w:rsidRDefault="00D9155E" w:rsidP="00D9155E">
      <w:pPr>
        <w:rPr>
          <w:rFonts w:asciiTheme="minorHAnsi" w:hAnsiTheme="minorHAnsi"/>
        </w:rPr>
      </w:pPr>
    </w:p>
    <w:p w14:paraId="299799DB" w14:textId="6E1A604E" w:rsidR="00D9155E" w:rsidRPr="00DD150D" w:rsidRDefault="00D9155E" w:rsidP="00D9155E">
      <w:pPr>
        <w:rPr>
          <w:rFonts w:asciiTheme="minorHAnsi" w:hAnsiTheme="minorHAnsi"/>
        </w:rPr>
      </w:pPr>
      <w:r>
        <w:rPr>
          <w:rFonts w:asciiTheme="minorHAnsi" w:hAnsiTheme="minorHAnsi"/>
        </w:rPr>
        <w:t>The Applicant affirms that expanding bed capacity in the Commonwealth will improve outcomes for the most vulnerable patients</w:t>
      </w:r>
      <w:r w:rsidR="008750D7">
        <w:rPr>
          <w:rFonts w:asciiTheme="minorHAnsi" w:hAnsiTheme="minorHAnsi"/>
        </w:rPr>
        <w:t xml:space="preserve"> because t</w:t>
      </w:r>
      <w:r>
        <w:rPr>
          <w:rFonts w:asciiTheme="minorHAnsi" w:hAnsiTheme="minorHAnsi"/>
        </w:rPr>
        <w:t xml:space="preserve">he proposed hospital will be available to all patients, including those requiring transfers for more advanced, specialized care, and will expand access to </w:t>
      </w:r>
      <w:r w:rsidR="00A51153">
        <w:rPr>
          <w:rFonts w:asciiTheme="minorHAnsi" w:hAnsiTheme="minorHAnsi"/>
        </w:rPr>
        <w:t xml:space="preserve">patients from </w:t>
      </w:r>
      <w:r>
        <w:rPr>
          <w:rFonts w:asciiTheme="minorHAnsi" w:hAnsiTheme="minorHAnsi"/>
        </w:rPr>
        <w:t xml:space="preserve">historically marginalized </w:t>
      </w:r>
      <w:r w:rsidR="00A51153">
        <w:rPr>
          <w:rFonts w:asciiTheme="minorHAnsi" w:hAnsiTheme="minorHAnsi"/>
        </w:rPr>
        <w:t>communities</w:t>
      </w:r>
      <w:r>
        <w:rPr>
          <w:rFonts w:asciiTheme="minorHAnsi" w:hAnsiTheme="minorHAnsi"/>
        </w:rPr>
        <w:t xml:space="preserve">. </w:t>
      </w:r>
      <w:r w:rsidR="00293709">
        <w:rPr>
          <w:rFonts w:asciiTheme="minorHAnsi" w:hAnsiTheme="minorHAnsi"/>
        </w:rPr>
        <w:t>The</w:t>
      </w:r>
      <w:r w:rsidR="0066388C">
        <w:rPr>
          <w:rFonts w:asciiTheme="minorHAnsi" w:hAnsiTheme="minorHAnsi"/>
        </w:rPr>
        <w:t xml:space="preserve"> Applicant </w:t>
      </w:r>
      <w:r w:rsidR="0087124E">
        <w:rPr>
          <w:rFonts w:asciiTheme="minorHAnsi" w:hAnsiTheme="minorHAnsi"/>
        </w:rPr>
        <w:t xml:space="preserve">also </w:t>
      </w:r>
      <w:r w:rsidR="0066388C">
        <w:rPr>
          <w:rFonts w:asciiTheme="minorHAnsi" w:hAnsiTheme="minorHAnsi"/>
        </w:rPr>
        <w:t xml:space="preserve">states that </w:t>
      </w:r>
      <w:r>
        <w:rPr>
          <w:rFonts w:asciiTheme="minorHAnsi" w:hAnsiTheme="minorHAnsi"/>
        </w:rPr>
        <w:t>Dana-Farber will integrate access and equity into the clinical operations of the proposed hospital</w:t>
      </w:r>
      <w:r w:rsidR="00293709">
        <w:rPr>
          <w:rFonts w:asciiTheme="minorHAnsi" w:hAnsiTheme="minorHAnsi"/>
        </w:rPr>
        <w:t xml:space="preserve">, into </w:t>
      </w:r>
      <w:r>
        <w:rPr>
          <w:rFonts w:asciiTheme="minorHAnsi" w:hAnsiTheme="minorHAnsi"/>
        </w:rPr>
        <w:t xml:space="preserve">all of Dana-Farber’s locations, as well as </w:t>
      </w:r>
      <w:r w:rsidR="00293709">
        <w:rPr>
          <w:rFonts w:asciiTheme="minorHAnsi" w:hAnsiTheme="minorHAnsi"/>
        </w:rPr>
        <w:t xml:space="preserve">into </w:t>
      </w:r>
      <w:r>
        <w:rPr>
          <w:rFonts w:asciiTheme="minorHAnsi" w:hAnsiTheme="minorHAnsi"/>
        </w:rPr>
        <w:t xml:space="preserve">community health centers and other community networks </w:t>
      </w:r>
      <w:r w:rsidR="00293709">
        <w:rPr>
          <w:rFonts w:asciiTheme="minorHAnsi" w:hAnsiTheme="minorHAnsi"/>
        </w:rPr>
        <w:t xml:space="preserve">by </w:t>
      </w:r>
      <w:r>
        <w:rPr>
          <w:rFonts w:asciiTheme="minorHAnsi" w:hAnsiTheme="minorHAnsi"/>
        </w:rPr>
        <w:t xml:space="preserve">expanding its community-focused navigation program.  </w:t>
      </w:r>
    </w:p>
    <w:p w14:paraId="33A58AE4" w14:textId="77777777" w:rsidR="00D9155E" w:rsidRDefault="00D9155E" w:rsidP="00BA2054">
      <w:pPr>
        <w:rPr>
          <w:rFonts w:cs="Calibri"/>
          <w:szCs w:val="24"/>
        </w:rPr>
      </w:pPr>
    </w:p>
    <w:p w14:paraId="2A4745B4" w14:textId="4244DD80" w:rsidR="00293709" w:rsidRPr="004A469B" w:rsidRDefault="00DA78BE" w:rsidP="00BA2054">
      <w:pPr>
        <w:rPr>
          <w:rFonts w:cs="Calibri"/>
          <w:szCs w:val="24"/>
        </w:rPr>
      </w:pPr>
      <w:r>
        <w:rPr>
          <w:rFonts w:cs="Calibri"/>
          <w:szCs w:val="24"/>
        </w:rPr>
        <w:t>The Applicant states that it</w:t>
      </w:r>
      <w:r w:rsidR="004A469B" w:rsidRPr="004A469B">
        <w:rPr>
          <w:rFonts w:cs="Calibri"/>
          <w:szCs w:val="24"/>
        </w:rPr>
        <w:t xml:space="preserve"> </w:t>
      </w:r>
      <w:r w:rsidR="004A469B">
        <w:rPr>
          <w:rFonts w:cs="Calibri"/>
          <w:szCs w:val="24"/>
        </w:rPr>
        <w:t>plan</w:t>
      </w:r>
      <w:r>
        <w:rPr>
          <w:rFonts w:cs="Calibri"/>
          <w:szCs w:val="24"/>
        </w:rPr>
        <w:t>s</w:t>
      </w:r>
      <w:r w:rsidR="004A469B" w:rsidRPr="004A469B">
        <w:rPr>
          <w:rFonts w:cs="Calibri"/>
          <w:szCs w:val="24"/>
        </w:rPr>
        <w:t xml:space="preserve"> to measure improvements in health equity through </w:t>
      </w:r>
      <w:r>
        <w:rPr>
          <w:rFonts w:cs="Calibri"/>
          <w:szCs w:val="24"/>
        </w:rPr>
        <w:t>tracking</w:t>
      </w:r>
      <w:r w:rsidR="004A469B" w:rsidRPr="004A469B">
        <w:rPr>
          <w:rFonts w:cs="Calibri"/>
          <w:szCs w:val="24"/>
        </w:rPr>
        <w:t xml:space="preserve"> </w:t>
      </w:r>
      <w:r w:rsidR="00293709">
        <w:rPr>
          <w:rFonts w:cs="Calibri"/>
          <w:szCs w:val="24"/>
        </w:rPr>
        <w:t xml:space="preserve">a number of </w:t>
      </w:r>
      <w:r w:rsidR="00293709" w:rsidRPr="004A469B">
        <w:rPr>
          <w:rFonts w:cs="Calibri"/>
          <w:szCs w:val="24"/>
        </w:rPr>
        <w:t>metrics</w:t>
      </w:r>
      <w:r w:rsidR="000D41C9">
        <w:rPr>
          <w:rFonts w:cs="Calibri"/>
          <w:szCs w:val="24"/>
        </w:rPr>
        <w:t xml:space="preserve">, </w:t>
      </w:r>
      <w:r w:rsidR="000D41C9" w:rsidRPr="000D41C9">
        <w:rPr>
          <w:rFonts w:cs="Calibri"/>
          <w:szCs w:val="24"/>
        </w:rPr>
        <w:t>along with additional measures proposed by staff</w:t>
      </w:r>
      <w:r w:rsidR="000D41C9">
        <w:rPr>
          <w:rFonts w:cs="Calibri"/>
          <w:szCs w:val="24"/>
        </w:rPr>
        <w:t>,</w:t>
      </w:r>
      <w:r w:rsidR="00293709">
        <w:rPr>
          <w:rFonts w:cs="Calibri"/>
          <w:szCs w:val="24"/>
        </w:rPr>
        <w:t xml:space="preserve"> which are included </w:t>
      </w:r>
      <w:r w:rsidR="009F373E">
        <w:rPr>
          <w:rFonts w:cs="Calibri"/>
          <w:szCs w:val="24"/>
        </w:rPr>
        <w:t xml:space="preserve">below </w:t>
      </w:r>
      <w:r w:rsidR="00293709">
        <w:rPr>
          <w:rFonts w:cs="Calibri"/>
          <w:szCs w:val="24"/>
        </w:rPr>
        <w:t xml:space="preserve">in Appendix </w:t>
      </w:r>
      <w:r w:rsidR="00293A19">
        <w:rPr>
          <w:rFonts w:cs="Calibri"/>
          <w:szCs w:val="24"/>
        </w:rPr>
        <w:t>I</w:t>
      </w:r>
      <w:r w:rsidR="00293709">
        <w:rPr>
          <w:rFonts w:cs="Calibri"/>
          <w:szCs w:val="24"/>
        </w:rPr>
        <w:t xml:space="preserve">. </w:t>
      </w:r>
    </w:p>
    <w:p w14:paraId="4076A6C8" w14:textId="77777777" w:rsidR="008A2DB9" w:rsidRDefault="008A2DB9" w:rsidP="004A469B">
      <w:pPr>
        <w:rPr>
          <w:rFonts w:cs="Calibri"/>
          <w:szCs w:val="24"/>
        </w:rPr>
      </w:pPr>
    </w:p>
    <w:p w14:paraId="4FAE34C0" w14:textId="77777777" w:rsidR="00DC1DA7" w:rsidRDefault="00E04133" w:rsidP="00B517EA">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05A04943" w14:textId="3089C74C" w:rsidR="00DF1FDC" w:rsidRDefault="003755E4" w:rsidP="00B517EA">
      <w:pPr>
        <w:rPr>
          <w:rFonts w:asciiTheme="minorHAnsi" w:hAnsiTheme="minorHAnsi"/>
          <w:szCs w:val="24"/>
        </w:rPr>
      </w:pPr>
      <w:r w:rsidRPr="00A645A6">
        <w:rPr>
          <w:rFonts w:asciiTheme="minorHAnsi" w:hAnsiTheme="minorHAnsi"/>
          <w:szCs w:val="24"/>
        </w:rPr>
        <w:t xml:space="preserve">As a result of information provided by the Applicant and additional DoN Staff review of the Proposed </w:t>
      </w:r>
      <w:r w:rsidR="00A23B23">
        <w:rPr>
          <w:rFonts w:asciiTheme="minorHAnsi" w:hAnsiTheme="minorHAnsi"/>
          <w:szCs w:val="24"/>
        </w:rPr>
        <w:t>a</w:t>
      </w:r>
      <w:r w:rsidRPr="00A645A6">
        <w:rPr>
          <w:rFonts w:asciiTheme="minorHAnsi" w:hAnsiTheme="minorHAnsi"/>
          <w:szCs w:val="24"/>
        </w:rPr>
        <w:t>ffiliation’s impact on equitable access to care, Staff finds th</w:t>
      </w:r>
      <w:r w:rsidR="007251B3">
        <w:rPr>
          <w:rFonts w:asciiTheme="minorHAnsi" w:hAnsiTheme="minorHAnsi"/>
          <w:szCs w:val="24"/>
        </w:rPr>
        <w:t xml:space="preserve">at with the </w:t>
      </w:r>
      <w:r w:rsidR="00C772C1">
        <w:rPr>
          <w:rFonts w:asciiTheme="minorHAnsi" w:hAnsiTheme="minorHAnsi"/>
          <w:szCs w:val="24"/>
        </w:rPr>
        <w:t>“</w:t>
      </w:r>
      <w:r w:rsidR="007251B3">
        <w:rPr>
          <w:rFonts w:asciiTheme="minorHAnsi" w:hAnsiTheme="minorHAnsi"/>
          <w:szCs w:val="24"/>
        </w:rPr>
        <w:t>Other Conditions</w:t>
      </w:r>
      <w:r w:rsidR="002F4AE7">
        <w:rPr>
          <w:rFonts w:asciiTheme="minorHAnsi" w:hAnsiTheme="minorHAnsi"/>
          <w:szCs w:val="24"/>
        </w:rPr>
        <w:t xml:space="preserve">” </w:t>
      </w:r>
      <w:r w:rsidR="007251B3">
        <w:rPr>
          <w:rFonts w:asciiTheme="minorHAnsi" w:hAnsiTheme="minorHAnsi"/>
          <w:szCs w:val="24"/>
        </w:rPr>
        <w:t xml:space="preserve">outlined below, the </w:t>
      </w:r>
      <w:r w:rsidRPr="00A645A6">
        <w:rPr>
          <w:rFonts w:asciiTheme="minorHAnsi" w:hAnsiTheme="minorHAnsi"/>
          <w:szCs w:val="24"/>
        </w:rPr>
        <w:t xml:space="preserve">Applicant has </w:t>
      </w:r>
      <w:r w:rsidR="00252670" w:rsidRPr="00252670">
        <w:rPr>
          <w:rFonts w:asciiTheme="minorHAnsi" w:hAnsiTheme="minorHAnsi"/>
          <w:szCs w:val="24"/>
        </w:rPr>
        <w:t>provided reasonable assurances of health equity for the Patient Panel</w:t>
      </w:r>
      <w:r w:rsidRPr="00A645A6">
        <w:rPr>
          <w:rFonts w:asciiTheme="minorHAnsi" w:hAnsiTheme="minorHAnsi"/>
          <w:szCs w:val="24"/>
        </w:rPr>
        <w:t>.</w:t>
      </w:r>
      <w:r w:rsidR="00252670">
        <w:rPr>
          <w:rFonts w:asciiTheme="minorHAnsi" w:hAnsiTheme="minorHAnsi"/>
          <w:b/>
          <w:bCs/>
          <w:i/>
          <w:iCs/>
          <w:szCs w:val="24"/>
        </w:rPr>
        <w:t xml:space="preserve"> </w:t>
      </w:r>
      <w:r w:rsidR="00A645A6" w:rsidRPr="00A645A6">
        <w:rPr>
          <w:rFonts w:asciiTheme="minorHAnsi" w:hAnsiTheme="minorHAnsi"/>
          <w:szCs w:val="24"/>
        </w:rPr>
        <w:t>As a result, Staff finds that the Applicant meets the requirements of the Public Health Value: Health Equity part of Factor 1b.</w:t>
      </w:r>
    </w:p>
    <w:p w14:paraId="65FB0938" w14:textId="77777777" w:rsidR="0066388C" w:rsidRPr="00A645A6" w:rsidRDefault="0066388C" w:rsidP="00B517EA">
      <w:pPr>
        <w:rPr>
          <w:rFonts w:asciiTheme="minorHAnsi" w:hAnsiTheme="minorHAnsi"/>
          <w:szCs w:val="24"/>
        </w:rPr>
      </w:pPr>
    </w:p>
    <w:p w14:paraId="7897ED02" w14:textId="041AE456" w:rsidR="00B447F3" w:rsidRDefault="00A4110F" w:rsidP="00C15F61">
      <w:pPr>
        <w:pStyle w:val="Heading1"/>
        <w:spacing w:before="174"/>
        <w:ind w:left="0"/>
        <w:rPr>
          <w:rFonts w:asciiTheme="minorHAnsi" w:hAnsiTheme="minorHAnsi"/>
          <w:color w:val="42558C"/>
        </w:rPr>
      </w:pPr>
      <w:bookmarkStart w:id="13" w:name="Factor_1:_c)_Efficiency,_Continuity_of_C"/>
      <w:bookmarkStart w:id="14" w:name="_Toc190780584"/>
      <w:bookmarkEnd w:id="13"/>
      <w:r w:rsidRPr="003436F0">
        <w:rPr>
          <w:rFonts w:asciiTheme="minorHAnsi" w:hAnsiTheme="minorHAnsi"/>
          <w:color w:val="42558C"/>
        </w:rPr>
        <w:t>Factor 1: c) Efficiency, Continuity of Care, Coordination of Care</w:t>
      </w:r>
      <w:bookmarkEnd w:id="14"/>
    </w:p>
    <w:p w14:paraId="4E664B16" w14:textId="64820FEC" w:rsidR="00F05627" w:rsidRDefault="00210333" w:rsidP="00F05627">
      <w:r>
        <w:t xml:space="preserve">   </w:t>
      </w:r>
    </w:p>
    <w:p w14:paraId="7B0B74BE" w14:textId="337D6A38" w:rsidR="00B825B9" w:rsidRPr="00B825B9" w:rsidRDefault="00CC0ED6" w:rsidP="00BA2054">
      <w:r w:rsidRPr="00912E9F">
        <w:lastRenderedPageBreak/>
        <w:t xml:space="preserve">The Applicant affirms that the </w:t>
      </w:r>
      <w:r w:rsidR="00AF297F" w:rsidRPr="00912E9F">
        <w:t>proposed hospital’s singular focus on cancer</w:t>
      </w:r>
      <w:r w:rsidR="00D444B0" w:rsidRPr="00912E9F">
        <w:t xml:space="preserve"> </w:t>
      </w:r>
      <w:r w:rsidRPr="00912E9F">
        <w:t xml:space="preserve">will </w:t>
      </w:r>
      <w:r w:rsidR="001E0822" w:rsidRPr="00912E9F">
        <w:t>create efficiencies in care coordination</w:t>
      </w:r>
      <w:r w:rsidR="00AF297F" w:rsidRPr="00912E9F">
        <w:t xml:space="preserve">. </w:t>
      </w:r>
      <w:r w:rsidR="00A85B44" w:rsidRPr="00912E9F">
        <w:t xml:space="preserve">The Applicant states that </w:t>
      </w:r>
      <w:r w:rsidR="00F77C9B" w:rsidRPr="00912E9F">
        <w:t xml:space="preserve">the Proposed Project </w:t>
      </w:r>
      <w:r w:rsidR="00EE5064">
        <w:t>will</w:t>
      </w:r>
      <w:r w:rsidR="00F77C9B" w:rsidRPr="00912E9F">
        <w:t xml:space="preserve"> address a current challenge</w:t>
      </w:r>
      <w:r w:rsidR="00430514" w:rsidRPr="00912E9F">
        <w:t xml:space="preserve">: the limited ability to streamline processes and make them more patient-centric and cost effective. The Applicant states </w:t>
      </w:r>
      <w:r w:rsidR="00BE67BA" w:rsidRPr="00912E9F">
        <w:t xml:space="preserve">further </w:t>
      </w:r>
      <w:r w:rsidR="00430514" w:rsidRPr="00912E9F">
        <w:t xml:space="preserve">that </w:t>
      </w:r>
      <w:r w:rsidR="00C54CCD" w:rsidRPr="00912E9F">
        <w:t xml:space="preserve">through the Proposed </w:t>
      </w:r>
      <w:r w:rsidR="00B40F7F" w:rsidRPr="00912E9F">
        <w:t xml:space="preserve">Project it </w:t>
      </w:r>
      <w:r w:rsidR="00C54CCD" w:rsidRPr="00912E9F">
        <w:t>will be able to integrate data and analytics across the continuum of care</w:t>
      </w:r>
      <w:r w:rsidR="0065771B" w:rsidRPr="00912E9F">
        <w:t xml:space="preserve">, </w:t>
      </w:r>
      <w:r w:rsidR="00842C77" w:rsidRPr="00912E9F">
        <w:t>and that this will in turn provide</w:t>
      </w:r>
      <w:r w:rsidR="00AF1AFD" w:rsidRPr="00912E9F">
        <w:t xml:space="preserve"> more coordinated cancer care, </w:t>
      </w:r>
      <w:r w:rsidR="00BE67BA" w:rsidRPr="00912E9F">
        <w:t xml:space="preserve">provide </w:t>
      </w:r>
      <w:r w:rsidR="00842C77" w:rsidRPr="00912E9F">
        <w:t xml:space="preserve">the ability to </w:t>
      </w:r>
      <w:r w:rsidR="00AF1AFD" w:rsidRPr="00912E9F">
        <w:t>benchmark safety and quality metrics, and</w:t>
      </w:r>
      <w:r w:rsidR="00BE67BA" w:rsidRPr="00912E9F">
        <w:t xml:space="preserve"> provide</w:t>
      </w:r>
      <w:r w:rsidR="00AF1AFD" w:rsidRPr="00912E9F">
        <w:t xml:space="preserve"> </w:t>
      </w:r>
      <w:r w:rsidR="00842C77" w:rsidRPr="00912E9F">
        <w:t xml:space="preserve">the ability to </w:t>
      </w:r>
      <w:r w:rsidR="00AF1AFD" w:rsidRPr="00912E9F">
        <w:t xml:space="preserve">facilitate continuous learning. </w:t>
      </w:r>
      <w:r w:rsidR="00F77C9B" w:rsidRPr="00912E9F">
        <w:t xml:space="preserve"> </w:t>
      </w:r>
    </w:p>
    <w:p w14:paraId="1BBB49D0" w14:textId="77777777" w:rsidR="00B825B9" w:rsidRDefault="00B825B9" w:rsidP="00BA2054"/>
    <w:p w14:paraId="23B2AC7E" w14:textId="25F1D0C9" w:rsidR="009E6218" w:rsidRDefault="00F95F36" w:rsidP="00BA2054">
      <w:r>
        <w:t>T</w:t>
      </w:r>
      <w:r w:rsidR="009E6218">
        <w:t>he Applicant</w:t>
      </w:r>
      <w:r w:rsidR="00346AEE">
        <w:t xml:space="preserve"> states that it</w:t>
      </w:r>
      <w:r w:rsidR="009E6218">
        <w:t xml:space="preserve"> </w:t>
      </w:r>
      <w:r>
        <w:t xml:space="preserve">currently </w:t>
      </w:r>
      <w:r w:rsidR="009E6218">
        <w:t>works with physicians’ groups and community medical groups throughout the Commonwealth</w:t>
      </w:r>
      <w:r w:rsidR="00451BC4">
        <w:t xml:space="preserve"> so</w:t>
      </w:r>
      <w:r w:rsidR="009E6218">
        <w:t xml:space="preserve"> that patients </w:t>
      </w:r>
      <w:r w:rsidR="00451BC4">
        <w:t>receive</w:t>
      </w:r>
      <w:r w:rsidR="009E6218">
        <w:t xml:space="preserve"> the appropriate follow-up care across the </w:t>
      </w:r>
      <w:r w:rsidR="00C700B7">
        <w:t xml:space="preserve">cancer </w:t>
      </w:r>
      <w:r w:rsidR="009E6218">
        <w:t xml:space="preserve">care continuum. </w:t>
      </w:r>
      <w:r w:rsidRPr="00F95F36">
        <w:t xml:space="preserve">To ensure continuity of care through the Proposed Project, the Applicant </w:t>
      </w:r>
      <w:r w:rsidR="00D935A6">
        <w:t xml:space="preserve">maintains </w:t>
      </w:r>
      <w:r w:rsidRPr="00F95F36">
        <w:t>that it will continue existing formal processes for linking patients with cancer with referring physicians, often PCP</w:t>
      </w:r>
      <w:r w:rsidR="0097723B">
        <w:t>s</w:t>
      </w:r>
      <w:r w:rsidR="00E60D4B">
        <w:t>,</w:t>
      </w:r>
      <w:r w:rsidRPr="00F95F36">
        <w:t xml:space="preserve"> and other specialists for follow-up care. </w:t>
      </w:r>
      <w:r w:rsidR="00D76219">
        <w:t>T</w:t>
      </w:r>
      <w:r w:rsidR="00472214" w:rsidRPr="00472214">
        <w:t xml:space="preserve">he Applicant </w:t>
      </w:r>
      <w:r w:rsidR="00315CAA">
        <w:t xml:space="preserve">states that it </w:t>
      </w:r>
      <w:r w:rsidR="00472214" w:rsidRPr="00472214">
        <w:t xml:space="preserve">will </w:t>
      </w:r>
      <w:r w:rsidR="00C22069">
        <w:t xml:space="preserve">also </w:t>
      </w:r>
      <w:r w:rsidR="00472214" w:rsidRPr="00472214">
        <w:t>continue its provision of second opinion services to community hospitals and its practice of returning patients to community hospitals when they no</w:t>
      </w:r>
      <w:r w:rsidR="00C700B7">
        <w:t xml:space="preserve"> longer</w:t>
      </w:r>
      <w:r w:rsidR="00472214" w:rsidRPr="00472214">
        <w:t xml:space="preserve"> require the Applicant’s specialized cancer expertise.</w:t>
      </w:r>
    </w:p>
    <w:p w14:paraId="7611BF26" w14:textId="77777777" w:rsidR="00CB4A4E" w:rsidRDefault="00CB4A4E" w:rsidP="00BA2054"/>
    <w:p w14:paraId="4A154B74" w14:textId="3E4356AF" w:rsidR="0010503C" w:rsidRDefault="003A3317">
      <w:r>
        <w:t xml:space="preserve">The Applicant </w:t>
      </w:r>
      <w:r w:rsidR="00315CAA">
        <w:t xml:space="preserve">affirms </w:t>
      </w:r>
      <w:r w:rsidR="004D1AE1">
        <w:t xml:space="preserve">that it </w:t>
      </w:r>
      <w:r w:rsidR="002A2AA4">
        <w:t>provides</w:t>
      </w:r>
      <w:r w:rsidR="00120B7F">
        <w:t xml:space="preserve"> </w:t>
      </w:r>
      <w:r w:rsidR="00C700B7">
        <w:t xml:space="preserve">cancer </w:t>
      </w:r>
      <w:r w:rsidR="002A2AA4">
        <w:t>care coordination services</w:t>
      </w:r>
      <w:r w:rsidR="00A6012B">
        <w:t xml:space="preserve">, through </w:t>
      </w:r>
      <w:r w:rsidR="00510FDC">
        <w:t>a</w:t>
      </w:r>
      <w:r w:rsidR="00DF3076">
        <w:t xml:space="preserve"> comprehensive</w:t>
      </w:r>
      <w:r w:rsidR="00510FDC">
        <w:t xml:space="preserve"> </w:t>
      </w:r>
      <w:r w:rsidR="00A6012B">
        <w:t xml:space="preserve">array of </w:t>
      </w:r>
      <w:r w:rsidR="00510FDC">
        <w:t xml:space="preserve">supportive </w:t>
      </w:r>
      <w:r w:rsidR="00364806">
        <w:t xml:space="preserve">resources and </w:t>
      </w:r>
      <w:r w:rsidR="00510FDC">
        <w:t>services</w:t>
      </w:r>
      <w:r w:rsidR="00D12EAC">
        <w:t xml:space="preserve"> that include </w:t>
      </w:r>
      <w:r w:rsidR="00163925">
        <w:t xml:space="preserve">linkages to </w:t>
      </w:r>
      <w:r w:rsidR="00D12EAC">
        <w:t>the Applicant’s</w:t>
      </w:r>
      <w:r w:rsidR="00163925">
        <w:t xml:space="preserve"> adult social work program, resource specialists, financial </w:t>
      </w:r>
      <w:r w:rsidR="00CB190A">
        <w:t>counselors</w:t>
      </w:r>
      <w:r w:rsidR="00163925">
        <w:t xml:space="preserve">, </w:t>
      </w:r>
      <w:r w:rsidR="00CB190A">
        <w:t>pharmacy resource specialists</w:t>
      </w:r>
      <w:r w:rsidR="00EE6009">
        <w:t>, clinical nurse navigators</w:t>
      </w:r>
      <w:r w:rsidR="00CB190A">
        <w:t>,</w:t>
      </w:r>
      <w:r w:rsidR="00163925">
        <w:t xml:space="preserve"> </w:t>
      </w:r>
      <w:r w:rsidR="00E60D4B">
        <w:t>and</w:t>
      </w:r>
      <w:r w:rsidR="00163925">
        <w:t xml:space="preserve"> interpreter services.</w:t>
      </w:r>
      <w:r w:rsidR="00F639ED">
        <w:t xml:space="preserve"> </w:t>
      </w:r>
      <w:r w:rsidR="00D12EAC" w:rsidRPr="00D12EAC">
        <w:t>The Applicant states that between FY21 and FY23, the Applicant’s Adult Resource Office assisted 18,173 unique patients in accessing these resources.</w:t>
      </w:r>
      <w:r w:rsidR="0010503C">
        <w:t xml:space="preserve"> </w:t>
      </w:r>
      <w:r w:rsidR="00871D9C">
        <w:t>The Applicant states also that</w:t>
      </w:r>
      <w:r w:rsidR="00871D9C" w:rsidRPr="00871D9C">
        <w:t xml:space="preserve"> </w:t>
      </w:r>
      <w:r w:rsidR="005E1662">
        <w:t xml:space="preserve">it </w:t>
      </w:r>
      <w:r w:rsidR="00871D9C" w:rsidRPr="00871D9C">
        <w:t>partn</w:t>
      </w:r>
      <w:r w:rsidR="005E1662">
        <w:t>er</w:t>
      </w:r>
      <w:r w:rsidR="00871D9C" w:rsidRPr="00871D9C">
        <w:t>s with community organizations</w:t>
      </w:r>
      <w:r w:rsidR="005E1662">
        <w:t xml:space="preserve"> </w:t>
      </w:r>
      <w:r w:rsidR="00871D9C" w:rsidRPr="00871D9C">
        <w:t>to assess, enhance, and improve the overall health and well-being of the members of the Applicant’s communities.</w:t>
      </w:r>
      <w:r w:rsidR="00FE6091">
        <w:t xml:space="preserve"> </w:t>
      </w:r>
    </w:p>
    <w:p w14:paraId="3080B05E" w14:textId="77777777" w:rsidR="0010503C" w:rsidRDefault="0010503C" w:rsidP="003B2CD4"/>
    <w:p w14:paraId="5FDE96D6" w14:textId="42549FE2" w:rsidR="00A85B44" w:rsidRPr="00A85B44" w:rsidRDefault="00A85B44" w:rsidP="00A85B44">
      <w:r w:rsidRPr="00A85B44">
        <w:t xml:space="preserve">The Applicant </w:t>
      </w:r>
      <w:r w:rsidR="00315CAA">
        <w:t>maintains</w:t>
      </w:r>
      <w:r w:rsidRPr="00A85B44">
        <w:t xml:space="preserve"> that the Proposed Project will increase efficiency of care </w:t>
      </w:r>
      <w:r w:rsidR="0010503C">
        <w:t xml:space="preserve">because </w:t>
      </w:r>
      <w:r w:rsidRPr="00A85B44">
        <w:t xml:space="preserve">fewer patients will need to rely on the ED to receive medical oncology care, </w:t>
      </w:r>
      <w:r w:rsidR="0010503C">
        <w:t>and this</w:t>
      </w:r>
      <w:r w:rsidRPr="00A85B44">
        <w:t xml:space="preserve"> will allow patients to move more efficiently between care settings, and reduce ED wait times. </w:t>
      </w:r>
    </w:p>
    <w:p w14:paraId="1D0CEA50" w14:textId="77777777" w:rsidR="008675AF" w:rsidRDefault="008675AF" w:rsidP="00BA2054"/>
    <w:p w14:paraId="0C326A1E" w14:textId="5876FA97" w:rsidR="008675AF" w:rsidRDefault="006F5DB5" w:rsidP="00BA2054">
      <w:r>
        <w:t xml:space="preserve">As noted above, </w:t>
      </w:r>
      <w:r w:rsidR="0024505B">
        <w:t>t</w:t>
      </w:r>
      <w:r w:rsidR="0024505B" w:rsidRPr="0024505B">
        <w:t>he proposed hospital will not have surgical capabilities</w:t>
      </w:r>
      <w:r w:rsidR="0024505B">
        <w:t xml:space="preserve"> and</w:t>
      </w:r>
      <w:r w:rsidR="0024505B" w:rsidRPr="0024505B">
        <w:t xml:space="preserve"> BIDMC will serve as the Applicant’s clinical partner for surgical oncology services. </w:t>
      </w:r>
      <w:r w:rsidR="008675AF">
        <w:t xml:space="preserve">The Applicant </w:t>
      </w:r>
      <w:r w:rsidR="00095571">
        <w:t xml:space="preserve">states that it </w:t>
      </w:r>
      <w:r w:rsidR="008675AF">
        <w:t xml:space="preserve">does not expect that the provision of surgical services at BIDMC will differ significantly than the current setup but notes that confidentiality restrictions in its agreements with BWH limit its ability to discuss the specifics of the current arrangement. The Applicant does </w:t>
      </w:r>
      <w:r w:rsidR="008675AF" w:rsidRPr="008675AF">
        <w:t>maintain that connecting bridges and tunnels between the two buildings will facilitate patient transfers.</w:t>
      </w:r>
      <w:r w:rsidR="007C248E">
        <w:t xml:space="preserve"> </w:t>
      </w:r>
      <w:r w:rsidR="00731578">
        <w:t>F</w:t>
      </w:r>
      <w:r w:rsidR="007C248E">
        <w:t xml:space="preserve">or patients receiving surgery as part of an inpatient stay at the proposed hospital, the medical oncologist will direct the care of the patient, work closely with the surgical team at BIDMC performing the surgery, and will act as a consultant for patients requiring an inpatient stay for a cancer-related surgery. </w:t>
      </w:r>
      <w:r w:rsidR="002E23A0">
        <w:t>I</w:t>
      </w:r>
      <w:r w:rsidR="00A62C5E">
        <w:t xml:space="preserve">ntensivists will be responsible for directing patient care in the ICU. </w:t>
      </w:r>
    </w:p>
    <w:p w14:paraId="79008F32" w14:textId="77777777" w:rsidR="00A62C5E" w:rsidRDefault="00A62C5E" w:rsidP="00BA2054"/>
    <w:p w14:paraId="084F446B" w14:textId="67784E44" w:rsidR="001B1929" w:rsidRDefault="001B1929" w:rsidP="00BA2054">
      <w:r>
        <w:t xml:space="preserve">The Applicant states that </w:t>
      </w:r>
      <w:r w:rsidR="00EE2ECB">
        <w:t xml:space="preserve">the provision of care for </w:t>
      </w:r>
      <w:r>
        <w:t xml:space="preserve">patients requiring access to non-specialty cancer care under the proposed collaboration with BIDMC, will be similar in manner and scope to the </w:t>
      </w:r>
      <w:r>
        <w:lastRenderedPageBreak/>
        <w:t>Applicant’s current collaboration with BWH. The Applicant maintains that its proposed collaboration with BIDMC</w:t>
      </w:r>
      <w:r w:rsidR="00731578">
        <w:t xml:space="preserve"> </w:t>
      </w:r>
      <w:r>
        <w:t xml:space="preserve">will provide Dana-Farber </w:t>
      </w:r>
      <w:r w:rsidR="003D3D9B">
        <w:t>patients with cancer</w:t>
      </w:r>
      <w:r>
        <w:t xml:space="preserve"> presenting with non-cancer related illness access to non-cancer specialists, </w:t>
      </w:r>
      <w:r w:rsidR="00EC3B62">
        <w:t>and that these specialists will</w:t>
      </w:r>
      <w:r>
        <w:t xml:space="preserve"> be easily integrated into the patient’s oncology care team. The Applicant states that cancer and non-cancer related care will be coordinated closely through Dana-Farber’s close collaboration with local community hospitals, community health centers, and </w:t>
      </w:r>
      <w:r w:rsidR="00F54D23">
        <w:t>PCPs</w:t>
      </w:r>
      <w:r>
        <w:t xml:space="preserve">. </w:t>
      </w:r>
    </w:p>
    <w:p w14:paraId="3D2F60AE" w14:textId="77777777" w:rsidR="00CF45B8" w:rsidRDefault="00CF45B8" w:rsidP="00BA2054"/>
    <w:p w14:paraId="550AD8B9" w14:textId="77777777" w:rsidR="00B447F3" w:rsidRPr="00F06B37" w:rsidRDefault="00A4110F" w:rsidP="00BA2054">
      <w:pPr>
        <w:rPr>
          <w:rFonts w:asciiTheme="minorHAnsi" w:hAnsiTheme="minorHAnsi"/>
          <w:b/>
          <w:bCs/>
          <w:i/>
          <w:iCs/>
          <w:szCs w:val="24"/>
        </w:rPr>
      </w:pPr>
      <w:r w:rsidRPr="00F06B37">
        <w:rPr>
          <w:rFonts w:asciiTheme="minorHAnsi" w:hAnsiTheme="minorHAnsi"/>
          <w:b/>
          <w:bCs/>
          <w:i/>
          <w:iCs/>
          <w:szCs w:val="24"/>
        </w:rPr>
        <w:t>Analysis</w:t>
      </w:r>
    </w:p>
    <w:p w14:paraId="71F7862B" w14:textId="0C23CB28" w:rsidR="0087426C" w:rsidRPr="00455AF0" w:rsidRDefault="00E82639" w:rsidP="00BA2054">
      <w:pPr>
        <w:rPr>
          <w:rFonts w:asciiTheme="minorHAnsi" w:hAnsiTheme="minorHAnsi"/>
          <w:szCs w:val="24"/>
        </w:rPr>
      </w:pPr>
      <w:r w:rsidRPr="00E82639">
        <w:rPr>
          <w:rFonts w:asciiTheme="minorHAnsi" w:hAnsiTheme="minorHAnsi"/>
          <w:szCs w:val="24"/>
        </w:rPr>
        <w:t>Staff finds that the Applicant’s care coordination will contribute positively to efficiency, continuity, and coordination of care</w:t>
      </w:r>
      <w:r>
        <w:rPr>
          <w:rFonts w:asciiTheme="minorHAnsi" w:hAnsiTheme="minorHAnsi"/>
          <w:szCs w:val="24"/>
        </w:rPr>
        <w:t>. The Applicant has outlined how patients will receive follow-up care across the care continuum, as well as linkages to</w:t>
      </w:r>
      <w:r w:rsidR="00BE234E">
        <w:rPr>
          <w:rFonts w:asciiTheme="minorHAnsi" w:hAnsiTheme="minorHAnsi"/>
          <w:szCs w:val="24"/>
        </w:rPr>
        <w:t xml:space="preserve"> resources </w:t>
      </w:r>
      <w:r w:rsidR="00CB190A">
        <w:rPr>
          <w:rFonts w:asciiTheme="minorHAnsi" w:hAnsiTheme="minorHAnsi"/>
          <w:szCs w:val="24"/>
        </w:rPr>
        <w:t>and services</w:t>
      </w:r>
      <w:r w:rsidR="00BE234E">
        <w:rPr>
          <w:rFonts w:asciiTheme="minorHAnsi" w:hAnsiTheme="minorHAnsi"/>
          <w:szCs w:val="24"/>
        </w:rPr>
        <w:t xml:space="preserve"> providing</w:t>
      </w:r>
      <w:r>
        <w:rPr>
          <w:rFonts w:asciiTheme="minorHAnsi" w:hAnsiTheme="minorHAnsi"/>
          <w:szCs w:val="24"/>
        </w:rPr>
        <w:t xml:space="preserve"> suppor</w:t>
      </w:r>
      <w:r w:rsidR="00BE234E">
        <w:rPr>
          <w:rFonts w:asciiTheme="minorHAnsi" w:hAnsiTheme="minorHAnsi"/>
          <w:szCs w:val="24"/>
        </w:rPr>
        <w:t xml:space="preserve">t </w:t>
      </w:r>
      <w:r w:rsidR="008D1374">
        <w:rPr>
          <w:rFonts w:asciiTheme="minorHAnsi" w:hAnsiTheme="minorHAnsi"/>
          <w:szCs w:val="24"/>
        </w:rPr>
        <w:t xml:space="preserve">to </w:t>
      </w:r>
      <w:r w:rsidR="00BE234E">
        <w:rPr>
          <w:rFonts w:asciiTheme="minorHAnsi" w:hAnsiTheme="minorHAnsi"/>
          <w:szCs w:val="24"/>
        </w:rPr>
        <w:t>patients during their cancer care experience.</w:t>
      </w:r>
      <w:r w:rsidR="00BE234E">
        <w:rPr>
          <w:rFonts w:asciiTheme="minorHAnsi" w:hAnsiTheme="minorHAnsi"/>
          <w:sz w:val="18"/>
        </w:rPr>
        <w:t xml:space="preserve"> </w:t>
      </w:r>
      <w:r w:rsidR="00455AF0" w:rsidRPr="00455AF0">
        <w:rPr>
          <w:rFonts w:asciiTheme="minorHAnsi" w:hAnsiTheme="minorHAnsi"/>
          <w:szCs w:val="24"/>
        </w:rPr>
        <w:t>As a result, Staff finds that the Proposed Project meets the requirements of Factor 1c.</w:t>
      </w:r>
    </w:p>
    <w:p w14:paraId="6ECC7274" w14:textId="77777777" w:rsidR="0087426C" w:rsidRDefault="0087426C" w:rsidP="00BA2054">
      <w:pPr>
        <w:rPr>
          <w:rFonts w:asciiTheme="minorHAnsi" w:hAnsiTheme="minorHAnsi"/>
          <w:sz w:val="18"/>
        </w:rPr>
      </w:pPr>
    </w:p>
    <w:p w14:paraId="1C366B98" w14:textId="23676C2A" w:rsidR="00B447F3" w:rsidRPr="003436F0" w:rsidRDefault="00A4110F" w:rsidP="00BA2054">
      <w:pPr>
        <w:pStyle w:val="Heading1"/>
        <w:ind w:left="0"/>
        <w:jc w:val="both"/>
        <w:rPr>
          <w:rFonts w:asciiTheme="minorHAnsi" w:hAnsiTheme="minorHAnsi"/>
        </w:rPr>
      </w:pPr>
      <w:bookmarkStart w:id="15" w:name="Factor_1:_d)_Consultation"/>
      <w:bookmarkStart w:id="16" w:name="_Toc190780585"/>
      <w:bookmarkEnd w:id="15"/>
      <w:r w:rsidRPr="003436F0">
        <w:rPr>
          <w:rFonts w:asciiTheme="minorHAnsi" w:hAnsiTheme="minorHAnsi"/>
          <w:color w:val="42558C"/>
        </w:rPr>
        <w:t>Factor 1: d) Consultation</w:t>
      </w:r>
      <w:bookmarkEnd w:id="16"/>
    </w:p>
    <w:p w14:paraId="6ECA67A1" w14:textId="77777777" w:rsidR="00B447F3" w:rsidRDefault="00A4110F" w:rsidP="00BA2054">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2981A0BA" w14:textId="77777777" w:rsidR="00965321" w:rsidRPr="003436F0" w:rsidRDefault="00965321" w:rsidP="00BA2054">
      <w:pPr>
        <w:pStyle w:val="BodyText"/>
        <w:ind w:right="484"/>
        <w:jc w:val="both"/>
        <w:rPr>
          <w:rFonts w:asciiTheme="minorHAnsi" w:hAnsiTheme="minorHAnsi"/>
        </w:rPr>
      </w:pPr>
    </w:p>
    <w:p w14:paraId="3BE4534C" w14:textId="5A0C1FC5" w:rsidR="00B447F3" w:rsidRPr="003436F0" w:rsidRDefault="00A4110F" w:rsidP="00BA2054">
      <w:pPr>
        <w:pStyle w:val="Heading1"/>
        <w:ind w:left="0" w:right="496"/>
        <w:rPr>
          <w:rFonts w:asciiTheme="minorHAnsi" w:hAnsiTheme="minorHAnsi"/>
        </w:rPr>
      </w:pPr>
      <w:bookmarkStart w:id="17" w:name="Factor_1:_e)_Evidence_of_Sound_Community"/>
      <w:bookmarkStart w:id="18" w:name="_Toc190780586"/>
      <w:bookmarkEnd w:id="17"/>
      <w:r w:rsidRPr="003436F0">
        <w:rPr>
          <w:rFonts w:asciiTheme="minorHAnsi" w:hAnsiTheme="minorHAnsi"/>
          <w:color w:val="42558C"/>
        </w:rPr>
        <w:t xml:space="preserve">Factor 1: e) Evidence of Sound Community Engagement </w:t>
      </w:r>
      <w:r w:rsidR="003168BC">
        <w:rPr>
          <w:rFonts w:asciiTheme="minorHAnsi" w:hAnsiTheme="minorHAnsi"/>
          <w:color w:val="42558C"/>
        </w:rPr>
        <w:t>Through the Patient Panel</w:t>
      </w:r>
      <w:bookmarkEnd w:id="18"/>
    </w:p>
    <w:p w14:paraId="415C51CB" w14:textId="779FD403" w:rsidR="00B447F3" w:rsidRDefault="00A4110F" w:rsidP="00BA2054">
      <w:pPr>
        <w:pStyle w:val="BodyText"/>
        <w:ind w:right="263"/>
        <w:rPr>
          <w:rFonts w:asciiTheme="minorHAnsi" w:hAnsiTheme="minorHAnsi"/>
          <w:position w:val="10"/>
          <w:sz w:val="14"/>
        </w:rPr>
      </w:pPr>
      <w:r w:rsidRPr="00651967">
        <w:rPr>
          <w:rFonts w:asciiTheme="minorHAnsi" w:hAnsiTheme="minorHAnsi"/>
        </w:rPr>
        <w:t>The Department’s Guideline</w:t>
      </w:r>
      <w:r w:rsidRPr="00651967">
        <w:rPr>
          <w:rFonts w:asciiTheme="minorHAnsi" w:hAnsiTheme="minorHAnsi"/>
          <w:position w:val="10"/>
          <w:sz w:val="14"/>
        </w:rPr>
        <w:t xml:space="preserve"> </w:t>
      </w:r>
      <w:r w:rsidRPr="00651967">
        <w:rPr>
          <w:rFonts w:asciiTheme="minorHAnsi" w:hAnsiTheme="minorHAnsi"/>
        </w:rPr>
        <w:t>for community engagement defines “community” as the Patient Panel,</w:t>
      </w:r>
      <w:r w:rsidRPr="00651967">
        <w:rPr>
          <w:rFonts w:asciiTheme="minorHAnsi" w:hAnsiTheme="minorHAnsi"/>
          <w:spacing w:val="-3"/>
        </w:rPr>
        <w:t xml:space="preserve"> </w:t>
      </w:r>
      <w:r w:rsidRPr="00651967">
        <w:rPr>
          <w:rFonts w:asciiTheme="minorHAnsi" w:hAnsiTheme="minorHAnsi"/>
        </w:rPr>
        <w:t>and</w:t>
      </w:r>
      <w:r w:rsidRPr="00651967">
        <w:rPr>
          <w:rFonts w:asciiTheme="minorHAnsi" w:hAnsiTheme="minorHAnsi"/>
          <w:spacing w:val="-4"/>
        </w:rPr>
        <w:t xml:space="preserve"> </w:t>
      </w:r>
      <w:r w:rsidRPr="00651967">
        <w:rPr>
          <w:rFonts w:asciiTheme="minorHAnsi" w:hAnsiTheme="minorHAnsi"/>
        </w:rPr>
        <w:t>requires</w:t>
      </w:r>
      <w:r w:rsidRPr="00651967">
        <w:rPr>
          <w:rFonts w:asciiTheme="minorHAnsi" w:hAnsiTheme="minorHAnsi"/>
          <w:spacing w:val="-4"/>
        </w:rPr>
        <w:t xml:space="preserve"> </w:t>
      </w:r>
      <w:r w:rsidRPr="00651967">
        <w:rPr>
          <w:rFonts w:asciiTheme="minorHAnsi" w:hAnsiTheme="minorHAnsi"/>
        </w:rPr>
        <w:t>that</w:t>
      </w:r>
      <w:r w:rsidRPr="00651967">
        <w:rPr>
          <w:rFonts w:asciiTheme="minorHAnsi" w:hAnsiTheme="minorHAnsi"/>
          <w:spacing w:val="-4"/>
        </w:rPr>
        <w:t xml:space="preserve"> </w:t>
      </w:r>
      <w:r w:rsidRPr="00651967">
        <w:rPr>
          <w:rFonts w:asciiTheme="minorHAnsi" w:hAnsiTheme="minorHAnsi"/>
        </w:rPr>
        <w:t>at</w:t>
      </w:r>
      <w:r w:rsidRPr="00651967">
        <w:rPr>
          <w:rFonts w:asciiTheme="minorHAnsi" w:hAnsiTheme="minorHAnsi"/>
          <w:spacing w:val="-5"/>
        </w:rPr>
        <w:t xml:space="preserve"> </w:t>
      </w:r>
      <w:r w:rsidRPr="00651967">
        <w:rPr>
          <w:rFonts w:asciiTheme="minorHAnsi" w:hAnsiTheme="minorHAnsi"/>
        </w:rPr>
        <w:t>minimum,</w:t>
      </w:r>
      <w:r w:rsidRPr="00651967">
        <w:rPr>
          <w:rFonts w:asciiTheme="minorHAnsi" w:hAnsiTheme="minorHAnsi"/>
          <w:spacing w:val="-3"/>
        </w:rPr>
        <w:t xml:space="preserve"> </w:t>
      </w:r>
      <w:r w:rsidRPr="00651967">
        <w:rPr>
          <w:rFonts w:asciiTheme="minorHAnsi" w:hAnsiTheme="minorHAnsi"/>
        </w:rPr>
        <w:t>the</w:t>
      </w:r>
      <w:r w:rsidRPr="00651967">
        <w:rPr>
          <w:rFonts w:asciiTheme="minorHAnsi" w:hAnsiTheme="minorHAnsi"/>
          <w:spacing w:val="-3"/>
        </w:rPr>
        <w:t xml:space="preserve"> </w:t>
      </w:r>
      <w:r w:rsidRPr="00651967">
        <w:rPr>
          <w:rFonts w:asciiTheme="minorHAnsi" w:hAnsiTheme="minorHAnsi"/>
        </w:rPr>
        <w:t>Applicant</w:t>
      </w:r>
      <w:r w:rsidRPr="00651967">
        <w:rPr>
          <w:rFonts w:asciiTheme="minorHAnsi" w:hAnsiTheme="minorHAnsi"/>
          <w:spacing w:val="-5"/>
        </w:rPr>
        <w:t xml:space="preserve"> </w:t>
      </w:r>
      <w:r w:rsidRPr="00651967">
        <w:rPr>
          <w:rFonts w:asciiTheme="minorHAnsi" w:hAnsiTheme="minorHAnsi"/>
        </w:rPr>
        <w:t>must</w:t>
      </w:r>
      <w:r w:rsidRPr="00651967">
        <w:rPr>
          <w:rFonts w:asciiTheme="minorHAnsi" w:hAnsiTheme="minorHAnsi"/>
          <w:spacing w:val="-4"/>
        </w:rPr>
        <w:t xml:space="preserve"> </w:t>
      </w:r>
      <w:r w:rsidRPr="00651967">
        <w:rPr>
          <w:rFonts w:asciiTheme="minorHAnsi" w:hAnsiTheme="minorHAnsi"/>
        </w:rPr>
        <w:t>“consult”</w:t>
      </w:r>
      <w:r w:rsidRPr="00651967">
        <w:rPr>
          <w:rFonts w:asciiTheme="minorHAnsi" w:hAnsiTheme="minorHAnsi"/>
          <w:spacing w:val="-3"/>
        </w:rPr>
        <w:t xml:space="preserve"> </w:t>
      </w:r>
      <w:r w:rsidRPr="00651967">
        <w:rPr>
          <w:rFonts w:asciiTheme="minorHAnsi" w:hAnsiTheme="minorHAnsi"/>
        </w:rPr>
        <w:t>with</w:t>
      </w:r>
      <w:r w:rsidRPr="00651967">
        <w:rPr>
          <w:rFonts w:asciiTheme="minorHAnsi" w:hAnsiTheme="minorHAnsi"/>
          <w:spacing w:val="-3"/>
        </w:rPr>
        <w:t xml:space="preserve"> </w:t>
      </w:r>
      <w:r w:rsidRPr="00651967">
        <w:rPr>
          <w:rFonts w:asciiTheme="minorHAnsi" w:hAnsiTheme="minorHAnsi"/>
        </w:rPr>
        <w:t>groups</w:t>
      </w:r>
      <w:r w:rsidRPr="00651967">
        <w:rPr>
          <w:rFonts w:asciiTheme="minorHAnsi" w:hAnsiTheme="minorHAnsi"/>
          <w:spacing w:val="-5"/>
        </w:rPr>
        <w:t xml:space="preserve"> </w:t>
      </w:r>
      <w:r w:rsidRPr="00651967">
        <w:rPr>
          <w:rFonts w:asciiTheme="minorHAnsi" w:hAnsiTheme="minorHAnsi"/>
        </w:rPr>
        <w:t>representative</w:t>
      </w:r>
      <w:r w:rsidRPr="00651967">
        <w:rPr>
          <w:rFonts w:asciiTheme="minorHAnsi" w:hAnsiTheme="minorHAnsi"/>
          <w:spacing w:val="-2"/>
        </w:rPr>
        <w:t xml:space="preserve"> </w:t>
      </w:r>
      <w:r w:rsidRPr="00651967">
        <w:rPr>
          <w:rFonts w:asciiTheme="minorHAnsi" w:hAnsiTheme="minorHAnsi"/>
        </w:rPr>
        <w:t>of</w:t>
      </w:r>
      <w:r w:rsidRPr="00651967">
        <w:rPr>
          <w:rFonts w:asciiTheme="minorHAnsi" w:hAnsiTheme="minorHAnsi"/>
          <w:spacing w:val="-4"/>
        </w:rPr>
        <w:t xml:space="preserve"> </w:t>
      </w:r>
      <w:r w:rsidRPr="00651967">
        <w:rPr>
          <w:rFonts w:asciiTheme="minorHAnsi" w:hAnsiTheme="minorHAnsi"/>
        </w:rPr>
        <w:t>the Applicant's Patient Panel.</w:t>
      </w:r>
      <w:r w:rsidRPr="00FF54C7">
        <w:rPr>
          <w:rFonts w:asciiTheme="minorHAnsi" w:hAnsiTheme="minorHAnsi"/>
          <w:szCs w:val="20"/>
          <w:vertAlign w:val="superscript"/>
        </w:rPr>
        <w:t xml:space="preserve"> </w:t>
      </w:r>
      <w:r w:rsidR="00FF54C7" w:rsidRPr="00FF54C7">
        <w:rPr>
          <w:rFonts w:asciiTheme="minorHAnsi" w:hAnsiTheme="minorHAnsi"/>
          <w:vertAlign w:val="superscript"/>
        </w:rPr>
        <w:endnoteReference w:id="53"/>
      </w:r>
      <w:r w:rsidRPr="00651967">
        <w:rPr>
          <w:rFonts w:asciiTheme="minorHAnsi" w:hAnsiTheme="minorHAnsi"/>
        </w:rPr>
        <w:t xml:space="preserve"> Regulations state that efforts in such consultation should consist of engaging “community coalitions statistically representative of the Patient</w:t>
      </w:r>
      <w:r w:rsidRPr="00651967">
        <w:rPr>
          <w:rFonts w:asciiTheme="minorHAnsi" w:hAnsiTheme="minorHAnsi"/>
          <w:spacing w:val="-14"/>
        </w:rPr>
        <w:t xml:space="preserve"> </w:t>
      </w:r>
      <w:r w:rsidRPr="00651967">
        <w:rPr>
          <w:rFonts w:asciiTheme="minorHAnsi" w:hAnsiTheme="minorHAnsi"/>
        </w:rPr>
        <w:t>Panel.”</w:t>
      </w:r>
      <w:r w:rsidR="00FF54C7">
        <w:rPr>
          <w:rStyle w:val="EndnoteReference"/>
          <w:rFonts w:asciiTheme="minorHAnsi" w:hAnsiTheme="minorHAnsi"/>
        </w:rPr>
        <w:endnoteReference w:id="54"/>
      </w:r>
    </w:p>
    <w:p w14:paraId="5215AF41" w14:textId="77777777" w:rsidR="0045414C" w:rsidRDefault="0045414C" w:rsidP="00BA2054">
      <w:pPr>
        <w:pStyle w:val="BodyText"/>
        <w:ind w:right="263"/>
        <w:rPr>
          <w:rFonts w:asciiTheme="minorHAnsi" w:hAnsiTheme="minorHAnsi"/>
          <w:position w:val="10"/>
          <w:sz w:val="14"/>
        </w:rPr>
      </w:pPr>
    </w:p>
    <w:p w14:paraId="141B0773" w14:textId="59AF729C" w:rsidR="00436745" w:rsidRDefault="00587CC0" w:rsidP="00BA2054">
      <w:pPr>
        <w:pStyle w:val="BodyText"/>
        <w:rPr>
          <w:rFonts w:asciiTheme="minorHAnsi" w:hAnsiTheme="minorHAnsi"/>
        </w:rPr>
      </w:pPr>
      <w:r w:rsidRPr="00587CC0">
        <w:rPr>
          <w:rFonts w:asciiTheme="minorHAnsi" w:hAnsiTheme="minorHAnsi"/>
        </w:rPr>
        <w:t xml:space="preserve">The Applicant states that it engaged in a robust community engagement process </w:t>
      </w:r>
      <w:r w:rsidR="00D03DF4">
        <w:rPr>
          <w:rFonts w:asciiTheme="minorHAnsi" w:hAnsiTheme="minorHAnsi"/>
        </w:rPr>
        <w:t>and</w:t>
      </w:r>
      <w:r w:rsidR="003F2DAC">
        <w:rPr>
          <w:rFonts w:asciiTheme="minorHAnsi" w:hAnsiTheme="minorHAnsi"/>
        </w:rPr>
        <w:t xml:space="preserve"> that d</w:t>
      </w:r>
      <w:r w:rsidR="00AD734B" w:rsidRPr="00AD734B">
        <w:rPr>
          <w:rFonts w:asciiTheme="minorHAnsi" w:hAnsiTheme="minorHAnsi"/>
        </w:rPr>
        <w:t>uring its community engagement activities</w:t>
      </w:r>
      <w:r w:rsidR="00B50BC9">
        <w:rPr>
          <w:rFonts w:asciiTheme="minorHAnsi" w:hAnsiTheme="minorHAnsi"/>
        </w:rPr>
        <w:t xml:space="preserve">, </w:t>
      </w:r>
      <w:r w:rsidR="003F2DAC">
        <w:rPr>
          <w:rFonts w:asciiTheme="minorHAnsi" w:hAnsiTheme="minorHAnsi"/>
        </w:rPr>
        <w:t>it</w:t>
      </w:r>
      <w:r w:rsidR="00AD734B" w:rsidRPr="00AD734B">
        <w:rPr>
          <w:rFonts w:asciiTheme="minorHAnsi" w:hAnsiTheme="minorHAnsi"/>
        </w:rPr>
        <w:t xml:space="preserve"> sought input on the Public Health Value of the Proposed Project and the feedback</w:t>
      </w:r>
      <w:r w:rsidR="001940B6">
        <w:rPr>
          <w:rFonts w:asciiTheme="minorHAnsi" w:hAnsiTheme="minorHAnsi"/>
        </w:rPr>
        <w:t xml:space="preserve"> the Applicant</w:t>
      </w:r>
      <w:r w:rsidR="00AD734B" w:rsidRPr="00AD734B">
        <w:rPr>
          <w:rFonts w:asciiTheme="minorHAnsi" w:hAnsiTheme="minorHAnsi"/>
        </w:rPr>
        <w:t xml:space="preserve"> received was considered in identifying Patient Panel need and designing the Proposed Project. </w:t>
      </w:r>
    </w:p>
    <w:p w14:paraId="7A071B05" w14:textId="77777777" w:rsidR="003E542A" w:rsidRDefault="003E542A" w:rsidP="00BA2054">
      <w:pPr>
        <w:pStyle w:val="BodyText"/>
        <w:rPr>
          <w:rFonts w:asciiTheme="minorHAnsi" w:hAnsiTheme="minorHAnsi"/>
        </w:rPr>
      </w:pPr>
    </w:p>
    <w:p w14:paraId="29DC497F" w14:textId="1051CBAB" w:rsidR="003E542A" w:rsidRDefault="003E542A" w:rsidP="00BA2054">
      <w:pPr>
        <w:pStyle w:val="BodyText"/>
        <w:rPr>
          <w:rFonts w:asciiTheme="minorHAnsi" w:hAnsiTheme="minorHAnsi"/>
        </w:rPr>
      </w:pPr>
      <w:r>
        <w:rPr>
          <w:rFonts w:asciiTheme="minorHAnsi" w:hAnsiTheme="minorHAnsi"/>
        </w:rPr>
        <w:t xml:space="preserve">Table </w:t>
      </w:r>
      <w:r w:rsidR="00E823CC">
        <w:rPr>
          <w:rFonts w:asciiTheme="minorHAnsi" w:hAnsiTheme="minorHAnsi"/>
        </w:rPr>
        <w:t>3</w:t>
      </w:r>
      <w:r w:rsidR="002D5360">
        <w:rPr>
          <w:rFonts w:asciiTheme="minorHAnsi" w:hAnsiTheme="minorHAnsi"/>
        </w:rPr>
        <w:t>8</w:t>
      </w:r>
      <w:r>
        <w:rPr>
          <w:rFonts w:asciiTheme="minorHAnsi" w:hAnsiTheme="minorHAnsi"/>
        </w:rPr>
        <w:t xml:space="preserve"> provides an overview of the Applicant’s community engagement activities. </w:t>
      </w:r>
    </w:p>
    <w:p w14:paraId="39DB3DF6" w14:textId="77777777" w:rsidR="003E542A" w:rsidRDefault="003E542A" w:rsidP="00436745">
      <w:pPr>
        <w:pStyle w:val="BodyText"/>
        <w:rPr>
          <w:rFonts w:asciiTheme="minorHAnsi" w:hAnsiTheme="minorHAnsi"/>
        </w:rPr>
      </w:pPr>
    </w:p>
    <w:p w14:paraId="14BC9266" w14:textId="77777777" w:rsidR="00AF1C09" w:rsidRDefault="00AF1C09" w:rsidP="00436745">
      <w:pPr>
        <w:pStyle w:val="BodyText"/>
        <w:rPr>
          <w:rFonts w:asciiTheme="minorHAnsi" w:hAnsiTheme="minorHAnsi"/>
        </w:rPr>
      </w:pPr>
    </w:p>
    <w:p w14:paraId="09A91FCA" w14:textId="77777777" w:rsidR="00AF1C09" w:rsidRDefault="00AF1C09" w:rsidP="00436745">
      <w:pPr>
        <w:pStyle w:val="BodyText"/>
        <w:rPr>
          <w:rFonts w:asciiTheme="minorHAnsi" w:hAnsiTheme="minorHAnsi"/>
        </w:rPr>
      </w:pPr>
    </w:p>
    <w:p w14:paraId="6A7D2C93" w14:textId="389BA3B9" w:rsidR="003E542A" w:rsidRDefault="003E542A" w:rsidP="00436745">
      <w:pPr>
        <w:pStyle w:val="BodyText"/>
        <w:rPr>
          <w:rFonts w:asciiTheme="minorHAnsi" w:hAnsiTheme="minorHAnsi"/>
          <w:b/>
          <w:bCs/>
        </w:rPr>
      </w:pPr>
      <w:r w:rsidRPr="003E542A">
        <w:rPr>
          <w:rFonts w:asciiTheme="minorHAnsi" w:hAnsiTheme="minorHAnsi"/>
          <w:b/>
          <w:bCs/>
          <w:u w:val="single"/>
        </w:rPr>
        <w:t xml:space="preserve">Table </w:t>
      </w:r>
      <w:r w:rsidR="00E823CC">
        <w:rPr>
          <w:rFonts w:asciiTheme="minorHAnsi" w:hAnsiTheme="minorHAnsi"/>
          <w:b/>
          <w:bCs/>
          <w:u w:val="single"/>
        </w:rPr>
        <w:t>3</w:t>
      </w:r>
      <w:r w:rsidR="002D5360">
        <w:rPr>
          <w:rFonts w:asciiTheme="minorHAnsi" w:hAnsiTheme="minorHAnsi"/>
          <w:b/>
          <w:bCs/>
          <w:u w:val="single"/>
        </w:rPr>
        <w:t>8</w:t>
      </w:r>
      <w:r w:rsidRPr="003E542A">
        <w:rPr>
          <w:rFonts w:asciiTheme="minorHAnsi" w:hAnsiTheme="minorHAnsi"/>
          <w:b/>
          <w:bCs/>
        </w:rPr>
        <w:t xml:space="preserve">: Community Engagement </w:t>
      </w:r>
      <w:r w:rsidR="00544AAF">
        <w:rPr>
          <w:rFonts w:asciiTheme="minorHAnsi" w:hAnsiTheme="minorHAnsi"/>
          <w:b/>
          <w:bCs/>
        </w:rPr>
        <w:t>Activities</w:t>
      </w:r>
    </w:p>
    <w:tbl>
      <w:tblPr>
        <w:tblStyle w:val="TableGrid"/>
        <w:tblW w:w="7359" w:type="dxa"/>
        <w:tblLook w:val="04A0" w:firstRow="1" w:lastRow="0" w:firstColumn="1" w:lastColumn="0" w:noHBand="0" w:noVBand="1"/>
      </w:tblPr>
      <w:tblGrid>
        <w:gridCol w:w="2278"/>
        <w:gridCol w:w="3716"/>
        <w:gridCol w:w="1365"/>
      </w:tblGrid>
      <w:tr w:rsidR="003E542A" w14:paraId="211C3153" w14:textId="77777777" w:rsidTr="006C4B51">
        <w:trPr>
          <w:cantSplit/>
          <w:trHeight w:val="300"/>
          <w:tblHeader/>
        </w:trPr>
        <w:tc>
          <w:tcPr>
            <w:tcW w:w="2278" w:type="dxa"/>
            <w:shd w:val="clear" w:color="auto" w:fill="DBE5F1" w:themeFill="accent1" w:themeFillTint="33"/>
          </w:tcPr>
          <w:p w14:paraId="686A4A5A" w14:textId="713BCCD0" w:rsidR="003E542A" w:rsidRPr="003E542A" w:rsidRDefault="003E542A" w:rsidP="003E542A">
            <w:pPr>
              <w:pStyle w:val="BodyText"/>
              <w:rPr>
                <w:rFonts w:asciiTheme="minorHAnsi" w:hAnsiTheme="minorHAnsi"/>
                <w:b/>
                <w:bCs/>
              </w:rPr>
            </w:pPr>
            <w:r w:rsidRPr="003E542A">
              <w:rPr>
                <w:b/>
                <w:bCs/>
              </w:rPr>
              <w:t>Forum</w:t>
            </w:r>
          </w:p>
        </w:tc>
        <w:tc>
          <w:tcPr>
            <w:tcW w:w="3716" w:type="dxa"/>
            <w:shd w:val="clear" w:color="auto" w:fill="DBE5F1" w:themeFill="accent1" w:themeFillTint="33"/>
          </w:tcPr>
          <w:p w14:paraId="50B34652" w14:textId="1E2D41D9" w:rsidR="003E542A" w:rsidRPr="003E542A" w:rsidRDefault="003E542A" w:rsidP="001668BA">
            <w:pPr>
              <w:pStyle w:val="BodyText"/>
              <w:jc w:val="center"/>
              <w:rPr>
                <w:rFonts w:asciiTheme="minorHAnsi" w:hAnsiTheme="minorHAnsi"/>
                <w:b/>
                <w:bCs/>
              </w:rPr>
            </w:pPr>
            <w:r w:rsidRPr="003E542A">
              <w:rPr>
                <w:b/>
                <w:bCs/>
              </w:rPr>
              <w:t>Date</w:t>
            </w:r>
          </w:p>
        </w:tc>
        <w:tc>
          <w:tcPr>
            <w:tcW w:w="1365" w:type="dxa"/>
            <w:shd w:val="clear" w:color="auto" w:fill="DBE5F1" w:themeFill="accent1" w:themeFillTint="33"/>
          </w:tcPr>
          <w:p w14:paraId="089D99A6" w14:textId="4943E617" w:rsidR="003E542A" w:rsidRPr="003E542A" w:rsidRDefault="003E542A" w:rsidP="001668BA">
            <w:pPr>
              <w:pStyle w:val="BodyText"/>
              <w:jc w:val="center"/>
              <w:rPr>
                <w:rFonts w:asciiTheme="minorHAnsi" w:hAnsiTheme="minorHAnsi"/>
                <w:b/>
                <w:bCs/>
              </w:rPr>
            </w:pPr>
            <w:r w:rsidRPr="003E542A">
              <w:rPr>
                <w:b/>
                <w:bCs/>
              </w:rPr>
              <w:t>Attendees</w:t>
            </w:r>
          </w:p>
        </w:tc>
      </w:tr>
      <w:tr w:rsidR="003E542A" w14:paraId="2D59FA0C" w14:textId="77777777" w:rsidTr="00734FE3">
        <w:trPr>
          <w:cantSplit/>
          <w:trHeight w:val="300"/>
        </w:trPr>
        <w:tc>
          <w:tcPr>
            <w:tcW w:w="2278" w:type="dxa"/>
          </w:tcPr>
          <w:p w14:paraId="519D0396" w14:textId="4CDEEC67" w:rsidR="003E542A" w:rsidRDefault="003E542A" w:rsidP="003E542A">
            <w:pPr>
              <w:pStyle w:val="BodyText"/>
              <w:rPr>
                <w:rFonts w:asciiTheme="minorHAnsi" w:hAnsiTheme="minorHAnsi"/>
                <w:b/>
                <w:bCs/>
              </w:rPr>
            </w:pPr>
            <w:r w:rsidRPr="00AB50FD">
              <w:t>Adult PFAC meeting</w:t>
            </w:r>
          </w:p>
        </w:tc>
        <w:tc>
          <w:tcPr>
            <w:tcW w:w="3716" w:type="dxa"/>
          </w:tcPr>
          <w:p w14:paraId="0F9F6172" w14:textId="1F200269" w:rsidR="003E542A" w:rsidRDefault="003E542A" w:rsidP="001668BA">
            <w:pPr>
              <w:pStyle w:val="BodyText"/>
              <w:jc w:val="center"/>
              <w:rPr>
                <w:rFonts w:asciiTheme="minorHAnsi" w:hAnsiTheme="minorHAnsi"/>
                <w:b/>
                <w:bCs/>
              </w:rPr>
            </w:pPr>
            <w:r w:rsidRPr="00AB50FD">
              <w:t>Tuesday, October 3, 2023, 5pm</w:t>
            </w:r>
          </w:p>
        </w:tc>
        <w:tc>
          <w:tcPr>
            <w:tcW w:w="1365" w:type="dxa"/>
          </w:tcPr>
          <w:p w14:paraId="7069FE9E" w14:textId="2A094B90" w:rsidR="003E542A" w:rsidRDefault="003E542A" w:rsidP="003E542A">
            <w:pPr>
              <w:pStyle w:val="BodyText"/>
              <w:jc w:val="center"/>
              <w:rPr>
                <w:rFonts w:asciiTheme="minorHAnsi" w:hAnsiTheme="minorHAnsi"/>
                <w:b/>
                <w:bCs/>
              </w:rPr>
            </w:pPr>
            <w:r w:rsidRPr="00AB50FD">
              <w:t>20</w:t>
            </w:r>
          </w:p>
        </w:tc>
      </w:tr>
      <w:tr w:rsidR="003E542A" w14:paraId="455BCF5C" w14:textId="77777777" w:rsidTr="00734FE3">
        <w:trPr>
          <w:cantSplit/>
          <w:trHeight w:val="300"/>
        </w:trPr>
        <w:tc>
          <w:tcPr>
            <w:tcW w:w="2278" w:type="dxa"/>
          </w:tcPr>
          <w:p w14:paraId="6FDA6191" w14:textId="41A4AFD9" w:rsidR="003E542A" w:rsidRDefault="003E542A" w:rsidP="003E542A">
            <w:pPr>
              <w:pStyle w:val="BodyText"/>
              <w:rPr>
                <w:rFonts w:asciiTheme="minorHAnsi" w:hAnsiTheme="minorHAnsi"/>
                <w:b/>
                <w:bCs/>
              </w:rPr>
            </w:pPr>
            <w:r w:rsidRPr="00AB50FD">
              <w:t>Virtual Patient forum</w:t>
            </w:r>
          </w:p>
        </w:tc>
        <w:tc>
          <w:tcPr>
            <w:tcW w:w="3716" w:type="dxa"/>
          </w:tcPr>
          <w:p w14:paraId="27DDF542" w14:textId="65FAFE2F" w:rsidR="003E542A" w:rsidRDefault="003E542A" w:rsidP="001668BA">
            <w:pPr>
              <w:pStyle w:val="BodyText"/>
              <w:jc w:val="center"/>
              <w:rPr>
                <w:rFonts w:asciiTheme="minorHAnsi" w:hAnsiTheme="minorHAnsi"/>
                <w:b/>
                <w:bCs/>
              </w:rPr>
            </w:pPr>
            <w:r w:rsidRPr="00AB50FD">
              <w:t>Monday, October 16, 2023, 6pm</w:t>
            </w:r>
          </w:p>
        </w:tc>
        <w:tc>
          <w:tcPr>
            <w:tcW w:w="1365" w:type="dxa"/>
          </w:tcPr>
          <w:p w14:paraId="0916A8F1" w14:textId="68F62F8E" w:rsidR="003E542A" w:rsidRDefault="003E542A" w:rsidP="003E542A">
            <w:pPr>
              <w:pStyle w:val="BodyText"/>
              <w:jc w:val="center"/>
              <w:rPr>
                <w:rFonts w:asciiTheme="minorHAnsi" w:hAnsiTheme="minorHAnsi"/>
                <w:b/>
                <w:bCs/>
              </w:rPr>
            </w:pPr>
            <w:r w:rsidRPr="00AB50FD">
              <w:t>269</w:t>
            </w:r>
          </w:p>
        </w:tc>
      </w:tr>
      <w:tr w:rsidR="003E542A" w14:paraId="29F5C7D0" w14:textId="77777777" w:rsidTr="00734FE3">
        <w:trPr>
          <w:cantSplit/>
          <w:trHeight w:val="300"/>
        </w:trPr>
        <w:tc>
          <w:tcPr>
            <w:tcW w:w="2278" w:type="dxa"/>
          </w:tcPr>
          <w:p w14:paraId="6E2EE3E5" w14:textId="478B5CA9" w:rsidR="003E542A" w:rsidRDefault="003E542A" w:rsidP="003E542A">
            <w:pPr>
              <w:pStyle w:val="BodyText"/>
              <w:rPr>
                <w:rFonts w:asciiTheme="minorHAnsi" w:hAnsiTheme="minorHAnsi"/>
                <w:b/>
                <w:bCs/>
              </w:rPr>
            </w:pPr>
            <w:r w:rsidRPr="00AB50FD">
              <w:t>Virtual Patient forum</w:t>
            </w:r>
          </w:p>
        </w:tc>
        <w:tc>
          <w:tcPr>
            <w:tcW w:w="3716" w:type="dxa"/>
          </w:tcPr>
          <w:p w14:paraId="17E9C27A" w14:textId="486EA5D2" w:rsidR="003E542A" w:rsidRDefault="003E542A" w:rsidP="001668BA">
            <w:pPr>
              <w:pStyle w:val="BodyText"/>
              <w:jc w:val="center"/>
              <w:rPr>
                <w:rFonts w:asciiTheme="minorHAnsi" w:hAnsiTheme="minorHAnsi"/>
                <w:b/>
                <w:bCs/>
              </w:rPr>
            </w:pPr>
            <w:r w:rsidRPr="00AB50FD">
              <w:t>Tuesday, October 17, 2023, noon</w:t>
            </w:r>
          </w:p>
        </w:tc>
        <w:tc>
          <w:tcPr>
            <w:tcW w:w="1365" w:type="dxa"/>
          </w:tcPr>
          <w:p w14:paraId="7DD68694" w14:textId="57DC4EBE" w:rsidR="003E542A" w:rsidRDefault="003E542A" w:rsidP="003E542A">
            <w:pPr>
              <w:pStyle w:val="BodyText"/>
              <w:jc w:val="center"/>
              <w:rPr>
                <w:rFonts w:asciiTheme="minorHAnsi" w:hAnsiTheme="minorHAnsi"/>
                <w:b/>
                <w:bCs/>
              </w:rPr>
            </w:pPr>
            <w:r w:rsidRPr="00AB50FD">
              <w:t>170</w:t>
            </w:r>
          </w:p>
        </w:tc>
      </w:tr>
      <w:tr w:rsidR="003E542A" w14:paraId="1823FE51" w14:textId="77777777" w:rsidTr="00734FE3">
        <w:trPr>
          <w:cantSplit/>
          <w:trHeight w:val="300"/>
        </w:trPr>
        <w:tc>
          <w:tcPr>
            <w:tcW w:w="2278" w:type="dxa"/>
          </w:tcPr>
          <w:p w14:paraId="54FF4DB4" w14:textId="39C5A69E" w:rsidR="003E542A" w:rsidRDefault="003E542A" w:rsidP="003E542A">
            <w:pPr>
              <w:pStyle w:val="BodyText"/>
              <w:rPr>
                <w:rFonts w:asciiTheme="minorHAnsi" w:hAnsiTheme="minorHAnsi"/>
                <w:b/>
                <w:bCs/>
              </w:rPr>
            </w:pPr>
            <w:r w:rsidRPr="00AB50FD">
              <w:t>Virtual Patient forum</w:t>
            </w:r>
          </w:p>
        </w:tc>
        <w:tc>
          <w:tcPr>
            <w:tcW w:w="3716" w:type="dxa"/>
          </w:tcPr>
          <w:p w14:paraId="6154D5BE" w14:textId="6E95BBD6" w:rsidR="003E542A" w:rsidRDefault="003E542A" w:rsidP="001668BA">
            <w:pPr>
              <w:pStyle w:val="BodyText"/>
              <w:jc w:val="center"/>
              <w:rPr>
                <w:rFonts w:asciiTheme="minorHAnsi" w:hAnsiTheme="minorHAnsi"/>
                <w:b/>
                <w:bCs/>
              </w:rPr>
            </w:pPr>
            <w:r w:rsidRPr="00AB50FD">
              <w:t>Wednesday, October 18, 2023, 9am</w:t>
            </w:r>
          </w:p>
        </w:tc>
        <w:tc>
          <w:tcPr>
            <w:tcW w:w="1365" w:type="dxa"/>
          </w:tcPr>
          <w:p w14:paraId="0E98D4AF" w14:textId="0153E2AD" w:rsidR="003E542A" w:rsidRDefault="003E542A" w:rsidP="003E542A">
            <w:pPr>
              <w:pStyle w:val="BodyText"/>
              <w:jc w:val="center"/>
              <w:rPr>
                <w:rFonts w:asciiTheme="minorHAnsi" w:hAnsiTheme="minorHAnsi"/>
                <w:b/>
                <w:bCs/>
              </w:rPr>
            </w:pPr>
            <w:r w:rsidRPr="00AB50FD">
              <w:t>135</w:t>
            </w:r>
          </w:p>
        </w:tc>
      </w:tr>
    </w:tbl>
    <w:p w14:paraId="1C358871" w14:textId="77777777" w:rsidR="00436745" w:rsidRDefault="00436745" w:rsidP="00436745">
      <w:pPr>
        <w:pStyle w:val="BodyText"/>
        <w:rPr>
          <w:rFonts w:asciiTheme="minorHAnsi" w:hAnsiTheme="minorHAnsi"/>
        </w:rPr>
      </w:pPr>
    </w:p>
    <w:p w14:paraId="48DD4A9B" w14:textId="56A0C8E0" w:rsidR="00436745" w:rsidRPr="00436745" w:rsidRDefault="00436745" w:rsidP="00BA2054">
      <w:pPr>
        <w:pStyle w:val="BodyText"/>
        <w:rPr>
          <w:rFonts w:asciiTheme="minorHAnsi" w:hAnsiTheme="minorHAnsi"/>
        </w:rPr>
      </w:pPr>
      <w:r w:rsidRPr="00436745">
        <w:rPr>
          <w:rFonts w:asciiTheme="minorHAnsi" w:hAnsiTheme="minorHAnsi"/>
          <w:b/>
          <w:bCs/>
        </w:rPr>
        <w:lastRenderedPageBreak/>
        <w:t>Adult Patient and Family Advisory Council (APFAC)</w:t>
      </w:r>
      <w:r w:rsidRPr="00436745">
        <w:rPr>
          <w:rFonts w:asciiTheme="minorHAnsi" w:hAnsiTheme="minorHAnsi"/>
        </w:rPr>
        <w:t>. The APFAC is a separate council for</w:t>
      </w:r>
      <w:r w:rsidR="007D7BFC">
        <w:rPr>
          <w:rFonts w:asciiTheme="minorHAnsi" w:hAnsiTheme="minorHAnsi"/>
        </w:rPr>
        <w:t xml:space="preserve"> adult care</w:t>
      </w:r>
      <w:r w:rsidRPr="00436745">
        <w:rPr>
          <w:rFonts w:asciiTheme="minorHAnsi" w:hAnsiTheme="minorHAnsi"/>
        </w:rPr>
        <w:t xml:space="preserve"> comprised of patients, family, and staff members. The Applicant</w:t>
      </w:r>
      <w:r w:rsidR="00BA0AF9">
        <w:rPr>
          <w:rFonts w:asciiTheme="minorHAnsi" w:hAnsiTheme="minorHAnsi"/>
        </w:rPr>
        <w:t xml:space="preserve"> states that its</w:t>
      </w:r>
      <w:r w:rsidRPr="00436745">
        <w:rPr>
          <w:rFonts w:asciiTheme="minorHAnsi" w:hAnsiTheme="minorHAnsi"/>
        </w:rPr>
        <w:t xml:space="preserve"> clinical leadership met with the APFAC Staff Management on September 14</w:t>
      </w:r>
      <w:r w:rsidR="009C054C">
        <w:rPr>
          <w:rFonts w:asciiTheme="minorHAnsi" w:hAnsiTheme="minorHAnsi"/>
        </w:rPr>
        <w:t>,</w:t>
      </w:r>
      <w:r w:rsidRPr="00436745">
        <w:rPr>
          <w:rFonts w:asciiTheme="minorHAnsi" w:hAnsiTheme="minorHAnsi"/>
        </w:rPr>
        <w:t xml:space="preserve"> 2023 to inform them of the public announcement of the Proposed Project. The Applicant sought feedback from the APFAC which included expressing need for increased inpatient capacity</w:t>
      </w:r>
      <w:r w:rsidR="008E79D7">
        <w:rPr>
          <w:rFonts w:asciiTheme="minorHAnsi" w:hAnsiTheme="minorHAnsi"/>
        </w:rPr>
        <w:t xml:space="preserve">, </w:t>
      </w:r>
      <w:r w:rsidR="007428C9">
        <w:rPr>
          <w:rFonts w:asciiTheme="minorHAnsi" w:hAnsiTheme="minorHAnsi"/>
        </w:rPr>
        <w:t xml:space="preserve">and improved </w:t>
      </w:r>
      <w:r w:rsidRPr="00436745">
        <w:rPr>
          <w:rFonts w:asciiTheme="minorHAnsi" w:hAnsiTheme="minorHAnsi"/>
        </w:rPr>
        <w:t>patient experience</w:t>
      </w:r>
      <w:r w:rsidR="008E79D7">
        <w:rPr>
          <w:rFonts w:asciiTheme="minorHAnsi" w:hAnsiTheme="minorHAnsi"/>
        </w:rPr>
        <w:t>, patient satisfaction, and access to care.</w:t>
      </w:r>
      <w:r w:rsidRPr="00436745">
        <w:rPr>
          <w:rFonts w:asciiTheme="minorHAnsi" w:hAnsiTheme="minorHAnsi"/>
        </w:rPr>
        <w:t xml:space="preserve"> The Applicant’s Chief Medical Officer and Senior Vice President</w:t>
      </w:r>
      <w:r w:rsidR="009B2346">
        <w:rPr>
          <w:rFonts w:asciiTheme="minorHAnsi" w:hAnsiTheme="minorHAnsi"/>
        </w:rPr>
        <w:t xml:space="preserve"> of</w:t>
      </w:r>
      <w:r w:rsidRPr="00436745">
        <w:rPr>
          <w:rFonts w:asciiTheme="minorHAnsi" w:hAnsiTheme="minorHAnsi"/>
        </w:rPr>
        <w:t xml:space="preserve"> Patient Care Services, in collaboration with the APFAC Co-Chairs, presented on the Proposed Project on October 3, 2023, at a special APFAC meeting during which time APFAC was provided with background on the Proposed Project, a high-level timeline for </w:t>
      </w:r>
      <w:r w:rsidR="008E79D7">
        <w:rPr>
          <w:rFonts w:asciiTheme="minorHAnsi" w:hAnsiTheme="minorHAnsi"/>
        </w:rPr>
        <w:t xml:space="preserve">project </w:t>
      </w:r>
      <w:r w:rsidRPr="00436745">
        <w:rPr>
          <w:rFonts w:asciiTheme="minorHAnsi" w:hAnsiTheme="minorHAnsi"/>
        </w:rPr>
        <w:t xml:space="preserve">progression, and </w:t>
      </w:r>
      <w:r w:rsidR="008E79D7">
        <w:rPr>
          <w:rFonts w:asciiTheme="minorHAnsi" w:hAnsiTheme="minorHAnsi"/>
        </w:rPr>
        <w:t xml:space="preserve">were provided </w:t>
      </w:r>
      <w:r w:rsidRPr="00436745">
        <w:rPr>
          <w:rFonts w:asciiTheme="minorHAnsi" w:hAnsiTheme="minorHAnsi"/>
        </w:rPr>
        <w:t xml:space="preserve">an opportunity to ask questions. </w:t>
      </w:r>
      <w:r w:rsidR="005D4621">
        <w:rPr>
          <w:rFonts w:asciiTheme="minorHAnsi" w:hAnsiTheme="minorHAnsi"/>
        </w:rPr>
        <w:t xml:space="preserve">There were 20 attendees. </w:t>
      </w:r>
      <w:r w:rsidR="00AE3AF6">
        <w:rPr>
          <w:rFonts w:asciiTheme="minorHAnsi" w:hAnsiTheme="minorHAnsi"/>
        </w:rPr>
        <w:t>The Applicant states that a</w:t>
      </w:r>
      <w:r w:rsidRPr="00436745">
        <w:rPr>
          <w:rFonts w:asciiTheme="minorHAnsi" w:hAnsiTheme="minorHAnsi"/>
        </w:rPr>
        <w:t xml:space="preserve"> discussion occurred during the meeting on such topics as the impact of the Proposed Project on patient care, and overall patient experience, as well as the benefits of a dedicated cancer hospital.</w:t>
      </w:r>
      <w:r w:rsidR="005D4621">
        <w:rPr>
          <w:rFonts w:asciiTheme="minorHAnsi" w:hAnsiTheme="minorHAnsi"/>
        </w:rPr>
        <w:t xml:space="preserve"> </w:t>
      </w:r>
    </w:p>
    <w:p w14:paraId="1B593A91" w14:textId="77777777" w:rsidR="00436745" w:rsidRDefault="00436745" w:rsidP="00BA2054">
      <w:pPr>
        <w:pStyle w:val="BodyText"/>
        <w:rPr>
          <w:rFonts w:asciiTheme="minorHAnsi" w:hAnsiTheme="minorHAnsi"/>
          <w:b/>
          <w:bCs/>
        </w:rPr>
      </w:pPr>
    </w:p>
    <w:p w14:paraId="59AFB355" w14:textId="71FD0574" w:rsidR="00436745" w:rsidRPr="00436745" w:rsidRDefault="00436745" w:rsidP="00BA2054">
      <w:pPr>
        <w:pStyle w:val="BodyText"/>
        <w:rPr>
          <w:rFonts w:asciiTheme="minorHAnsi" w:hAnsiTheme="minorHAnsi"/>
        </w:rPr>
      </w:pPr>
      <w:r w:rsidRPr="00436745">
        <w:rPr>
          <w:rFonts w:asciiTheme="minorHAnsi" w:hAnsiTheme="minorHAnsi"/>
          <w:b/>
          <w:bCs/>
        </w:rPr>
        <w:t>Virtual Patient Open Forums</w:t>
      </w:r>
      <w:r w:rsidRPr="00436745">
        <w:rPr>
          <w:rFonts w:asciiTheme="minorHAnsi" w:hAnsiTheme="minorHAnsi"/>
        </w:rPr>
        <w:t xml:space="preserve">. </w:t>
      </w:r>
      <w:r w:rsidR="008B68F4">
        <w:rPr>
          <w:rFonts w:asciiTheme="minorHAnsi" w:hAnsiTheme="minorHAnsi"/>
        </w:rPr>
        <w:t xml:space="preserve">Virtual patient forums took </w:t>
      </w:r>
      <w:r w:rsidRPr="00436745">
        <w:rPr>
          <w:rFonts w:asciiTheme="minorHAnsi" w:hAnsiTheme="minorHAnsi"/>
        </w:rPr>
        <w:t xml:space="preserve">place on </w:t>
      </w:r>
      <w:r w:rsidR="008B68F4">
        <w:rPr>
          <w:rFonts w:asciiTheme="minorHAnsi" w:hAnsiTheme="minorHAnsi"/>
        </w:rPr>
        <w:t xml:space="preserve">the </w:t>
      </w:r>
      <w:r w:rsidRPr="00436745">
        <w:rPr>
          <w:rFonts w:asciiTheme="minorHAnsi" w:hAnsiTheme="minorHAnsi"/>
        </w:rPr>
        <w:t>16</w:t>
      </w:r>
      <w:r w:rsidR="008B68F4" w:rsidRPr="008B68F4">
        <w:rPr>
          <w:rFonts w:asciiTheme="minorHAnsi" w:hAnsiTheme="minorHAnsi"/>
          <w:vertAlign w:val="superscript"/>
        </w:rPr>
        <w:t>th</w:t>
      </w:r>
      <w:r w:rsidRPr="00436745">
        <w:rPr>
          <w:rFonts w:asciiTheme="minorHAnsi" w:hAnsiTheme="minorHAnsi"/>
        </w:rPr>
        <w:t>, 17</w:t>
      </w:r>
      <w:r w:rsidR="008B68F4" w:rsidRPr="008B68F4">
        <w:rPr>
          <w:rFonts w:asciiTheme="minorHAnsi" w:hAnsiTheme="minorHAnsi"/>
          <w:vertAlign w:val="superscript"/>
        </w:rPr>
        <w:t>th</w:t>
      </w:r>
      <w:r w:rsidRPr="00436745">
        <w:rPr>
          <w:rFonts w:asciiTheme="minorHAnsi" w:hAnsiTheme="minorHAnsi"/>
        </w:rPr>
        <w:t>, and 18</w:t>
      </w:r>
      <w:r w:rsidR="008B68F4" w:rsidRPr="008B68F4">
        <w:rPr>
          <w:rFonts w:asciiTheme="minorHAnsi" w:hAnsiTheme="minorHAnsi"/>
          <w:vertAlign w:val="superscript"/>
        </w:rPr>
        <w:t>th</w:t>
      </w:r>
      <w:r w:rsidR="008B68F4">
        <w:rPr>
          <w:rFonts w:asciiTheme="minorHAnsi" w:hAnsiTheme="minorHAnsi"/>
        </w:rPr>
        <w:t xml:space="preserve"> </w:t>
      </w:r>
      <w:r w:rsidRPr="00436745">
        <w:rPr>
          <w:rFonts w:asciiTheme="minorHAnsi" w:hAnsiTheme="minorHAnsi"/>
        </w:rPr>
        <w:t>of October 2023</w:t>
      </w:r>
      <w:r w:rsidR="008B68F4">
        <w:rPr>
          <w:rFonts w:asciiTheme="minorHAnsi" w:hAnsiTheme="minorHAnsi"/>
        </w:rPr>
        <w:t>.</w:t>
      </w:r>
      <w:r w:rsidR="004C597F">
        <w:rPr>
          <w:rFonts w:asciiTheme="minorHAnsi" w:hAnsiTheme="minorHAnsi"/>
        </w:rPr>
        <w:t xml:space="preserve"> </w:t>
      </w:r>
      <w:r w:rsidR="008B68F4">
        <w:rPr>
          <w:rFonts w:asciiTheme="minorHAnsi" w:hAnsiTheme="minorHAnsi"/>
        </w:rPr>
        <w:t>T</w:t>
      </w:r>
      <w:r w:rsidR="004C597F">
        <w:rPr>
          <w:rFonts w:asciiTheme="minorHAnsi" w:hAnsiTheme="minorHAnsi"/>
        </w:rPr>
        <w:t xml:space="preserve">he </w:t>
      </w:r>
      <w:r w:rsidR="00AE3AF6">
        <w:rPr>
          <w:rFonts w:asciiTheme="minorHAnsi" w:hAnsiTheme="minorHAnsi"/>
        </w:rPr>
        <w:t xml:space="preserve">Applicant states that the </w:t>
      </w:r>
      <w:r w:rsidRPr="00436745">
        <w:rPr>
          <w:rFonts w:asciiTheme="minorHAnsi" w:hAnsiTheme="minorHAnsi"/>
        </w:rPr>
        <w:t xml:space="preserve">virtual forums offered patients and families the opportunity to learn more about the Proposed Project and the Applicant’s vision for the future of cancer care. </w:t>
      </w:r>
      <w:r w:rsidR="005D4621">
        <w:rPr>
          <w:rFonts w:asciiTheme="minorHAnsi" w:hAnsiTheme="minorHAnsi"/>
        </w:rPr>
        <w:t>There were 269 attendees for the October 16</w:t>
      </w:r>
      <w:r w:rsidR="005D4621" w:rsidRPr="005D4621">
        <w:rPr>
          <w:rFonts w:asciiTheme="minorHAnsi" w:hAnsiTheme="minorHAnsi"/>
          <w:vertAlign w:val="superscript"/>
        </w:rPr>
        <w:t>th</w:t>
      </w:r>
      <w:r w:rsidR="005D4621">
        <w:rPr>
          <w:rFonts w:asciiTheme="minorHAnsi" w:hAnsiTheme="minorHAnsi"/>
        </w:rPr>
        <w:t xml:space="preserve"> forum, 170 </w:t>
      </w:r>
      <w:r w:rsidR="004551B9">
        <w:rPr>
          <w:rFonts w:asciiTheme="minorHAnsi" w:hAnsiTheme="minorHAnsi"/>
        </w:rPr>
        <w:t xml:space="preserve">attendees </w:t>
      </w:r>
      <w:r w:rsidR="005D4621">
        <w:rPr>
          <w:rFonts w:asciiTheme="minorHAnsi" w:hAnsiTheme="minorHAnsi"/>
        </w:rPr>
        <w:t>for the October 17</w:t>
      </w:r>
      <w:r w:rsidR="005D4621" w:rsidRPr="005D4621">
        <w:rPr>
          <w:rFonts w:asciiTheme="minorHAnsi" w:hAnsiTheme="minorHAnsi"/>
          <w:vertAlign w:val="superscript"/>
        </w:rPr>
        <w:t>th</w:t>
      </w:r>
      <w:r w:rsidR="005D4621">
        <w:rPr>
          <w:rFonts w:asciiTheme="minorHAnsi" w:hAnsiTheme="minorHAnsi"/>
        </w:rPr>
        <w:t xml:space="preserve"> forum, and 135 </w:t>
      </w:r>
      <w:r w:rsidR="004551B9">
        <w:rPr>
          <w:rFonts w:asciiTheme="minorHAnsi" w:hAnsiTheme="minorHAnsi"/>
        </w:rPr>
        <w:t xml:space="preserve">attendees </w:t>
      </w:r>
      <w:r w:rsidR="005D4621">
        <w:rPr>
          <w:rFonts w:asciiTheme="minorHAnsi" w:hAnsiTheme="minorHAnsi"/>
        </w:rPr>
        <w:t>for the October 18</w:t>
      </w:r>
      <w:r w:rsidR="005D4621" w:rsidRPr="005D4621">
        <w:rPr>
          <w:rFonts w:asciiTheme="minorHAnsi" w:hAnsiTheme="minorHAnsi"/>
          <w:vertAlign w:val="superscript"/>
        </w:rPr>
        <w:t>th</w:t>
      </w:r>
      <w:r w:rsidR="005D4621">
        <w:rPr>
          <w:rFonts w:asciiTheme="minorHAnsi" w:hAnsiTheme="minorHAnsi"/>
        </w:rPr>
        <w:t xml:space="preserve"> forum. </w:t>
      </w:r>
      <w:r w:rsidRPr="00436745">
        <w:rPr>
          <w:rFonts w:asciiTheme="minorHAnsi" w:hAnsiTheme="minorHAnsi"/>
        </w:rPr>
        <w:t>The Applicant sent</w:t>
      </w:r>
      <w:r w:rsidR="008E79D7">
        <w:rPr>
          <w:rFonts w:asciiTheme="minorHAnsi" w:hAnsiTheme="minorHAnsi"/>
        </w:rPr>
        <w:t xml:space="preserve"> current patients</w:t>
      </w:r>
      <w:r w:rsidRPr="00436745">
        <w:rPr>
          <w:rFonts w:asciiTheme="minorHAnsi" w:hAnsiTheme="minorHAnsi"/>
        </w:rPr>
        <w:t xml:space="preserve"> invitations to the forums. </w:t>
      </w:r>
      <w:r w:rsidR="008E79D7">
        <w:rPr>
          <w:rFonts w:asciiTheme="minorHAnsi" w:hAnsiTheme="minorHAnsi"/>
        </w:rPr>
        <w:t>Forum p</w:t>
      </w:r>
      <w:r w:rsidRPr="00436745">
        <w:rPr>
          <w:rFonts w:asciiTheme="minorHAnsi" w:hAnsiTheme="minorHAnsi"/>
        </w:rPr>
        <w:t>articipants were able to submit questions in advance of the forums as well as submit questions anonymously during the event.</w:t>
      </w:r>
    </w:p>
    <w:p w14:paraId="5AE3D5F2" w14:textId="77777777" w:rsidR="00436745" w:rsidRDefault="00436745" w:rsidP="00BA2054">
      <w:pPr>
        <w:pStyle w:val="BodyText"/>
        <w:rPr>
          <w:rFonts w:asciiTheme="minorHAnsi" w:hAnsiTheme="minorHAnsi"/>
          <w:b/>
          <w:bCs/>
        </w:rPr>
      </w:pPr>
    </w:p>
    <w:p w14:paraId="7F11B431" w14:textId="584B7645" w:rsidR="00436745" w:rsidRDefault="00436745" w:rsidP="00BA2054">
      <w:pPr>
        <w:pStyle w:val="BodyText"/>
        <w:rPr>
          <w:rFonts w:asciiTheme="minorHAnsi" w:hAnsiTheme="minorHAnsi"/>
        </w:rPr>
      </w:pPr>
      <w:r w:rsidRPr="00436745">
        <w:rPr>
          <w:rFonts w:asciiTheme="minorHAnsi" w:hAnsiTheme="minorHAnsi"/>
          <w:b/>
          <w:bCs/>
        </w:rPr>
        <w:t>Government Stakeholders</w:t>
      </w:r>
      <w:r w:rsidRPr="00436745">
        <w:rPr>
          <w:rFonts w:asciiTheme="minorHAnsi" w:hAnsiTheme="minorHAnsi"/>
        </w:rPr>
        <w:t xml:space="preserve">. The Applicant states that it </w:t>
      </w:r>
      <w:r w:rsidR="001751D8">
        <w:rPr>
          <w:rFonts w:asciiTheme="minorHAnsi" w:hAnsiTheme="minorHAnsi"/>
        </w:rPr>
        <w:t>met with</w:t>
      </w:r>
      <w:r w:rsidRPr="00436745">
        <w:rPr>
          <w:rFonts w:asciiTheme="minorHAnsi" w:hAnsiTheme="minorHAnsi"/>
        </w:rPr>
        <w:t xml:space="preserve"> government stakeholders prior to and</w:t>
      </w:r>
      <w:r w:rsidR="001751D8">
        <w:rPr>
          <w:rFonts w:asciiTheme="minorHAnsi" w:hAnsiTheme="minorHAnsi"/>
        </w:rPr>
        <w:t xml:space="preserve"> </w:t>
      </w:r>
      <w:r w:rsidRPr="00436745">
        <w:rPr>
          <w:rFonts w:asciiTheme="minorHAnsi" w:hAnsiTheme="minorHAnsi"/>
        </w:rPr>
        <w:t xml:space="preserve">will meet with </w:t>
      </w:r>
      <w:r w:rsidR="001751D8">
        <w:rPr>
          <w:rFonts w:asciiTheme="minorHAnsi" w:hAnsiTheme="minorHAnsi"/>
        </w:rPr>
        <w:t>them</w:t>
      </w:r>
      <w:r w:rsidRPr="00436745">
        <w:rPr>
          <w:rFonts w:asciiTheme="minorHAnsi" w:hAnsiTheme="minorHAnsi"/>
        </w:rPr>
        <w:t xml:space="preserve"> after the filing of the Application, including individuals in the Governor’s Office, Lieutenant Governor’s Office, Attorney General’s Office, Executive Office of Health and Human Services, Department of Public Health, Health Policy Commission, elected individuals representing the City of Boston and the Commonwealth, </w:t>
      </w:r>
      <w:r w:rsidR="00457681">
        <w:rPr>
          <w:rFonts w:asciiTheme="minorHAnsi" w:hAnsiTheme="minorHAnsi"/>
        </w:rPr>
        <w:t>and</w:t>
      </w:r>
      <w:r w:rsidRPr="00436745">
        <w:rPr>
          <w:rFonts w:asciiTheme="minorHAnsi" w:hAnsiTheme="minorHAnsi"/>
        </w:rPr>
        <w:t xml:space="preserve"> individuals at the Department of Health and Human Services, Centers for Medicare and Medicaid Services.</w:t>
      </w:r>
    </w:p>
    <w:p w14:paraId="1925E5DE" w14:textId="77777777" w:rsidR="00436745" w:rsidRDefault="00436745" w:rsidP="00BA2054">
      <w:pPr>
        <w:pStyle w:val="BodyText"/>
        <w:rPr>
          <w:rFonts w:asciiTheme="minorHAnsi" w:hAnsiTheme="minorHAnsi"/>
        </w:rPr>
      </w:pPr>
    </w:p>
    <w:p w14:paraId="6F00E125" w14:textId="27FD3EC9" w:rsidR="005D4621" w:rsidRDefault="005D4621" w:rsidP="00BA2054">
      <w:pPr>
        <w:pStyle w:val="BodyText"/>
        <w:rPr>
          <w:rFonts w:asciiTheme="minorHAnsi" w:hAnsiTheme="minorHAnsi"/>
        </w:rPr>
      </w:pPr>
      <w:r>
        <w:rPr>
          <w:rFonts w:asciiTheme="minorHAnsi" w:hAnsiTheme="minorHAnsi"/>
        </w:rPr>
        <w:t xml:space="preserve">The Applicant states that it received positive feedback during the community engagement </w:t>
      </w:r>
      <w:r w:rsidR="008E79D7">
        <w:rPr>
          <w:rFonts w:asciiTheme="minorHAnsi" w:hAnsiTheme="minorHAnsi"/>
        </w:rPr>
        <w:t xml:space="preserve">process </w:t>
      </w:r>
      <w:r>
        <w:rPr>
          <w:rFonts w:asciiTheme="minorHAnsi" w:hAnsiTheme="minorHAnsi"/>
        </w:rPr>
        <w:t>and that patient question</w:t>
      </w:r>
      <w:r w:rsidR="00211FE3">
        <w:rPr>
          <w:rFonts w:asciiTheme="minorHAnsi" w:hAnsiTheme="minorHAnsi"/>
        </w:rPr>
        <w:t>s</w:t>
      </w:r>
      <w:r>
        <w:rPr>
          <w:rFonts w:asciiTheme="minorHAnsi" w:hAnsiTheme="minorHAnsi"/>
        </w:rPr>
        <w:t xml:space="preserve"> focused on the following recurring themes:</w:t>
      </w:r>
    </w:p>
    <w:p w14:paraId="57EDBFC3" w14:textId="08B3F647" w:rsidR="005D4621" w:rsidRDefault="00FA5283" w:rsidP="00F91720">
      <w:pPr>
        <w:pStyle w:val="BodyText"/>
        <w:numPr>
          <w:ilvl w:val="0"/>
          <w:numId w:val="15"/>
        </w:numPr>
        <w:rPr>
          <w:rFonts w:asciiTheme="minorHAnsi" w:hAnsiTheme="minorHAnsi"/>
        </w:rPr>
      </w:pPr>
      <w:r>
        <w:rPr>
          <w:rFonts w:asciiTheme="minorHAnsi" w:hAnsiTheme="minorHAnsi"/>
        </w:rPr>
        <w:t>t</w:t>
      </w:r>
      <w:r w:rsidR="00211FE3">
        <w:rPr>
          <w:rFonts w:asciiTheme="minorHAnsi" w:hAnsiTheme="minorHAnsi"/>
        </w:rPr>
        <w:t xml:space="preserve">he </w:t>
      </w:r>
      <w:r w:rsidR="005D4621" w:rsidRPr="005D4621">
        <w:rPr>
          <w:rFonts w:asciiTheme="minorHAnsi" w:hAnsiTheme="minorHAnsi"/>
        </w:rPr>
        <w:t xml:space="preserve">impact of the </w:t>
      </w:r>
      <w:r w:rsidR="00211FE3">
        <w:rPr>
          <w:rFonts w:asciiTheme="minorHAnsi" w:hAnsiTheme="minorHAnsi"/>
        </w:rPr>
        <w:t>proposed hospital</w:t>
      </w:r>
      <w:r w:rsidR="005D4621" w:rsidRPr="005D4621">
        <w:rPr>
          <w:rFonts w:asciiTheme="minorHAnsi" w:hAnsiTheme="minorHAnsi"/>
        </w:rPr>
        <w:t xml:space="preserve"> on the patient experience over the next five years</w:t>
      </w:r>
      <w:r w:rsidR="00E73558">
        <w:rPr>
          <w:rFonts w:asciiTheme="minorHAnsi" w:hAnsiTheme="minorHAnsi"/>
        </w:rPr>
        <w:t>, such as the</w:t>
      </w:r>
      <w:r w:rsidR="005D4621" w:rsidRPr="005D4621">
        <w:rPr>
          <w:rFonts w:asciiTheme="minorHAnsi" w:hAnsiTheme="minorHAnsi"/>
        </w:rPr>
        <w:t xml:space="preserve"> impact </w:t>
      </w:r>
      <w:r w:rsidR="00E73558">
        <w:rPr>
          <w:rFonts w:asciiTheme="minorHAnsi" w:hAnsiTheme="minorHAnsi"/>
        </w:rPr>
        <w:t>the Proposed Project</w:t>
      </w:r>
      <w:r w:rsidR="005D4621" w:rsidRPr="005D4621">
        <w:rPr>
          <w:rFonts w:asciiTheme="minorHAnsi" w:hAnsiTheme="minorHAnsi"/>
        </w:rPr>
        <w:t xml:space="preserve"> will have on care team structure, coordination of care, patient portal access, urgent and emergent care, and screening services</w:t>
      </w:r>
      <w:r w:rsidR="00E73558">
        <w:rPr>
          <w:rFonts w:asciiTheme="minorHAnsi" w:hAnsiTheme="minorHAnsi"/>
        </w:rPr>
        <w:t>;</w:t>
      </w:r>
    </w:p>
    <w:p w14:paraId="73503648" w14:textId="11628349" w:rsidR="00955D69" w:rsidRDefault="00FA5283" w:rsidP="00F91720">
      <w:pPr>
        <w:pStyle w:val="BodyText"/>
        <w:numPr>
          <w:ilvl w:val="0"/>
          <w:numId w:val="15"/>
        </w:numPr>
        <w:rPr>
          <w:rFonts w:asciiTheme="minorHAnsi" w:hAnsiTheme="minorHAnsi"/>
        </w:rPr>
      </w:pPr>
      <w:r>
        <w:rPr>
          <w:rFonts w:asciiTheme="minorHAnsi" w:hAnsiTheme="minorHAnsi"/>
        </w:rPr>
        <w:t>t</w:t>
      </w:r>
      <w:r w:rsidR="00211FE3">
        <w:rPr>
          <w:rFonts w:asciiTheme="minorHAnsi" w:hAnsiTheme="minorHAnsi"/>
        </w:rPr>
        <w:t xml:space="preserve">he </w:t>
      </w:r>
      <w:r w:rsidR="005D4621" w:rsidRPr="005D4621">
        <w:rPr>
          <w:rFonts w:asciiTheme="minorHAnsi" w:hAnsiTheme="minorHAnsi"/>
        </w:rPr>
        <w:t xml:space="preserve">financial impact </w:t>
      </w:r>
      <w:r w:rsidR="00211FE3">
        <w:rPr>
          <w:rFonts w:asciiTheme="minorHAnsi" w:hAnsiTheme="minorHAnsi"/>
        </w:rPr>
        <w:t xml:space="preserve">of the proposed hospital </w:t>
      </w:r>
      <w:r w:rsidR="005D4621" w:rsidRPr="005D4621">
        <w:rPr>
          <w:rFonts w:asciiTheme="minorHAnsi" w:hAnsiTheme="minorHAnsi"/>
        </w:rPr>
        <w:t>on patients</w:t>
      </w:r>
      <w:r w:rsidR="00E73558">
        <w:rPr>
          <w:rFonts w:asciiTheme="minorHAnsi" w:hAnsiTheme="minorHAnsi"/>
        </w:rPr>
        <w:t>;</w:t>
      </w:r>
      <w:r w:rsidR="005D4621" w:rsidRPr="005D4621">
        <w:rPr>
          <w:rFonts w:asciiTheme="minorHAnsi" w:hAnsiTheme="minorHAnsi"/>
        </w:rPr>
        <w:t xml:space="preserve"> </w:t>
      </w:r>
    </w:p>
    <w:p w14:paraId="3AD31AAC" w14:textId="1566BF27" w:rsidR="005D4621" w:rsidRPr="00955D69" w:rsidRDefault="00FA5283" w:rsidP="00F91720">
      <w:pPr>
        <w:pStyle w:val="BodyText"/>
        <w:numPr>
          <w:ilvl w:val="0"/>
          <w:numId w:val="15"/>
        </w:numPr>
        <w:rPr>
          <w:rFonts w:asciiTheme="minorHAnsi" w:hAnsiTheme="minorHAnsi"/>
        </w:rPr>
      </w:pPr>
      <w:r>
        <w:rPr>
          <w:rFonts w:asciiTheme="minorHAnsi" w:hAnsiTheme="minorHAnsi"/>
        </w:rPr>
        <w:t>t</w:t>
      </w:r>
      <w:r w:rsidR="00955D69">
        <w:rPr>
          <w:rFonts w:asciiTheme="minorHAnsi" w:hAnsiTheme="minorHAnsi"/>
        </w:rPr>
        <w:t xml:space="preserve">he </w:t>
      </w:r>
      <w:r w:rsidR="005D4621" w:rsidRPr="00955D69">
        <w:rPr>
          <w:rFonts w:asciiTheme="minorHAnsi" w:hAnsiTheme="minorHAnsi"/>
        </w:rPr>
        <w:t xml:space="preserve">expenses associated with </w:t>
      </w:r>
      <w:r w:rsidR="00955D69">
        <w:rPr>
          <w:rFonts w:asciiTheme="minorHAnsi" w:hAnsiTheme="minorHAnsi"/>
        </w:rPr>
        <w:t>construction of the proposed hospital</w:t>
      </w:r>
      <w:r w:rsidR="00E73558">
        <w:rPr>
          <w:rFonts w:asciiTheme="minorHAnsi" w:hAnsiTheme="minorHAnsi"/>
        </w:rPr>
        <w:t>;</w:t>
      </w:r>
      <w:r w:rsidR="005D4621" w:rsidRPr="00955D69">
        <w:rPr>
          <w:rFonts w:asciiTheme="minorHAnsi" w:hAnsiTheme="minorHAnsi"/>
        </w:rPr>
        <w:t xml:space="preserve"> and </w:t>
      </w:r>
    </w:p>
    <w:p w14:paraId="6D3771E5" w14:textId="63450DC6" w:rsidR="005D4621" w:rsidRDefault="00FA5283" w:rsidP="00F91720">
      <w:pPr>
        <w:pStyle w:val="BodyText"/>
        <w:numPr>
          <w:ilvl w:val="0"/>
          <w:numId w:val="15"/>
        </w:numPr>
        <w:rPr>
          <w:rFonts w:asciiTheme="minorHAnsi" w:hAnsiTheme="minorHAnsi"/>
        </w:rPr>
      </w:pPr>
      <w:r>
        <w:rPr>
          <w:rFonts w:asciiTheme="minorHAnsi" w:hAnsiTheme="minorHAnsi"/>
        </w:rPr>
        <w:t>p</w:t>
      </w:r>
      <w:r w:rsidR="005D4621" w:rsidRPr="005D4621">
        <w:rPr>
          <w:rFonts w:asciiTheme="minorHAnsi" w:hAnsiTheme="minorHAnsi"/>
        </w:rPr>
        <w:t xml:space="preserve">atient/family communications related to the </w:t>
      </w:r>
      <w:r w:rsidR="00955D69">
        <w:rPr>
          <w:rFonts w:asciiTheme="minorHAnsi" w:hAnsiTheme="minorHAnsi"/>
        </w:rPr>
        <w:t>proposed hospital</w:t>
      </w:r>
      <w:r w:rsidR="005D4621" w:rsidRPr="005D4621">
        <w:rPr>
          <w:rFonts w:asciiTheme="minorHAnsi" w:hAnsiTheme="minorHAnsi"/>
        </w:rPr>
        <w:t>.</w:t>
      </w:r>
    </w:p>
    <w:p w14:paraId="23B264D4" w14:textId="77777777" w:rsidR="005D4621" w:rsidRDefault="005D4621" w:rsidP="00BA2054">
      <w:pPr>
        <w:pStyle w:val="BodyText"/>
        <w:rPr>
          <w:rFonts w:asciiTheme="minorHAnsi" w:hAnsiTheme="minorHAnsi"/>
        </w:rPr>
      </w:pPr>
    </w:p>
    <w:p w14:paraId="1C1559F4" w14:textId="15778937" w:rsidR="000C1090" w:rsidRPr="00266B2A" w:rsidRDefault="00266B2A" w:rsidP="00BA2054">
      <w:pPr>
        <w:pStyle w:val="BodyText"/>
        <w:rPr>
          <w:rFonts w:asciiTheme="minorHAnsi" w:hAnsiTheme="minorHAnsi"/>
        </w:rPr>
      </w:pPr>
      <w:r w:rsidRPr="00266B2A">
        <w:rPr>
          <w:rFonts w:asciiTheme="minorHAnsi" w:hAnsiTheme="minorHAnsi"/>
        </w:rPr>
        <w:t xml:space="preserve">The Applicant submitted the presentation materials from the APFAC meetings and the virtual forums. </w:t>
      </w:r>
    </w:p>
    <w:p w14:paraId="6A54B847" w14:textId="77777777" w:rsidR="00266B2A" w:rsidRDefault="00266B2A" w:rsidP="00BA2054">
      <w:pPr>
        <w:pStyle w:val="BodyText"/>
        <w:rPr>
          <w:rFonts w:asciiTheme="minorHAnsi" w:hAnsiTheme="minorHAnsi"/>
          <w:sz w:val="22"/>
        </w:rPr>
      </w:pPr>
    </w:p>
    <w:p w14:paraId="1B7CB00F" w14:textId="0E446AC9" w:rsidR="003A7B86" w:rsidRDefault="00A4110F" w:rsidP="00BA2054">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BA2054">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3C066104" w14:textId="395FC6AB" w:rsidR="00B447F3" w:rsidRDefault="003346BB" w:rsidP="00BA2054">
      <w:pPr>
        <w:rPr>
          <w:rFonts w:asciiTheme="minorHAnsi" w:hAnsiTheme="minorHAnsi"/>
          <w:szCs w:val="24"/>
        </w:rPr>
      </w:pPr>
      <w:r w:rsidRPr="004D5540">
        <w:rPr>
          <w:rFonts w:asciiTheme="minorHAnsi" w:hAnsiTheme="minorHAnsi"/>
          <w:szCs w:val="24"/>
        </w:rPr>
        <w:lastRenderedPageBreak/>
        <w:t>the Applicant has met the required community engagement standard of Consult</w:t>
      </w:r>
      <w:r w:rsidR="003A7B86">
        <w:rPr>
          <w:rFonts w:asciiTheme="minorHAnsi" w:hAnsiTheme="minorHAnsi"/>
          <w:szCs w:val="24"/>
        </w:rPr>
        <w:t xml:space="preserve"> </w:t>
      </w:r>
      <w:r w:rsidRPr="004D5540">
        <w:rPr>
          <w:rFonts w:asciiTheme="minorHAnsi" w:hAnsiTheme="minorHAnsi"/>
          <w:szCs w:val="24"/>
        </w:rPr>
        <w:t>in the planning phase of the Proposed Project.</w:t>
      </w:r>
      <w:r w:rsidR="00455AF0">
        <w:rPr>
          <w:rFonts w:asciiTheme="minorHAnsi" w:hAnsiTheme="minorHAnsi"/>
          <w:szCs w:val="24"/>
        </w:rPr>
        <w:t xml:space="preserve"> </w:t>
      </w:r>
      <w:r w:rsidR="008D2FEF" w:rsidRPr="008D2FEF">
        <w:rPr>
          <w:rFonts w:asciiTheme="minorHAnsi" w:hAnsiTheme="minorHAnsi"/>
          <w:szCs w:val="24"/>
        </w:rPr>
        <w:t>As a result, Staff finds that the Proposed Project meets the requirements of Factor 1e.</w:t>
      </w:r>
    </w:p>
    <w:p w14:paraId="518AF1EA" w14:textId="77777777" w:rsidR="00FB457F" w:rsidRDefault="00FB457F" w:rsidP="004D5540">
      <w:pPr>
        <w:rPr>
          <w:rFonts w:asciiTheme="minorHAnsi" w:hAnsiTheme="minorHAnsi"/>
          <w:szCs w:val="24"/>
        </w:rPr>
      </w:pPr>
    </w:p>
    <w:p w14:paraId="1AC2E3C5" w14:textId="77777777" w:rsidR="00B447F3" w:rsidRPr="00771386" w:rsidRDefault="00A4110F" w:rsidP="00771386">
      <w:pPr>
        <w:pStyle w:val="Heading1"/>
        <w:ind w:left="0"/>
        <w:rPr>
          <w:color w:val="1F497D" w:themeColor="text2"/>
        </w:rPr>
      </w:pPr>
      <w:bookmarkStart w:id="19" w:name="Factor_1:_f)_Competition_on_price,_total"/>
      <w:bookmarkStart w:id="20" w:name="_Toc190780587"/>
      <w:bookmarkEnd w:id="19"/>
      <w:r w:rsidRPr="00771386">
        <w:rPr>
          <w:color w:val="1F497D" w:themeColor="text2"/>
        </w:rPr>
        <w:t>Factor 1: f) Competition on price, total medical expenses (TME), costs and other measures of health care spending</w:t>
      </w:r>
      <w:bookmarkEnd w:id="20"/>
    </w:p>
    <w:p w14:paraId="1266BEFA" w14:textId="77777777" w:rsidR="00FC525E" w:rsidRDefault="00FC525E" w:rsidP="009A0C61">
      <w:pPr>
        <w:rPr>
          <w:rFonts w:asciiTheme="minorHAnsi" w:hAnsiTheme="minorHAnsi"/>
          <w:szCs w:val="24"/>
        </w:rPr>
      </w:pPr>
    </w:p>
    <w:p w14:paraId="51F03B8F" w14:textId="5B791D1A" w:rsidR="001307BE" w:rsidRPr="007C7BEB" w:rsidRDefault="00B82FFA" w:rsidP="5AC4FF5C">
      <w:r w:rsidRPr="62C1B44A">
        <w:rPr>
          <w:rFonts w:asciiTheme="minorHAnsi" w:hAnsiTheme="minorHAnsi"/>
        </w:rPr>
        <w:t xml:space="preserve">The Applicant states that </w:t>
      </w:r>
      <w:r w:rsidR="00E312A3" w:rsidRPr="62C1B44A">
        <w:rPr>
          <w:rFonts w:asciiTheme="minorHAnsi" w:hAnsiTheme="minorHAnsi"/>
        </w:rPr>
        <w:t>it anticipates that the</w:t>
      </w:r>
      <w:r w:rsidRPr="62C1B44A">
        <w:rPr>
          <w:rFonts w:asciiTheme="minorHAnsi" w:hAnsiTheme="minorHAnsi"/>
        </w:rPr>
        <w:t xml:space="preserve"> Proposed Project will have a </w:t>
      </w:r>
      <w:r w:rsidR="00251666" w:rsidRPr="62C1B44A">
        <w:rPr>
          <w:rFonts w:asciiTheme="minorHAnsi" w:hAnsiTheme="minorHAnsi"/>
        </w:rPr>
        <w:t>“</w:t>
      </w:r>
      <w:r w:rsidRPr="62C1B44A">
        <w:rPr>
          <w:rFonts w:asciiTheme="minorHAnsi" w:hAnsiTheme="minorHAnsi"/>
        </w:rPr>
        <w:t>pro-competitive impact on the health care market in the Commonwealth</w:t>
      </w:r>
      <w:r w:rsidR="00C42325" w:rsidRPr="62C1B44A">
        <w:rPr>
          <w:rFonts w:asciiTheme="minorHAnsi" w:hAnsiTheme="minorHAnsi"/>
        </w:rPr>
        <w:t>”</w:t>
      </w:r>
      <w:r w:rsidR="00901774" w:rsidRPr="62C1B44A">
        <w:rPr>
          <w:rFonts w:asciiTheme="minorHAnsi" w:hAnsiTheme="minorHAnsi"/>
        </w:rPr>
        <w:t xml:space="preserve"> because the Proposed Project, </w:t>
      </w:r>
      <w:r w:rsidR="00537116" w:rsidRPr="62C1B44A">
        <w:rPr>
          <w:rFonts w:asciiTheme="minorHAnsi" w:hAnsiTheme="minorHAnsi"/>
        </w:rPr>
        <w:t>and</w:t>
      </w:r>
      <w:r w:rsidR="00901774" w:rsidRPr="62C1B44A">
        <w:rPr>
          <w:rFonts w:asciiTheme="minorHAnsi" w:hAnsiTheme="minorHAnsi"/>
        </w:rPr>
        <w:t xml:space="preserve"> the</w:t>
      </w:r>
      <w:r w:rsidR="005979AA" w:rsidRPr="62C1B44A">
        <w:rPr>
          <w:rFonts w:asciiTheme="minorHAnsi" w:hAnsiTheme="minorHAnsi"/>
        </w:rPr>
        <w:t xml:space="preserve"> </w:t>
      </w:r>
      <w:r w:rsidR="00901774" w:rsidRPr="62C1B44A">
        <w:rPr>
          <w:rFonts w:asciiTheme="minorHAnsi" w:hAnsiTheme="minorHAnsi"/>
        </w:rPr>
        <w:t xml:space="preserve">Applicant’s </w:t>
      </w:r>
      <w:r w:rsidR="001A56D0" w:rsidRPr="62C1B44A">
        <w:rPr>
          <w:rFonts w:asciiTheme="minorHAnsi" w:hAnsiTheme="minorHAnsi"/>
        </w:rPr>
        <w:t xml:space="preserve">proposed </w:t>
      </w:r>
      <w:r w:rsidR="00C90529" w:rsidRPr="62C1B44A">
        <w:rPr>
          <w:rFonts w:asciiTheme="minorHAnsi" w:hAnsiTheme="minorHAnsi"/>
        </w:rPr>
        <w:t xml:space="preserve">clinical </w:t>
      </w:r>
      <w:r w:rsidR="00CD3D1E" w:rsidRPr="62C1B44A">
        <w:rPr>
          <w:rFonts w:asciiTheme="minorHAnsi" w:hAnsiTheme="minorHAnsi"/>
        </w:rPr>
        <w:t>collaboration</w:t>
      </w:r>
      <w:r w:rsidR="00901774" w:rsidRPr="62C1B44A">
        <w:rPr>
          <w:rFonts w:asciiTheme="minorHAnsi" w:hAnsiTheme="minorHAnsi"/>
        </w:rPr>
        <w:t xml:space="preserve"> with BIDMC, w</w:t>
      </w:r>
      <w:r w:rsidR="00955E96" w:rsidRPr="62C1B44A">
        <w:rPr>
          <w:rFonts w:asciiTheme="minorHAnsi" w:hAnsiTheme="minorHAnsi"/>
        </w:rPr>
        <w:t>ill</w:t>
      </w:r>
      <w:r w:rsidR="00901774" w:rsidRPr="62C1B44A">
        <w:rPr>
          <w:rFonts w:asciiTheme="minorHAnsi" w:hAnsiTheme="minorHAnsi"/>
        </w:rPr>
        <w:t xml:space="preserve"> establish the Applicant as independent from any</w:t>
      </w:r>
      <w:r w:rsidR="005979AA" w:rsidRPr="62C1B44A">
        <w:rPr>
          <w:rFonts w:asciiTheme="minorHAnsi" w:hAnsiTheme="minorHAnsi"/>
        </w:rPr>
        <w:t xml:space="preserve"> </w:t>
      </w:r>
      <w:r w:rsidR="00901774" w:rsidRPr="62C1B44A">
        <w:rPr>
          <w:rFonts w:asciiTheme="minorHAnsi" w:hAnsiTheme="minorHAnsi"/>
        </w:rPr>
        <w:t>MG</w:t>
      </w:r>
      <w:r w:rsidR="008E79D7" w:rsidRPr="62C1B44A">
        <w:rPr>
          <w:rFonts w:asciiTheme="minorHAnsi" w:hAnsiTheme="minorHAnsi"/>
        </w:rPr>
        <w:t>B</w:t>
      </w:r>
      <w:r w:rsidR="00901774" w:rsidRPr="62C1B44A">
        <w:rPr>
          <w:rFonts w:asciiTheme="minorHAnsi" w:hAnsiTheme="minorHAnsi"/>
        </w:rPr>
        <w:t xml:space="preserve"> affiliate.</w:t>
      </w:r>
      <w:r w:rsidR="007C7BEB">
        <w:t xml:space="preserve"> </w:t>
      </w:r>
      <w:r w:rsidR="000D1D7F" w:rsidRPr="5AC4FF5C">
        <w:rPr>
          <w:rFonts w:asciiTheme="minorHAnsi" w:hAnsiTheme="minorHAnsi"/>
        </w:rPr>
        <w:t>The Applicant</w:t>
      </w:r>
      <w:r w:rsidR="00D5684A" w:rsidRPr="5AC4FF5C">
        <w:rPr>
          <w:rFonts w:asciiTheme="minorHAnsi" w:hAnsiTheme="minorHAnsi"/>
        </w:rPr>
        <w:t xml:space="preserve"> states that it</w:t>
      </w:r>
      <w:r w:rsidR="000D1D7F" w:rsidRPr="5AC4FF5C">
        <w:rPr>
          <w:rFonts w:asciiTheme="minorHAnsi" w:hAnsiTheme="minorHAnsi"/>
        </w:rPr>
        <w:t xml:space="preserve"> </w:t>
      </w:r>
      <w:r w:rsidR="00A24B09" w:rsidRPr="5AC4FF5C">
        <w:rPr>
          <w:rFonts w:asciiTheme="minorHAnsi" w:hAnsiTheme="minorHAnsi"/>
        </w:rPr>
        <w:t xml:space="preserve">anticipates </w:t>
      </w:r>
      <w:r w:rsidR="00C007E7" w:rsidRPr="5AC4FF5C">
        <w:rPr>
          <w:rFonts w:asciiTheme="minorHAnsi" w:hAnsiTheme="minorHAnsi"/>
        </w:rPr>
        <w:t xml:space="preserve">a significant </w:t>
      </w:r>
      <w:r w:rsidR="009C05AE" w:rsidRPr="5AC4FF5C">
        <w:rPr>
          <w:rFonts w:asciiTheme="minorHAnsi" w:hAnsiTheme="minorHAnsi"/>
        </w:rPr>
        <w:t xml:space="preserve">shift in </w:t>
      </w:r>
      <w:r w:rsidR="00976013" w:rsidRPr="5AC4FF5C">
        <w:rPr>
          <w:rFonts w:asciiTheme="minorHAnsi" w:hAnsiTheme="minorHAnsi"/>
        </w:rPr>
        <w:t xml:space="preserve">volume of cancer care from </w:t>
      </w:r>
      <w:r w:rsidR="00502523" w:rsidRPr="5AC4FF5C">
        <w:rPr>
          <w:rFonts w:asciiTheme="minorHAnsi" w:hAnsiTheme="minorHAnsi"/>
        </w:rPr>
        <w:t xml:space="preserve">higher-priced health sites of care </w:t>
      </w:r>
      <w:r w:rsidR="1AC2E43B" w:rsidRPr="62C1B44A">
        <w:rPr>
          <w:rFonts w:asciiTheme="minorHAnsi" w:hAnsiTheme="minorHAnsi"/>
        </w:rPr>
        <w:t xml:space="preserve">to </w:t>
      </w:r>
      <w:r w:rsidR="00976013" w:rsidRPr="5AC4FF5C">
        <w:rPr>
          <w:rFonts w:asciiTheme="minorHAnsi" w:hAnsiTheme="minorHAnsi"/>
        </w:rPr>
        <w:t>relatively lower-priced</w:t>
      </w:r>
      <w:r w:rsidR="00D541EE" w:rsidRPr="5AC4FF5C">
        <w:rPr>
          <w:rFonts w:asciiTheme="minorHAnsi" w:hAnsiTheme="minorHAnsi"/>
        </w:rPr>
        <w:t xml:space="preserve"> sites of care</w:t>
      </w:r>
      <w:r w:rsidR="00C007E7" w:rsidRPr="5AC4FF5C">
        <w:rPr>
          <w:rFonts w:asciiTheme="minorHAnsi" w:hAnsiTheme="minorHAnsi"/>
        </w:rPr>
        <w:t>.</w:t>
      </w:r>
      <w:r w:rsidR="005D4412" w:rsidRPr="5AC4FF5C">
        <w:rPr>
          <w:rFonts w:asciiTheme="minorHAnsi" w:hAnsiTheme="minorHAnsi"/>
        </w:rPr>
        <w:t xml:space="preserve"> </w:t>
      </w:r>
      <w:r w:rsidR="001A56D0">
        <w:rPr>
          <w:rFonts w:asciiTheme="minorHAnsi" w:hAnsiTheme="minorHAnsi"/>
        </w:rPr>
        <w:t>The Applicant states further that</w:t>
      </w:r>
      <w:r w:rsidR="009C05AE" w:rsidRPr="5AC4FF5C">
        <w:rPr>
          <w:rFonts w:asciiTheme="minorHAnsi" w:hAnsiTheme="minorHAnsi"/>
        </w:rPr>
        <w:t xml:space="preserve"> </w:t>
      </w:r>
      <w:r w:rsidR="005D4412" w:rsidRPr="5AC4FF5C">
        <w:rPr>
          <w:rFonts w:asciiTheme="minorHAnsi" w:hAnsiTheme="minorHAnsi"/>
        </w:rPr>
        <w:t>a</w:t>
      </w:r>
      <w:r w:rsidR="00976013" w:rsidRPr="5AC4FF5C">
        <w:rPr>
          <w:rFonts w:asciiTheme="minorHAnsi" w:hAnsiTheme="minorHAnsi"/>
        </w:rPr>
        <w:t xml:space="preserve"> significant percentage of patients currently receiving medical oncology services at BIDMC</w:t>
      </w:r>
      <w:r w:rsidR="0095430A" w:rsidRPr="5AC4FF5C">
        <w:rPr>
          <w:rFonts w:asciiTheme="minorHAnsi" w:hAnsiTheme="minorHAnsi"/>
        </w:rPr>
        <w:t>,</w:t>
      </w:r>
      <w:r w:rsidR="00976013" w:rsidRPr="5AC4FF5C">
        <w:rPr>
          <w:rFonts w:asciiTheme="minorHAnsi" w:hAnsiTheme="minorHAnsi"/>
        </w:rPr>
        <w:t xml:space="preserve"> </w:t>
      </w:r>
      <w:r w:rsidR="00657077">
        <w:rPr>
          <w:rFonts w:asciiTheme="minorHAnsi" w:hAnsiTheme="minorHAnsi"/>
        </w:rPr>
        <w:t xml:space="preserve">and </w:t>
      </w:r>
      <w:r w:rsidR="00976013" w:rsidRPr="5AC4FF5C">
        <w:rPr>
          <w:rFonts w:asciiTheme="minorHAnsi" w:hAnsiTheme="minorHAnsi"/>
        </w:rPr>
        <w:t>BWH</w:t>
      </w:r>
      <w:r w:rsidR="005D4621" w:rsidRPr="5AC4FF5C">
        <w:rPr>
          <w:rFonts w:asciiTheme="minorHAnsi" w:hAnsiTheme="minorHAnsi"/>
        </w:rPr>
        <w:t xml:space="preserve">, </w:t>
      </w:r>
      <w:r w:rsidR="00537022">
        <w:rPr>
          <w:rFonts w:asciiTheme="minorHAnsi" w:hAnsiTheme="minorHAnsi"/>
        </w:rPr>
        <w:t xml:space="preserve">and </w:t>
      </w:r>
      <w:r w:rsidR="00721EDE" w:rsidRPr="00721EDE">
        <w:rPr>
          <w:rFonts w:asciiTheme="minorHAnsi" w:hAnsiTheme="minorHAnsi"/>
        </w:rPr>
        <w:t>some receiving medical oncology services at MGH</w:t>
      </w:r>
      <w:r w:rsidR="001A56D0">
        <w:rPr>
          <w:rFonts w:asciiTheme="minorHAnsi" w:hAnsiTheme="minorHAnsi"/>
        </w:rPr>
        <w:t>,</w:t>
      </w:r>
      <w:r w:rsidR="0095430A" w:rsidRPr="5AC4FF5C">
        <w:rPr>
          <w:rFonts w:asciiTheme="minorHAnsi" w:hAnsiTheme="minorHAnsi"/>
        </w:rPr>
        <w:t xml:space="preserve"> </w:t>
      </w:r>
      <w:r w:rsidR="00976013" w:rsidRPr="5AC4FF5C">
        <w:rPr>
          <w:rFonts w:asciiTheme="minorHAnsi" w:hAnsiTheme="minorHAnsi"/>
        </w:rPr>
        <w:t>will begin receiving such services from the Applicant</w:t>
      </w:r>
      <w:r w:rsidR="00632CBE" w:rsidRPr="5AC4FF5C">
        <w:rPr>
          <w:rFonts w:asciiTheme="minorHAnsi" w:hAnsiTheme="minorHAnsi"/>
        </w:rPr>
        <w:t>, and a</w:t>
      </w:r>
      <w:r w:rsidR="00976013" w:rsidRPr="5AC4FF5C">
        <w:rPr>
          <w:rFonts w:asciiTheme="minorHAnsi" w:hAnsiTheme="minorHAnsi"/>
        </w:rPr>
        <w:t xml:space="preserve"> significant percentage of patients currently receiving surgical oncology services at BWH</w:t>
      </w:r>
      <w:r w:rsidR="001A56D0">
        <w:rPr>
          <w:rFonts w:asciiTheme="minorHAnsi" w:hAnsiTheme="minorHAnsi"/>
        </w:rPr>
        <w:t xml:space="preserve">, </w:t>
      </w:r>
      <w:r w:rsidR="00721EDE">
        <w:rPr>
          <w:rFonts w:asciiTheme="minorHAnsi" w:hAnsiTheme="minorHAnsi"/>
        </w:rPr>
        <w:t xml:space="preserve">and some receiving </w:t>
      </w:r>
      <w:r w:rsidR="00AE3E63">
        <w:rPr>
          <w:rFonts w:asciiTheme="minorHAnsi" w:hAnsiTheme="minorHAnsi"/>
        </w:rPr>
        <w:t xml:space="preserve">surgical oncology services at </w:t>
      </w:r>
      <w:r w:rsidR="00CC12A1" w:rsidRPr="5AC4FF5C">
        <w:rPr>
          <w:rFonts w:asciiTheme="minorHAnsi" w:hAnsiTheme="minorHAnsi"/>
        </w:rPr>
        <w:t>MGH</w:t>
      </w:r>
      <w:r w:rsidR="005D4621" w:rsidRPr="5AC4FF5C">
        <w:rPr>
          <w:rFonts w:asciiTheme="minorHAnsi" w:hAnsiTheme="minorHAnsi"/>
        </w:rPr>
        <w:t>,</w:t>
      </w:r>
      <w:r w:rsidR="001A56D0">
        <w:rPr>
          <w:rFonts w:asciiTheme="minorHAnsi" w:hAnsiTheme="minorHAnsi"/>
        </w:rPr>
        <w:t xml:space="preserve"> </w:t>
      </w:r>
      <w:r w:rsidR="00976013" w:rsidRPr="5AC4FF5C">
        <w:rPr>
          <w:rFonts w:asciiTheme="minorHAnsi" w:hAnsiTheme="minorHAnsi"/>
        </w:rPr>
        <w:t xml:space="preserve">will begin receiving such services from BIDMC. </w:t>
      </w:r>
    </w:p>
    <w:p w14:paraId="47FD1550" w14:textId="77777777" w:rsidR="001307BE" w:rsidRDefault="001307BE" w:rsidP="5AC4FF5C">
      <w:pPr>
        <w:rPr>
          <w:rFonts w:asciiTheme="minorHAnsi" w:hAnsiTheme="minorHAnsi"/>
        </w:rPr>
      </w:pPr>
    </w:p>
    <w:p w14:paraId="7E1A7A29" w14:textId="505E4716" w:rsidR="006F2111" w:rsidRPr="009C05AE" w:rsidRDefault="005D4621" w:rsidP="5AC4FF5C">
      <w:pPr>
        <w:rPr>
          <w:rFonts w:asciiTheme="minorHAnsi" w:hAnsiTheme="minorHAnsi"/>
        </w:rPr>
      </w:pPr>
      <w:r w:rsidRPr="5AC4FF5C">
        <w:rPr>
          <w:rFonts w:asciiTheme="minorHAnsi" w:hAnsiTheme="minorHAnsi"/>
        </w:rPr>
        <w:t xml:space="preserve">The Applicant states that it expects that a significant portion of patients currently receiving medical oncology services at BWH will begin receiving those services from the Applicant because </w:t>
      </w:r>
      <w:r w:rsidR="009751DE" w:rsidRPr="5AC4FF5C">
        <w:rPr>
          <w:rFonts w:asciiTheme="minorHAnsi" w:hAnsiTheme="minorHAnsi"/>
        </w:rPr>
        <w:t>patient</w:t>
      </w:r>
      <w:r w:rsidR="001C59C3" w:rsidRPr="5AC4FF5C">
        <w:rPr>
          <w:rFonts w:asciiTheme="minorHAnsi" w:hAnsiTheme="minorHAnsi"/>
        </w:rPr>
        <w:t>s</w:t>
      </w:r>
      <w:r w:rsidR="009751DE" w:rsidRPr="5AC4FF5C">
        <w:rPr>
          <w:rFonts w:asciiTheme="minorHAnsi" w:hAnsiTheme="minorHAnsi"/>
        </w:rPr>
        <w:t xml:space="preserve"> currently receiving medical oncology care at Dana-Farber and BWH are all under the care of Dana-Farber medical oncologists and </w:t>
      </w:r>
      <w:r w:rsidR="008E79D7">
        <w:rPr>
          <w:rFonts w:asciiTheme="minorHAnsi" w:hAnsiTheme="minorHAnsi"/>
        </w:rPr>
        <w:t xml:space="preserve">the Applicant expects that </w:t>
      </w:r>
      <w:r w:rsidR="009751DE" w:rsidRPr="5AC4FF5C">
        <w:rPr>
          <w:rFonts w:asciiTheme="minorHAnsi" w:hAnsiTheme="minorHAnsi"/>
        </w:rPr>
        <w:t xml:space="preserve">those patients </w:t>
      </w:r>
      <w:r w:rsidR="008E79D7">
        <w:rPr>
          <w:rFonts w:asciiTheme="minorHAnsi" w:hAnsiTheme="minorHAnsi"/>
        </w:rPr>
        <w:t>will</w:t>
      </w:r>
      <w:r w:rsidR="006E2732">
        <w:rPr>
          <w:rFonts w:asciiTheme="minorHAnsi" w:hAnsiTheme="minorHAnsi"/>
        </w:rPr>
        <w:t xml:space="preserve"> </w:t>
      </w:r>
      <w:r w:rsidR="009751DE" w:rsidRPr="5AC4FF5C">
        <w:rPr>
          <w:rFonts w:asciiTheme="minorHAnsi" w:hAnsiTheme="minorHAnsi"/>
        </w:rPr>
        <w:t>continue to be Dana-Farber patients</w:t>
      </w:r>
      <w:r w:rsidR="008E79D7">
        <w:rPr>
          <w:rFonts w:asciiTheme="minorHAnsi" w:hAnsiTheme="minorHAnsi"/>
        </w:rPr>
        <w:t xml:space="preserve"> when the Applicant’s clinical affiliation with BWH ends</w:t>
      </w:r>
      <w:r w:rsidR="009751DE" w:rsidRPr="5AC4FF5C">
        <w:rPr>
          <w:rFonts w:asciiTheme="minorHAnsi" w:hAnsiTheme="minorHAnsi"/>
        </w:rPr>
        <w:t xml:space="preserve">. </w:t>
      </w:r>
      <w:r w:rsidR="008E79D7">
        <w:rPr>
          <w:rFonts w:asciiTheme="minorHAnsi" w:hAnsiTheme="minorHAnsi"/>
        </w:rPr>
        <w:t>In</w:t>
      </w:r>
      <w:r w:rsidR="009751DE" w:rsidRPr="5AC4FF5C">
        <w:rPr>
          <w:rFonts w:asciiTheme="minorHAnsi" w:hAnsiTheme="minorHAnsi"/>
        </w:rPr>
        <w:t xml:space="preserve"> connection with its collaboration with BIDMC, the Applicant also expects that those patients receiving surgical oncology services at BWH, and some at MGH, will receive surgical services from BIDMC, subject to patient choice. </w:t>
      </w:r>
      <w:r w:rsidR="006F2111" w:rsidRPr="006F2111">
        <w:rPr>
          <w:rFonts w:asciiTheme="minorHAnsi" w:hAnsiTheme="minorHAnsi"/>
        </w:rPr>
        <w:t>The Applicant states that it does not expect to compete with community hospitals for patients because it refers many of these patients back to their community physicians once the specialized care they need at Dana-Farber is complete.</w:t>
      </w:r>
    </w:p>
    <w:p w14:paraId="4CF09207" w14:textId="77777777" w:rsidR="00B24DD7" w:rsidRDefault="00B24DD7" w:rsidP="00BA2054">
      <w:pPr>
        <w:rPr>
          <w:rFonts w:asciiTheme="minorHAnsi" w:hAnsiTheme="minorHAnsi"/>
          <w:szCs w:val="24"/>
        </w:rPr>
      </w:pPr>
    </w:p>
    <w:p w14:paraId="6F4D10CC" w14:textId="16F628C2" w:rsidR="00D56999" w:rsidRDefault="00821D76" w:rsidP="00BA2054">
      <w:pPr>
        <w:rPr>
          <w:rFonts w:asciiTheme="minorHAnsi" w:hAnsiTheme="minorHAnsi"/>
          <w:szCs w:val="24"/>
        </w:rPr>
      </w:pPr>
      <w:r w:rsidRPr="00821D76">
        <w:rPr>
          <w:rFonts w:asciiTheme="minorHAnsi" w:hAnsiTheme="minorHAnsi"/>
          <w:szCs w:val="24"/>
        </w:rPr>
        <w:t xml:space="preserve">The Applicant maintains that because Dana-Farber and BIDMC provide care at </w:t>
      </w:r>
      <w:r w:rsidRPr="001668BA">
        <w:rPr>
          <w:rFonts w:asciiTheme="minorHAnsi" w:hAnsiTheme="minorHAnsi"/>
          <w:szCs w:val="24"/>
        </w:rPr>
        <w:t>lower</w:t>
      </w:r>
      <w:r w:rsidRPr="00821D76">
        <w:rPr>
          <w:rFonts w:asciiTheme="minorHAnsi" w:hAnsiTheme="minorHAnsi"/>
          <w:szCs w:val="24"/>
        </w:rPr>
        <w:t xml:space="preserve"> </w:t>
      </w:r>
      <w:r w:rsidRPr="001668BA">
        <w:rPr>
          <w:rFonts w:asciiTheme="minorHAnsi" w:hAnsiTheme="minorHAnsi"/>
          <w:szCs w:val="24"/>
        </w:rPr>
        <w:t>rates</w:t>
      </w:r>
      <w:r w:rsidRPr="00821D76">
        <w:rPr>
          <w:rFonts w:asciiTheme="minorHAnsi" w:hAnsiTheme="minorHAnsi"/>
          <w:szCs w:val="24"/>
        </w:rPr>
        <w:t xml:space="preserve"> than BWH and MGH, a decrease in total medical expenses (TME) can be anticipated </w:t>
      </w:r>
      <w:r w:rsidR="00A260E3">
        <w:rPr>
          <w:rFonts w:asciiTheme="minorHAnsi" w:hAnsiTheme="minorHAnsi"/>
          <w:szCs w:val="24"/>
        </w:rPr>
        <w:t xml:space="preserve">from the Proposed Project due to the Applicant’s projected </w:t>
      </w:r>
      <w:r w:rsidRPr="00821D76">
        <w:rPr>
          <w:rFonts w:asciiTheme="minorHAnsi" w:hAnsiTheme="minorHAnsi"/>
          <w:szCs w:val="24"/>
        </w:rPr>
        <w:t xml:space="preserve">shifts in sites of care. </w:t>
      </w:r>
      <w:r w:rsidR="009C3C0C">
        <w:rPr>
          <w:rFonts w:asciiTheme="minorHAnsi" w:hAnsiTheme="minorHAnsi"/>
          <w:szCs w:val="24"/>
        </w:rPr>
        <w:t>To demonstrate that the Proposed Project competes on the basis of price, the Applicant compared inpatient relative price (</w:t>
      </w:r>
      <w:r w:rsidR="00D56999">
        <w:rPr>
          <w:rFonts w:asciiTheme="minorHAnsi" w:hAnsiTheme="minorHAnsi"/>
          <w:szCs w:val="24"/>
        </w:rPr>
        <w:t>RP</w:t>
      </w:r>
      <w:r w:rsidR="009C3C0C">
        <w:rPr>
          <w:rFonts w:asciiTheme="minorHAnsi" w:hAnsiTheme="minorHAnsi"/>
          <w:szCs w:val="24"/>
        </w:rPr>
        <w:t xml:space="preserve">) data </w:t>
      </w:r>
      <w:r w:rsidR="005B30D2">
        <w:rPr>
          <w:rFonts w:asciiTheme="minorHAnsi" w:hAnsiTheme="minorHAnsi"/>
          <w:szCs w:val="24"/>
        </w:rPr>
        <w:t xml:space="preserve">for </w:t>
      </w:r>
      <w:r w:rsidR="009C3C0C">
        <w:rPr>
          <w:rFonts w:asciiTheme="minorHAnsi" w:hAnsiTheme="minorHAnsi"/>
          <w:szCs w:val="24"/>
        </w:rPr>
        <w:t xml:space="preserve">MGH, BWH, BIDMC, and Dana-Farber for the three </w:t>
      </w:r>
      <w:r w:rsidR="00A83F0E">
        <w:rPr>
          <w:rFonts w:asciiTheme="minorHAnsi" w:hAnsiTheme="minorHAnsi"/>
          <w:szCs w:val="24"/>
        </w:rPr>
        <w:t>largest local</w:t>
      </w:r>
      <w:r w:rsidR="00D04F10">
        <w:rPr>
          <w:rFonts w:asciiTheme="minorHAnsi" w:hAnsiTheme="minorHAnsi"/>
          <w:szCs w:val="24"/>
        </w:rPr>
        <w:t xml:space="preserve"> payers: </w:t>
      </w:r>
      <w:r w:rsidR="00D04F10" w:rsidRPr="00D04F10">
        <w:rPr>
          <w:rFonts w:asciiTheme="minorHAnsi" w:hAnsiTheme="minorHAnsi"/>
          <w:szCs w:val="24"/>
        </w:rPr>
        <w:t>Blue Cross Blue Shield of Massachusetts, Harvard Pilgrim Health Care and Tufts Health Plan</w:t>
      </w:r>
      <w:r w:rsidR="009C3C0C">
        <w:rPr>
          <w:rFonts w:asciiTheme="minorHAnsi" w:hAnsiTheme="minorHAnsi"/>
          <w:szCs w:val="24"/>
        </w:rPr>
        <w:t xml:space="preserve">. </w:t>
      </w:r>
      <w:r w:rsidR="00A02A74">
        <w:rPr>
          <w:rFonts w:asciiTheme="minorHAnsi" w:hAnsiTheme="minorHAnsi"/>
          <w:szCs w:val="24"/>
        </w:rPr>
        <w:t xml:space="preserve">Table </w:t>
      </w:r>
      <w:r w:rsidR="002D5360">
        <w:rPr>
          <w:rFonts w:asciiTheme="minorHAnsi" w:hAnsiTheme="minorHAnsi"/>
          <w:szCs w:val="24"/>
        </w:rPr>
        <w:t>39</w:t>
      </w:r>
      <w:r w:rsidR="00A02A74">
        <w:rPr>
          <w:rFonts w:asciiTheme="minorHAnsi" w:hAnsiTheme="minorHAnsi"/>
          <w:szCs w:val="24"/>
        </w:rPr>
        <w:t xml:space="preserve"> shows relative price data for the most recent year available</w:t>
      </w:r>
      <w:r w:rsidR="009C3C0C">
        <w:rPr>
          <w:rFonts w:asciiTheme="minorHAnsi" w:hAnsiTheme="minorHAnsi"/>
          <w:szCs w:val="24"/>
        </w:rPr>
        <w:t>.</w:t>
      </w:r>
      <w:r w:rsidR="00D56999">
        <w:rPr>
          <w:rFonts w:asciiTheme="minorHAnsi" w:hAnsiTheme="minorHAnsi"/>
          <w:szCs w:val="24"/>
        </w:rPr>
        <w:t xml:space="preserve"> The Applicant states that RP </w:t>
      </w:r>
      <w:r w:rsidR="00D56999" w:rsidRPr="00D56999">
        <w:rPr>
          <w:rFonts w:asciiTheme="minorHAnsi" w:hAnsiTheme="minorHAnsi"/>
          <w:szCs w:val="24"/>
        </w:rPr>
        <w:t>is a calculated, aggregate measure used to evaluate variation in health care provider prices in a given calendar year.</w:t>
      </w:r>
      <w:r w:rsidR="00D56999" w:rsidRPr="00D56999">
        <w:rPr>
          <w:rFonts w:asciiTheme="minorHAnsi" w:hAnsiTheme="minorHAnsi"/>
          <w:szCs w:val="24"/>
          <w:vertAlign w:val="superscript"/>
        </w:rPr>
        <w:footnoteReference w:id="97"/>
      </w:r>
      <w:r w:rsidR="00D56999" w:rsidRPr="00D56999">
        <w:rPr>
          <w:rFonts w:asciiTheme="minorHAnsi" w:hAnsiTheme="minorHAnsi"/>
          <w:szCs w:val="24"/>
        </w:rPr>
        <w:t xml:space="preserve"> </w:t>
      </w:r>
      <w:r w:rsidR="008F5215">
        <w:rPr>
          <w:rFonts w:asciiTheme="minorHAnsi" w:hAnsiTheme="minorHAnsi"/>
          <w:szCs w:val="24"/>
        </w:rPr>
        <w:t xml:space="preserve"> </w:t>
      </w:r>
    </w:p>
    <w:p w14:paraId="265F66F4" w14:textId="77777777" w:rsidR="00B302FC" w:rsidRDefault="00B302FC" w:rsidP="00BA2054">
      <w:pPr>
        <w:rPr>
          <w:rFonts w:asciiTheme="minorHAnsi" w:hAnsiTheme="minorHAnsi"/>
          <w:szCs w:val="24"/>
        </w:rPr>
      </w:pPr>
    </w:p>
    <w:p w14:paraId="361115C1" w14:textId="721651A1" w:rsidR="003D6C97" w:rsidRDefault="003D6C97" w:rsidP="00AD3791">
      <w:pPr>
        <w:rPr>
          <w:rFonts w:asciiTheme="minorHAnsi" w:hAnsiTheme="minorHAnsi"/>
          <w:b/>
          <w:bCs/>
          <w:szCs w:val="24"/>
        </w:rPr>
      </w:pPr>
      <w:r w:rsidRPr="00905B4D">
        <w:rPr>
          <w:rFonts w:asciiTheme="minorHAnsi" w:hAnsiTheme="minorHAnsi"/>
          <w:b/>
          <w:bCs/>
          <w:szCs w:val="24"/>
          <w:u w:val="single"/>
        </w:rPr>
        <w:t xml:space="preserve">Table </w:t>
      </w:r>
      <w:r w:rsidR="002D5360">
        <w:rPr>
          <w:rFonts w:asciiTheme="minorHAnsi" w:hAnsiTheme="minorHAnsi"/>
          <w:b/>
          <w:bCs/>
          <w:szCs w:val="24"/>
          <w:u w:val="single"/>
        </w:rPr>
        <w:t>39</w:t>
      </w:r>
      <w:r w:rsidRPr="00905B4D">
        <w:rPr>
          <w:rFonts w:asciiTheme="minorHAnsi" w:hAnsiTheme="minorHAnsi"/>
          <w:b/>
          <w:bCs/>
          <w:szCs w:val="24"/>
        </w:rPr>
        <w:t>: Hospital Inpatient Relative Price Data</w:t>
      </w:r>
      <w:r w:rsidR="00905B4D" w:rsidRPr="00905B4D">
        <w:rPr>
          <w:rFonts w:asciiTheme="minorHAnsi" w:hAnsiTheme="minorHAnsi"/>
          <w:b/>
          <w:bCs/>
          <w:szCs w:val="24"/>
        </w:rPr>
        <w:t>, CY202</w:t>
      </w:r>
      <w:r w:rsidR="000835A7">
        <w:rPr>
          <w:rFonts w:asciiTheme="minorHAnsi" w:hAnsiTheme="minorHAnsi"/>
          <w:b/>
          <w:bCs/>
          <w:szCs w:val="24"/>
        </w:rPr>
        <w:t>2</w:t>
      </w:r>
      <w:r w:rsidR="00505C9D">
        <w:rPr>
          <w:rStyle w:val="EndnoteReference"/>
          <w:rFonts w:asciiTheme="minorHAnsi" w:hAnsiTheme="minorHAnsi"/>
          <w:b/>
          <w:bCs/>
          <w:szCs w:val="24"/>
        </w:rPr>
        <w:endnoteReference w:id="55"/>
      </w:r>
      <w:r w:rsidRPr="003D6C97">
        <w:rPr>
          <w:rFonts w:asciiTheme="minorHAnsi" w:hAnsiTheme="minorHAnsi"/>
          <w:b/>
          <w:bCs/>
          <w:szCs w:val="24"/>
        </w:rPr>
        <w:t xml:space="preserve"> </w:t>
      </w:r>
    </w:p>
    <w:tbl>
      <w:tblPr>
        <w:tblStyle w:val="TableGrid"/>
        <w:tblW w:w="0" w:type="auto"/>
        <w:tblLook w:val="04A0" w:firstRow="1" w:lastRow="0" w:firstColumn="1" w:lastColumn="0" w:noHBand="0" w:noVBand="1"/>
      </w:tblPr>
      <w:tblGrid>
        <w:gridCol w:w="1041"/>
        <w:gridCol w:w="2408"/>
        <w:gridCol w:w="1771"/>
        <w:gridCol w:w="1923"/>
      </w:tblGrid>
      <w:tr w:rsidR="00CD2A37" w14:paraId="6BBB1D3A" w14:textId="77777777" w:rsidTr="00384509">
        <w:trPr>
          <w:cantSplit/>
          <w:tblHeader/>
        </w:trPr>
        <w:tc>
          <w:tcPr>
            <w:tcW w:w="0" w:type="auto"/>
            <w:shd w:val="clear" w:color="auto" w:fill="DBE5F1" w:themeFill="accent1" w:themeFillTint="33"/>
          </w:tcPr>
          <w:p w14:paraId="762395B9" w14:textId="75CCCEF2" w:rsidR="00CD2A37" w:rsidRPr="00CD2A37" w:rsidRDefault="00CD2A37" w:rsidP="006231FB">
            <w:pPr>
              <w:jc w:val="center"/>
              <w:rPr>
                <w:rFonts w:asciiTheme="minorHAnsi" w:hAnsiTheme="minorHAnsi"/>
                <w:b/>
                <w:bCs/>
                <w:szCs w:val="24"/>
              </w:rPr>
            </w:pPr>
            <w:r w:rsidRPr="00CD2A37">
              <w:rPr>
                <w:b/>
                <w:bCs/>
              </w:rPr>
              <w:lastRenderedPageBreak/>
              <w:t>Hospital</w:t>
            </w:r>
          </w:p>
        </w:tc>
        <w:tc>
          <w:tcPr>
            <w:tcW w:w="0" w:type="auto"/>
            <w:shd w:val="clear" w:color="auto" w:fill="DBE5F1" w:themeFill="accent1" w:themeFillTint="33"/>
          </w:tcPr>
          <w:p w14:paraId="54577123" w14:textId="48D85E1D" w:rsidR="006231FB" w:rsidRDefault="00CD2A37" w:rsidP="006231FB">
            <w:pPr>
              <w:jc w:val="center"/>
              <w:rPr>
                <w:b/>
                <w:bCs/>
              </w:rPr>
            </w:pPr>
            <w:r w:rsidRPr="00CD2A37">
              <w:rPr>
                <w:b/>
                <w:bCs/>
              </w:rPr>
              <w:t>Blue Cross Blue Shield</w:t>
            </w:r>
          </w:p>
          <w:p w14:paraId="4E33C714" w14:textId="2F9F602B" w:rsidR="00CD2A37" w:rsidRPr="00CD2A37" w:rsidRDefault="00CD2A37" w:rsidP="006231FB">
            <w:pPr>
              <w:jc w:val="center"/>
              <w:rPr>
                <w:rFonts w:asciiTheme="minorHAnsi" w:hAnsiTheme="minorHAnsi"/>
                <w:b/>
                <w:bCs/>
                <w:szCs w:val="24"/>
              </w:rPr>
            </w:pPr>
            <w:r w:rsidRPr="00CD2A37">
              <w:rPr>
                <w:b/>
                <w:bCs/>
              </w:rPr>
              <w:t>of Massachusetts</w:t>
            </w:r>
          </w:p>
        </w:tc>
        <w:tc>
          <w:tcPr>
            <w:tcW w:w="0" w:type="auto"/>
            <w:shd w:val="clear" w:color="auto" w:fill="DBE5F1" w:themeFill="accent1" w:themeFillTint="33"/>
          </w:tcPr>
          <w:p w14:paraId="3A617BD5" w14:textId="10391F1A" w:rsidR="006231FB" w:rsidRDefault="00CD2A37" w:rsidP="006231FB">
            <w:pPr>
              <w:jc w:val="center"/>
              <w:rPr>
                <w:b/>
                <w:bCs/>
              </w:rPr>
            </w:pPr>
            <w:r w:rsidRPr="00CD2A37">
              <w:rPr>
                <w:b/>
                <w:bCs/>
              </w:rPr>
              <w:t>Harvard Pilgrim</w:t>
            </w:r>
          </w:p>
          <w:p w14:paraId="33692142" w14:textId="5579F5CE" w:rsidR="00CD2A37" w:rsidRPr="00CD2A37" w:rsidRDefault="00CD2A37" w:rsidP="006231FB">
            <w:pPr>
              <w:jc w:val="center"/>
              <w:rPr>
                <w:rFonts w:asciiTheme="minorHAnsi" w:hAnsiTheme="minorHAnsi"/>
                <w:b/>
                <w:bCs/>
                <w:szCs w:val="24"/>
              </w:rPr>
            </w:pPr>
            <w:r w:rsidRPr="00CD2A37">
              <w:rPr>
                <w:b/>
                <w:bCs/>
              </w:rPr>
              <w:t xml:space="preserve">Health </w:t>
            </w:r>
            <w:r w:rsidR="009C3757">
              <w:rPr>
                <w:b/>
                <w:bCs/>
              </w:rPr>
              <w:t>Care</w:t>
            </w:r>
          </w:p>
        </w:tc>
        <w:tc>
          <w:tcPr>
            <w:tcW w:w="0" w:type="auto"/>
            <w:shd w:val="clear" w:color="auto" w:fill="DBE5F1" w:themeFill="accent1" w:themeFillTint="33"/>
          </w:tcPr>
          <w:p w14:paraId="632DB665" w14:textId="6F758A8F" w:rsidR="00CD2A37" w:rsidRPr="00CD2A37" w:rsidRDefault="00CD2A37" w:rsidP="006231FB">
            <w:pPr>
              <w:jc w:val="center"/>
              <w:rPr>
                <w:rFonts w:asciiTheme="minorHAnsi" w:hAnsiTheme="minorHAnsi"/>
                <w:b/>
                <w:bCs/>
                <w:szCs w:val="24"/>
              </w:rPr>
            </w:pPr>
            <w:r w:rsidRPr="00CD2A37">
              <w:rPr>
                <w:b/>
                <w:bCs/>
              </w:rPr>
              <w:t>Tufts Health Plan</w:t>
            </w:r>
          </w:p>
        </w:tc>
      </w:tr>
      <w:tr w:rsidR="00CD2A37" w14:paraId="46796DF3" w14:textId="77777777" w:rsidTr="00384509">
        <w:trPr>
          <w:cantSplit/>
        </w:trPr>
        <w:tc>
          <w:tcPr>
            <w:tcW w:w="0" w:type="auto"/>
          </w:tcPr>
          <w:p w14:paraId="045D206D" w14:textId="04ACD1C1" w:rsidR="00CD2A37" w:rsidRDefault="00CD2A37" w:rsidP="00CD2A37">
            <w:pPr>
              <w:rPr>
                <w:rFonts w:asciiTheme="minorHAnsi" w:hAnsiTheme="minorHAnsi"/>
                <w:b/>
                <w:bCs/>
                <w:szCs w:val="24"/>
              </w:rPr>
            </w:pPr>
            <w:r w:rsidRPr="00C94A2C">
              <w:t>MGH</w:t>
            </w:r>
          </w:p>
        </w:tc>
        <w:tc>
          <w:tcPr>
            <w:tcW w:w="0" w:type="auto"/>
          </w:tcPr>
          <w:p w14:paraId="03B1ADDF" w14:textId="4CCE54E1" w:rsidR="00CD2A37" w:rsidRDefault="00CD2A37" w:rsidP="006231FB">
            <w:pPr>
              <w:jc w:val="center"/>
              <w:rPr>
                <w:rFonts w:asciiTheme="minorHAnsi" w:hAnsiTheme="minorHAnsi"/>
                <w:b/>
                <w:bCs/>
                <w:szCs w:val="24"/>
              </w:rPr>
            </w:pPr>
            <w:r w:rsidRPr="00C94A2C">
              <w:t>1.3</w:t>
            </w:r>
            <w:r w:rsidR="00D83498">
              <w:t>0</w:t>
            </w:r>
          </w:p>
        </w:tc>
        <w:tc>
          <w:tcPr>
            <w:tcW w:w="0" w:type="auto"/>
          </w:tcPr>
          <w:p w14:paraId="5268074C" w14:textId="6F340B0C" w:rsidR="00CD2A37" w:rsidRDefault="00CD2A37" w:rsidP="006231FB">
            <w:pPr>
              <w:jc w:val="center"/>
              <w:rPr>
                <w:rFonts w:asciiTheme="minorHAnsi" w:hAnsiTheme="minorHAnsi"/>
                <w:b/>
                <w:bCs/>
                <w:szCs w:val="24"/>
              </w:rPr>
            </w:pPr>
            <w:r w:rsidRPr="00C94A2C">
              <w:t>1.2</w:t>
            </w:r>
            <w:r w:rsidR="00A66561">
              <w:t>9</w:t>
            </w:r>
          </w:p>
        </w:tc>
        <w:tc>
          <w:tcPr>
            <w:tcW w:w="0" w:type="auto"/>
          </w:tcPr>
          <w:p w14:paraId="7BECCCCA" w14:textId="04CCBBF7" w:rsidR="00CD2A37" w:rsidRDefault="00CD2A37" w:rsidP="006231FB">
            <w:pPr>
              <w:jc w:val="center"/>
              <w:rPr>
                <w:rFonts w:asciiTheme="minorHAnsi" w:hAnsiTheme="minorHAnsi"/>
                <w:b/>
                <w:bCs/>
                <w:szCs w:val="24"/>
              </w:rPr>
            </w:pPr>
            <w:r w:rsidRPr="00C94A2C">
              <w:t>1.4</w:t>
            </w:r>
            <w:r w:rsidR="00452638">
              <w:t>7</w:t>
            </w:r>
          </w:p>
        </w:tc>
      </w:tr>
      <w:tr w:rsidR="00CD2A37" w14:paraId="5342946F" w14:textId="77777777" w:rsidTr="00384509">
        <w:trPr>
          <w:cantSplit/>
        </w:trPr>
        <w:tc>
          <w:tcPr>
            <w:tcW w:w="0" w:type="auto"/>
          </w:tcPr>
          <w:p w14:paraId="3B7BD3D3" w14:textId="5A36581D" w:rsidR="00CD2A37" w:rsidRDefault="00CD2A37" w:rsidP="00CD2A37">
            <w:pPr>
              <w:rPr>
                <w:rFonts w:asciiTheme="minorHAnsi" w:hAnsiTheme="minorHAnsi"/>
                <w:b/>
                <w:bCs/>
                <w:szCs w:val="24"/>
              </w:rPr>
            </w:pPr>
            <w:r w:rsidRPr="00C94A2C">
              <w:t>BWH</w:t>
            </w:r>
          </w:p>
        </w:tc>
        <w:tc>
          <w:tcPr>
            <w:tcW w:w="0" w:type="auto"/>
          </w:tcPr>
          <w:p w14:paraId="187A299C" w14:textId="3599FDC7" w:rsidR="00CD2A37" w:rsidRDefault="00CD2A37" w:rsidP="006231FB">
            <w:pPr>
              <w:jc w:val="center"/>
              <w:rPr>
                <w:rFonts w:asciiTheme="minorHAnsi" w:hAnsiTheme="minorHAnsi"/>
                <w:b/>
                <w:bCs/>
                <w:szCs w:val="24"/>
              </w:rPr>
            </w:pPr>
            <w:r w:rsidRPr="00C94A2C">
              <w:t>1.3</w:t>
            </w:r>
            <w:r w:rsidR="00D83498">
              <w:t>0</w:t>
            </w:r>
          </w:p>
        </w:tc>
        <w:tc>
          <w:tcPr>
            <w:tcW w:w="0" w:type="auto"/>
          </w:tcPr>
          <w:p w14:paraId="219B04FD" w14:textId="1D7447FE" w:rsidR="00CD2A37" w:rsidRDefault="00CD2A37" w:rsidP="006231FB">
            <w:pPr>
              <w:jc w:val="center"/>
              <w:rPr>
                <w:rFonts w:asciiTheme="minorHAnsi" w:hAnsiTheme="minorHAnsi"/>
                <w:b/>
                <w:bCs/>
                <w:szCs w:val="24"/>
              </w:rPr>
            </w:pPr>
            <w:r w:rsidRPr="00C94A2C">
              <w:t>1.24</w:t>
            </w:r>
          </w:p>
        </w:tc>
        <w:tc>
          <w:tcPr>
            <w:tcW w:w="0" w:type="auto"/>
          </w:tcPr>
          <w:p w14:paraId="531B240B" w14:textId="6A1562B2" w:rsidR="00CD2A37" w:rsidRDefault="00CD2A37" w:rsidP="006231FB">
            <w:pPr>
              <w:jc w:val="center"/>
              <w:rPr>
                <w:rFonts w:asciiTheme="minorHAnsi" w:hAnsiTheme="minorHAnsi"/>
                <w:b/>
                <w:bCs/>
                <w:szCs w:val="24"/>
              </w:rPr>
            </w:pPr>
            <w:r w:rsidRPr="00C94A2C">
              <w:t>1.</w:t>
            </w:r>
            <w:r w:rsidR="006C61B8">
              <w:t>47</w:t>
            </w:r>
          </w:p>
        </w:tc>
      </w:tr>
      <w:tr w:rsidR="00CD2A37" w14:paraId="6B361172" w14:textId="77777777" w:rsidTr="00384509">
        <w:trPr>
          <w:cantSplit/>
        </w:trPr>
        <w:tc>
          <w:tcPr>
            <w:tcW w:w="0" w:type="auto"/>
          </w:tcPr>
          <w:p w14:paraId="3C454961" w14:textId="791A9836" w:rsidR="00CD2A37" w:rsidRDefault="00CD2A37" w:rsidP="00CD2A37">
            <w:pPr>
              <w:rPr>
                <w:rFonts w:asciiTheme="minorHAnsi" w:hAnsiTheme="minorHAnsi"/>
                <w:b/>
                <w:bCs/>
                <w:szCs w:val="24"/>
              </w:rPr>
            </w:pPr>
            <w:r w:rsidRPr="00C94A2C">
              <w:t>BIDMC</w:t>
            </w:r>
          </w:p>
        </w:tc>
        <w:tc>
          <w:tcPr>
            <w:tcW w:w="0" w:type="auto"/>
          </w:tcPr>
          <w:p w14:paraId="491CED06" w14:textId="046A207E" w:rsidR="00CD2A37" w:rsidRDefault="00CD2A37" w:rsidP="006231FB">
            <w:pPr>
              <w:jc w:val="center"/>
              <w:rPr>
                <w:rFonts w:asciiTheme="minorHAnsi" w:hAnsiTheme="minorHAnsi"/>
                <w:b/>
                <w:bCs/>
                <w:szCs w:val="24"/>
              </w:rPr>
            </w:pPr>
            <w:r w:rsidRPr="00C94A2C">
              <w:t>1.</w:t>
            </w:r>
            <w:r w:rsidR="009369F7">
              <w:t>19</w:t>
            </w:r>
          </w:p>
        </w:tc>
        <w:tc>
          <w:tcPr>
            <w:tcW w:w="0" w:type="auto"/>
          </w:tcPr>
          <w:p w14:paraId="75BDD066" w14:textId="060262B3" w:rsidR="00CD2A37" w:rsidRDefault="00CD2A37" w:rsidP="006231FB">
            <w:pPr>
              <w:jc w:val="center"/>
              <w:rPr>
                <w:rFonts w:asciiTheme="minorHAnsi" w:hAnsiTheme="minorHAnsi"/>
                <w:b/>
                <w:bCs/>
                <w:szCs w:val="24"/>
              </w:rPr>
            </w:pPr>
            <w:r w:rsidRPr="00C94A2C">
              <w:t>1.2</w:t>
            </w:r>
            <w:r w:rsidR="00A66561">
              <w:t>4</w:t>
            </w:r>
          </w:p>
        </w:tc>
        <w:tc>
          <w:tcPr>
            <w:tcW w:w="0" w:type="auto"/>
          </w:tcPr>
          <w:p w14:paraId="0DF0D55D" w14:textId="279C9BD6" w:rsidR="00CD2A37" w:rsidRDefault="00CD2A37" w:rsidP="006231FB">
            <w:pPr>
              <w:jc w:val="center"/>
              <w:rPr>
                <w:rFonts w:asciiTheme="minorHAnsi" w:hAnsiTheme="minorHAnsi"/>
                <w:b/>
                <w:bCs/>
                <w:szCs w:val="24"/>
              </w:rPr>
            </w:pPr>
            <w:r w:rsidRPr="00C94A2C">
              <w:t>1.</w:t>
            </w:r>
            <w:r w:rsidR="001533C1">
              <w:t>19</w:t>
            </w:r>
          </w:p>
        </w:tc>
      </w:tr>
      <w:tr w:rsidR="00CD2A37" w14:paraId="7EEFBAF8" w14:textId="77777777" w:rsidTr="00384509">
        <w:trPr>
          <w:cantSplit/>
        </w:trPr>
        <w:tc>
          <w:tcPr>
            <w:tcW w:w="0" w:type="auto"/>
          </w:tcPr>
          <w:p w14:paraId="14483941" w14:textId="2C70634E" w:rsidR="00CD2A37" w:rsidRDefault="00CD2A37" w:rsidP="00CD2A37">
            <w:pPr>
              <w:rPr>
                <w:rFonts w:asciiTheme="minorHAnsi" w:hAnsiTheme="minorHAnsi"/>
                <w:b/>
                <w:bCs/>
                <w:szCs w:val="24"/>
              </w:rPr>
            </w:pPr>
            <w:r w:rsidRPr="00C94A2C">
              <w:t>DFCI</w:t>
            </w:r>
          </w:p>
        </w:tc>
        <w:tc>
          <w:tcPr>
            <w:tcW w:w="0" w:type="auto"/>
          </w:tcPr>
          <w:p w14:paraId="31C92963" w14:textId="3FE36400" w:rsidR="00CD2A37" w:rsidRDefault="00CD2A37" w:rsidP="006231FB">
            <w:pPr>
              <w:jc w:val="center"/>
              <w:rPr>
                <w:rFonts w:asciiTheme="minorHAnsi" w:hAnsiTheme="minorHAnsi"/>
                <w:b/>
                <w:bCs/>
                <w:szCs w:val="24"/>
              </w:rPr>
            </w:pPr>
            <w:r w:rsidRPr="00C94A2C">
              <w:t>1.1</w:t>
            </w:r>
            <w:r w:rsidR="009369F7">
              <w:t>1</w:t>
            </w:r>
          </w:p>
        </w:tc>
        <w:tc>
          <w:tcPr>
            <w:tcW w:w="0" w:type="auto"/>
          </w:tcPr>
          <w:p w14:paraId="0D458C57" w14:textId="640932D6" w:rsidR="00CD2A37" w:rsidRDefault="00CD2A37" w:rsidP="006231FB">
            <w:pPr>
              <w:jc w:val="center"/>
              <w:rPr>
                <w:rFonts w:asciiTheme="minorHAnsi" w:hAnsiTheme="minorHAnsi"/>
                <w:b/>
                <w:bCs/>
                <w:szCs w:val="24"/>
              </w:rPr>
            </w:pPr>
            <w:r w:rsidRPr="00C94A2C">
              <w:t>1</w:t>
            </w:r>
            <w:r w:rsidR="00D83498">
              <w:t>.00</w:t>
            </w:r>
          </w:p>
        </w:tc>
        <w:tc>
          <w:tcPr>
            <w:tcW w:w="0" w:type="auto"/>
          </w:tcPr>
          <w:p w14:paraId="4025A31F" w14:textId="308ED2B5" w:rsidR="00CD2A37" w:rsidRPr="001533C1" w:rsidRDefault="001533C1" w:rsidP="006231FB">
            <w:pPr>
              <w:jc w:val="center"/>
              <w:rPr>
                <w:rFonts w:asciiTheme="minorHAnsi" w:hAnsiTheme="minorHAnsi"/>
                <w:szCs w:val="24"/>
              </w:rPr>
            </w:pPr>
            <w:r w:rsidRPr="001533C1">
              <w:rPr>
                <w:rFonts w:asciiTheme="minorHAnsi" w:hAnsiTheme="minorHAnsi"/>
                <w:szCs w:val="24"/>
              </w:rPr>
              <w:t>1.18</w:t>
            </w:r>
          </w:p>
        </w:tc>
      </w:tr>
    </w:tbl>
    <w:p w14:paraId="58D6312D" w14:textId="77777777" w:rsidR="00CD2A37" w:rsidRDefault="00CD2A37" w:rsidP="00AD3791">
      <w:pPr>
        <w:rPr>
          <w:rFonts w:asciiTheme="minorHAnsi" w:hAnsiTheme="minorHAnsi"/>
          <w:b/>
          <w:bCs/>
          <w:szCs w:val="24"/>
        </w:rPr>
      </w:pPr>
    </w:p>
    <w:p w14:paraId="60767659" w14:textId="4BD9EC43" w:rsidR="001D6D32" w:rsidRDefault="001D6D32" w:rsidP="00BA2054">
      <w:pPr>
        <w:rPr>
          <w:rFonts w:asciiTheme="minorHAnsi" w:hAnsiTheme="minorHAnsi"/>
          <w:szCs w:val="24"/>
        </w:rPr>
      </w:pPr>
      <w:r>
        <w:rPr>
          <w:rFonts w:asciiTheme="minorHAnsi" w:hAnsiTheme="minorHAnsi"/>
          <w:szCs w:val="24"/>
        </w:rPr>
        <w:t xml:space="preserve">The Applicant </w:t>
      </w:r>
      <w:r w:rsidR="00496B9F">
        <w:rPr>
          <w:rFonts w:asciiTheme="minorHAnsi" w:hAnsiTheme="minorHAnsi"/>
          <w:szCs w:val="24"/>
        </w:rPr>
        <w:t>also</w:t>
      </w:r>
      <w:r>
        <w:rPr>
          <w:rFonts w:asciiTheme="minorHAnsi" w:hAnsiTheme="minorHAnsi"/>
          <w:szCs w:val="24"/>
        </w:rPr>
        <w:t xml:space="preserve"> states</w:t>
      </w:r>
      <w:r w:rsidR="008E79D7">
        <w:rPr>
          <w:rFonts w:asciiTheme="minorHAnsi" w:hAnsiTheme="minorHAnsi"/>
          <w:szCs w:val="24"/>
        </w:rPr>
        <w:t xml:space="preserve"> </w:t>
      </w:r>
      <w:r>
        <w:rPr>
          <w:rFonts w:asciiTheme="minorHAnsi" w:hAnsiTheme="minorHAnsi"/>
          <w:szCs w:val="24"/>
        </w:rPr>
        <w:t xml:space="preserve">that reporting from the HPC shows that the Applicant had lower </w:t>
      </w:r>
      <w:r w:rsidR="00206297" w:rsidRPr="00206297">
        <w:rPr>
          <w:rFonts w:asciiTheme="minorHAnsi" w:hAnsiTheme="minorHAnsi"/>
          <w:szCs w:val="24"/>
        </w:rPr>
        <w:t>acuity-adjusted average commercial prices for non-maternity inpatient stays</w:t>
      </w:r>
      <w:r w:rsidR="00206297">
        <w:rPr>
          <w:rFonts w:asciiTheme="minorHAnsi" w:hAnsiTheme="minorHAnsi"/>
          <w:szCs w:val="24"/>
        </w:rPr>
        <w:t xml:space="preserve"> than </w:t>
      </w:r>
      <w:r w:rsidR="001B4D1F">
        <w:rPr>
          <w:rFonts w:asciiTheme="minorHAnsi" w:hAnsiTheme="minorHAnsi"/>
          <w:szCs w:val="24"/>
        </w:rPr>
        <w:t xml:space="preserve">both </w:t>
      </w:r>
      <w:r w:rsidR="00206297">
        <w:rPr>
          <w:rFonts w:asciiTheme="minorHAnsi" w:hAnsiTheme="minorHAnsi"/>
          <w:szCs w:val="24"/>
        </w:rPr>
        <w:t>BWH and MGH.</w:t>
      </w:r>
      <w:r w:rsidR="00545D71">
        <w:rPr>
          <w:rStyle w:val="EndnoteReference"/>
          <w:rFonts w:asciiTheme="minorHAnsi" w:hAnsiTheme="minorHAnsi"/>
          <w:szCs w:val="24"/>
        </w:rPr>
        <w:endnoteReference w:id="56"/>
      </w:r>
    </w:p>
    <w:p w14:paraId="1A4B90F0" w14:textId="77777777" w:rsidR="00752975" w:rsidRDefault="00752975" w:rsidP="00BA2054">
      <w:pPr>
        <w:rPr>
          <w:rFonts w:asciiTheme="minorHAnsi" w:hAnsiTheme="minorHAnsi"/>
          <w:szCs w:val="24"/>
        </w:rPr>
      </w:pPr>
    </w:p>
    <w:p w14:paraId="1980BE71" w14:textId="7552D854" w:rsidR="00752975" w:rsidRDefault="00752975" w:rsidP="00BA2054">
      <w:pPr>
        <w:rPr>
          <w:rFonts w:asciiTheme="minorHAnsi" w:hAnsiTheme="minorHAnsi"/>
          <w:szCs w:val="24"/>
        </w:rPr>
      </w:pPr>
      <w:r>
        <w:rPr>
          <w:rFonts w:asciiTheme="minorHAnsi" w:hAnsiTheme="minorHAnsi"/>
          <w:szCs w:val="24"/>
        </w:rPr>
        <w:t>T</w:t>
      </w:r>
      <w:r w:rsidRPr="00752975">
        <w:rPr>
          <w:rFonts w:asciiTheme="minorHAnsi" w:hAnsiTheme="minorHAnsi"/>
          <w:szCs w:val="24"/>
        </w:rPr>
        <w:t xml:space="preserve">he HPC authorized the initiation of a CMIR which will analyze the impact of the proposed clinical affiliation between Dana-Farber, BIDMC, and HMFP and the joint construction of a new freestanding cancer hospital. The CMIR will examine the potential impact of the proposed plans on costs, market functioning, quality, care delivery, and </w:t>
      </w:r>
      <w:r w:rsidR="007D5642" w:rsidRPr="007D5642">
        <w:rPr>
          <w:rFonts w:asciiTheme="minorHAnsi" w:hAnsiTheme="minorHAnsi"/>
          <w:szCs w:val="24"/>
        </w:rPr>
        <w:t>access/</w:t>
      </w:r>
      <w:r w:rsidR="001734BC">
        <w:rPr>
          <w:rFonts w:asciiTheme="minorHAnsi" w:hAnsiTheme="minorHAnsi"/>
          <w:szCs w:val="24"/>
        </w:rPr>
        <w:t>health equity</w:t>
      </w:r>
      <w:r w:rsidRPr="00752975">
        <w:rPr>
          <w:rFonts w:asciiTheme="minorHAnsi" w:hAnsiTheme="minorHAnsi"/>
          <w:szCs w:val="24"/>
        </w:rPr>
        <w:t>.</w:t>
      </w:r>
      <w:r w:rsidR="00055D70">
        <w:rPr>
          <w:rFonts w:asciiTheme="minorHAnsi" w:hAnsiTheme="minorHAnsi"/>
          <w:szCs w:val="24"/>
        </w:rPr>
        <w:t xml:space="preserve"> Per </w:t>
      </w:r>
      <w:r w:rsidR="00055D70" w:rsidRPr="00055D70">
        <w:rPr>
          <w:rFonts w:asciiTheme="minorHAnsi" w:hAnsiTheme="minorHAnsi"/>
          <w:szCs w:val="24"/>
        </w:rPr>
        <w:t>105 CMR</w:t>
      </w:r>
      <w:r w:rsidR="00460ECB">
        <w:rPr>
          <w:rFonts w:asciiTheme="minorHAnsi" w:hAnsiTheme="minorHAnsi"/>
          <w:szCs w:val="24"/>
        </w:rPr>
        <w:t xml:space="preserve"> 100.310 (</w:t>
      </w:r>
      <w:r w:rsidR="00F51E6B">
        <w:rPr>
          <w:rFonts w:asciiTheme="minorHAnsi" w:hAnsiTheme="minorHAnsi"/>
          <w:szCs w:val="24"/>
        </w:rPr>
        <w:t>A</w:t>
      </w:r>
      <w:r w:rsidR="00460ECB">
        <w:rPr>
          <w:rFonts w:asciiTheme="minorHAnsi" w:hAnsiTheme="minorHAnsi"/>
          <w:szCs w:val="24"/>
        </w:rPr>
        <w:t>)(</w:t>
      </w:r>
      <w:r w:rsidR="00F51E6B">
        <w:rPr>
          <w:rFonts w:asciiTheme="minorHAnsi" w:hAnsiTheme="minorHAnsi"/>
          <w:szCs w:val="24"/>
        </w:rPr>
        <w:t>2</w:t>
      </w:r>
      <w:r w:rsidR="00460ECB">
        <w:rPr>
          <w:rFonts w:asciiTheme="minorHAnsi" w:hAnsiTheme="minorHAnsi"/>
          <w:szCs w:val="24"/>
        </w:rPr>
        <w:t>),</w:t>
      </w:r>
      <w:r>
        <w:rPr>
          <w:rFonts w:asciiTheme="minorHAnsi" w:hAnsiTheme="minorHAnsi"/>
          <w:szCs w:val="24"/>
        </w:rPr>
        <w:t xml:space="preserve"> </w:t>
      </w:r>
      <w:r w:rsidR="00460ECB">
        <w:rPr>
          <w:rFonts w:asciiTheme="minorHAnsi" w:hAnsiTheme="minorHAnsi"/>
          <w:szCs w:val="24"/>
        </w:rPr>
        <w:t>a</w:t>
      </w:r>
      <w:r w:rsidR="00055D70" w:rsidRPr="00055D70">
        <w:rPr>
          <w:rFonts w:asciiTheme="minorHAnsi" w:hAnsiTheme="minorHAnsi"/>
          <w:szCs w:val="24"/>
        </w:rPr>
        <w:t xml:space="preserve">ny Notice of Determination of Need issued to a Holder that is subject to a </w:t>
      </w:r>
      <w:r w:rsidR="00C77D0D">
        <w:rPr>
          <w:rFonts w:asciiTheme="minorHAnsi" w:hAnsiTheme="minorHAnsi"/>
          <w:szCs w:val="24"/>
        </w:rPr>
        <w:t>CMIR</w:t>
      </w:r>
      <w:r w:rsidR="00055D70" w:rsidRPr="00055D70">
        <w:rPr>
          <w:rFonts w:asciiTheme="minorHAnsi" w:hAnsiTheme="minorHAnsi"/>
          <w:szCs w:val="24"/>
        </w:rPr>
        <w:t xml:space="preserve"> pursuant to M.G.L. c. 6D, § 13 and 958 CMR 7.00: Notices of Material Change and </w:t>
      </w:r>
      <w:r w:rsidR="00C77D0D">
        <w:rPr>
          <w:rFonts w:asciiTheme="minorHAnsi" w:hAnsiTheme="minorHAnsi"/>
          <w:szCs w:val="24"/>
        </w:rPr>
        <w:t>CMIRs</w:t>
      </w:r>
      <w:r w:rsidR="00055D70" w:rsidRPr="00055D70">
        <w:rPr>
          <w:rFonts w:asciiTheme="minorHAnsi" w:hAnsiTheme="minorHAnsi"/>
          <w:szCs w:val="24"/>
        </w:rPr>
        <w:t xml:space="preserve"> shall not go into effect until 30 days following HPC’s completed </w:t>
      </w:r>
      <w:r w:rsidR="00C77D0D">
        <w:rPr>
          <w:rFonts w:asciiTheme="minorHAnsi" w:hAnsiTheme="minorHAnsi"/>
          <w:szCs w:val="24"/>
        </w:rPr>
        <w:t>CMIR</w:t>
      </w:r>
      <w:r w:rsidR="00055D70" w:rsidRPr="00055D70">
        <w:rPr>
          <w:rFonts w:asciiTheme="minorHAnsi" w:hAnsiTheme="minorHAnsi"/>
          <w:szCs w:val="24"/>
        </w:rPr>
        <w:t>.</w:t>
      </w:r>
    </w:p>
    <w:p w14:paraId="46A739BE" w14:textId="77777777" w:rsidR="00752975" w:rsidRDefault="00752975" w:rsidP="00BA2054">
      <w:pPr>
        <w:rPr>
          <w:rFonts w:asciiTheme="minorHAnsi" w:hAnsiTheme="minorHAnsi"/>
          <w:szCs w:val="24"/>
        </w:rPr>
      </w:pPr>
    </w:p>
    <w:p w14:paraId="62318E11" w14:textId="1C82F902" w:rsidR="00710DFD" w:rsidRPr="00710DFD" w:rsidRDefault="007F346A" w:rsidP="7178D369">
      <w:pPr>
        <w:rPr>
          <w:rFonts w:asciiTheme="minorHAnsi" w:hAnsiTheme="minorHAnsi"/>
        </w:rPr>
      </w:pPr>
      <w:r w:rsidRPr="7178D369">
        <w:rPr>
          <w:rFonts w:asciiTheme="minorHAnsi" w:hAnsiTheme="minorHAnsi"/>
        </w:rPr>
        <w:t xml:space="preserve">Dedicated cancer centers are exempt from the </w:t>
      </w:r>
      <w:r w:rsidR="00086109">
        <w:rPr>
          <w:rFonts w:asciiTheme="minorHAnsi" w:hAnsiTheme="minorHAnsi"/>
        </w:rPr>
        <w:t xml:space="preserve">Medicare </w:t>
      </w:r>
      <w:r w:rsidR="00C91433">
        <w:rPr>
          <w:rFonts w:asciiTheme="minorHAnsi" w:hAnsiTheme="minorHAnsi"/>
        </w:rPr>
        <w:t>P</w:t>
      </w:r>
      <w:r w:rsidR="00854A16">
        <w:rPr>
          <w:rFonts w:asciiTheme="minorHAnsi" w:hAnsiTheme="minorHAnsi"/>
        </w:rPr>
        <w:t xml:space="preserve">rospective </w:t>
      </w:r>
      <w:r w:rsidR="00C91433">
        <w:rPr>
          <w:rFonts w:asciiTheme="minorHAnsi" w:hAnsiTheme="minorHAnsi"/>
        </w:rPr>
        <w:t>P</w:t>
      </w:r>
      <w:r w:rsidR="00854A16">
        <w:rPr>
          <w:rFonts w:asciiTheme="minorHAnsi" w:hAnsiTheme="minorHAnsi"/>
        </w:rPr>
        <w:t xml:space="preserve">ayment </w:t>
      </w:r>
      <w:r w:rsidR="00C91433">
        <w:rPr>
          <w:rFonts w:asciiTheme="minorHAnsi" w:hAnsiTheme="minorHAnsi"/>
        </w:rPr>
        <w:t>S</w:t>
      </w:r>
      <w:r w:rsidR="00854A16">
        <w:rPr>
          <w:rFonts w:asciiTheme="minorHAnsi" w:hAnsiTheme="minorHAnsi"/>
        </w:rPr>
        <w:t>ystem</w:t>
      </w:r>
      <w:r w:rsidR="006B0D6F">
        <w:rPr>
          <w:rFonts w:asciiTheme="minorHAnsi" w:hAnsiTheme="minorHAnsi"/>
        </w:rPr>
        <w:t xml:space="preserve"> (PPS)</w:t>
      </w:r>
      <w:r w:rsidRPr="7178D369">
        <w:rPr>
          <w:rFonts w:asciiTheme="minorHAnsi" w:hAnsiTheme="minorHAnsi"/>
        </w:rPr>
        <w:t>.</w:t>
      </w:r>
      <w:r w:rsidRPr="7178D369">
        <w:rPr>
          <w:rFonts w:asciiTheme="minorHAnsi" w:hAnsiTheme="minorHAnsi"/>
          <w:vertAlign w:val="superscript"/>
        </w:rPr>
        <w:footnoteReference w:id="98"/>
      </w:r>
      <w:r w:rsidRPr="7178D369">
        <w:rPr>
          <w:rFonts w:asciiTheme="minorHAnsi" w:hAnsiTheme="minorHAnsi"/>
          <w:vertAlign w:val="superscript"/>
        </w:rPr>
        <w:t>,</w:t>
      </w:r>
      <w:r w:rsidRPr="7178D369">
        <w:rPr>
          <w:rFonts w:asciiTheme="minorHAnsi" w:hAnsiTheme="minorHAnsi"/>
          <w:vertAlign w:val="superscript"/>
        </w:rPr>
        <w:endnoteReference w:id="57"/>
      </w:r>
      <w:r w:rsidRPr="7178D369">
        <w:rPr>
          <w:rFonts w:asciiTheme="minorHAnsi" w:hAnsiTheme="minorHAnsi"/>
        </w:rPr>
        <w:t xml:space="preserve"> </w:t>
      </w:r>
      <w:r w:rsidR="00C1168A" w:rsidRPr="7178D369">
        <w:rPr>
          <w:rFonts w:asciiTheme="minorHAnsi" w:hAnsiTheme="minorHAnsi"/>
        </w:rPr>
        <w:t xml:space="preserve">The </w:t>
      </w:r>
      <w:r w:rsidR="00FA6973" w:rsidRPr="7178D369">
        <w:rPr>
          <w:rFonts w:asciiTheme="minorHAnsi" w:hAnsiTheme="minorHAnsi"/>
        </w:rPr>
        <w:t>proposed facility</w:t>
      </w:r>
      <w:r w:rsidR="00C1168A" w:rsidRPr="7178D369">
        <w:rPr>
          <w:rFonts w:asciiTheme="minorHAnsi" w:hAnsiTheme="minorHAnsi"/>
        </w:rPr>
        <w:t xml:space="preserve"> is expected to be exempt from the Medicare </w:t>
      </w:r>
      <w:r w:rsidR="006B0D6F">
        <w:rPr>
          <w:rFonts w:asciiTheme="minorHAnsi" w:hAnsiTheme="minorHAnsi"/>
        </w:rPr>
        <w:t>PPS</w:t>
      </w:r>
      <w:r w:rsidR="00C1168A" w:rsidRPr="7178D369">
        <w:rPr>
          <w:rFonts w:asciiTheme="minorHAnsi" w:hAnsiTheme="minorHAnsi"/>
        </w:rPr>
        <w:t xml:space="preserve">. </w:t>
      </w:r>
      <w:r w:rsidR="000376C0" w:rsidRPr="7178D369">
        <w:rPr>
          <w:rFonts w:asciiTheme="minorHAnsi" w:hAnsiTheme="minorHAnsi"/>
        </w:rPr>
        <w:t>The</w:t>
      </w:r>
      <w:r w:rsidR="00181453" w:rsidRPr="7178D369">
        <w:rPr>
          <w:rFonts w:asciiTheme="minorHAnsi" w:hAnsiTheme="minorHAnsi"/>
        </w:rPr>
        <w:t xml:space="preserve"> Applicant expects that </w:t>
      </w:r>
      <w:r w:rsidR="000376C0" w:rsidRPr="7178D369">
        <w:rPr>
          <w:rFonts w:asciiTheme="minorHAnsi" w:hAnsiTheme="minorHAnsi"/>
        </w:rPr>
        <w:t xml:space="preserve">once the Proposed Project is operational, </w:t>
      </w:r>
      <w:r w:rsidR="00181453" w:rsidRPr="7178D369">
        <w:rPr>
          <w:rFonts w:asciiTheme="minorHAnsi" w:hAnsiTheme="minorHAnsi"/>
        </w:rPr>
        <w:t xml:space="preserve">its inpatient cost-based Medicare rates will not be materially greater than those received by BIDMC and BWH under </w:t>
      </w:r>
      <w:r w:rsidR="00B02DC4" w:rsidRPr="7178D369">
        <w:rPr>
          <w:rFonts w:asciiTheme="minorHAnsi" w:hAnsiTheme="minorHAnsi"/>
        </w:rPr>
        <w:t xml:space="preserve">inpatient </w:t>
      </w:r>
      <w:r w:rsidR="00181453" w:rsidRPr="7178D369">
        <w:rPr>
          <w:rFonts w:asciiTheme="minorHAnsi" w:hAnsiTheme="minorHAnsi"/>
        </w:rPr>
        <w:t>PPS</w:t>
      </w:r>
      <w:r w:rsidR="00B02DC4" w:rsidRPr="7178D369">
        <w:rPr>
          <w:rFonts w:asciiTheme="minorHAnsi" w:hAnsiTheme="minorHAnsi"/>
        </w:rPr>
        <w:t xml:space="preserve"> (IPPS)</w:t>
      </w:r>
      <w:r w:rsidR="00181453" w:rsidRPr="7178D369">
        <w:rPr>
          <w:rFonts w:asciiTheme="minorHAnsi" w:hAnsiTheme="minorHAnsi"/>
        </w:rPr>
        <w:t xml:space="preserve"> reimbursement</w:t>
      </w:r>
      <w:r w:rsidR="007D49E3" w:rsidRPr="7178D369">
        <w:rPr>
          <w:rFonts w:asciiTheme="minorHAnsi" w:hAnsiTheme="minorHAnsi"/>
        </w:rPr>
        <w:t>.</w:t>
      </w:r>
      <w:r w:rsidR="002C01D2">
        <w:rPr>
          <w:rStyle w:val="FootnoteReference"/>
          <w:rFonts w:asciiTheme="minorHAnsi" w:hAnsiTheme="minorHAnsi"/>
        </w:rPr>
        <w:footnoteReference w:id="99"/>
      </w:r>
      <w:r w:rsidR="007D49E3" w:rsidRPr="7178D369">
        <w:rPr>
          <w:rFonts w:asciiTheme="minorHAnsi" w:hAnsiTheme="minorHAnsi"/>
        </w:rPr>
        <w:t xml:space="preserve"> </w:t>
      </w:r>
    </w:p>
    <w:p w14:paraId="190031D5" w14:textId="77777777" w:rsidR="00710DFD" w:rsidRDefault="00710DFD" w:rsidP="00BA2054">
      <w:pPr>
        <w:rPr>
          <w:rFonts w:asciiTheme="minorHAnsi" w:hAnsiTheme="minorHAnsi"/>
          <w:szCs w:val="24"/>
        </w:rPr>
      </w:pPr>
    </w:p>
    <w:p w14:paraId="1713D2C5" w14:textId="4BB6A7C6" w:rsidR="00CC61A9" w:rsidRDefault="00C278E2" w:rsidP="00CC61A9">
      <w:pPr>
        <w:rPr>
          <w:rFonts w:asciiTheme="minorHAnsi" w:hAnsiTheme="minorHAnsi"/>
          <w:szCs w:val="24"/>
        </w:rPr>
      </w:pPr>
      <w:r>
        <w:rPr>
          <w:rFonts w:asciiTheme="minorHAnsi" w:hAnsiTheme="minorHAnsi"/>
          <w:szCs w:val="24"/>
        </w:rPr>
        <w:t>The Applicant states that</w:t>
      </w:r>
      <w:r w:rsidR="001F3F20">
        <w:rPr>
          <w:rFonts w:asciiTheme="minorHAnsi" w:hAnsiTheme="minorHAnsi"/>
          <w:szCs w:val="24"/>
        </w:rPr>
        <w:t xml:space="preserve"> while it is exempt from the IPPS,</w:t>
      </w:r>
      <w:r>
        <w:rPr>
          <w:rFonts w:asciiTheme="minorHAnsi" w:hAnsiTheme="minorHAnsi"/>
          <w:szCs w:val="24"/>
        </w:rPr>
        <w:t xml:space="preserve"> it</w:t>
      </w:r>
      <w:r w:rsidR="00F72D12">
        <w:rPr>
          <w:rFonts w:asciiTheme="minorHAnsi" w:hAnsiTheme="minorHAnsi"/>
          <w:szCs w:val="24"/>
        </w:rPr>
        <w:t xml:space="preserve"> receives lower Medicare reimbursement from the Medicare Program. </w:t>
      </w:r>
      <w:r w:rsidR="0092685A">
        <w:rPr>
          <w:rFonts w:asciiTheme="minorHAnsi" w:hAnsiTheme="minorHAnsi"/>
          <w:szCs w:val="24"/>
        </w:rPr>
        <w:t xml:space="preserve">To demonstrate the cost benefits of the Proposed Project, the </w:t>
      </w:r>
      <w:r w:rsidR="0030085F" w:rsidRPr="0030085F">
        <w:rPr>
          <w:rFonts w:asciiTheme="minorHAnsi" w:hAnsiTheme="minorHAnsi"/>
          <w:szCs w:val="24"/>
        </w:rPr>
        <w:t xml:space="preserve">Applicant estimated total savings based on its rates, </w:t>
      </w:r>
      <w:r w:rsidR="00404BF3">
        <w:rPr>
          <w:rFonts w:asciiTheme="minorHAnsi" w:hAnsiTheme="minorHAnsi"/>
          <w:szCs w:val="24"/>
        </w:rPr>
        <w:t>using</w:t>
      </w:r>
      <w:r w:rsidR="002B52F6">
        <w:rPr>
          <w:rFonts w:asciiTheme="minorHAnsi" w:hAnsiTheme="minorHAnsi"/>
          <w:szCs w:val="24"/>
        </w:rPr>
        <w:t xml:space="preserve"> </w:t>
      </w:r>
      <w:r w:rsidR="008E79D7">
        <w:rPr>
          <w:rFonts w:asciiTheme="minorHAnsi" w:hAnsiTheme="minorHAnsi"/>
          <w:szCs w:val="24"/>
        </w:rPr>
        <w:t xml:space="preserve">2022 </w:t>
      </w:r>
      <w:r w:rsidR="002B52F6">
        <w:rPr>
          <w:rFonts w:asciiTheme="minorHAnsi" w:hAnsiTheme="minorHAnsi"/>
          <w:szCs w:val="24"/>
        </w:rPr>
        <w:t>data from the American Hospital Directory</w:t>
      </w:r>
      <w:r w:rsidR="0078498A">
        <w:rPr>
          <w:rFonts w:asciiTheme="minorHAnsi" w:hAnsiTheme="minorHAnsi"/>
          <w:szCs w:val="24"/>
        </w:rPr>
        <w:t xml:space="preserve">. </w:t>
      </w:r>
      <w:r w:rsidR="008E79D7">
        <w:rPr>
          <w:rFonts w:asciiTheme="minorHAnsi" w:hAnsiTheme="minorHAnsi"/>
          <w:szCs w:val="24"/>
        </w:rPr>
        <w:t>Based on a review of the data, the Applicant finds:</w:t>
      </w:r>
    </w:p>
    <w:p w14:paraId="6F311398" w14:textId="782760C2" w:rsidR="00CC61A9" w:rsidRPr="003B2CD4" w:rsidRDefault="00831E49" w:rsidP="00F91720">
      <w:pPr>
        <w:pStyle w:val="ListParagraph"/>
        <w:numPr>
          <w:ilvl w:val="0"/>
          <w:numId w:val="27"/>
        </w:numPr>
        <w:rPr>
          <w:rFonts w:asciiTheme="minorHAnsi" w:hAnsiTheme="minorHAnsi"/>
          <w:szCs w:val="24"/>
        </w:rPr>
      </w:pPr>
      <w:r w:rsidRPr="003B2CD4">
        <w:rPr>
          <w:rFonts w:asciiTheme="minorHAnsi" w:hAnsiTheme="minorHAnsi"/>
          <w:szCs w:val="24"/>
        </w:rPr>
        <w:t>T</w:t>
      </w:r>
      <w:r w:rsidR="00CC61A9" w:rsidRPr="003B2CD4">
        <w:rPr>
          <w:rFonts w:asciiTheme="minorHAnsi" w:hAnsiTheme="minorHAnsi"/>
          <w:szCs w:val="24"/>
        </w:rPr>
        <w:t xml:space="preserve">he average Medicare Payment for Oncology (not adjusted for acuity) was $20,061 for Dana-Farber and $63,303 for BWH. </w:t>
      </w:r>
    </w:p>
    <w:p w14:paraId="62BD0B8F" w14:textId="7500E944" w:rsidR="00CC61A9" w:rsidRPr="003B2CD4" w:rsidRDefault="00831E49" w:rsidP="00F91720">
      <w:pPr>
        <w:pStyle w:val="ListParagraph"/>
        <w:numPr>
          <w:ilvl w:val="0"/>
          <w:numId w:val="27"/>
        </w:numPr>
        <w:rPr>
          <w:rFonts w:asciiTheme="minorHAnsi" w:hAnsiTheme="minorHAnsi"/>
          <w:szCs w:val="24"/>
        </w:rPr>
      </w:pPr>
      <w:r w:rsidRPr="003B2CD4">
        <w:rPr>
          <w:rFonts w:asciiTheme="minorHAnsi" w:hAnsiTheme="minorHAnsi"/>
          <w:szCs w:val="24"/>
        </w:rPr>
        <w:t>I</w:t>
      </w:r>
      <w:r w:rsidR="00CC61A9" w:rsidRPr="003B2CD4">
        <w:rPr>
          <w:rFonts w:asciiTheme="minorHAnsi" w:hAnsiTheme="minorHAnsi"/>
          <w:szCs w:val="24"/>
        </w:rPr>
        <w:t xml:space="preserve">n 2022, Dana-Farber’s Medicare reimbursement was $10.1 million with 479 discharges from its 30 licensed beds </w:t>
      </w:r>
      <w:r w:rsidR="00CC0283">
        <w:rPr>
          <w:rFonts w:asciiTheme="minorHAnsi" w:hAnsiTheme="minorHAnsi"/>
          <w:szCs w:val="24"/>
        </w:rPr>
        <w:t xml:space="preserve">or approximately </w:t>
      </w:r>
      <w:r w:rsidR="00CC61A9" w:rsidRPr="003B2CD4">
        <w:rPr>
          <w:rFonts w:asciiTheme="minorHAnsi" w:hAnsiTheme="minorHAnsi"/>
          <w:szCs w:val="24"/>
        </w:rPr>
        <w:t xml:space="preserve">$21,000 per discharge, on average. </w:t>
      </w:r>
      <w:r w:rsidR="00AE265F" w:rsidRPr="00BB2731">
        <w:rPr>
          <w:rFonts w:asciiTheme="minorHAnsi" w:hAnsiTheme="minorHAnsi"/>
          <w:szCs w:val="24"/>
        </w:rPr>
        <w:t xml:space="preserve">The </w:t>
      </w:r>
      <w:r w:rsidR="00AE265F" w:rsidRPr="00AE265F">
        <w:rPr>
          <w:rFonts w:asciiTheme="minorHAnsi" w:hAnsiTheme="minorHAnsi"/>
          <w:szCs w:val="24"/>
        </w:rPr>
        <w:t>IPPS reimbursement for those same discharges would have been approximately $15.1 million</w:t>
      </w:r>
      <w:r w:rsidR="00CC0283">
        <w:rPr>
          <w:rFonts w:asciiTheme="minorHAnsi" w:hAnsiTheme="minorHAnsi"/>
          <w:szCs w:val="24"/>
        </w:rPr>
        <w:t xml:space="preserve"> or </w:t>
      </w:r>
      <w:r w:rsidR="00FE57B2">
        <w:rPr>
          <w:rFonts w:asciiTheme="minorHAnsi" w:hAnsiTheme="minorHAnsi"/>
          <w:szCs w:val="24"/>
        </w:rPr>
        <w:t>approximately</w:t>
      </w:r>
      <w:r w:rsidR="00AE265F" w:rsidRPr="00AE265F">
        <w:rPr>
          <w:rFonts w:asciiTheme="minorHAnsi" w:hAnsiTheme="minorHAnsi"/>
          <w:szCs w:val="24"/>
        </w:rPr>
        <w:t xml:space="preserve"> $31,</w:t>
      </w:r>
      <w:r w:rsidR="00AE265F" w:rsidRPr="00BB2731">
        <w:rPr>
          <w:rFonts w:asciiTheme="minorHAnsi" w:hAnsiTheme="minorHAnsi"/>
          <w:szCs w:val="24"/>
        </w:rPr>
        <w:t>5</w:t>
      </w:r>
      <w:r w:rsidR="007B0EFA">
        <w:rPr>
          <w:rFonts w:asciiTheme="minorHAnsi" w:hAnsiTheme="minorHAnsi"/>
          <w:szCs w:val="24"/>
        </w:rPr>
        <w:t>24</w:t>
      </w:r>
      <w:r w:rsidR="00AE265F" w:rsidRPr="00AE265F">
        <w:rPr>
          <w:rFonts w:asciiTheme="minorHAnsi" w:hAnsiTheme="minorHAnsi"/>
          <w:szCs w:val="24"/>
        </w:rPr>
        <w:t xml:space="preserve"> per discharge, on average.</w:t>
      </w:r>
    </w:p>
    <w:p w14:paraId="64D7CE17" w14:textId="77777777" w:rsidR="00CC61A9" w:rsidRDefault="00CC61A9" w:rsidP="00CC61A9"/>
    <w:p w14:paraId="567FB504" w14:textId="575C3B3A" w:rsidR="008670AA" w:rsidRPr="00F25F45" w:rsidRDefault="008670AA" w:rsidP="00CC61A9">
      <w:r w:rsidRPr="00F25F45">
        <w:t xml:space="preserve">Table </w:t>
      </w:r>
      <w:r w:rsidR="00763A03">
        <w:t>4</w:t>
      </w:r>
      <w:r w:rsidR="002D5360">
        <w:t>0</w:t>
      </w:r>
      <w:r w:rsidR="00130221">
        <w:t xml:space="preserve"> shows the Applicant’s estimated total savings </w:t>
      </w:r>
      <w:r w:rsidR="005745A1">
        <w:t>resulting from the Applicant’s lower reimbursement. The Applicant states that</w:t>
      </w:r>
      <w:r w:rsidR="00BB48AC">
        <w:t xml:space="preserve"> the calculation</w:t>
      </w:r>
      <w:r w:rsidRPr="00F25F45">
        <w:t xml:space="preserve"> assumes that all unique Medicare </w:t>
      </w:r>
      <w:r w:rsidRPr="00F25F45">
        <w:lastRenderedPageBreak/>
        <w:t>inpatients under the care of one of the Applicant’s oncologist in 2022 had a single discharge from one of the Applicant’s beds. Based on th</w:t>
      </w:r>
      <w:r w:rsidR="00073B16">
        <w:t>o</w:t>
      </w:r>
      <w:r w:rsidRPr="00F25F45">
        <w:t xml:space="preserve">se assumptions, </w:t>
      </w:r>
      <w:r w:rsidR="00D86769">
        <w:t xml:space="preserve">the Applicant states that </w:t>
      </w:r>
      <w:r w:rsidRPr="00F25F45">
        <w:t>estimated total savings would have been at least $22.4 million.</w:t>
      </w:r>
      <w:r w:rsidRPr="008670AA">
        <w:rPr>
          <w:vertAlign w:val="superscript"/>
        </w:rPr>
        <w:footnoteReference w:id="100"/>
      </w:r>
    </w:p>
    <w:p w14:paraId="7CFBB5A4" w14:textId="77777777" w:rsidR="00F05627" w:rsidRPr="008670AA" w:rsidRDefault="00F05627" w:rsidP="008670AA">
      <w:pPr>
        <w:rPr>
          <w:rFonts w:asciiTheme="minorHAnsi" w:hAnsiTheme="minorHAnsi"/>
          <w:szCs w:val="24"/>
        </w:rPr>
      </w:pPr>
    </w:p>
    <w:p w14:paraId="590E8A41" w14:textId="47C937B7" w:rsidR="00AD3791" w:rsidRPr="008670AA" w:rsidRDefault="006A26D2" w:rsidP="00AD3791">
      <w:pPr>
        <w:rPr>
          <w:rFonts w:asciiTheme="minorHAnsi" w:hAnsiTheme="minorHAnsi"/>
          <w:b/>
          <w:bCs/>
          <w:szCs w:val="24"/>
        </w:rPr>
      </w:pPr>
      <w:r w:rsidRPr="00666982">
        <w:rPr>
          <w:rFonts w:asciiTheme="minorHAnsi" w:hAnsiTheme="minorHAnsi"/>
          <w:b/>
          <w:bCs/>
          <w:szCs w:val="24"/>
          <w:u w:val="single"/>
        </w:rPr>
        <w:t xml:space="preserve">Table </w:t>
      </w:r>
      <w:r w:rsidR="00763A03">
        <w:rPr>
          <w:rFonts w:asciiTheme="minorHAnsi" w:hAnsiTheme="minorHAnsi"/>
          <w:b/>
          <w:bCs/>
          <w:szCs w:val="24"/>
          <w:u w:val="single"/>
        </w:rPr>
        <w:t>4</w:t>
      </w:r>
      <w:r w:rsidR="002D5360">
        <w:rPr>
          <w:rFonts w:asciiTheme="minorHAnsi" w:hAnsiTheme="minorHAnsi"/>
          <w:b/>
          <w:bCs/>
          <w:szCs w:val="24"/>
          <w:u w:val="single"/>
        </w:rPr>
        <w:t>0</w:t>
      </w:r>
      <w:r w:rsidRPr="008670AA">
        <w:rPr>
          <w:rFonts w:asciiTheme="minorHAnsi" w:hAnsiTheme="minorHAnsi"/>
          <w:b/>
          <w:bCs/>
          <w:szCs w:val="24"/>
        </w:rPr>
        <w:t xml:space="preserve">: </w:t>
      </w:r>
      <w:r w:rsidR="00207C8C">
        <w:rPr>
          <w:rFonts w:asciiTheme="minorHAnsi" w:hAnsiTheme="minorHAnsi"/>
          <w:b/>
          <w:bCs/>
          <w:szCs w:val="24"/>
        </w:rPr>
        <w:t xml:space="preserve">Dana-Farber </w:t>
      </w:r>
      <w:r w:rsidR="005C5F67">
        <w:rPr>
          <w:rFonts w:asciiTheme="minorHAnsi" w:hAnsiTheme="minorHAnsi"/>
          <w:b/>
          <w:bCs/>
          <w:szCs w:val="24"/>
        </w:rPr>
        <w:t xml:space="preserve">2022 </w:t>
      </w:r>
      <w:r w:rsidR="006646A5">
        <w:rPr>
          <w:rFonts w:asciiTheme="minorHAnsi" w:hAnsiTheme="minorHAnsi"/>
          <w:b/>
          <w:bCs/>
          <w:szCs w:val="24"/>
        </w:rPr>
        <w:t xml:space="preserve">Estimated Savings </w:t>
      </w:r>
    </w:p>
    <w:tbl>
      <w:tblPr>
        <w:tblStyle w:val="TableGrid"/>
        <w:tblpPr w:leftFromText="180" w:rightFromText="180" w:vertAnchor="text" w:tblpY="1"/>
        <w:tblOverlap w:val="never"/>
        <w:tblW w:w="0" w:type="auto"/>
        <w:tblLook w:val="04A0" w:firstRow="1" w:lastRow="0" w:firstColumn="1" w:lastColumn="0" w:noHBand="0" w:noVBand="1"/>
      </w:tblPr>
      <w:tblGrid>
        <w:gridCol w:w="4463"/>
        <w:gridCol w:w="1483"/>
      </w:tblGrid>
      <w:tr w:rsidR="00197C07" w:rsidRPr="00197C07" w14:paraId="228A495F" w14:textId="77777777" w:rsidTr="005D0479">
        <w:trPr>
          <w:cantSplit/>
          <w:trHeight w:val="350"/>
          <w:tblHeader/>
        </w:trPr>
        <w:tc>
          <w:tcPr>
            <w:tcW w:w="0" w:type="auto"/>
            <w:shd w:val="clear" w:color="auto" w:fill="DBE5F1" w:themeFill="accent1" w:themeFillTint="33"/>
            <w:vAlign w:val="center"/>
          </w:tcPr>
          <w:p w14:paraId="79747BE5" w14:textId="77777777" w:rsidR="00197C07" w:rsidRPr="00197C07" w:rsidRDefault="00197C07" w:rsidP="00C13259">
            <w:pPr>
              <w:spacing w:line="259" w:lineRule="auto"/>
              <w:jc w:val="center"/>
              <w:rPr>
                <w:rFonts w:asciiTheme="minorHAnsi" w:hAnsiTheme="minorHAnsi"/>
                <w:b/>
                <w:bCs/>
                <w:szCs w:val="24"/>
              </w:rPr>
            </w:pPr>
          </w:p>
        </w:tc>
        <w:tc>
          <w:tcPr>
            <w:tcW w:w="0" w:type="auto"/>
            <w:shd w:val="clear" w:color="auto" w:fill="DBE5F1" w:themeFill="accent1" w:themeFillTint="33"/>
            <w:vAlign w:val="center"/>
          </w:tcPr>
          <w:p w14:paraId="04C206C4" w14:textId="77777777" w:rsidR="00197C07" w:rsidRPr="00197C07" w:rsidRDefault="00197C07" w:rsidP="00C13259">
            <w:pPr>
              <w:spacing w:line="259" w:lineRule="auto"/>
              <w:rPr>
                <w:rFonts w:asciiTheme="minorHAnsi" w:hAnsiTheme="minorHAnsi"/>
                <w:b/>
                <w:bCs/>
                <w:szCs w:val="24"/>
              </w:rPr>
            </w:pPr>
            <w:r w:rsidRPr="00197C07">
              <w:rPr>
                <w:rFonts w:asciiTheme="minorHAnsi" w:hAnsiTheme="minorHAnsi"/>
                <w:b/>
                <w:bCs/>
                <w:szCs w:val="24"/>
              </w:rPr>
              <w:t>2022</w:t>
            </w:r>
          </w:p>
        </w:tc>
      </w:tr>
      <w:tr w:rsidR="00197C07" w:rsidRPr="00197C07" w14:paraId="7B66C684" w14:textId="77777777" w:rsidTr="005D0479">
        <w:trPr>
          <w:cantSplit/>
        </w:trPr>
        <w:tc>
          <w:tcPr>
            <w:tcW w:w="0" w:type="auto"/>
          </w:tcPr>
          <w:p w14:paraId="2E2D95E2" w14:textId="42E94949" w:rsidR="00197C07" w:rsidRPr="00197C07" w:rsidRDefault="00197C07" w:rsidP="00C13259">
            <w:pPr>
              <w:spacing w:after="40" w:line="259" w:lineRule="auto"/>
              <w:rPr>
                <w:rFonts w:asciiTheme="minorHAnsi" w:hAnsiTheme="minorHAnsi"/>
                <w:szCs w:val="24"/>
              </w:rPr>
            </w:pPr>
            <w:r w:rsidRPr="00197C07">
              <w:rPr>
                <w:rFonts w:asciiTheme="minorHAnsi" w:hAnsiTheme="minorHAnsi"/>
                <w:b/>
                <w:bCs/>
                <w:szCs w:val="24"/>
              </w:rPr>
              <w:t xml:space="preserve">A. Unique Inpatients </w:t>
            </w:r>
          </w:p>
        </w:tc>
        <w:tc>
          <w:tcPr>
            <w:tcW w:w="0" w:type="auto"/>
            <w:vAlign w:val="bottom"/>
          </w:tcPr>
          <w:p w14:paraId="25DBC6CF" w14:textId="77777777" w:rsidR="00197C07" w:rsidRPr="00197C07" w:rsidRDefault="00197C07" w:rsidP="00C13259">
            <w:pPr>
              <w:spacing w:after="40" w:line="259" w:lineRule="auto"/>
              <w:rPr>
                <w:rFonts w:asciiTheme="minorHAnsi" w:hAnsiTheme="minorHAnsi"/>
                <w:szCs w:val="24"/>
              </w:rPr>
            </w:pPr>
            <w:r w:rsidRPr="00197C07">
              <w:rPr>
                <w:rFonts w:asciiTheme="minorHAnsi" w:hAnsiTheme="minorHAnsi"/>
                <w:szCs w:val="24"/>
              </w:rPr>
              <w:t>4,877</w:t>
            </w:r>
          </w:p>
        </w:tc>
      </w:tr>
      <w:tr w:rsidR="00197C07" w:rsidRPr="00197C07" w14:paraId="67B0AB06" w14:textId="77777777" w:rsidTr="005D0479">
        <w:trPr>
          <w:cantSplit/>
        </w:trPr>
        <w:tc>
          <w:tcPr>
            <w:tcW w:w="0" w:type="auto"/>
          </w:tcPr>
          <w:p w14:paraId="30DAB58F" w14:textId="4E329BD6" w:rsidR="00197C07" w:rsidRPr="00197C07" w:rsidRDefault="00197C07" w:rsidP="00C13259">
            <w:pPr>
              <w:spacing w:after="40" w:line="259" w:lineRule="auto"/>
              <w:rPr>
                <w:rFonts w:asciiTheme="minorHAnsi" w:hAnsiTheme="minorHAnsi"/>
                <w:szCs w:val="24"/>
              </w:rPr>
            </w:pPr>
            <w:r w:rsidRPr="00197C07">
              <w:rPr>
                <w:rFonts w:asciiTheme="minorHAnsi" w:hAnsiTheme="minorHAnsi"/>
                <w:b/>
                <w:bCs/>
                <w:szCs w:val="24"/>
              </w:rPr>
              <w:t>B. Medicare Payor Mix</w:t>
            </w:r>
          </w:p>
        </w:tc>
        <w:tc>
          <w:tcPr>
            <w:tcW w:w="0" w:type="auto"/>
            <w:vAlign w:val="bottom"/>
          </w:tcPr>
          <w:p w14:paraId="5173EF50" w14:textId="77777777" w:rsidR="00197C07" w:rsidRPr="00197C07" w:rsidRDefault="00197C07" w:rsidP="00C13259">
            <w:pPr>
              <w:spacing w:after="40" w:line="259" w:lineRule="auto"/>
              <w:rPr>
                <w:rFonts w:asciiTheme="minorHAnsi" w:hAnsiTheme="minorHAnsi"/>
                <w:szCs w:val="24"/>
              </w:rPr>
            </w:pPr>
            <w:r w:rsidRPr="00197C07">
              <w:rPr>
                <w:rFonts w:asciiTheme="minorHAnsi" w:hAnsiTheme="minorHAnsi"/>
                <w:szCs w:val="24"/>
              </w:rPr>
              <w:t>43.4%</w:t>
            </w:r>
          </w:p>
        </w:tc>
      </w:tr>
      <w:tr w:rsidR="00197C07" w:rsidRPr="00197C07" w14:paraId="17B793D3" w14:textId="77777777" w:rsidTr="005D0479">
        <w:trPr>
          <w:cantSplit/>
        </w:trPr>
        <w:tc>
          <w:tcPr>
            <w:tcW w:w="0" w:type="auto"/>
          </w:tcPr>
          <w:p w14:paraId="7F9DF2A5" w14:textId="77777777" w:rsidR="00197C07" w:rsidRPr="00197C07" w:rsidRDefault="00197C07" w:rsidP="00C13259">
            <w:pPr>
              <w:spacing w:after="40" w:line="259" w:lineRule="auto"/>
              <w:rPr>
                <w:rFonts w:asciiTheme="minorHAnsi" w:hAnsiTheme="minorHAnsi"/>
                <w:b/>
                <w:bCs/>
                <w:szCs w:val="24"/>
              </w:rPr>
            </w:pPr>
            <w:r w:rsidRPr="00197C07">
              <w:rPr>
                <w:rFonts w:asciiTheme="minorHAnsi" w:hAnsiTheme="minorHAnsi"/>
                <w:b/>
                <w:bCs/>
                <w:szCs w:val="24"/>
              </w:rPr>
              <w:t>C. Estimated Number of Medicare Patients</w:t>
            </w:r>
          </w:p>
          <w:p w14:paraId="6972B29A" w14:textId="77777777" w:rsidR="00197C07" w:rsidRPr="00197C07" w:rsidRDefault="00197C07" w:rsidP="00C13259">
            <w:pPr>
              <w:spacing w:after="40" w:line="259" w:lineRule="auto"/>
              <w:rPr>
                <w:rFonts w:asciiTheme="minorHAnsi" w:hAnsiTheme="minorHAnsi"/>
                <w:szCs w:val="24"/>
              </w:rPr>
            </w:pPr>
            <w:r w:rsidRPr="00197C07">
              <w:rPr>
                <w:rFonts w:asciiTheme="minorHAnsi" w:hAnsiTheme="minorHAnsi"/>
                <w:szCs w:val="24"/>
              </w:rPr>
              <w:t xml:space="preserve">(A </w:t>
            </w:r>
            <w:r w:rsidRPr="00197C07">
              <w:rPr>
                <w:rFonts w:asciiTheme="minorHAnsi" w:hAnsiTheme="minorHAnsi"/>
                <w:i/>
                <w:iCs/>
                <w:szCs w:val="24"/>
              </w:rPr>
              <w:t xml:space="preserve">x </w:t>
            </w:r>
            <w:r w:rsidRPr="00197C07">
              <w:rPr>
                <w:rFonts w:asciiTheme="minorHAnsi" w:hAnsiTheme="minorHAnsi"/>
                <w:szCs w:val="24"/>
              </w:rPr>
              <w:t xml:space="preserve">B) </w:t>
            </w:r>
          </w:p>
        </w:tc>
        <w:tc>
          <w:tcPr>
            <w:tcW w:w="0" w:type="auto"/>
            <w:vAlign w:val="bottom"/>
          </w:tcPr>
          <w:p w14:paraId="703AB827" w14:textId="597DC58C" w:rsidR="00197C07" w:rsidRPr="00197C07" w:rsidRDefault="00856E76" w:rsidP="00C13259">
            <w:pPr>
              <w:spacing w:after="40" w:line="259" w:lineRule="auto"/>
              <w:rPr>
                <w:rFonts w:asciiTheme="minorHAnsi" w:hAnsiTheme="minorHAnsi"/>
                <w:szCs w:val="24"/>
              </w:rPr>
            </w:pPr>
            <w:r>
              <w:rPr>
                <w:rFonts w:asciiTheme="minorHAnsi" w:hAnsiTheme="minorHAnsi"/>
                <w:szCs w:val="24"/>
              </w:rPr>
              <w:t>~</w:t>
            </w:r>
            <w:r w:rsidR="00197C07" w:rsidRPr="005D0DA1">
              <w:rPr>
                <w:rFonts w:asciiTheme="minorHAnsi" w:hAnsiTheme="minorHAnsi"/>
                <w:szCs w:val="24"/>
              </w:rPr>
              <w:t>2,1</w:t>
            </w:r>
            <w:r w:rsidR="00AC2155">
              <w:rPr>
                <w:rFonts w:asciiTheme="minorHAnsi" w:hAnsiTheme="minorHAnsi"/>
                <w:szCs w:val="24"/>
              </w:rPr>
              <w:t>21</w:t>
            </w:r>
          </w:p>
        </w:tc>
      </w:tr>
      <w:tr w:rsidR="00197C07" w:rsidRPr="00197C07" w14:paraId="14D45C23" w14:textId="77777777" w:rsidTr="005D0479">
        <w:trPr>
          <w:cantSplit/>
        </w:trPr>
        <w:tc>
          <w:tcPr>
            <w:tcW w:w="0" w:type="auto"/>
          </w:tcPr>
          <w:p w14:paraId="78AECF9A" w14:textId="77777777" w:rsidR="00197C07" w:rsidRPr="00197C07" w:rsidRDefault="00197C07" w:rsidP="00C13259">
            <w:pPr>
              <w:spacing w:after="40" w:line="259" w:lineRule="auto"/>
              <w:rPr>
                <w:rFonts w:asciiTheme="minorHAnsi" w:hAnsiTheme="minorHAnsi"/>
                <w:b/>
                <w:bCs/>
                <w:szCs w:val="24"/>
              </w:rPr>
            </w:pPr>
            <w:r w:rsidRPr="00197C07">
              <w:rPr>
                <w:rFonts w:asciiTheme="minorHAnsi" w:hAnsiTheme="minorHAnsi"/>
                <w:b/>
                <w:bCs/>
                <w:szCs w:val="24"/>
              </w:rPr>
              <w:t>D. Average Medicare Savings (vs. IPPS)</w:t>
            </w:r>
          </w:p>
        </w:tc>
        <w:tc>
          <w:tcPr>
            <w:tcW w:w="0" w:type="auto"/>
            <w:vAlign w:val="bottom"/>
          </w:tcPr>
          <w:p w14:paraId="655F51DC" w14:textId="77777777" w:rsidR="00197C07" w:rsidRPr="00197C07" w:rsidRDefault="00197C07" w:rsidP="00C13259">
            <w:pPr>
              <w:spacing w:after="40" w:line="259" w:lineRule="auto"/>
              <w:rPr>
                <w:rFonts w:asciiTheme="minorHAnsi" w:hAnsiTheme="minorHAnsi"/>
                <w:szCs w:val="24"/>
              </w:rPr>
            </w:pPr>
            <w:r w:rsidRPr="00197C07">
              <w:rPr>
                <w:rFonts w:asciiTheme="minorHAnsi" w:hAnsiTheme="minorHAnsi"/>
                <w:szCs w:val="24"/>
              </w:rPr>
              <w:t>$10,582</w:t>
            </w:r>
          </w:p>
        </w:tc>
      </w:tr>
      <w:tr w:rsidR="00197C07" w:rsidRPr="00197C07" w14:paraId="2F05C98B" w14:textId="77777777" w:rsidTr="005D0479">
        <w:trPr>
          <w:cantSplit/>
          <w:trHeight w:val="548"/>
        </w:trPr>
        <w:tc>
          <w:tcPr>
            <w:tcW w:w="0" w:type="auto"/>
          </w:tcPr>
          <w:p w14:paraId="31DF5DD1" w14:textId="77777777" w:rsidR="00197C07" w:rsidRPr="00197C07" w:rsidRDefault="00197C07" w:rsidP="00C13259">
            <w:pPr>
              <w:spacing w:after="40" w:line="259" w:lineRule="auto"/>
              <w:rPr>
                <w:rFonts w:asciiTheme="minorHAnsi" w:hAnsiTheme="minorHAnsi"/>
                <w:b/>
                <w:bCs/>
                <w:szCs w:val="24"/>
              </w:rPr>
            </w:pPr>
            <w:r w:rsidRPr="00197C07">
              <w:rPr>
                <w:rFonts w:asciiTheme="minorHAnsi" w:hAnsiTheme="minorHAnsi"/>
                <w:b/>
                <w:bCs/>
                <w:szCs w:val="24"/>
              </w:rPr>
              <w:t>E. Estimated Savings</w:t>
            </w:r>
          </w:p>
          <w:p w14:paraId="611EF01E" w14:textId="77777777" w:rsidR="00197C07" w:rsidRPr="00197C07" w:rsidRDefault="00197C07" w:rsidP="00C13259">
            <w:pPr>
              <w:spacing w:after="40" w:line="259" w:lineRule="auto"/>
              <w:rPr>
                <w:rFonts w:asciiTheme="minorHAnsi" w:hAnsiTheme="minorHAnsi"/>
                <w:szCs w:val="24"/>
              </w:rPr>
            </w:pPr>
            <w:r w:rsidRPr="00197C07">
              <w:rPr>
                <w:rFonts w:asciiTheme="minorHAnsi" w:hAnsiTheme="minorHAnsi"/>
                <w:szCs w:val="24"/>
              </w:rPr>
              <w:t xml:space="preserve">(D </w:t>
            </w:r>
            <w:r w:rsidRPr="00197C07">
              <w:rPr>
                <w:rFonts w:asciiTheme="minorHAnsi" w:hAnsiTheme="minorHAnsi"/>
                <w:i/>
                <w:iCs/>
                <w:szCs w:val="24"/>
              </w:rPr>
              <w:t xml:space="preserve">x </w:t>
            </w:r>
            <w:r w:rsidRPr="00197C07">
              <w:rPr>
                <w:rFonts w:asciiTheme="minorHAnsi" w:hAnsiTheme="minorHAnsi"/>
                <w:szCs w:val="24"/>
              </w:rPr>
              <w:t>C)</w:t>
            </w:r>
          </w:p>
        </w:tc>
        <w:tc>
          <w:tcPr>
            <w:tcW w:w="0" w:type="auto"/>
            <w:vAlign w:val="bottom"/>
          </w:tcPr>
          <w:p w14:paraId="7AEE9CE4" w14:textId="77777777" w:rsidR="00197C07" w:rsidRPr="00197C07" w:rsidRDefault="00197C07" w:rsidP="00C13259">
            <w:pPr>
              <w:spacing w:after="40" w:line="259" w:lineRule="auto"/>
              <w:rPr>
                <w:rFonts w:asciiTheme="minorHAnsi" w:hAnsiTheme="minorHAnsi"/>
                <w:szCs w:val="24"/>
              </w:rPr>
            </w:pPr>
            <w:r w:rsidRPr="00197C07">
              <w:rPr>
                <w:rFonts w:asciiTheme="minorHAnsi" w:hAnsiTheme="minorHAnsi"/>
                <w:szCs w:val="24"/>
              </w:rPr>
              <w:t>$22.4 million</w:t>
            </w:r>
          </w:p>
        </w:tc>
      </w:tr>
    </w:tbl>
    <w:p w14:paraId="6CAD15EE" w14:textId="2E22684E" w:rsidR="00AD3791" w:rsidRDefault="00C13259" w:rsidP="00AD3791">
      <w:pPr>
        <w:rPr>
          <w:rFonts w:asciiTheme="minorHAnsi" w:hAnsiTheme="minorHAnsi"/>
          <w:szCs w:val="24"/>
        </w:rPr>
      </w:pPr>
      <w:r>
        <w:rPr>
          <w:rFonts w:asciiTheme="minorHAnsi" w:hAnsiTheme="minorHAnsi"/>
          <w:szCs w:val="24"/>
        </w:rPr>
        <w:br w:type="textWrapping" w:clear="all"/>
      </w:r>
    </w:p>
    <w:p w14:paraId="70675A93" w14:textId="3B897BBB" w:rsidR="006E1C94" w:rsidRDefault="001307BE" w:rsidP="009A0C61">
      <w:pPr>
        <w:rPr>
          <w:rFonts w:asciiTheme="minorHAnsi" w:hAnsiTheme="minorHAnsi"/>
          <w:szCs w:val="24"/>
        </w:rPr>
      </w:pPr>
      <w:r w:rsidRPr="001307BE">
        <w:rPr>
          <w:rFonts w:asciiTheme="minorHAnsi" w:hAnsiTheme="minorHAnsi"/>
          <w:szCs w:val="24"/>
        </w:rPr>
        <w:t xml:space="preserve">The Department required an independent cost-analysis (ICA) </w:t>
      </w:r>
      <w:r>
        <w:rPr>
          <w:rFonts w:asciiTheme="minorHAnsi" w:hAnsiTheme="minorHAnsi"/>
          <w:szCs w:val="24"/>
        </w:rPr>
        <w:t xml:space="preserve">to evaluate </w:t>
      </w:r>
      <w:r w:rsidRPr="001307BE">
        <w:rPr>
          <w:rFonts w:asciiTheme="minorHAnsi" w:hAnsiTheme="minorHAnsi"/>
          <w:szCs w:val="24"/>
        </w:rPr>
        <w:t>the Proposed Project</w:t>
      </w:r>
      <w:r w:rsidR="00902F19">
        <w:rPr>
          <w:rFonts w:asciiTheme="minorHAnsi" w:hAnsiTheme="minorHAnsi"/>
          <w:szCs w:val="24"/>
        </w:rPr>
        <w:t>’s impact on</w:t>
      </w:r>
      <w:r>
        <w:rPr>
          <w:rFonts w:asciiTheme="minorHAnsi" w:hAnsiTheme="minorHAnsi"/>
          <w:szCs w:val="24"/>
        </w:rPr>
        <w:t xml:space="preserve"> the Commonwealth’s cost containment goals</w:t>
      </w:r>
      <w:r w:rsidRPr="001307BE">
        <w:rPr>
          <w:rFonts w:asciiTheme="minorHAnsi" w:hAnsiTheme="minorHAnsi"/>
          <w:szCs w:val="24"/>
        </w:rPr>
        <w:t>. A summary of the ICA findings can be found in Factor 2</w:t>
      </w:r>
      <w:r w:rsidR="00D86334">
        <w:rPr>
          <w:rFonts w:asciiTheme="minorHAnsi" w:hAnsiTheme="minorHAnsi"/>
          <w:szCs w:val="24"/>
        </w:rPr>
        <w:t>:Cost Containment</w:t>
      </w:r>
      <w:r w:rsidRPr="001307BE">
        <w:rPr>
          <w:rFonts w:asciiTheme="minorHAnsi" w:hAnsiTheme="minorHAnsi"/>
          <w:szCs w:val="24"/>
        </w:rPr>
        <w:t xml:space="preserve"> and Factor 4.</w:t>
      </w:r>
    </w:p>
    <w:p w14:paraId="69AD67C2" w14:textId="77777777" w:rsidR="001307BE" w:rsidRPr="003B2CD4" w:rsidRDefault="001307BE" w:rsidP="009A0C61">
      <w:pPr>
        <w:rPr>
          <w:rFonts w:asciiTheme="minorHAnsi" w:hAnsiTheme="minorHAnsi"/>
          <w:szCs w:val="24"/>
        </w:rPr>
      </w:pPr>
    </w:p>
    <w:p w14:paraId="6AF82A6F" w14:textId="31DD22B7" w:rsidR="00B447F3" w:rsidRPr="009A0C61" w:rsidRDefault="00A4110F" w:rsidP="009A0C61">
      <w:pPr>
        <w:rPr>
          <w:rFonts w:asciiTheme="minorHAnsi" w:hAnsiTheme="minorHAnsi"/>
          <w:b/>
          <w:bCs/>
          <w:i/>
          <w:iCs/>
          <w:szCs w:val="24"/>
        </w:rPr>
      </w:pPr>
      <w:r w:rsidRPr="009A0C61">
        <w:rPr>
          <w:rFonts w:asciiTheme="minorHAnsi" w:hAnsiTheme="minorHAnsi"/>
          <w:b/>
          <w:bCs/>
          <w:i/>
          <w:iCs/>
          <w:szCs w:val="24"/>
        </w:rPr>
        <w:t>Analysis</w:t>
      </w:r>
    </w:p>
    <w:p w14:paraId="130E876A" w14:textId="49E09D4F" w:rsidR="009D2A6B" w:rsidRDefault="005A346D" w:rsidP="007965AC">
      <w:r>
        <w:t xml:space="preserve">Staff find that the Proposed Project has potential to reduce healthcare spending by shifting cancer care </w:t>
      </w:r>
      <w:r w:rsidR="00AE265F">
        <w:t>from higher-</w:t>
      </w:r>
      <w:r w:rsidR="00665C7B">
        <w:t>cost</w:t>
      </w:r>
      <w:r w:rsidR="00AE265F">
        <w:t xml:space="preserve"> providers to lower-</w:t>
      </w:r>
      <w:r w:rsidR="00665C7B">
        <w:t>cost</w:t>
      </w:r>
      <w:r w:rsidR="00AE265F">
        <w:t xml:space="preserve"> providers</w:t>
      </w:r>
      <w:r w:rsidR="00F32EDC">
        <w:t xml:space="preserve">. </w:t>
      </w:r>
      <w:r w:rsidR="001E74D4" w:rsidRPr="001E74D4">
        <w:t xml:space="preserve">Staff finds that, on balance, the requirement that the Proposed Project will likely compete on the basis of price, TME provider costs, and other measures of health care spending and therefore, </w:t>
      </w:r>
      <w:r w:rsidR="00F32EDC">
        <w:t xml:space="preserve">with the “Other Conditions” outlined below, </w:t>
      </w:r>
      <w:r w:rsidR="001E74D4" w:rsidRPr="001E74D4">
        <w:t>the requirements of Factor 1f have been met.</w:t>
      </w:r>
    </w:p>
    <w:p w14:paraId="013CB5F1" w14:textId="77777777" w:rsidR="009D2A6B" w:rsidRDefault="009D2A6B" w:rsidP="007965AC"/>
    <w:p w14:paraId="7A94A1AC" w14:textId="4A685432" w:rsidR="00B447F3" w:rsidRPr="00771386" w:rsidRDefault="00A4110F" w:rsidP="00771386">
      <w:pPr>
        <w:pStyle w:val="Heading1"/>
        <w:ind w:left="0"/>
        <w:rPr>
          <w:color w:val="1F497D" w:themeColor="text2"/>
        </w:rPr>
      </w:pPr>
      <w:bookmarkStart w:id="21" w:name="_Toc190780588"/>
      <w:r w:rsidRPr="00771386">
        <w:rPr>
          <w:color w:val="1F497D" w:themeColor="text2"/>
        </w:rPr>
        <w:t>Factor 1</w:t>
      </w:r>
      <w:r w:rsidR="0060024E" w:rsidRPr="00771386">
        <w:rPr>
          <w:color w:val="1F497D" w:themeColor="text2"/>
        </w:rPr>
        <w:t xml:space="preserve"> </w:t>
      </w:r>
      <w:r w:rsidR="00082235">
        <w:rPr>
          <w:color w:val="1F497D" w:themeColor="text2"/>
        </w:rPr>
        <w:t>Summary</w:t>
      </w:r>
      <w:bookmarkEnd w:id="21"/>
    </w:p>
    <w:p w14:paraId="362449F2" w14:textId="4F36D809" w:rsidR="0060024E" w:rsidRDefault="0060024E" w:rsidP="00BA2054">
      <w:pPr>
        <w:rPr>
          <w:rFonts w:asciiTheme="minorHAnsi" w:hAnsiTheme="minorHAnsi"/>
          <w:szCs w:val="24"/>
        </w:rPr>
      </w:pPr>
      <w:r w:rsidRPr="0060024E">
        <w:rPr>
          <w:rFonts w:asciiTheme="minorHAnsi" w:hAnsiTheme="minorHAnsi"/>
          <w:szCs w:val="24"/>
        </w:rPr>
        <w:t>As a result of information provided by the Applicant and additional analysis, staff finds that with the</w:t>
      </w:r>
      <w:r w:rsidR="00365026">
        <w:rPr>
          <w:rFonts w:asciiTheme="minorHAnsi" w:hAnsiTheme="minorHAnsi"/>
          <w:szCs w:val="24"/>
        </w:rPr>
        <w:t xml:space="preserve"> “Other Conditions” required below and</w:t>
      </w:r>
      <w:r w:rsidRPr="0060024E">
        <w:rPr>
          <w:rFonts w:asciiTheme="minorHAnsi" w:hAnsiTheme="minorHAnsi"/>
          <w:szCs w:val="24"/>
        </w:rPr>
        <w:t xml:space="preserve"> standard reporting requirements, the Applicant has demonstrated that the Proposed Project has met Factor 1(a-f). </w:t>
      </w:r>
    </w:p>
    <w:p w14:paraId="7A14F754" w14:textId="77777777" w:rsidR="00D874E9" w:rsidRPr="0060024E" w:rsidRDefault="00D874E9" w:rsidP="00BA2054">
      <w:pPr>
        <w:rPr>
          <w:rFonts w:asciiTheme="minorHAnsi" w:hAnsiTheme="minorHAnsi"/>
          <w:szCs w:val="24"/>
        </w:rPr>
      </w:pPr>
    </w:p>
    <w:p w14:paraId="7C2BC3EB" w14:textId="77777777" w:rsidR="00D403AB" w:rsidRPr="0060024E" w:rsidRDefault="00D403AB" w:rsidP="00BA2054">
      <w:pPr>
        <w:rPr>
          <w:rFonts w:asciiTheme="minorHAnsi" w:hAnsiTheme="minorHAnsi"/>
          <w:szCs w:val="24"/>
        </w:rPr>
      </w:pPr>
    </w:p>
    <w:p w14:paraId="48C2065F" w14:textId="77777777" w:rsidR="00B447F3" w:rsidRPr="003436F0" w:rsidRDefault="00A4110F" w:rsidP="008917DC">
      <w:pPr>
        <w:pStyle w:val="Heading1"/>
        <w:spacing w:before="87"/>
        <w:ind w:left="0" w:right="467"/>
        <w:rPr>
          <w:rFonts w:asciiTheme="minorHAnsi" w:hAnsiTheme="minorHAnsi"/>
        </w:rPr>
      </w:pPr>
      <w:bookmarkStart w:id="22" w:name="Factor_2:_Cost_containment,_Improved_Pub"/>
      <w:bookmarkStart w:id="23" w:name="_Toc190780589"/>
      <w:bookmarkEnd w:id="22"/>
      <w:r w:rsidRPr="003436F0">
        <w:rPr>
          <w:rFonts w:asciiTheme="minorHAnsi" w:hAnsiTheme="minorHAnsi"/>
          <w:color w:val="42558C"/>
        </w:rPr>
        <w:t>Factor 2: Cost containment, Improved Public Health Outcomes and Delivery System Transformation</w:t>
      </w:r>
      <w:bookmarkEnd w:id="23"/>
    </w:p>
    <w:p w14:paraId="11B23BC2" w14:textId="77777777" w:rsidR="00203742" w:rsidRDefault="00203742" w:rsidP="00BA2054"/>
    <w:p w14:paraId="68601445" w14:textId="38C5A75C" w:rsidR="00F53ACD" w:rsidRDefault="00F53ACD" w:rsidP="00BA2054">
      <w:r>
        <w:t>For Factor 2 the Applicant must demonstrate that the Proposed Project will meaningfully contribute to the Commonwealth’s goals for cost containment, improved public health outcomes, and delivery</w:t>
      </w:r>
    </w:p>
    <w:p w14:paraId="1CE0B37B" w14:textId="48F681DE" w:rsidR="009A0C61" w:rsidRDefault="00F53ACD" w:rsidP="00BA2054">
      <w:r>
        <w:t>system transformation beyond the Patient Panel.</w:t>
      </w:r>
    </w:p>
    <w:p w14:paraId="259022BC" w14:textId="77777777" w:rsidR="00F23CE0" w:rsidRDefault="00F23CE0" w:rsidP="00BA2054"/>
    <w:p w14:paraId="56811413" w14:textId="77777777" w:rsidR="00F53ACD" w:rsidRDefault="00F53ACD" w:rsidP="009A0C61"/>
    <w:p w14:paraId="62A46935" w14:textId="77777777" w:rsidR="007C49AB" w:rsidRDefault="007C49AB" w:rsidP="007C49AB">
      <w:pPr>
        <w:rPr>
          <w:b/>
          <w:bCs/>
        </w:rPr>
      </w:pPr>
      <w:r w:rsidRPr="007C49AB">
        <w:rPr>
          <w:b/>
          <w:bCs/>
        </w:rPr>
        <w:t>Cost Containment</w:t>
      </w:r>
    </w:p>
    <w:p w14:paraId="093193A8" w14:textId="77777777" w:rsidR="00B02402" w:rsidRDefault="00B02402" w:rsidP="007C49AB">
      <w:pPr>
        <w:rPr>
          <w:b/>
          <w:bCs/>
        </w:rPr>
      </w:pPr>
    </w:p>
    <w:p w14:paraId="309744AD" w14:textId="09FE0E0F" w:rsidR="00B02402" w:rsidRDefault="00DA1AA7" w:rsidP="007C49AB">
      <w:r w:rsidRPr="003B2CD4">
        <w:t xml:space="preserve">Within the Determination of Need regulation, two factors, in part, require the Department to consider cost containment as it pertains to the Proposed Project: Factor 2, which requires that a project meaningfully contribute to the Commonwealth’s cost containment goals, and Factor 4, as it relates to any </w:t>
      </w:r>
      <w:r w:rsidR="00BB7B34">
        <w:t>ICA</w:t>
      </w:r>
      <w:r w:rsidRPr="003B2CD4">
        <w:t xml:space="preserve"> required for a given project to demonstrate whether the project is consistent with the Commonwealth’s cost containment goals. Because both factors require the Department to analyze the Proposed Project’s impact on health care cost containment in the Commonwealth, the Department has considered the cost containment-specific portions of both Factor 2 and Factor 4 in this section.</w:t>
      </w:r>
    </w:p>
    <w:p w14:paraId="1E519066" w14:textId="77777777" w:rsidR="00DA1AA7" w:rsidRPr="00DA1AA7" w:rsidRDefault="00DA1AA7" w:rsidP="007C49AB"/>
    <w:p w14:paraId="6711F9FE" w14:textId="77777777" w:rsidR="00C716D8" w:rsidRPr="00C716D8" w:rsidRDefault="00C716D8" w:rsidP="00C716D8">
      <w:pPr>
        <w:rPr>
          <w:u w:val="single"/>
        </w:rPr>
      </w:pPr>
      <w:r w:rsidRPr="00C716D8">
        <w:rPr>
          <w:u w:val="single"/>
        </w:rPr>
        <w:t>Discussion in the Application</w:t>
      </w:r>
    </w:p>
    <w:p w14:paraId="1E275C70" w14:textId="77777777" w:rsidR="00C716D8" w:rsidRDefault="00C716D8" w:rsidP="009A0C61"/>
    <w:p w14:paraId="29B3A716" w14:textId="0D70A21E" w:rsidR="00654785" w:rsidRDefault="00654785" w:rsidP="00BA2054">
      <w:r>
        <w:t>As discussed above</w:t>
      </w:r>
      <w:r w:rsidR="00705BB5">
        <w:t xml:space="preserve"> in Factor 1f</w:t>
      </w:r>
      <w:r>
        <w:t xml:space="preserve">, the Applicant anticipates a decrease in </w:t>
      </w:r>
      <w:r w:rsidR="00EA0E48">
        <w:t>TME</w:t>
      </w:r>
      <w:r>
        <w:t xml:space="preserve"> in the Commonwealth</w:t>
      </w:r>
      <w:r w:rsidR="006C21D7">
        <w:t xml:space="preserve"> as patients transition from</w:t>
      </w:r>
      <w:r w:rsidR="002B493C">
        <w:t xml:space="preserve"> </w:t>
      </w:r>
      <w:r w:rsidR="00E37DE1">
        <w:t xml:space="preserve">what the Applicant has identified as </w:t>
      </w:r>
      <w:r w:rsidR="006C21D7">
        <w:t>higher cost centers, BWH and MGH, to</w:t>
      </w:r>
      <w:r w:rsidR="006863F1">
        <w:t xml:space="preserve"> relatively</w:t>
      </w:r>
      <w:r w:rsidR="006C21D7">
        <w:t xml:space="preserve"> lower cost centers, Dana-Farber and BIDMC</w:t>
      </w:r>
      <w:r>
        <w:t>.</w:t>
      </w:r>
      <w:r w:rsidR="00EA0E48">
        <w:t xml:space="preserve"> </w:t>
      </w:r>
      <w:r w:rsidR="003326DE">
        <w:t xml:space="preserve">The Applicant </w:t>
      </w:r>
      <w:r w:rsidR="005308E4">
        <w:t xml:space="preserve">also </w:t>
      </w:r>
      <w:r w:rsidR="003326DE">
        <w:t xml:space="preserve">states that it plans to continue </w:t>
      </w:r>
      <w:r w:rsidR="00346589">
        <w:t>its</w:t>
      </w:r>
      <w:r w:rsidR="003326DE">
        <w:t xml:space="preserve"> </w:t>
      </w:r>
      <w:r w:rsidR="0098167B">
        <w:t>pre</w:t>
      </w:r>
      <w:r w:rsidR="000A1DAC">
        <w:t>-</w:t>
      </w:r>
      <w:r w:rsidR="003326DE">
        <w:t>existing efforts at containing healthcare costs</w:t>
      </w:r>
      <w:r w:rsidR="0098167B">
        <w:t xml:space="preserve"> in the Commonwealth</w:t>
      </w:r>
      <w:r w:rsidR="000933AA" w:rsidRPr="000933AA">
        <w:t xml:space="preserve"> </w:t>
      </w:r>
      <w:r w:rsidR="000933AA">
        <w:t xml:space="preserve">through extending care </w:t>
      </w:r>
      <w:r w:rsidR="000933AA" w:rsidRPr="000933AA">
        <w:t>beyond inpatient academic hospitals</w:t>
      </w:r>
      <w:r w:rsidR="000933AA">
        <w:t>.</w:t>
      </w:r>
      <w:r w:rsidR="00F3085C">
        <w:t xml:space="preserve"> The Applicant</w:t>
      </w:r>
      <w:r w:rsidR="0001381B">
        <w:t xml:space="preserve"> provided several examples of </w:t>
      </w:r>
      <w:r w:rsidR="000456AB">
        <w:t xml:space="preserve">its </w:t>
      </w:r>
      <w:r w:rsidR="00F3085C">
        <w:t>existing strategies</w:t>
      </w:r>
      <w:r w:rsidR="000456AB">
        <w:t xml:space="preserve"> to extend care beyond the inpatient setting</w:t>
      </w:r>
      <w:r w:rsidR="0001381B">
        <w:t>.</w:t>
      </w:r>
    </w:p>
    <w:p w14:paraId="7D28D5D0" w14:textId="460FE4CD" w:rsidR="00C457CD" w:rsidRDefault="66076B34" w:rsidP="00F91720">
      <w:pPr>
        <w:pStyle w:val="ListParagraph"/>
        <w:numPr>
          <w:ilvl w:val="0"/>
          <w:numId w:val="10"/>
        </w:numPr>
      </w:pPr>
      <w:r>
        <w:t xml:space="preserve">The </w:t>
      </w:r>
      <w:r w:rsidR="000456AB">
        <w:t xml:space="preserve">Applicant </w:t>
      </w:r>
      <w:r>
        <w:t>d</w:t>
      </w:r>
      <w:r w:rsidR="3301D8F2">
        <w:t>evelo</w:t>
      </w:r>
      <w:r w:rsidR="000456AB">
        <w:t>ped</w:t>
      </w:r>
      <w:r w:rsidR="555A3314">
        <w:t xml:space="preserve"> oncology-specific </w:t>
      </w:r>
      <w:r w:rsidR="00873401">
        <w:t>A</w:t>
      </w:r>
      <w:r w:rsidR="555A3314">
        <w:t xml:space="preserve">cute </w:t>
      </w:r>
      <w:r w:rsidR="00873401">
        <w:t>C</w:t>
      </w:r>
      <w:r w:rsidR="555A3314">
        <w:t xml:space="preserve">are </w:t>
      </w:r>
      <w:r w:rsidR="00873401">
        <w:t>C</w:t>
      </w:r>
      <w:r w:rsidR="555A3314">
        <w:t>linic</w:t>
      </w:r>
      <w:r w:rsidR="00873401">
        <w:t>s</w:t>
      </w:r>
      <w:r w:rsidR="006E4498">
        <w:t xml:space="preserve"> </w:t>
      </w:r>
      <w:r w:rsidR="555A3314">
        <w:t xml:space="preserve">that caters to urgent medical needs of </w:t>
      </w:r>
      <w:r w:rsidR="2F3F4011">
        <w:t xml:space="preserve">patients with </w:t>
      </w:r>
      <w:r w:rsidR="555A3314">
        <w:t>c</w:t>
      </w:r>
      <w:r w:rsidR="2F3F4011">
        <w:t>ancer</w:t>
      </w:r>
      <w:r w:rsidR="06856090">
        <w:t xml:space="preserve"> and that provides an alternative to the ED.</w:t>
      </w:r>
      <w:r w:rsidR="711B7C48" w:rsidRPr="00F00E45">
        <w:t xml:space="preserve"> </w:t>
      </w:r>
      <w:r w:rsidR="004303E2">
        <w:t>The</w:t>
      </w:r>
      <w:r w:rsidR="004528EC" w:rsidRPr="001F5EFE">
        <w:t xml:space="preserve"> Applicant </w:t>
      </w:r>
      <w:r w:rsidR="09096123" w:rsidRPr="001F5EFE">
        <w:t xml:space="preserve">states that </w:t>
      </w:r>
      <w:r w:rsidR="00D212E3" w:rsidRPr="001F5EFE">
        <w:t>the clinic</w:t>
      </w:r>
      <w:r w:rsidR="711B7C48" w:rsidRPr="001F5EFE">
        <w:t xml:space="preserve"> resulted in an approximately 20% reduction in</w:t>
      </w:r>
      <w:r w:rsidR="3AEAE455" w:rsidRPr="001F5EFE">
        <w:t xml:space="preserve"> ED </w:t>
      </w:r>
      <w:r w:rsidR="711B7C48" w:rsidRPr="001F5EFE">
        <w:t xml:space="preserve">visits and </w:t>
      </w:r>
      <w:r w:rsidR="002201E0" w:rsidRPr="001F5EFE">
        <w:t>a reduction of</w:t>
      </w:r>
      <w:r w:rsidR="711B7C48" w:rsidRPr="001F5EFE">
        <w:t xml:space="preserve"> care in acute care settings</w:t>
      </w:r>
      <w:r w:rsidR="002201E0" w:rsidRPr="001F5EFE">
        <w:t>. The Applicant states further that</w:t>
      </w:r>
      <w:r w:rsidR="00CC6386" w:rsidRPr="001F5EFE">
        <w:t xml:space="preserve"> </w:t>
      </w:r>
      <w:r w:rsidR="00326895" w:rsidRPr="001F5EFE">
        <w:t>the reduction of care in acute care settings</w:t>
      </w:r>
      <w:r w:rsidR="00CC6386" w:rsidRPr="001F5EFE">
        <w:t xml:space="preserve"> included</w:t>
      </w:r>
      <w:r w:rsidR="00326895" w:rsidRPr="001F5EFE">
        <w:t xml:space="preserve"> a</w:t>
      </w:r>
      <w:r w:rsidR="002201E0" w:rsidRPr="001F5EFE">
        <w:t xml:space="preserve"> </w:t>
      </w:r>
      <w:r w:rsidR="711B7C48" w:rsidRPr="001F5EFE">
        <w:t>doubl</w:t>
      </w:r>
      <w:r w:rsidR="00326895" w:rsidRPr="001F5EFE">
        <w:t>ing of</w:t>
      </w:r>
      <w:r w:rsidR="711B7C48" w:rsidRPr="001F5EFE">
        <w:t xml:space="preserve"> the proportion of patients discharged to home and approximately one-fifth the proportion of patients admitted to an inpatient bed</w:t>
      </w:r>
      <w:r w:rsidR="4B4870F2" w:rsidRPr="001F5EFE">
        <w:t>.</w:t>
      </w:r>
      <w:r w:rsidR="4B4870F2">
        <w:t xml:space="preserve"> </w:t>
      </w:r>
    </w:p>
    <w:p w14:paraId="75E583F3" w14:textId="01492D00" w:rsidR="00FD332D" w:rsidRDefault="00166C63" w:rsidP="00F91720">
      <w:pPr>
        <w:pStyle w:val="ListParagraph"/>
        <w:numPr>
          <w:ilvl w:val="0"/>
          <w:numId w:val="10"/>
        </w:numPr>
      </w:pPr>
      <w:r>
        <w:t>The</w:t>
      </w:r>
      <w:r w:rsidR="000456AB">
        <w:t xml:space="preserve"> Applicant</w:t>
      </w:r>
      <w:r>
        <w:t xml:space="preserve"> i</w:t>
      </w:r>
      <w:r w:rsidR="00C126C3">
        <w:t>n</w:t>
      </w:r>
      <w:r w:rsidR="000C2BE8">
        <w:t>stit</w:t>
      </w:r>
      <w:r w:rsidR="000456AB">
        <w:t>uted</w:t>
      </w:r>
      <w:r w:rsidR="000C2BE8">
        <w:t xml:space="preserve"> </w:t>
      </w:r>
      <w:r w:rsidR="00FC3522">
        <w:t xml:space="preserve">a </w:t>
      </w:r>
      <w:r w:rsidR="00B331AC" w:rsidRPr="00B331AC">
        <w:t>“Shared Care” model</w:t>
      </w:r>
      <w:r w:rsidR="00B331AC">
        <w:t xml:space="preserve"> </w:t>
      </w:r>
      <w:r w:rsidR="007A4768" w:rsidRPr="007A4768">
        <w:t xml:space="preserve">which allows patients to be seen locally in their communities for follow-up care after receiving allogenic hematopoietic </w:t>
      </w:r>
      <w:r w:rsidR="00356491">
        <w:t xml:space="preserve">stem </w:t>
      </w:r>
      <w:r w:rsidR="007A4768" w:rsidRPr="007A4768">
        <w:t>cell transplantation from the Applicant. Th</w:t>
      </w:r>
      <w:r w:rsidR="001D44D0">
        <w:t>e Applicant states that the</w:t>
      </w:r>
      <w:r w:rsidR="007A4768" w:rsidRPr="007A4768">
        <w:t xml:space="preserve"> program </w:t>
      </w:r>
      <w:r w:rsidR="001D44D0">
        <w:t>can</w:t>
      </w:r>
      <w:r w:rsidR="007A4768" w:rsidRPr="007A4768">
        <w:t xml:space="preserve"> help reduce reliance on academic hospitals in Boston and promote the provision of cost-effective care within local community hospitals</w:t>
      </w:r>
    </w:p>
    <w:p w14:paraId="75ED503B" w14:textId="248AF1AE" w:rsidR="007A4768" w:rsidRDefault="00EC412D" w:rsidP="00F91720">
      <w:pPr>
        <w:pStyle w:val="ListParagraph"/>
        <w:numPr>
          <w:ilvl w:val="0"/>
          <w:numId w:val="10"/>
        </w:numPr>
      </w:pPr>
      <w:r>
        <w:t>The Applicant</w:t>
      </w:r>
      <w:r w:rsidR="002E280A">
        <w:t xml:space="preserve"> states that it</w:t>
      </w:r>
      <w:r w:rsidR="24DCBCB5">
        <w:t>s</w:t>
      </w:r>
      <w:r w:rsidR="002E280A">
        <w:t xml:space="preserve"> </w:t>
      </w:r>
      <w:r>
        <w:t>e</w:t>
      </w:r>
      <w:r w:rsidR="001A2DE6" w:rsidRPr="001A2DE6">
        <w:t>fforts to bring cancer screening into underserved communities can provide additional cost savings through earlier diagnosis and intervention and decreased variation in acute care utilization</w:t>
      </w:r>
      <w:r w:rsidR="006145BD">
        <w:t xml:space="preserve">. The Applicant </w:t>
      </w:r>
      <w:r w:rsidR="00E63ACB">
        <w:t>cited</w:t>
      </w:r>
      <w:r w:rsidR="006145BD">
        <w:t xml:space="preserve"> an article stating </w:t>
      </w:r>
      <w:r w:rsidR="00A0534F">
        <w:t>acute hospital</w:t>
      </w:r>
      <w:r w:rsidR="006145BD">
        <w:t xml:space="preserve"> care</w:t>
      </w:r>
      <w:r w:rsidR="00211A5F">
        <w:t xml:space="preserve"> </w:t>
      </w:r>
      <w:r w:rsidR="006145BD">
        <w:t>i</w:t>
      </w:r>
      <w:r w:rsidR="002D1C56">
        <w:t>s</w:t>
      </w:r>
      <w:r w:rsidR="00CC0A31">
        <w:t xml:space="preserve"> the</w:t>
      </w:r>
      <w:r w:rsidR="002D1C56">
        <w:t xml:space="preserve"> largest component of spending and the</w:t>
      </w:r>
      <w:r w:rsidR="00CC0A31">
        <w:t xml:space="preserve"> single largest driver of regional spending variation </w:t>
      </w:r>
      <w:r w:rsidR="002F461B">
        <w:t>among Medicare patients with advanced cancer</w:t>
      </w:r>
      <w:r w:rsidR="00CC0A31">
        <w:t>.</w:t>
      </w:r>
      <w:r w:rsidR="00552AD0">
        <w:rPr>
          <w:rStyle w:val="EndnoteReference"/>
        </w:rPr>
        <w:endnoteReference w:id="58"/>
      </w:r>
      <w:r w:rsidR="003E1C53">
        <w:t xml:space="preserve"> </w:t>
      </w:r>
      <w:r w:rsidR="00D81E5C">
        <w:t>The Applicant c</w:t>
      </w:r>
      <w:r w:rsidR="008043C8">
        <w:t>it</w:t>
      </w:r>
      <w:r w:rsidR="00D81E5C">
        <w:t>e</w:t>
      </w:r>
      <w:r w:rsidR="00057557">
        <w:t>d</w:t>
      </w:r>
      <w:r w:rsidR="003E1C53">
        <w:t xml:space="preserve"> a</w:t>
      </w:r>
      <w:r w:rsidR="00552AD0">
        <w:t>nother</w:t>
      </w:r>
      <w:r w:rsidR="003E1C53">
        <w:t xml:space="preserve"> published study </w:t>
      </w:r>
      <w:r w:rsidR="008043C8">
        <w:t xml:space="preserve">on </w:t>
      </w:r>
      <w:r w:rsidR="00A86E96">
        <w:t xml:space="preserve">average per capita costs of </w:t>
      </w:r>
      <w:r w:rsidR="00414AF1">
        <w:t xml:space="preserve">breast cancer </w:t>
      </w:r>
      <w:r w:rsidR="00A86E96">
        <w:t>treatment</w:t>
      </w:r>
      <w:r w:rsidR="00414AF1">
        <w:t xml:space="preserve"> for a </w:t>
      </w:r>
      <w:r w:rsidR="00E83762" w:rsidRPr="00E83762">
        <w:t>commercially insured population of women with newly diagnosed breast cancer</w:t>
      </w:r>
      <w:r w:rsidR="00414AF1">
        <w:t>, where</w:t>
      </w:r>
      <w:r w:rsidR="00E83762">
        <w:t xml:space="preserve"> treatment and medical</w:t>
      </w:r>
      <w:r w:rsidR="00414AF1">
        <w:t xml:space="preserve"> costs increased by disease stage at diagnosis </w:t>
      </w:r>
      <w:r w:rsidR="00954EC2">
        <w:t>with lower stages associated with lower treatment costs.</w:t>
      </w:r>
      <w:r w:rsidR="00954EC2">
        <w:rPr>
          <w:rStyle w:val="EndnoteReference"/>
        </w:rPr>
        <w:endnoteReference w:id="59"/>
      </w:r>
    </w:p>
    <w:p w14:paraId="0E7802F0" w14:textId="77777777" w:rsidR="00FD332D" w:rsidRDefault="00FD332D" w:rsidP="00BA2054"/>
    <w:p w14:paraId="642E8552" w14:textId="0BF7DB32" w:rsidR="001E72E6" w:rsidRDefault="001E72E6" w:rsidP="7178D369">
      <w:pPr>
        <w:rPr>
          <w:rFonts w:cs="Calibri"/>
        </w:rPr>
      </w:pPr>
      <w:r w:rsidRPr="7178D369">
        <w:rPr>
          <w:rFonts w:cs="Calibri"/>
        </w:rPr>
        <w:lastRenderedPageBreak/>
        <w:t xml:space="preserve">Comments received from the Mass General Brigham TTG asked the Department to consider </w:t>
      </w:r>
      <w:r w:rsidR="00B47593" w:rsidRPr="7178D369">
        <w:rPr>
          <w:rFonts w:cs="Calibri"/>
        </w:rPr>
        <w:t>whether the P</w:t>
      </w:r>
      <w:r w:rsidRPr="7178D369">
        <w:rPr>
          <w:rFonts w:cs="Calibri"/>
        </w:rPr>
        <w:t xml:space="preserve">roposed </w:t>
      </w:r>
      <w:r w:rsidR="00B47593" w:rsidRPr="7178D369">
        <w:rPr>
          <w:rFonts w:cs="Calibri"/>
        </w:rPr>
        <w:t>P</w:t>
      </w:r>
      <w:r w:rsidRPr="7178D369">
        <w:rPr>
          <w:rFonts w:cs="Calibri"/>
        </w:rPr>
        <w:t>roject meaningfully contribute</w:t>
      </w:r>
      <w:r w:rsidR="008039A8" w:rsidRPr="7178D369">
        <w:rPr>
          <w:rFonts w:cs="Calibri"/>
        </w:rPr>
        <w:t>s</w:t>
      </w:r>
      <w:r w:rsidRPr="7178D369">
        <w:rPr>
          <w:rFonts w:cs="Calibri"/>
        </w:rPr>
        <w:t xml:space="preserve"> to the Commonwealth’s goals for cost containment under 105 CMR 100.210(2)(a)</w:t>
      </w:r>
      <w:r w:rsidR="00B47593" w:rsidRPr="7178D369">
        <w:rPr>
          <w:rFonts w:cs="Calibri"/>
        </w:rPr>
        <w:t>.</w:t>
      </w:r>
      <w:r w:rsidR="00B47593" w:rsidRPr="7178D369">
        <w:rPr>
          <w:rFonts w:cs="Calibri"/>
          <w:b/>
          <w:bCs/>
        </w:rPr>
        <w:t xml:space="preserve"> </w:t>
      </w:r>
      <w:r w:rsidRPr="7178D369">
        <w:rPr>
          <w:rFonts w:cs="Calibri"/>
        </w:rPr>
        <w:t xml:space="preserve">The comments explained that because the Applicant is not a new entrant into the market and receives higher reimbursement from Medicare for its services, the Department should verify the cost implications of the </w:t>
      </w:r>
      <w:r w:rsidR="00EC412D">
        <w:rPr>
          <w:rFonts w:cs="Calibri"/>
        </w:rPr>
        <w:t>Proposed P</w:t>
      </w:r>
      <w:r w:rsidRPr="7178D369">
        <w:rPr>
          <w:rFonts w:cs="Calibri"/>
        </w:rPr>
        <w:t xml:space="preserve">roject through an </w:t>
      </w:r>
      <w:r w:rsidR="00F22216">
        <w:rPr>
          <w:rFonts w:cs="Calibri"/>
        </w:rPr>
        <w:t>ICA</w:t>
      </w:r>
      <w:r w:rsidRPr="7178D369">
        <w:rPr>
          <w:rFonts w:cs="Calibri"/>
        </w:rPr>
        <w:t>.</w:t>
      </w:r>
    </w:p>
    <w:p w14:paraId="36396994" w14:textId="77777777" w:rsidR="009512B1" w:rsidRDefault="009512B1" w:rsidP="7178D369">
      <w:pPr>
        <w:rPr>
          <w:rFonts w:cs="Calibri"/>
        </w:rPr>
      </w:pPr>
    </w:p>
    <w:p w14:paraId="1FA15AF0" w14:textId="3AB4669A" w:rsidR="00F17457" w:rsidRPr="00F17457" w:rsidRDefault="00F17457" w:rsidP="00F17457">
      <w:pPr>
        <w:rPr>
          <w:rFonts w:cs="Calibri"/>
        </w:rPr>
      </w:pPr>
      <w:r w:rsidRPr="00F17457">
        <w:rPr>
          <w:rFonts w:cs="Calibri"/>
        </w:rPr>
        <w:t xml:space="preserve">Pursuant to </w:t>
      </w:r>
      <w:r w:rsidR="000C2A1B">
        <w:rPr>
          <w:rFonts w:cs="Calibri"/>
        </w:rPr>
        <w:t>M.</w:t>
      </w:r>
      <w:r w:rsidRPr="00F17457">
        <w:rPr>
          <w:rFonts w:cs="Calibri"/>
        </w:rPr>
        <w:t xml:space="preserve">G.L. c. 111 § 25C(h) and to support the Department’s understanding of the Proposed Project’s impact on the Commonwealth’s cost containment goals, an ICA was required. </w:t>
      </w:r>
    </w:p>
    <w:p w14:paraId="1A675A5F" w14:textId="77777777" w:rsidR="00F17457" w:rsidRDefault="00F17457" w:rsidP="7178D369">
      <w:pPr>
        <w:rPr>
          <w:rFonts w:cs="Calibri"/>
        </w:rPr>
      </w:pPr>
    </w:p>
    <w:p w14:paraId="1EBA4D25" w14:textId="0641FB17" w:rsidR="007468EE" w:rsidRPr="007468EE" w:rsidRDefault="007468EE" w:rsidP="007468EE">
      <w:pPr>
        <w:rPr>
          <w:rFonts w:cs="Calibri"/>
        </w:rPr>
      </w:pPr>
      <w:r w:rsidRPr="007468EE">
        <w:rPr>
          <w:rFonts w:cs="Calibri"/>
        </w:rPr>
        <w:t xml:space="preserve">The Massachusetts Health Policy Commission (HPC) authorized the initiation of a CMIR which will analyze the impact of the proposed clinical affiliation between Dana-Farber, BIDMC, and HMFP and the joint construction of a new freestanding cancer hospital. The CMIR will examine the potential impact of the proposed plans on costs, market functioning, quality, care delivery, and </w:t>
      </w:r>
      <w:r w:rsidR="001A719D" w:rsidRPr="001A719D">
        <w:rPr>
          <w:rFonts w:cs="Calibri"/>
        </w:rPr>
        <w:t>access/</w:t>
      </w:r>
      <w:r w:rsidR="00A40222">
        <w:rPr>
          <w:rFonts w:cs="Calibri"/>
        </w:rPr>
        <w:t>health equity</w:t>
      </w:r>
      <w:r w:rsidRPr="007468EE">
        <w:rPr>
          <w:rFonts w:cs="Calibri"/>
        </w:rPr>
        <w:t>. Per 105 CMR 100.310 (</w:t>
      </w:r>
      <w:r w:rsidR="00C55D82">
        <w:rPr>
          <w:rFonts w:cs="Calibri"/>
        </w:rPr>
        <w:t>A</w:t>
      </w:r>
      <w:r w:rsidRPr="007468EE">
        <w:rPr>
          <w:rFonts w:cs="Calibri"/>
        </w:rPr>
        <w:t>)(</w:t>
      </w:r>
      <w:r w:rsidR="00C55D82">
        <w:rPr>
          <w:rFonts w:cs="Calibri"/>
        </w:rPr>
        <w:t>2</w:t>
      </w:r>
      <w:r w:rsidRPr="007468EE">
        <w:rPr>
          <w:rFonts w:cs="Calibri"/>
        </w:rPr>
        <w:t xml:space="preserve">), any Notice of Determination of Need issued to a Holder that is subject to a Cost and Market Impact Review pursuant to M.G.L. c. 6D, § 13 and 958 CMR 7.00: Notices of Material Change and </w:t>
      </w:r>
      <w:r w:rsidR="00A40222">
        <w:rPr>
          <w:rFonts w:cs="Calibri"/>
        </w:rPr>
        <w:t>CMIRs</w:t>
      </w:r>
      <w:r w:rsidRPr="007468EE">
        <w:rPr>
          <w:rFonts w:cs="Calibri"/>
        </w:rPr>
        <w:t xml:space="preserve"> shall not go into effect until 30 days following HPC’s completed </w:t>
      </w:r>
      <w:r w:rsidR="00A40222">
        <w:rPr>
          <w:rFonts w:cs="Calibri"/>
        </w:rPr>
        <w:t>CMIR</w:t>
      </w:r>
      <w:r w:rsidRPr="007468EE">
        <w:rPr>
          <w:rFonts w:cs="Calibri"/>
        </w:rPr>
        <w:t>.</w:t>
      </w:r>
    </w:p>
    <w:p w14:paraId="2E3D662F" w14:textId="77777777" w:rsidR="00A40222" w:rsidRDefault="00A40222" w:rsidP="00BA2054"/>
    <w:p w14:paraId="33FC7E4D" w14:textId="26C09E20" w:rsidR="00B447F3" w:rsidRDefault="00A4110F" w:rsidP="00BA2054">
      <w:pPr>
        <w:rPr>
          <w:rFonts w:asciiTheme="minorHAnsi" w:hAnsiTheme="minorHAnsi"/>
          <w:b/>
          <w:bCs/>
          <w:i/>
          <w:iCs/>
          <w:szCs w:val="24"/>
        </w:rPr>
      </w:pPr>
      <w:r w:rsidRPr="009A0C61">
        <w:rPr>
          <w:rFonts w:asciiTheme="minorHAnsi" w:hAnsiTheme="minorHAnsi"/>
          <w:b/>
          <w:bCs/>
          <w:i/>
          <w:iCs/>
          <w:szCs w:val="24"/>
        </w:rPr>
        <w:t>Analysis: Cost Containment</w:t>
      </w:r>
    </w:p>
    <w:p w14:paraId="02C531B6" w14:textId="6D80C045" w:rsidR="00F828B7" w:rsidRPr="00195D02" w:rsidRDefault="00EF5C04" w:rsidP="001668BA">
      <w:pPr>
        <w:pStyle w:val="BodyText"/>
      </w:pPr>
      <w:r w:rsidRPr="00EF5C04">
        <w:rPr>
          <w:rFonts w:asciiTheme="minorHAnsi" w:hAnsiTheme="minorHAnsi"/>
        </w:rPr>
        <w:t xml:space="preserve">Pursuant to </w:t>
      </w:r>
      <w:r w:rsidR="00C93F2B">
        <w:rPr>
          <w:rFonts w:asciiTheme="minorHAnsi" w:hAnsiTheme="minorHAnsi"/>
        </w:rPr>
        <w:t>M.</w:t>
      </w:r>
      <w:r w:rsidRPr="00EF5C04">
        <w:rPr>
          <w:rFonts w:asciiTheme="minorHAnsi" w:hAnsiTheme="minorHAnsi"/>
        </w:rPr>
        <w:t>G.L. c. 111 § 25C(h)</w:t>
      </w:r>
      <w:r w:rsidR="00793916">
        <w:rPr>
          <w:rFonts w:asciiTheme="minorHAnsi" w:hAnsiTheme="minorHAnsi"/>
        </w:rPr>
        <w:t xml:space="preserve">, </w:t>
      </w:r>
      <w:r w:rsidR="0053798D">
        <w:rPr>
          <w:rFonts w:asciiTheme="minorHAnsi" w:hAnsiTheme="minorHAnsi"/>
        </w:rPr>
        <w:t xml:space="preserve">the Department issued a notice </w:t>
      </w:r>
      <w:r w:rsidR="002B345E" w:rsidRPr="002B345E">
        <w:rPr>
          <w:rFonts w:asciiTheme="minorHAnsi" w:hAnsiTheme="minorHAnsi"/>
        </w:rPr>
        <w:t>on February 2, 2024</w:t>
      </w:r>
      <w:r w:rsidR="002B345E">
        <w:rPr>
          <w:rFonts w:asciiTheme="minorHAnsi" w:hAnsiTheme="minorHAnsi"/>
        </w:rPr>
        <w:t xml:space="preserve"> </w:t>
      </w:r>
      <w:r w:rsidR="0053798D">
        <w:rPr>
          <w:rFonts w:asciiTheme="minorHAnsi" w:hAnsiTheme="minorHAnsi"/>
        </w:rPr>
        <w:t xml:space="preserve">requiring </w:t>
      </w:r>
      <w:r w:rsidR="00A92AA8">
        <w:rPr>
          <w:rFonts w:asciiTheme="minorHAnsi" w:hAnsiTheme="minorHAnsi"/>
        </w:rPr>
        <w:t xml:space="preserve">the Applicant to commission an </w:t>
      </w:r>
      <w:r w:rsidR="00B4048A">
        <w:rPr>
          <w:rFonts w:asciiTheme="minorHAnsi" w:hAnsiTheme="minorHAnsi"/>
        </w:rPr>
        <w:t>independent cost-analysis (ICA)</w:t>
      </w:r>
      <w:r w:rsidR="00A92AA8">
        <w:rPr>
          <w:rFonts w:asciiTheme="minorHAnsi" w:hAnsiTheme="minorHAnsi"/>
        </w:rPr>
        <w:t xml:space="preserve"> for DoN </w:t>
      </w:r>
      <w:r w:rsidR="00EE0301">
        <w:rPr>
          <w:rFonts w:asciiTheme="minorHAnsi" w:hAnsiTheme="minorHAnsi"/>
        </w:rPr>
        <w:t>A</w:t>
      </w:r>
      <w:r w:rsidR="00A92AA8">
        <w:rPr>
          <w:rFonts w:asciiTheme="minorHAnsi" w:hAnsiTheme="minorHAnsi"/>
        </w:rPr>
        <w:t>pplication</w:t>
      </w:r>
      <w:r w:rsidR="00E74252">
        <w:rPr>
          <w:rFonts w:asciiTheme="minorHAnsi" w:hAnsiTheme="minorHAnsi"/>
        </w:rPr>
        <w:t xml:space="preserve"> </w:t>
      </w:r>
      <w:r w:rsidR="00A92AA8">
        <w:rPr>
          <w:rFonts w:asciiTheme="minorHAnsi" w:hAnsiTheme="minorHAnsi"/>
        </w:rPr>
        <w:t>#</w:t>
      </w:r>
      <w:r w:rsidR="00EE0301" w:rsidRPr="00EE0301">
        <w:rPr>
          <w:rFonts w:asciiTheme="minorHAnsi" w:hAnsiTheme="minorHAnsi"/>
        </w:rPr>
        <w:t>DFCI</w:t>
      </w:r>
      <w:r w:rsidR="00756CFE">
        <w:rPr>
          <w:rFonts w:asciiTheme="minorHAnsi" w:hAnsiTheme="minorHAnsi"/>
        </w:rPr>
        <w:t>-</w:t>
      </w:r>
      <w:r w:rsidR="00EE0301" w:rsidRPr="00EE0301">
        <w:rPr>
          <w:rFonts w:asciiTheme="minorHAnsi" w:hAnsiTheme="minorHAnsi"/>
        </w:rPr>
        <w:t>23040915-HE</w:t>
      </w:r>
      <w:r w:rsidR="00A5359E">
        <w:rPr>
          <w:rFonts w:asciiTheme="minorHAnsi" w:hAnsiTheme="minorHAnsi"/>
        </w:rPr>
        <w:t xml:space="preserve"> </w:t>
      </w:r>
      <w:r w:rsidR="00A5359E" w:rsidRPr="00A5359E">
        <w:rPr>
          <w:rFonts w:asciiTheme="minorHAnsi" w:hAnsiTheme="minorHAnsi"/>
        </w:rPr>
        <w:t xml:space="preserve">to support the Department’s understanding of the Proposed Project’s impact on the Commonwealth’s </w:t>
      </w:r>
      <w:r w:rsidR="008717F3">
        <w:rPr>
          <w:rFonts w:asciiTheme="minorHAnsi" w:hAnsiTheme="minorHAnsi"/>
        </w:rPr>
        <w:t xml:space="preserve">health care </w:t>
      </w:r>
      <w:r w:rsidR="00A5359E" w:rsidRPr="00A5359E">
        <w:rPr>
          <w:rFonts w:asciiTheme="minorHAnsi" w:hAnsiTheme="minorHAnsi"/>
        </w:rPr>
        <w:t>cost</w:t>
      </w:r>
      <w:r w:rsidR="008717F3">
        <w:rPr>
          <w:rFonts w:asciiTheme="minorHAnsi" w:hAnsiTheme="minorHAnsi"/>
        </w:rPr>
        <w:t>-</w:t>
      </w:r>
      <w:r w:rsidR="00A5359E" w:rsidRPr="00A5359E">
        <w:rPr>
          <w:rFonts w:asciiTheme="minorHAnsi" w:hAnsiTheme="minorHAnsi"/>
        </w:rPr>
        <w:t>containment</w:t>
      </w:r>
      <w:r w:rsidR="008717F3">
        <w:rPr>
          <w:rFonts w:asciiTheme="minorHAnsi" w:hAnsiTheme="minorHAnsi"/>
        </w:rPr>
        <w:t xml:space="preserve"> goals</w:t>
      </w:r>
      <w:r w:rsidR="00EE0301">
        <w:rPr>
          <w:rFonts w:asciiTheme="minorHAnsi" w:hAnsiTheme="minorHAnsi"/>
        </w:rPr>
        <w:t xml:space="preserve">. </w:t>
      </w:r>
      <w:r w:rsidR="00082285">
        <w:rPr>
          <w:rFonts w:asciiTheme="minorHAnsi" w:hAnsiTheme="minorHAnsi"/>
        </w:rPr>
        <w:t>The Applicant and the Department jointly</w:t>
      </w:r>
      <w:r w:rsidR="00082285" w:rsidRPr="00082285">
        <w:rPr>
          <w:rFonts w:asciiTheme="minorHAnsi" w:hAnsiTheme="minorHAnsi"/>
        </w:rPr>
        <w:t xml:space="preserve"> identif</w:t>
      </w:r>
      <w:r w:rsidR="00082285">
        <w:rPr>
          <w:rFonts w:asciiTheme="minorHAnsi" w:hAnsiTheme="minorHAnsi"/>
        </w:rPr>
        <w:t>ied</w:t>
      </w:r>
      <w:r w:rsidR="00082285" w:rsidRPr="00082285">
        <w:rPr>
          <w:rFonts w:asciiTheme="minorHAnsi" w:hAnsiTheme="minorHAnsi"/>
        </w:rPr>
        <w:t xml:space="preserve"> a qualified firm</w:t>
      </w:r>
      <w:r w:rsidR="00190112">
        <w:rPr>
          <w:rFonts w:asciiTheme="minorHAnsi" w:hAnsiTheme="minorHAnsi"/>
        </w:rPr>
        <w:t>, FTI Consulting, Inc. (FTI),</w:t>
      </w:r>
      <w:r w:rsidR="00082285">
        <w:rPr>
          <w:rFonts w:asciiTheme="minorHAnsi" w:hAnsiTheme="minorHAnsi"/>
        </w:rPr>
        <w:t xml:space="preserve"> </w:t>
      </w:r>
      <w:r w:rsidR="00082285" w:rsidRPr="00082285">
        <w:rPr>
          <w:rFonts w:asciiTheme="minorHAnsi" w:hAnsiTheme="minorHAnsi"/>
        </w:rPr>
        <w:t>to conduct the analysis</w:t>
      </w:r>
      <w:r w:rsidR="00082285">
        <w:rPr>
          <w:rFonts w:asciiTheme="minorHAnsi" w:hAnsiTheme="minorHAnsi"/>
        </w:rPr>
        <w:t xml:space="preserve">. </w:t>
      </w:r>
      <w:r w:rsidR="004042D9">
        <w:rPr>
          <w:rFonts w:asciiTheme="minorHAnsi" w:hAnsiTheme="minorHAnsi"/>
        </w:rPr>
        <w:t xml:space="preserve">On January 10, 2025, </w:t>
      </w:r>
      <w:r w:rsidR="003A2B24">
        <w:rPr>
          <w:rFonts w:asciiTheme="minorHAnsi" w:hAnsiTheme="minorHAnsi"/>
        </w:rPr>
        <w:t xml:space="preserve">FTI submitted its final </w:t>
      </w:r>
      <w:r w:rsidR="00A80D38">
        <w:rPr>
          <w:rFonts w:asciiTheme="minorHAnsi" w:hAnsiTheme="minorHAnsi"/>
        </w:rPr>
        <w:t xml:space="preserve">ICA </w:t>
      </w:r>
      <w:r w:rsidR="003A2B24">
        <w:rPr>
          <w:rFonts w:asciiTheme="minorHAnsi" w:hAnsiTheme="minorHAnsi"/>
        </w:rPr>
        <w:t xml:space="preserve">report </w:t>
      </w:r>
      <w:r w:rsidR="00E17EE5">
        <w:rPr>
          <w:rFonts w:asciiTheme="minorHAnsi" w:hAnsiTheme="minorHAnsi"/>
        </w:rPr>
        <w:t>to the Department</w:t>
      </w:r>
      <w:r w:rsidR="004042D9">
        <w:rPr>
          <w:rFonts w:asciiTheme="minorHAnsi" w:hAnsiTheme="minorHAnsi"/>
        </w:rPr>
        <w:t xml:space="preserve">. </w:t>
      </w:r>
      <w:r w:rsidR="00204B09" w:rsidRPr="001668BA">
        <w:t xml:space="preserve">On January 14, 2025, the Department formally accepted the </w:t>
      </w:r>
      <w:r w:rsidR="008717F3" w:rsidRPr="001668BA">
        <w:t>ICA</w:t>
      </w:r>
      <w:r w:rsidR="00A80D38" w:rsidRPr="001668BA">
        <w:t xml:space="preserve"> report</w:t>
      </w:r>
      <w:r w:rsidR="003A1E9F" w:rsidRPr="001668BA">
        <w:t xml:space="preserve">. </w:t>
      </w:r>
      <w:r w:rsidR="00E74252">
        <w:t>Included below is a</w:t>
      </w:r>
      <w:r w:rsidR="003874BC">
        <w:t>n overview</w:t>
      </w:r>
      <w:r w:rsidR="00E74252">
        <w:t xml:space="preserve"> of the ICA findings. </w:t>
      </w:r>
    </w:p>
    <w:p w14:paraId="298B6CE5" w14:textId="77777777" w:rsidR="003E3A86" w:rsidRDefault="003E3A86" w:rsidP="00BA2054">
      <w:pPr>
        <w:pStyle w:val="BodyText"/>
        <w:rPr>
          <w:rFonts w:asciiTheme="minorHAnsi" w:hAnsiTheme="minorHAnsi"/>
          <w:b/>
          <w:bCs/>
        </w:rPr>
      </w:pPr>
    </w:p>
    <w:p w14:paraId="0AEDD5FF" w14:textId="3D446B9F" w:rsidR="00D24CBB" w:rsidRDefault="00D24CBB" w:rsidP="00BA2054">
      <w:pPr>
        <w:pStyle w:val="BodyText"/>
        <w:rPr>
          <w:rFonts w:asciiTheme="minorHAnsi" w:hAnsiTheme="minorHAnsi"/>
          <w:b/>
          <w:bCs/>
        </w:rPr>
      </w:pPr>
      <w:r>
        <w:rPr>
          <w:rFonts w:asciiTheme="minorHAnsi" w:hAnsiTheme="minorHAnsi"/>
          <w:b/>
          <w:bCs/>
        </w:rPr>
        <w:t xml:space="preserve">Summary of ICA Findings </w:t>
      </w:r>
    </w:p>
    <w:p w14:paraId="7F14B5C4" w14:textId="77777777" w:rsidR="00DF6BA2" w:rsidRPr="009E7D84" w:rsidRDefault="00DF6BA2" w:rsidP="00DF6BA2">
      <w:pPr>
        <w:rPr>
          <w:rFonts w:cs="Calibri"/>
          <w:szCs w:val="24"/>
        </w:rPr>
      </w:pPr>
      <w:r w:rsidRPr="7C306529">
        <w:rPr>
          <w:rFonts w:cs="Calibri"/>
          <w:szCs w:val="24"/>
        </w:rPr>
        <w:t>FTI states that in order to address the ICA Questions, it needed to assess current utilization, volumes, and prices for cancer care services in Massachusetts. FTI’s analyses included:</w:t>
      </w:r>
    </w:p>
    <w:p w14:paraId="588E1A43" w14:textId="034B5E35" w:rsidR="00DF6BA2" w:rsidRPr="009E7D84" w:rsidRDefault="00DF6BA2" w:rsidP="00F91720">
      <w:pPr>
        <w:widowControl/>
        <w:numPr>
          <w:ilvl w:val="0"/>
          <w:numId w:val="54"/>
        </w:numPr>
        <w:autoSpaceDE/>
        <w:autoSpaceDN/>
        <w:rPr>
          <w:rFonts w:cs="Calibri"/>
          <w:szCs w:val="24"/>
        </w:rPr>
      </w:pPr>
      <w:r w:rsidRPr="009E7D84">
        <w:rPr>
          <w:rFonts w:cs="Calibri"/>
          <w:szCs w:val="24"/>
        </w:rPr>
        <w:t xml:space="preserve">Developing a methodology to identify DFCI patients </w:t>
      </w:r>
      <w:r w:rsidR="00402563">
        <w:rPr>
          <w:rFonts w:cs="Calibri"/>
          <w:szCs w:val="24"/>
        </w:rPr>
        <w:t>admitted to</w:t>
      </w:r>
      <w:r>
        <w:rPr>
          <w:rFonts w:cs="Calibri"/>
          <w:szCs w:val="24"/>
        </w:rPr>
        <w:t xml:space="preserve"> BWH-licensed beds </w:t>
      </w:r>
      <w:r w:rsidRPr="009E7D84">
        <w:rPr>
          <w:rFonts w:cs="Calibri"/>
          <w:szCs w:val="24"/>
        </w:rPr>
        <w:t>using DFCI attending physicians</w:t>
      </w:r>
    </w:p>
    <w:p w14:paraId="5E925222" w14:textId="77777777" w:rsidR="00DF6BA2" w:rsidRPr="009E7D84" w:rsidRDefault="00DF6BA2" w:rsidP="00F91720">
      <w:pPr>
        <w:widowControl/>
        <w:numPr>
          <w:ilvl w:val="0"/>
          <w:numId w:val="54"/>
        </w:numPr>
        <w:autoSpaceDE/>
        <w:autoSpaceDN/>
        <w:rPr>
          <w:rFonts w:cs="Calibri"/>
          <w:szCs w:val="24"/>
        </w:rPr>
      </w:pPr>
      <w:r w:rsidRPr="009E7D84">
        <w:rPr>
          <w:rFonts w:cs="Calibri"/>
          <w:szCs w:val="24"/>
        </w:rPr>
        <w:t>Defining five cancer care service lines based on the services currently provided by DFCI and those that would be provided through the Proposed Project</w:t>
      </w:r>
    </w:p>
    <w:p w14:paraId="2E65BB5E" w14:textId="77777777" w:rsidR="00DF6BA2" w:rsidRPr="009E7D84" w:rsidRDefault="00DF6BA2" w:rsidP="00F91720">
      <w:pPr>
        <w:widowControl/>
        <w:numPr>
          <w:ilvl w:val="0"/>
          <w:numId w:val="54"/>
        </w:numPr>
        <w:autoSpaceDE/>
        <w:autoSpaceDN/>
        <w:rPr>
          <w:rFonts w:cs="Calibri"/>
          <w:szCs w:val="24"/>
        </w:rPr>
      </w:pPr>
      <w:r w:rsidRPr="009E7D84">
        <w:rPr>
          <w:rFonts w:cs="Calibri"/>
          <w:szCs w:val="24"/>
        </w:rPr>
        <w:t>Defining service areas for each service line</w:t>
      </w:r>
    </w:p>
    <w:p w14:paraId="0FD1D6E6" w14:textId="77777777" w:rsidR="00DF6BA2" w:rsidRPr="009E7D84" w:rsidRDefault="00DF6BA2" w:rsidP="00F91720">
      <w:pPr>
        <w:widowControl/>
        <w:numPr>
          <w:ilvl w:val="0"/>
          <w:numId w:val="54"/>
        </w:numPr>
        <w:autoSpaceDE/>
        <w:autoSpaceDN/>
        <w:rPr>
          <w:rFonts w:cs="Calibri"/>
          <w:szCs w:val="24"/>
        </w:rPr>
      </w:pPr>
      <w:r w:rsidRPr="009E7D84">
        <w:rPr>
          <w:rFonts w:cs="Calibri"/>
          <w:szCs w:val="24"/>
        </w:rPr>
        <w:t>Estimating current demand for services</w:t>
      </w:r>
      <w:r>
        <w:rPr>
          <w:rFonts w:cs="Calibri"/>
          <w:szCs w:val="24"/>
        </w:rPr>
        <w:t xml:space="preserve"> </w:t>
      </w:r>
    </w:p>
    <w:p w14:paraId="002DEF8E" w14:textId="77777777" w:rsidR="00DF6BA2" w:rsidRPr="009E7D84" w:rsidRDefault="00DF6BA2" w:rsidP="00F91720">
      <w:pPr>
        <w:widowControl/>
        <w:numPr>
          <w:ilvl w:val="0"/>
          <w:numId w:val="54"/>
        </w:numPr>
        <w:autoSpaceDE/>
        <w:autoSpaceDN/>
        <w:rPr>
          <w:rFonts w:cs="Calibri"/>
          <w:szCs w:val="24"/>
        </w:rPr>
      </w:pPr>
      <w:r w:rsidRPr="009E7D84">
        <w:rPr>
          <w:rFonts w:cs="Calibri"/>
          <w:szCs w:val="24"/>
        </w:rPr>
        <w:t>Forecasting future demand for services</w:t>
      </w:r>
    </w:p>
    <w:p w14:paraId="7D4BBE53" w14:textId="77777777" w:rsidR="00DF6BA2" w:rsidRPr="009E7D84" w:rsidRDefault="00DF6BA2" w:rsidP="00F91720">
      <w:pPr>
        <w:widowControl/>
        <w:numPr>
          <w:ilvl w:val="0"/>
          <w:numId w:val="54"/>
        </w:numPr>
        <w:autoSpaceDE/>
        <w:autoSpaceDN/>
        <w:rPr>
          <w:rFonts w:cs="Calibri"/>
          <w:szCs w:val="24"/>
        </w:rPr>
      </w:pPr>
      <w:r w:rsidRPr="009E7D84">
        <w:rPr>
          <w:rFonts w:cs="Calibri"/>
          <w:szCs w:val="24"/>
        </w:rPr>
        <w:t>Assessing DFCI’s forecasted need for services</w:t>
      </w:r>
    </w:p>
    <w:p w14:paraId="5DD168A5" w14:textId="77777777" w:rsidR="00DF6BA2" w:rsidRPr="009E7D84" w:rsidRDefault="00DF6BA2" w:rsidP="00F91720">
      <w:pPr>
        <w:widowControl/>
        <w:numPr>
          <w:ilvl w:val="0"/>
          <w:numId w:val="54"/>
        </w:numPr>
        <w:autoSpaceDE/>
        <w:autoSpaceDN/>
        <w:rPr>
          <w:rFonts w:cs="Calibri"/>
          <w:szCs w:val="24"/>
        </w:rPr>
      </w:pPr>
      <w:r w:rsidRPr="009E7D84">
        <w:rPr>
          <w:rFonts w:cs="Calibri"/>
          <w:szCs w:val="24"/>
        </w:rPr>
        <w:t>Predicting shifts in utilization between providers resulting from the Proposed Project</w:t>
      </w:r>
    </w:p>
    <w:p w14:paraId="45A858C9" w14:textId="77777777" w:rsidR="00DF6BA2" w:rsidRPr="009E7D84" w:rsidRDefault="00DF6BA2" w:rsidP="00F91720">
      <w:pPr>
        <w:widowControl/>
        <w:numPr>
          <w:ilvl w:val="0"/>
          <w:numId w:val="54"/>
        </w:numPr>
        <w:autoSpaceDE/>
        <w:autoSpaceDN/>
        <w:rPr>
          <w:rFonts w:cs="Calibri"/>
          <w:szCs w:val="24"/>
        </w:rPr>
      </w:pPr>
      <w:r w:rsidRPr="009E7D84">
        <w:rPr>
          <w:rFonts w:cs="Calibri"/>
          <w:szCs w:val="24"/>
        </w:rPr>
        <w:t>Estimating relative prices by hospital and payor</w:t>
      </w:r>
    </w:p>
    <w:p w14:paraId="6662DE80" w14:textId="77777777" w:rsidR="00DF6BA2" w:rsidRDefault="00DF6BA2" w:rsidP="00F91720">
      <w:pPr>
        <w:widowControl/>
        <w:numPr>
          <w:ilvl w:val="0"/>
          <w:numId w:val="54"/>
        </w:numPr>
        <w:autoSpaceDE/>
        <w:autoSpaceDN/>
        <w:rPr>
          <w:rFonts w:cs="Calibri"/>
          <w:szCs w:val="24"/>
        </w:rPr>
      </w:pPr>
      <w:r w:rsidRPr="009E7D84">
        <w:rPr>
          <w:rFonts w:cs="Calibri"/>
          <w:szCs w:val="24"/>
        </w:rPr>
        <w:t>Assessing the impacts of the Proposed Project on provider shares and prices, and on total medical spending</w:t>
      </w:r>
    </w:p>
    <w:p w14:paraId="79FEB946" w14:textId="77777777" w:rsidR="00DF6BA2" w:rsidRPr="009E7D84" w:rsidRDefault="00DF6BA2" w:rsidP="00DF6BA2">
      <w:pPr>
        <w:ind w:left="720"/>
        <w:rPr>
          <w:rFonts w:cs="Calibri"/>
          <w:szCs w:val="24"/>
        </w:rPr>
      </w:pPr>
    </w:p>
    <w:p w14:paraId="3C16BE65" w14:textId="77777777" w:rsidR="00DF6BA2" w:rsidRPr="009E7D84" w:rsidRDefault="00DF6BA2" w:rsidP="00DF6BA2">
      <w:pPr>
        <w:rPr>
          <w:rFonts w:cs="Calibri"/>
          <w:szCs w:val="24"/>
        </w:rPr>
      </w:pPr>
      <w:r w:rsidRPr="009E7D84">
        <w:rPr>
          <w:rFonts w:cs="Calibri"/>
          <w:szCs w:val="24"/>
        </w:rPr>
        <w:t xml:space="preserve">The ICA analysis assumes the Proposed Project will be operational in 2025. FTI projected utilization and demand in five-year increments for fifteen years starting in 2025 and ending in 2040. </w:t>
      </w:r>
    </w:p>
    <w:p w14:paraId="4F930E38" w14:textId="3F189949" w:rsidR="00DF6BA2" w:rsidRPr="008C3955" w:rsidRDefault="00DF6BA2" w:rsidP="00DF6BA2">
      <w:pPr>
        <w:rPr>
          <w:rFonts w:cs="Calibri"/>
          <w:szCs w:val="24"/>
        </w:rPr>
      </w:pPr>
      <w:r w:rsidRPr="7C306529">
        <w:rPr>
          <w:rFonts w:cs="Calibri"/>
          <w:szCs w:val="24"/>
        </w:rPr>
        <w:t xml:space="preserve">The ICA report </w:t>
      </w:r>
      <w:r>
        <w:rPr>
          <w:rFonts w:cs="Calibri"/>
          <w:szCs w:val="24"/>
        </w:rPr>
        <w:t>concludes</w:t>
      </w:r>
      <w:r w:rsidRPr="7C306529">
        <w:rPr>
          <w:rFonts w:cs="Calibri"/>
          <w:szCs w:val="24"/>
        </w:rPr>
        <w:t>, “For each component of the Proposed Project and across all assessed time horizons, this report finds that the baseline projected impacts of the project on healthcare expenditures fall below the Commonwealth’s established benchmark growth rate.”</w:t>
      </w:r>
      <w:r w:rsidR="006E434E">
        <w:rPr>
          <w:rStyle w:val="FootnoteReference"/>
          <w:rFonts w:cs="Calibri"/>
          <w:szCs w:val="24"/>
        </w:rPr>
        <w:footnoteReference w:id="101"/>
      </w:r>
      <w:r w:rsidRPr="7C306529">
        <w:rPr>
          <w:rFonts w:cs="Calibri"/>
          <w:szCs w:val="24"/>
        </w:rPr>
        <w:t xml:space="preserve"> As noted in the ICA report, the Massachusetts Health Care Cost Growth Benchmark is set at 3.6%. </w:t>
      </w:r>
    </w:p>
    <w:p w14:paraId="579558E7" w14:textId="77777777" w:rsidR="00DF6BA2" w:rsidRDefault="00DF6BA2" w:rsidP="00DF6BA2">
      <w:pPr>
        <w:rPr>
          <w:rFonts w:cs="Calibri"/>
          <w:b/>
          <w:bCs/>
          <w:szCs w:val="24"/>
        </w:rPr>
      </w:pPr>
    </w:p>
    <w:p w14:paraId="1780789A" w14:textId="77777777" w:rsidR="00DF6BA2" w:rsidRDefault="00DF6BA2" w:rsidP="00DF6BA2">
      <w:pPr>
        <w:rPr>
          <w:rFonts w:cs="Calibri"/>
          <w:b/>
          <w:bCs/>
          <w:szCs w:val="24"/>
        </w:rPr>
      </w:pPr>
      <w:r w:rsidRPr="008A603E">
        <w:rPr>
          <w:rFonts w:cs="Calibri"/>
          <w:b/>
          <w:bCs/>
          <w:szCs w:val="24"/>
        </w:rPr>
        <w:t>Inpatient Cancer Care</w:t>
      </w:r>
      <w:r>
        <w:rPr>
          <w:rStyle w:val="FootnoteReference"/>
          <w:rFonts w:cs="Calibri"/>
          <w:b/>
          <w:bCs/>
          <w:szCs w:val="24"/>
        </w:rPr>
        <w:footnoteReference w:id="102"/>
      </w:r>
      <w:r w:rsidRPr="008A603E">
        <w:rPr>
          <w:rFonts w:cs="Calibri"/>
          <w:b/>
          <w:bCs/>
          <w:szCs w:val="24"/>
        </w:rPr>
        <w:t xml:space="preserve"> </w:t>
      </w:r>
    </w:p>
    <w:p w14:paraId="369F67E4" w14:textId="77777777" w:rsidR="00DF6BA2" w:rsidRDefault="00DF6BA2" w:rsidP="00DF6BA2">
      <w:pPr>
        <w:rPr>
          <w:rFonts w:cs="Calibri"/>
          <w:szCs w:val="24"/>
        </w:rPr>
      </w:pPr>
      <w:r>
        <w:rPr>
          <w:rFonts w:cs="Calibri"/>
          <w:szCs w:val="24"/>
        </w:rPr>
        <w:t xml:space="preserve">Proposed Project: </w:t>
      </w:r>
      <w:r w:rsidRPr="002262A2">
        <w:rPr>
          <w:rFonts w:cs="Calibri"/>
          <w:szCs w:val="24"/>
        </w:rPr>
        <w:t>300 adult inpatient beds (280 (M/S) and 20 (ICU</w:t>
      </w:r>
      <w:r>
        <w:rPr>
          <w:rFonts w:cs="Calibri"/>
          <w:szCs w:val="24"/>
        </w:rPr>
        <w:t>))</w:t>
      </w:r>
    </w:p>
    <w:p w14:paraId="1EF99A22" w14:textId="77777777" w:rsidR="0066667D" w:rsidRDefault="0066667D" w:rsidP="00DF6BA2">
      <w:pPr>
        <w:rPr>
          <w:rFonts w:cs="Calibri"/>
          <w:szCs w:val="24"/>
        </w:rPr>
      </w:pPr>
    </w:p>
    <w:p w14:paraId="1C61554B" w14:textId="77777777" w:rsidR="00DF6BA2" w:rsidRPr="007D40F1" w:rsidRDefault="00DF6BA2" w:rsidP="00DF6BA2">
      <w:pPr>
        <w:rPr>
          <w:rFonts w:cs="Calibri"/>
          <w:szCs w:val="24"/>
        </w:rPr>
      </w:pPr>
      <w:r w:rsidRPr="007D40F1">
        <w:rPr>
          <w:rFonts w:cs="Calibri"/>
          <w:szCs w:val="24"/>
        </w:rPr>
        <w:t>FTI conducted an analyses of inpatient cancer care on a statewide basis.</w:t>
      </w:r>
    </w:p>
    <w:p w14:paraId="5D11F250" w14:textId="77777777" w:rsidR="00DF6BA2" w:rsidRPr="000074EE" w:rsidRDefault="00DF6BA2" w:rsidP="00DF6BA2">
      <w:pPr>
        <w:rPr>
          <w:rFonts w:cs="Calibri"/>
          <w:i/>
          <w:iCs/>
          <w:szCs w:val="24"/>
        </w:rPr>
      </w:pPr>
      <w:r w:rsidRPr="000074EE">
        <w:rPr>
          <w:rFonts w:cs="Calibri"/>
          <w:i/>
          <w:iCs/>
          <w:szCs w:val="24"/>
        </w:rPr>
        <w:t xml:space="preserve">Current </w:t>
      </w:r>
      <w:r>
        <w:rPr>
          <w:rFonts w:cs="Calibri"/>
          <w:i/>
          <w:iCs/>
          <w:szCs w:val="24"/>
        </w:rPr>
        <w:t>P</w:t>
      </w:r>
      <w:r w:rsidRPr="000074EE">
        <w:rPr>
          <w:rFonts w:cs="Calibri"/>
          <w:i/>
          <w:iCs/>
          <w:szCs w:val="24"/>
        </w:rPr>
        <w:t xml:space="preserve">rovision of </w:t>
      </w:r>
      <w:r>
        <w:rPr>
          <w:rFonts w:cs="Calibri"/>
          <w:i/>
          <w:iCs/>
          <w:szCs w:val="24"/>
        </w:rPr>
        <w:t>S</w:t>
      </w:r>
      <w:r w:rsidRPr="000074EE">
        <w:rPr>
          <w:rFonts w:cs="Calibri"/>
          <w:i/>
          <w:iCs/>
          <w:szCs w:val="24"/>
        </w:rPr>
        <w:t xml:space="preserve">ervices </w:t>
      </w:r>
    </w:p>
    <w:p w14:paraId="1489DFA0" w14:textId="77777777" w:rsidR="00DF6BA2" w:rsidRDefault="00DF6BA2" w:rsidP="00F91720">
      <w:pPr>
        <w:pStyle w:val="ListParagraph"/>
        <w:widowControl/>
        <w:numPr>
          <w:ilvl w:val="0"/>
          <w:numId w:val="46"/>
        </w:numPr>
        <w:autoSpaceDE/>
        <w:autoSpaceDN/>
        <w:spacing w:after="160"/>
        <w:contextualSpacing/>
        <w:rPr>
          <w:rFonts w:cs="Calibri"/>
          <w:szCs w:val="24"/>
        </w:rPr>
      </w:pPr>
      <w:r w:rsidRPr="000074EE">
        <w:rPr>
          <w:rFonts w:cs="Calibri"/>
          <w:szCs w:val="24"/>
        </w:rPr>
        <w:t xml:space="preserve">Inpatient cancer care is provided in more than seventy hospitals across more than twenty health systems statewide. </w:t>
      </w:r>
    </w:p>
    <w:p w14:paraId="0854BA92" w14:textId="77777777" w:rsidR="00DF6BA2" w:rsidRPr="000074EE" w:rsidRDefault="00DF6BA2" w:rsidP="00F91720">
      <w:pPr>
        <w:pStyle w:val="ListParagraph"/>
        <w:widowControl/>
        <w:numPr>
          <w:ilvl w:val="0"/>
          <w:numId w:val="46"/>
        </w:numPr>
        <w:autoSpaceDE/>
        <w:autoSpaceDN/>
        <w:spacing w:after="160"/>
        <w:contextualSpacing/>
        <w:rPr>
          <w:rFonts w:cs="Calibri"/>
          <w:szCs w:val="24"/>
        </w:rPr>
      </w:pPr>
      <w:r w:rsidRPr="000074EE">
        <w:rPr>
          <w:rFonts w:cs="Calibri"/>
          <w:szCs w:val="24"/>
        </w:rPr>
        <w:t xml:space="preserve">There were </w:t>
      </w:r>
      <w:r w:rsidRPr="000074EE">
        <w:rPr>
          <w:rFonts w:cs="Calibri"/>
          <w:b/>
          <w:bCs/>
          <w:szCs w:val="24"/>
        </w:rPr>
        <w:t>73,155</w:t>
      </w:r>
      <w:r w:rsidRPr="000074EE">
        <w:rPr>
          <w:rFonts w:cs="Calibri"/>
          <w:szCs w:val="24"/>
        </w:rPr>
        <w:t xml:space="preserve"> Massachusetts inpatient cancer care discharges in 2022; </w:t>
      </w:r>
      <w:r w:rsidRPr="000074EE">
        <w:rPr>
          <w:rFonts w:cs="Calibri"/>
          <w:b/>
          <w:bCs/>
          <w:szCs w:val="24"/>
        </w:rPr>
        <w:t>63,576</w:t>
      </w:r>
      <w:r w:rsidRPr="000074EE">
        <w:rPr>
          <w:rFonts w:cs="Calibri"/>
          <w:szCs w:val="24"/>
        </w:rPr>
        <w:t xml:space="preserve"> discharges are classified as medical and </w:t>
      </w:r>
      <w:r w:rsidRPr="000074EE">
        <w:rPr>
          <w:rFonts w:cs="Calibri"/>
          <w:b/>
          <w:bCs/>
          <w:szCs w:val="24"/>
        </w:rPr>
        <w:t>9,579</w:t>
      </w:r>
      <w:r w:rsidRPr="000074EE">
        <w:rPr>
          <w:rFonts w:cs="Calibri"/>
          <w:szCs w:val="24"/>
        </w:rPr>
        <w:t xml:space="preserve"> are classified surgical. </w:t>
      </w:r>
    </w:p>
    <w:p w14:paraId="3586246B" w14:textId="4C0ADC20" w:rsidR="00DF6BA2" w:rsidRPr="000074EE" w:rsidRDefault="00DF6BA2" w:rsidP="00F91720">
      <w:pPr>
        <w:pStyle w:val="ListParagraph"/>
        <w:widowControl/>
        <w:numPr>
          <w:ilvl w:val="0"/>
          <w:numId w:val="46"/>
        </w:numPr>
        <w:autoSpaceDE/>
        <w:autoSpaceDN/>
        <w:spacing w:after="160"/>
        <w:contextualSpacing/>
        <w:rPr>
          <w:rFonts w:cs="Calibri"/>
          <w:szCs w:val="24"/>
        </w:rPr>
      </w:pPr>
      <w:r w:rsidRPr="000074EE">
        <w:rPr>
          <w:rFonts w:cs="Calibri"/>
          <w:szCs w:val="24"/>
        </w:rPr>
        <w:t xml:space="preserve">DFCI accounted for </w:t>
      </w:r>
      <w:r w:rsidRPr="000074EE">
        <w:rPr>
          <w:rFonts w:cs="Calibri"/>
          <w:b/>
          <w:bCs/>
          <w:szCs w:val="24"/>
        </w:rPr>
        <w:t>7,456</w:t>
      </w:r>
      <w:r w:rsidRPr="000074EE">
        <w:rPr>
          <w:rFonts w:cs="Calibri"/>
          <w:szCs w:val="24"/>
        </w:rPr>
        <w:t xml:space="preserve"> inpatient cancer care discharges in 2022, which is </w:t>
      </w:r>
      <w:r w:rsidRPr="000074EE">
        <w:rPr>
          <w:rFonts w:cs="Calibri"/>
          <w:b/>
          <w:bCs/>
          <w:szCs w:val="24"/>
        </w:rPr>
        <w:t>10.2%</w:t>
      </w:r>
      <w:r w:rsidRPr="000074EE">
        <w:rPr>
          <w:rFonts w:cs="Calibri"/>
          <w:szCs w:val="24"/>
        </w:rPr>
        <w:t xml:space="preserve"> of the state total. Of these, </w:t>
      </w:r>
      <w:r w:rsidRPr="003856D5">
        <w:rPr>
          <w:rFonts w:cs="Calibri"/>
          <w:b/>
          <w:bCs/>
          <w:szCs w:val="24"/>
        </w:rPr>
        <w:t>1,022</w:t>
      </w:r>
      <w:r w:rsidRPr="000074EE">
        <w:rPr>
          <w:rFonts w:cs="Calibri"/>
          <w:szCs w:val="24"/>
        </w:rPr>
        <w:t xml:space="preserve"> occurred in DFCI</w:t>
      </w:r>
      <w:r w:rsidR="00C936AD">
        <w:rPr>
          <w:rFonts w:cs="Calibri"/>
          <w:szCs w:val="24"/>
        </w:rPr>
        <w:t>’s 30</w:t>
      </w:r>
      <w:r w:rsidRPr="000074EE">
        <w:rPr>
          <w:rFonts w:cs="Calibri"/>
          <w:szCs w:val="24"/>
        </w:rPr>
        <w:t xml:space="preserve"> licensed beds and the remaining </w:t>
      </w:r>
      <w:r w:rsidRPr="00F25CD5">
        <w:rPr>
          <w:rFonts w:cs="Calibri"/>
          <w:b/>
          <w:bCs/>
          <w:szCs w:val="24"/>
        </w:rPr>
        <w:t>6,434</w:t>
      </w:r>
      <w:r w:rsidRPr="000074EE">
        <w:rPr>
          <w:rFonts w:cs="Calibri"/>
          <w:szCs w:val="24"/>
        </w:rPr>
        <w:t xml:space="preserve"> occurred in </w:t>
      </w:r>
      <w:r w:rsidR="007D1A01">
        <w:rPr>
          <w:rFonts w:cs="Calibri"/>
          <w:szCs w:val="24"/>
        </w:rPr>
        <w:t>BWH-licensed beds</w:t>
      </w:r>
      <w:r w:rsidRPr="000074EE">
        <w:rPr>
          <w:rFonts w:cs="Calibri"/>
          <w:szCs w:val="24"/>
        </w:rPr>
        <w:t xml:space="preserve">. Of DFCI’s inpatient cancer care discharges, </w:t>
      </w:r>
      <w:r w:rsidRPr="000074EE">
        <w:rPr>
          <w:rFonts w:cs="Calibri"/>
          <w:b/>
          <w:bCs/>
          <w:szCs w:val="24"/>
        </w:rPr>
        <w:t>5,923</w:t>
      </w:r>
      <w:r w:rsidRPr="000074EE">
        <w:rPr>
          <w:rFonts w:cs="Calibri"/>
          <w:szCs w:val="24"/>
        </w:rPr>
        <w:t xml:space="preserve"> were medical </w:t>
      </w:r>
      <w:r>
        <w:rPr>
          <w:rFonts w:cs="Calibri"/>
          <w:szCs w:val="24"/>
        </w:rPr>
        <w:t xml:space="preserve">care </w:t>
      </w:r>
      <w:r w:rsidRPr="000074EE">
        <w:rPr>
          <w:rFonts w:cs="Calibri"/>
          <w:szCs w:val="24"/>
        </w:rPr>
        <w:t xml:space="preserve">and </w:t>
      </w:r>
      <w:r w:rsidRPr="000074EE">
        <w:rPr>
          <w:rFonts w:cs="Calibri"/>
          <w:b/>
          <w:bCs/>
          <w:szCs w:val="24"/>
        </w:rPr>
        <w:t>1,533</w:t>
      </w:r>
      <w:r w:rsidRPr="000074EE">
        <w:rPr>
          <w:rFonts w:cs="Calibri"/>
          <w:szCs w:val="24"/>
        </w:rPr>
        <w:t xml:space="preserve"> were surgical</w:t>
      </w:r>
      <w:r>
        <w:rPr>
          <w:rFonts w:cs="Calibri"/>
          <w:szCs w:val="24"/>
        </w:rPr>
        <w:t xml:space="preserve"> care</w:t>
      </w:r>
      <w:r w:rsidRPr="000074EE">
        <w:rPr>
          <w:rFonts w:cs="Calibri"/>
          <w:szCs w:val="24"/>
        </w:rPr>
        <w:t>.</w:t>
      </w:r>
    </w:p>
    <w:p w14:paraId="762FEB3E" w14:textId="595AAA2E" w:rsidR="00DF6BA2" w:rsidRPr="000074EE" w:rsidRDefault="00DF6BA2" w:rsidP="00F91720">
      <w:pPr>
        <w:pStyle w:val="ListParagraph"/>
        <w:widowControl/>
        <w:numPr>
          <w:ilvl w:val="0"/>
          <w:numId w:val="46"/>
        </w:numPr>
        <w:autoSpaceDE/>
        <w:autoSpaceDN/>
        <w:spacing w:after="160"/>
        <w:contextualSpacing/>
        <w:rPr>
          <w:rFonts w:cs="Calibri"/>
          <w:szCs w:val="24"/>
        </w:rPr>
      </w:pPr>
      <w:r w:rsidRPr="7C306529">
        <w:rPr>
          <w:rFonts w:cs="Calibri"/>
          <w:szCs w:val="24"/>
        </w:rPr>
        <w:t>FTI states that, on average, DFCI serves a younger patient population that is more likely to be commercially insured than the state average. FTI also states that DFCI’s share of patients with Medicaid/MassHealth and its racial and ethnic patient distributions are in line with state averages.</w:t>
      </w:r>
    </w:p>
    <w:p w14:paraId="2760A994" w14:textId="77777777" w:rsidR="00DF6BA2" w:rsidRPr="000074EE" w:rsidRDefault="00DF6BA2" w:rsidP="00DF6BA2">
      <w:pPr>
        <w:rPr>
          <w:rFonts w:cs="Calibri"/>
          <w:i/>
          <w:iCs/>
          <w:szCs w:val="24"/>
        </w:rPr>
      </w:pPr>
      <w:r w:rsidRPr="000074EE">
        <w:rPr>
          <w:rFonts w:cs="Calibri"/>
          <w:i/>
          <w:iCs/>
          <w:szCs w:val="24"/>
        </w:rPr>
        <w:t>Change</w:t>
      </w:r>
      <w:r>
        <w:rPr>
          <w:rFonts w:cs="Calibri"/>
          <w:i/>
          <w:iCs/>
          <w:szCs w:val="24"/>
        </w:rPr>
        <w:t>s</w:t>
      </w:r>
      <w:r w:rsidRPr="000074EE">
        <w:rPr>
          <w:rFonts w:cs="Calibri"/>
          <w:i/>
          <w:iCs/>
          <w:szCs w:val="24"/>
        </w:rPr>
        <w:t xml:space="preserve"> in Utilization</w:t>
      </w:r>
    </w:p>
    <w:p w14:paraId="42565693" w14:textId="77777777" w:rsidR="00DF6BA2" w:rsidRDefault="00DF6BA2" w:rsidP="00F91720">
      <w:pPr>
        <w:pStyle w:val="ListParagraph"/>
        <w:widowControl/>
        <w:numPr>
          <w:ilvl w:val="0"/>
          <w:numId w:val="47"/>
        </w:numPr>
        <w:autoSpaceDE/>
        <w:autoSpaceDN/>
        <w:spacing w:after="160"/>
        <w:contextualSpacing/>
        <w:rPr>
          <w:rFonts w:cs="Calibri"/>
          <w:szCs w:val="24"/>
        </w:rPr>
      </w:pPr>
      <w:r w:rsidRPr="000074EE">
        <w:rPr>
          <w:rFonts w:cs="Calibri"/>
          <w:szCs w:val="24"/>
        </w:rPr>
        <w:t xml:space="preserve">FTI projects that total utilization of inpatient cancer care across all regions in the state will increase by </w:t>
      </w:r>
      <w:r w:rsidRPr="000074EE">
        <w:rPr>
          <w:rFonts w:cs="Calibri"/>
          <w:b/>
          <w:bCs/>
          <w:szCs w:val="24"/>
        </w:rPr>
        <w:t>26.8%</w:t>
      </w:r>
      <w:r w:rsidRPr="000074EE">
        <w:rPr>
          <w:rFonts w:cs="Calibri"/>
          <w:szCs w:val="24"/>
        </w:rPr>
        <w:t xml:space="preserve"> from </w:t>
      </w:r>
      <w:r w:rsidRPr="009545B6">
        <w:rPr>
          <w:rFonts w:cs="Calibri"/>
          <w:b/>
          <w:bCs/>
          <w:szCs w:val="24"/>
        </w:rPr>
        <w:t>78,122</w:t>
      </w:r>
      <w:r w:rsidRPr="000074EE">
        <w:rPr>
          <w:rFonts w:cs="Calibri"/>
          <w:szCs w:val="24"/>
        </w:rPr>
        <w:t xml:space="preserve"> discharges in </w:t>
      </w:r>
      <w:r w:rsidRPr="009545B6">
        <w:rPr>
          <w:rFonts w:cs="Calibri"/>
          <w:b/>
          <w:bCs/>
          <w:szCs w:val="24"/>
        </w:rPr>
        <w:t>2025</w:t>
      </w:r>
      <w:r w:rsidRPr="000074EE">
        <w:rPr>
          <w:rFonts w:cs="Calibri"/>
          <w:szCs w:val="24"/>
        </w:rPr>
        <w:t xml:space="preserve"> to </w:t>
      </w:r>
      <w:r w:rsidRPr="009545B6">
        <w:rPr>
          <w:rFonts w:cs="Calibri"/>
          <w:b/>
          <w:bCs/>
          <w:szCs w:val="24"/>
        </w:rPr>
        <w:t>99,070</w:t>
      </w:r>
      <w:r w:rsidRPr="000074EE">
        <w:rPr>
          <w:rFonts w:cs="Calibri"/>
          <w:szCs w:val="24"/>
        </w:rPr>
        <w:t xml:space="preserve"> discharges in </w:t>
      </w:r>
      <w:r w:rsidRPr="009545B6">
        <w:rPr>
          <w:rFonts w:cs="Calibri"/>
          <w:b/>
          <w:bCs/>
          <w:szCs w:val="24"/>
        </w:rPr>
        <w:t>2040</w:t>
      </w:r>
      <w:r w:rsidRPr="000074EE">
        <w:rPr>
          <w:rFonts w:cs="Calibri"/>
          <w:szCs w:val="24"/>
        </w:rPr>
        <w:t xml:space="preserve">. </w:t>
      </w:r>
    </w:p>
    <w:p w14:paraId="05442E02" w14:textId="77777777" w:rsidR="00DF6BA2" w:rsidRPr="000074EE" w:rsidRDefault="00DF6BA2" w:rsidP="00F91720">
      <w:pPr>
        <w:pStyle w:val="ListParagraph"/>
        <w:widowControl/>
        <w:numPr>
          <w:ilvl w:val="0"/>
          <w:numId w:val="47"/>
        </w:numPr>
        <w:autoSpaceDE/>
        <w:autoSpaceDN/>
        <w:spacing w:after="160"/>
        <w:contextualSpacing/>
        <w:rPr>
          <w:rFonts w:cs="Calibri"/>
          <w:szCs w:val="24"/>
        </w:rPr>
      </w:pPr>
      <w:r w:rsidRPr="7C306529">
        <w:rPr>
          <w:rFonts w:cs="Calibri"/>
          <w:szCs w:val="24"/>
        </w:rPr>
        <w:t>FTI states that this increase will occur with or without the Proposed Project</w:t>
      </w:r>
      <w:r>
        <w:t xml:space="preserve">, and that the </w:t>
      </w:r>
      <w:r w:rsidRPr="7C306529">
        <w:rPr>
          <w:rFonts w:cs="Calibri"/>
          <w:szCs w:val="24"/>
        </w:rPr>
        <w:t>most significant drivers of the increase are an aging population and growth in cancer incidence.</w:t>
      </w:r>
      <w:r>
        <w:rPr>
          <w:rStyle w:val="FootnoteReference"/>
          <w:rFonts w:cs="Calibri"/>
          <w:szCs w:val="24"/>
        </w:rPr>
        <w:footnoteReference w:id="103"/>
      </w:r>
    </w:p>
    <w:p w14:paraId="23A5A5B8" w14:textId="77777777" w:rsidR="00DF6BA2" w:rsidRPr="00FA22EB" w:rsidRDefault="00DF6BA2" w:rsidP="00DF6BA2">
      <w:pPr>
        <w:rPr>
          <w:rFonts w:cs="Calibri"/>
          <w:i/>
          <w:iCs/>
          <w:szCs w:val="24"/>
        </w:rPr>
      </w:pPr>
      <w:r w:rsidRPr="00FA22EB">
        <w:rPr>
          <w:rFonts w:cs="Calibri"/>
          <w:i/>
          <w:iCs/>
          <w:szCs w:val="24"/>
        </w:rPr>
        <w:t>Shifts in Utilization</w:t>
      </w:r>
    </w:p>
    <w:p w14:paraId="24D35704" w14:textId="0D5044BA" w:rsidR="00DF6BA2" w:rsidRPr="007A6009" w:rsidRDefault="00DF6BA2" w:rsidP="00DF6BA2">
      <w:pPr>
        <w:rPr>
          <w:rFonts w:cs="Calibri"/>
          <w:szCs w:val="24"/>
        </w:rPr>
      </w:pPr>
      <w:r>
        <w:rPr>
          <w:rFonts w:cs="Calibri"/>
          <w:szCs w:val="24"/>
        </w:rPr>
        <w:t>FTI projects e</w:t>
      </w:r>
      <w:r w:rsidRPr="007A6009">
        <w:rPr>
          <w:rFonts w:cs="Calibri"/>
          <w:szCs w:val="24"/>
        </w:rPr>
        <w:t>xisting demand from DFCI and BIDMC patients to immediately exceed the capacity of the new DFCI facility</w:t>
      </w:r>
      <w:r>
        <w:rPr>
          <w:rFonts w:cs="Calibri"/>
          <w:szCs w:val="24"/>
        </w:rPr>
        <w:t xml:space="preserve">. </w:t>
      </w:r>
      <w:r w:rsidRPr="007A6009">
        <w:rPr>
          <w:rFonts w:cs="Calibri"/>
          <w:szCs w:val="24"/>
        </w:rPr>
        <w:t>FTI states that this will occur with no other projected changes in utilization at other hospitals, with no diversion of resources away from existing safety net providers, and without any increase in the use of specialized cancer treatments such as CAR T-</w:t>
      </w:r>
      <w:r w:rsidR="00570A71">
        <w:rPr>
          <w:rFonts w:cs="Calibri"/>
          <w:szCs w:val="24"/>
        </w:rPr>
        <w:t>c</w:t>
      </w:r>
      <w:r w:rsidRPr="007A6009">
        <w:rPr>
          <w:rFonts w:cs="Calibri"/>
          <w:szCs w:val="24"/>
        </w:rPr>
        <w:t xml:space="preserve">ell Therapy and Bi Specific Antibodies. </w:t>
      </w:r>
    </w:p>
    <w:p w14:paraId="5ABDFFC1" w14:textId="77777777" w:rsidR="00DF6BA2" w:rsidRDefault="00DF6BA2" w:rsidP="00F91720">
      <w:pPr>
        <w:pStyle w:val="ListParagraph"/>
        <w:widowControl/>
        <w:numPr>
          <w:ilvl w:val="0"/>
          <w:numId w:val="44"/>
        </w:numPr>
        <w:autoSpaceDE/>
        <w:autoSpaceDN/>
        <w:spacing w:after="160"/>
        <w:contextualSpacing/>
        <w:rPr>
          <w:rFonts w:cs="Calibri"/>
          <w:szCs w:val="24"/>
        </w:rPr>
      </w:pPr>
      <w:r w:rsidRPr="007A6009">
        <w:rPr>
          <w:rFonts w:cs="Calibri"/>
          <w:szCs w:val="24"/>
        </w:rPr>
        <w:lastRenderedPageBreak/>
        <w:t xml:space="preserve">The new facility’s maximum </w:t>
      </w:r>
      <w:r w:rsidRPr="007A6009">
        <w:rPr>
          <w:rFonts w:cs="Calibri"/>
          <w:b/>
          <w:bCs/>
          <w:szCs w:val="24"/>
        </w:rPr>
        <w:t>average daily census (ADC)</w:t>
      </w:r>
      <w:r w:rsidRPr="007A6009">
        <w:rPr>
          <w:rFonts w:cs="Calibri"/>
          <w:szCs w:val="24"/>
        </w:rPr>
        <w:t xml:space="preserve"> would be </w:t>
      </w:r>
      <w:r w:rsidRPr="007A6009">
        <w:rPr>
          <w:rFonts w:cs="Calibri"/>
          <w:b/>
          <w:bCs/>
          <w:szCs w:val="24"/>
        </w:rPr>
        <w:t>255</w:t>
      </w:r>
      <w:r w:rsidRPr="007A6009">
        <w:rPr>
          <w:rFonts w:cs="Calibri"/>
          <w:szCs w:val="24"/>
        </w:rPr>
        <w:t xml:space="preserve"> </w:t>
      </w:r>
      <w:r>
        <w:rPr>
          <w:rFonts w:cs="Calibri"/>
          <w:szCs w:val="24"/>
        </w:rPr>
        <w:t>b</w:t>
      </w:r>
      <w:r w:rsidRPr="007A6009">
        <w:rPr>
          <w:rFonts w:cs="Calibri"/>
          <w:szCs w:val="24"/>
        </w:rPr>
        <w:t xml:space="preserve">ased on a 85% maximum occupancy. </w:t>
      </w:r>
      <w:r>
        <w:rPr>
          <w:rFonts w:cs="Calibri"/>
          <w:szCs w:val="24"/>
        </w:rPr>
        <w:t xml:space="preserve">FTI estimates that if </w:t>
      </w:r>
      <w:r w:rsidRPr="007A6009">
        <w:rPr>
          <w:rFonts w:cs="Calibri"/>
          <w:szCs w:val="24"/>
        </w:rPr>
        <w:t xml:space="preserve">all DFCI and BIDMC’s 2025 projected medical inpatient cancer care discharges (11,270) shift to the new DFCI facility, it would have an </w:t>
      </w:r>
      <w:r w:rsidRPr="007A6009">
        <w:rPr>
          <w:rFonts w:cs="Calibri"/>
          <w:b/>
          <w:bCs/>
          <w:szCs w:val="24"/>
        </w:rPr>
        <w:t xml:space="preserve">ADC of 265 </w:t>
      </w:r>
      <w:r w:rsidRPr="007A6009">
        <w:rPr>
          <w:rFonts w:cs="Calibri"/>
          <w:szCs w:val="24"/>
        </w:rPr>
        <w:t xml:space="preserve">in 2025. When accounting for out-of-state demand, the ADC would increase by another </w:t>
      </w:r>
      <w:r w:rsidRPr="007A6009">
        <w:rPr>
          <w:rFonts w:cs="Calibri"/>
          <w:b/>
          <w:bCs/>
          <w:szCs w:val="24"/>
        </w:rPr>
        <w:t>33</w:t>
      </w:r>
      <w:r w:rsidRPr="007A6009">
        <w:rPr>
          <w:rFonts w:cs="Calibri"/>
          <w:szCs w:val="24"/>
        </w:rPr>
        <w:t xml:space="preserve"> patients. </w:t>
      </w:r>
    </w:p>
    <w:p w14:paraId="46097E02" w14:textId="77777777" w:rsidR="00DF6BA2" w:rsidRDefault="00DF6BA2" w:rsidP="00F91720">
      <w:pPr>
        <w:pStyle w:val="ListParagraph"/>
        <w:widowControl/>
        <w:numPr>
          <w:ilvl w:val="0"/>
          <w:numId w:val="44"/>
        </w:numPr>
        <w:autoSpaceDE/>
        <w:autoSpaceDN/>
        <w:spacing w:after="160"/>
        <w:contextualSpacing/>
        <w:rPr>
          <w:rFonts w:cs="Calibri"/>
          <w:szCs w:val="24"/>
        </w:rPr>
      </w:pPr>
      <w:r w:rsidRPr="007A6009">
        <w:rPr>
          <w:rFonts w:cs="Calibri"/>
          <w:szCs w:val="24"/>
        </w:rPr>
        <w:t xml:space="preserve">FTI modeled a second scenario assuming an </w:t>
      </w:r>
      <w:r w:rsidRPr="007A6009">
        <w:rPr>
          <w:rFonts w:cs="Calibri"/>
          <w:b/>
          <w:bCs/>
          <w:szCs w:val="24"/>
        </w:rPr>
        <w:t>85%</w:t>
      </w:r>
      <w:r w:rsidRPr="007A6009">
        <w:rPr>
          <w:rFonts w:cs="Calibri"/>
          <w:szCs w:val="24"/>
        </w:rPr>
        <w:t xml:space="preserve"> maximum occupancy rate, and filling of the proposed hospital </w:t>
      </w:r>
      <w:r>
        <w:rPr>
          <w:rFonts w:cs="Calibri"/>
          <w:szCs w:val="24"/>
        </w:rPr>
        <w:t xml:space="preserve">first </w:t>
      </w:r>
      <w:r w:rsidRPr="007A6009">
        <w:rPr>
          <w:rFonts w:cs="Calibri"/>
          <w:szCs w:val="24"/>
        </w:rPr>
        <w:t xml:space="preserve">from the transfer </w:t>
      </w:r>
      <w:r>
        <w:rPr>
          <w:rFonts w:cs="Calibri"/>
          <w:szCs w:val="24"/>
        </w:rPr>
        <w:t xml:space="preserve">of </w:t>
      </w:r>
      <w:r w:rsidRPr="007A6009">
        <w:rPr>
          <w:rFonts w:cs="Calibri"/>
          <w:szCs w:val="24"/>
        </w:rPr>
        <w:t xml:space="preserve">DFCI discharges, </w:t>
      </w:r>
      <w:r>
        <w:rPr>
          <w:rFonts w:cs="Calibri"/>
          <w:szCs w:val="24"/>
        </w:rPr>
        <w:t xml:space="preserve">then the transfer of </w:t>
      </w:r>
      <w:r w:rsidRPr="007A6009">
        <w:rPr>
          <w:rFonts w:cs="Calibri"/>
          <w:szCs w:val="24"/>
        </w:rPr>
        <w:t xml:space="preserve">DFCI out-of-state patients, </w:t>
      </w:r>
      <w:r>
        <w:rPr>
          <w:rFonts w:cs="Calibri"/>
          <w:szCs w:val="24"/>
        </w:rPr>
        <w:t>and finally</w:t>
      </w:r>
      <w:r w:rsidRPr="007A6009">
        <w:rPr>
          <w:rFonts w:cs="Calibri"/>
          <w:szCs w:val="24"/>
        </w:rPr>
        <w:t xml:space="preserve"> from BIDMC patients</w:t>
      </w:r>
      <w:r>
        <w:rPr>
          <w:rFonts w:cs="Calibri"/>
          <w:szCs w:val="24"/>
        </w:rPr>
        <w:t>. This</w:t>
      </w:r>
      <w:r w:rsidRPr="007A6009">
        <w:rPr>
          <w:rFonts w:cs="Calibri"/>
          <w:szCs w:val="24"/>
        </w:rPr>
        <w:t xml:space="preserve"> </w:t>
      </w:r>
      <w:r>
        <w:rPr>
          <w:rFonts w:cs="Calibri"/>
          <w:szCs w:val="24"/>
        </w:rPr>
        <w:t xml:space="preserve">scenario </w:t>
      </w:r>
      <w:r w:rsidRPr="007A6009">
        <w:rPr>
          <w:rFonts w:cs="Calibri"/>
          <w:szCs w:val="24"/>
        </w:rPr>
        <w:t xml:space="preserve">resulted in </w:t>
      </w:r>
      <w:r w:rsidRPr="007A6009">
        <w:rPr>
          <w:rFonts w:cs="Calibri"/>
          <w:b/>
          <w:bCs/>
          <w:szCs w:val="24"/>
        </w:rPr>
        <w:t>9,529</w:t>
      </w:r>
      <w:r w:rsidRPr="007A6009">
        <w:rPr>
          <w:rFonts w:cs="Calibri"/>
          <w:szCs w:val="24"/>
        </w:rPr>
        <w:t xml:space="preserve"> medical inpatient cancer care discharges in 2025; </w:t>
      </w:r>
      <w:r w:rsidRPr="007A6009">
        <w:rPr>
          <w:rFonts w:cs="Calibri"/>
          <w:b/>
          <w:bCs/>
          <w:szCs w:val="24"/>
        </w:rPr>
        <w:t>5,136</w:t>
      </w:r>
      <w:r w:rsidRPr="007A6009">
        <w:rPr>
          <w:rFonts w:cs="Calibri"/>
          <w:szCs w:val="24"/>
        </w:rPr>
        <w:t xml:space="preserve"> from patients shifting from BWH to DFCI, </w:t>
      </w:r>
      <w:r w:rsidRPr="007A6009">
        <w:rPr>
          <w:rFonts w:cs="Calibri"/>
          <w:b/>
          <w:bCs/>
          <w:szCs w:val="24"/>
        </w:rPr>
        <w:t>1,045</w:t>
      </w:r>
      <w:r w:rsidRPr="007A6009">
        <w:rPr>
          <w:rFonts w:cs="Calibri"/>
          <w:szCs w:val="24"/>
        </w:rPr>
        <w:t xml:space="preserve"> from patients shifting from DFCI licensed beds to the proposed hospital, and </w:t>
      </w:r>
      <w:r w:rsidRPr="007A6009">
        <w:rPr>
          <w:rFonts w:cs="Calibri"/>
          <w:b/>
          <w:bCs/>
          <w:szCs w:val="24"/>
        </w:rPr>
        <w:t>3,348</w:t>
      </w:r>
      <w:r w:rsidRPr="007A6009">
        <w:rPr>
          <w:rFonts w:cs="Calibri"/>
          <w:szCs w:val="24"/>
        </w:rPr>
        <w:t xml:space="preserve"> from patients shifting from BIDMC to the proposed hospital</w:t>
      </w:r>
      <w:r>
        <w:rPr>
          <w:rFonts w:cs="Calibri"/>
          <w:szCs w:val="24"/>
        </w:rPr>
        <w:t>, reaching the proposed hospital’s capacity</w:t>
      </w:r>
      <w:r w:rsidRPr="007A6009">
        <w:rPr>
          <w:rFonts w:cs="Calibri"/>
          <w:szCs w:val="24"/>
        </w:rPr>
        <w:t xml:space="preserve">. The </w:t>
      </w:r>
      <w:r w:rsidRPr="007A6009">
        <w:rPr>
          <w:rFonts w:cs="Calibri"/>
          <w:b/>
          <w:bCs/>
          <w:szCs w:val="24"/>
        </w:rPr>
        <w:t>5,136</w:t>
      </w:r>
      <w:r w:rsidRPr="007A6009">
        <w:rPr>
          <w:rFonts w:cs="Calibri"/>
          <w:szCs w:val="24"/>
        </w:rPr>
        <w:t xml:space="preserve"> discharges represent </w:t>
      </w:r>
      <w:r w:rsidRPr="007A6009">
        <w:rPr>
          <w:rFonts w:cs="Calibri"/>
          <w:b/>
          <w:bCs/>
          <w:szCs w:val="24"/>
        </w:rPr>
        <w:t>32.5%</w:t>
      </w:r>
      <w:r w:rsidRPr="007A6009">
        <w:rPr>
          <w:rFonts w:cs="Calibri"/>
          <w:szCs w:val="24"/>
        </w:rPr>
        <w:t xml:space="preserve"> of total medical cancer care discharges that would have otherwise occurred in MGB academic medical centers.</w:t>
      </w:r>
    </w:p>
    <w:p w14:paraId="7533E5F8" w14:textId="77777777" w:rsidR="00DF6BA2" w:rsidRPr="005B70E1" w:rsidRDefault="00DF6BA2" w:rsidP="00F91720">
      <w:pPr>
        <w:pStyle w:val="ListParagraph"/>
        <w:widowControl/>
        <w:numPr>
          <w:ilvl w:val="0"/>
          <w:numId w:val="44"/>
        </w:numPr>
        <w:autoSpaceDE/>
        <w:autoSpaceDN/>
        <w:spacing w:after="160"/>
        <w:contextualSpacing/>
        <w:rPr>
          <w:rFonts w:cs="Calibri"/>
          <w:szCs w:val="24"/>
        </w:rPr>
      </w:pPr>
      <w:r w:rsidRPr="7C306529">
        <w:rPr>
          <w:rFonts w:cs="Calibri"/>
          <w:szCs w:val="24"/>
        </w:rPr>
        <w:t>FTI estimated demand at the new DFCI facility if just half of emergency department admissions</w:t>
      </w:r>
      <w:r>
        <w:rPr>
          <w:rFonts w:cs="Calibri"/>
          <w:szCs w:val="24"/>
        </w:rPr>
        <w:t xml:space="preserve"> by cancer patients</w:t>
      </w:r>
      <w:r w:rsidRPr="7C306529">
        <w:rPr>
          <w:rFonts w:cs="Calibri"/>
          <w:szCs w:val="24"/>
        </w:rPr>
        <w:t xml:space="preserve"> at BWH shifted to DFCI. FTI states the projected demand would exceed the capacity of the new DFCI facility.</w:t>
      </w:r>
    </w:p>
    <w:p w14:paraId="630A53BA" w14:textId="77777777" w:rsidR="00DF6BA2" w:rsidRPr="00050158" w:rsidRDefault="00DF6BA2" w:rsidP="00DF6BA2">
      <w:pPr>
        <w:rPr>
          <w:rFonts w:cs="Calibri"/>
          <w:i/>
          <w:iCs/>
          <w:szCs w:val="24"/>
        </w:rPr>
      </w:pPr>
      <w:r w:rsidRPr="00050158">
        <w:rPr>
          <w:rFonts w:cs="Calibri"/>
          <w:i/>
          <w:iCs/>
          <w:szCs w:val="24"/>
        </w:rPr>
        <w:t>Relative Prices</w:t>
      </w:r>
    </w:p>
    <w:p w14:paraId="1E3AF17F" w14:textId="77777777" w:rsidR="00DF6BA2" w:rsidRDefault="00DF6BA2" w:rsidP="00F91720">
      <w:pPr>
        <w:pStyle w:val="ListParagraph"/>
        <w:widowControl/>
        <w:numPr>
          <w:ilvl w:val="0"/>
          <w:numId w:val="49"/>
        </w:numPr>
        <w:autoSpaceDE/>
        <w:autoSpaceDN/>
        <w:spacing w:after="160"/>
        <w:contextualSpacing/>
        <w:rPr>
          <w:rFonts w:cs="Calibri"/>
          <w:szCs w:val="24"/>
        </w:rPr>
      </w:pPr>
      <w:r w:rsidRPr="006531FF">
        <w:rPr>
          <w:rFonts w:cs="Calibri"/>
          <w:szCs w:val="24"/>
        </w:rPr>
        <w:t xml:space="preserve">FTI estimated </w:t>
      </w:r>
      <w:r>
        <w:rPr>
          <w:rFonts w:cs="Calibri"/>
          <w:szCs w:val="24"/>
        </w:rPr>
        <w:t xml:space="preserve">relative prices by hospital and payor in 2021, and found </w:t>
      </w:r>
      <w:r w:rsidRPr="006531FF">
        <w:rPr>
          <w:rFonts w:cs="Calibri"/>
          <w:szCs w:val="24"/>
        </w:rPr>
        <w:t xml:space="preserve">that DFCI’s commercial prices </w:t>
      </w:r>
      <w:r>
        <w:rPr>
          <w:rFonts w:cs="Calibri"/>
          <w:szCs w:val="24"/>
        </w:rPr>
        <w:t xml:space="preserve">are </w:t>
      </w:r>
      <w:r w:rsidRPr="006531FF">
        <w:rPr>
          <w:rFonts w:cs="Calibri"/>
          <w:szCs w:val="24"/>
        </w:rPr>
        <w:t xml:space="preserve">on average lower than </w:t>
      </w:r>
      <w:r w:rsidRPr="008D3ADE">
        <w:rPr>
          <w:rFonts w:cs="Calibri"/>
          <w:b/>
          <w:bCs/>
          <w:szCs w:val="24"/>
        </w:rPr>
        <w:t>BWH (-20.6%)</w:t>
      </w:r>
      <w:r w:rsidRPr="006531FF">
        <w:rPr>
          <w:rFonts w:cs="Calibri"/>
          <w:szCs w:val="24"/>
        </w:rPr>
        <w:t xml:space="preserve"> and </w:t>
      </w:r>
      <w:r w:rsidRPr="008D3ADE">
        <w:rPr>
          <w:rFonts w:cs="Calibri"/>
          <w:b/>
          <w:bCs/>
          <w:szCs w:val="24"/>
        </w:rPr>
        <w:t>BIDMC (-19.8%)</w:t>
      </w:r>
      <w:r w:rsidRPr="006531FF">
        <w:rPr>
          <w:rFonts w:cs="Calibri"/>
          <w:szCs w:val="24"/>
        </w:rPr>
        <w:t>. Medicare reimbursement is similar between DFCI and BIDMC, with BWH having somewhat higher average reimbursement. DFCI’s average, acuity adjusted MassHealth reimbursement is marginally higher than at BWH; BIDMC has significantly lower estimated MassHealth reimbursement.</w:t>
      </w:r>
    </w:p>
    <w:p w14:paraId="3BC99363" w14:textId="77777777" w:rsidR="00DF6BA2" w:rsidRPr="006531FF" w:rsidRDefault="00DF6BA2" w:rsidP="00DF6BA2">
      <w:pPr>
        <w:pStyle w:val="ListParagraph"/>
        <w:rPr>
          <w:rFonts w:cs="Calibri"/>
          <w:szCs w:val="24"/>
        </w:rPr>
      </w:pPr>
    </w:p>
    <w:p w14:paraId="3F2813E2" w14:textId="77777777" w:rsidR="00DF6BA2" w:rsidRPr="006531FF" w:rsidRDefault="00DF6BA2" w:rsidP="00DF6BA2">
      <w:pPr>
        <w:rPr>
          <w:rFonts w:cs="Calibri"/>
          <w:i/>
          <w:iCs/>
          <w:szCs w:val="24"/>
        </w:rPr>
      </w:pPr>
      <w:r w:rsidRPr="006531FF">
        <w:rPr>
          <w:rFonts w:cs="Calibri"/>
          <w:i/>
          <w:iCs/>
          <w:szCs w:val="24"/>
        </w:rPr>
        <w:t xml:space="preserve">Changes in </w:t>
      </w:r>
      <w:r>
        <w:rPr>
          <w:rFonts w:cs="Calibri"/>
          <w:i/>
          <w:iCs/>
          <w:szCs w:val="24"/>
        </w:rPr>
        <w:t xml:space="preserve">Market </w:t>
      </w:r>
      <w:r w:rsidRPr="006531FF">
        <w:rPr>
          <w:rFonts w:cs="Calibri"/>
          <w:i/>
          <w:iCs/>
          <w:szCs w:val="24"/>
        </w:rPr>
        <w:t>Share</w:t>
      </w:r>
    </w:p>
    <w:p w14:paraId="7F8F938C" w14:textId="47CDCB22" w:rsidR="00DF6BA2" w:rsidRPr="006531FF" w:rsidRDefault="00DF6BA2" w:rsidP="00F91720">
      <w:pPr>
        <w:pStyle w:val="ListParagraph"/>
        <w:widowControl/>
        <w:numPr>
          <w:ilvl w:val="0"/>
          <w:numId w:val="48"/>
        </w:numPr>
        <w:autoSpaceDE/>
        <w:autoSpaceDN/>
        <w:spacing w:after="160"/>
        <w:contextualSpacing/>
        <w:rPr>
          <w:rFonts w:cs="Calibri"/>
          <w:szCs w:val="24"/>
        </w:rPr>
      </w:pPr>
      <w:r w:rsidRPr="006531FF">
        <w:rPr>
          <w:rFonts w:cs="Calibri"/>
          <w:szCs w:val="24"/>
        </w:rPr>
        <w:t xml:space="preserve">FTI forecasts DFCI’s facility share of commercial inpatient cancer care discharges to increase by </w:t>
      </w:r>
      <w:r w:rsidRPr="006531FF">
        <w:rPr>
          <w:rFonts w:cs="Calibri"/>
          <w:b/>
          <w:bCs/>
          <w:szCs w:val="24"/>
        </w:rPr>
        <w:t>15.9%</w:t>
      </w:r>
      <w:r w:rsidRPr="006531FF">
        <w:rPr>
          <w:rFonts w:cs="Calibri"/>
          <w:szCs w:val="24"/>
        </w:rPr>
        <w:t xml:space="preserve">; BWH’s share to decrease by </w:t>
      </w:r>
      <w:r w:rsidRPr="006531FF">
        <w:rPr>
          <w:rFonts w:cs="Calibri"/>
          <w:b/>
          <w:bCs/>
          <w:szCs w:val="24"/>
        </w:rPr>
        <w:t>15.3%</w:t>
      </w:r>
      <w:r w:rsidRPr="006531FF">
        <w:rPr>
          <w:rFonts w:cs="Calibri"/>
          <w:szCs w:val="24"/>
        </w:rPr>
        <w:t xml:space="preserve"> and BIDMC’s share to decrease by </w:t>
      </w:r>
      <w:r w:rsidRPr="006531FF">
        <w:rPr>
          <w:rFonts w:cs="Calibri"/>
          <w:b/>
          <w:bCs/>
          <w:szCs w:val="24"/>
        </w:rPr>
        <w:t>0.6%</w:t>
      </w:r>
      <w:r w:rsidRPr="006531FF">
        <w:rPr>
          <w:rFonts w:cs="Calibri"/>
          <w:szCs w:val="24"/>
        </w:rPr>
        <w:t xml:space="preserve">. The </w:t>
      </w:r>
      <w:r w:rsidRPr="006531FF">
        <w:rPr>
          <w:rFonts w:cs="Calibri"/>
          <w:b/>
          <w:bCs/>
          <w:szCs w:val="24"/>
        </w:rPr>
        <w:t>Herfindahl–Hirschman index (HHI)</w:t>
      </w:r>
      <w:r w:rsidRPr="006531FF">
        <w:rPr>
          <w:rFonts w:cs="Calibri"/>
          <w:szCs w:val="24"/>
        </w:rPr>
        <w:t xml:space="preserve">, a measure of market concentration, is projected to decrease from </w:t>
      </w:r>
      <w:r w:rsidRPr="006531FF">
        <w:rPr>
          <w:rFonts w:cs="Calibri"/>
          <w:b/>
          <w:bCs/>
          <w:szCs w:val="24"/>
        </w:rPr>
        <w:t>2,261 to 1,493</w:t>
      </w:r>
      <w:r w:rsidRPr="006531FF">
        <w:rPr>
          <w:rFonts w:cs="Calibri"/>
          <w:szCs w:val="24"/>
        </w:rPr>
        <w:t xml:space="preserve"> due to these shifts in share. A lower value indicates less market concentration. </w:t>
      </w:r>
    </w:p>
    <w:p w14:paraId="421C68E1" w14:textId="77777777" w:rsidR="00DF6BA2" w:rsidRPr="00EE1CDB" w:rsidRDefault="00DF6BA2" w:rsidP="00F91720">
      <w:pPr>
        <w:pStyle w:val="ListParagraph"/>
        <w:widowControl/>
        <w:numPr>
          <w:ilvl w:val="0"/>
          <w:numId w:val="48"/>
        </w:numPr>
        <w:autoSpaceDE/>
        <w:autoSpaceDN/>
        <w:spacing w:after="160"/>
        <w:contextualSpacing/>
        <w:rPr>
          <w:rFonts w:cs="Calibri"/>
          <w:szCs w:val="24"/>
        </w:rPr>
      </w:pPr>
      <w:r w:rsidRPr="00EE1CDB">
        <w:rPr>
          <w:rFonts w:cs="Calibri"/>
          <w:szCs w:val="24"/>
        </w:rPr>
        <w:t xml:space="preserve">FTI estimates the average price for inpatient cancer care is projected to decline because the Proposed Project is estimated to primarily shift inpatient discharges to lower-priced providers (DFCI and, to a lesser extent, BIDMC) from a higher-priced provider (BWH). FTI found no projected impact on price due to changes in the mix of services provided. </w:t>
      </w:r>
    </w:p>
    <w:p w14:paraId="56F065DD" w14:textId="77777777" w:rsidR="00DF6BA2" w:rsidRDefault="00DF6BA2" w:rsidP="00DF6BA2">
      <w:pPr>
        <w:rPr>
          <w:rFonts w:cs="Calibri"/>
          <w:szCs w:val="24"/>
        </w:rPr>
      </w:pPr>
    </w:p>
    <w:p w14:paraId="5F80BF3A" w14:textId="77777777" w:rsidR="00DF6BA2" w:rsidRPr="00B925C6" w:rsidRDefault="00DF6BA2" w:rsidP="00DF6BA2">
      <w:pPr>
        <w:rPr>
          <w:rFonts w:cs="Calibri"/>
          <w:i/>
          <w:iCs/>
          <w:szCs w:val="24"/>
        </w:rPr>
      </w:pPr>
      <w:r w:rsidRPr="00B925C6">
        <w:rPr>
          <w:rFonts w:cs="Calibri"/>
          <w:i/>
          <w:iCs/>
          <w:szCs w:val="24"/>
        </w:rPr>
        <w:t xml:space="preserve">Changes in Total Medical Spending </w:t>
      </w:r>
    </w:p>
    <w:p w14:paraId="6934FC25" w14:textId="196ECFF5" w:rsidR="00DF6BA2" w:rsidRDefault="00DF6BA2" w:rsidP="00F91720">
      <w:pPr>
        <w:pStyle w:val="ListParagraph"/>
        <w:numPr>
          <w:ilvl w:val="0"/>
          <w:numId w:val="57"/>
        </w:numPr>
        <w:rPr>
          <w:rFonts w:cs="Calibri"/>
          <w:szCs w:val="24"/>
        </w:rPr>
      </w:pPr>
      <w:r>
        <w:rPr>
          <w:rFonts w:cs="Calibri"/>
          <w:szCs w:val="24"/>
        </w:rPr>
        <w:t>FTI states that w</w:t>
      </w:r>
      <w:r w:rsidRPr="00C6783B">
        <w:rPr>
          <w:rFonts w:cs="Calibri"/>
          <w:szCs w:val="24"/>
        </w:rPr>
        <w:t xml:space="preserve">ith status quo DFCI prices, the Proposed Project is forecast to decrease total medical spending for inpatient cancer care for Massachusetts residents by </w:t>
      </w:r>
      <w:r w:rsidRPr="00164245">
        <w:rPr>
          <w:rFonts w:cs="Calibri"/>
          <w:b/>
          <w:bCs/>
          <w:szCs w:val="24"/>
        </w:rPr>
        <w:t>1.8%</w:t>
      </w:r>
      <w:r>
        <w:rPr>
          <w:rFonts w:cs="Calibri"/>
          <w:b/>
          <w:bCs/>
          <w:szCs w:val="24"/>
        </w:rPr>
        <w:t xml:space="preserve"> ($28.4 million) in 2025</w:t>
      </w:r>
      <w:r w:rsidRPr="00C6783B">
        <w:rPr>
          <w:rFonts w:cs="Calibri"/>
          <w:szCs w:val="24"/>
        </w:rPr>
        <w:t>.</w:t>
      </w:r>
      <w:r>
        <w:rPr>
          <w:rFonts w:cs="Calibri"/>
          <w:szCs w:val="24"/>
        </w:rPr>
        <w:t xml:space="preserve"> </w:t>
      </w:r>
    </w:p>
    <w:p w14:paraId="30B9FCBF" w14:textId="77777777" w:rsidR="00DF6BA2" w:rsidRDefault="00DF6BA2" w:rsidP="00F91720">
      <w:pPr>
        <w:pStyle w:val="ListParagraph"/>
        <w:widowControl/>
        <w:numPr>
          <w:ilvl w:val="0"/>
          <w:numId w:val="45"/>
        </w:numPr>
        <w:autoSpaceDE/>
        <w:autoSpaceDN/>
        <w:spacing w:after="160"/>
        <w:contextualSpacing/>
        <w:rPr>
          <w:rFonts w:cs="Calibri"/>
          <w:szCs w:val="24"/>
        </w:rPr>
      </w:pPr>
      <w:r>
        <w:rPr>
          <w:rFonts w:cs="Calibri"/>
          <w:szCs w:val="24"/>
        </w:rPr>
        <w:t>If</w:t>
      </w:r>
      <w:r w:rsidRPr="007A6009">
        <w:rPr>
          <w:rFonts w:cs="Calibri"/>
          <w:szCs w:val="24"/>
        </w:rPr>
        <w:t xml:space="preserve"> DFCI were able to raise its prices to the level of BIDMC prices or closer to BWH prices, medical spending is forecast to decrease or remain essentially flat. </w:t>
      </w:r>
    </w:p>
    <w:p w14:paraId="6A21F50A" w14:textId="77777777" w:rsidR="00DF6BA2" w:rsidRDefault="00DF6BA2" w:rsidP="00F91720">
      <w:pPr>
        <w:pStyle w:val="ListParagraph"/>
        <w:widowControl/>
        <w:numPr>
          <w:ilvl w:val="0"/>
          <w:numId w:val="45"/>
        </w:numPr>
        <w:autoSpaceDE/>
        <w:autoSpaceDN/>
        <w:spacing w:after="160"/>
        <w:contextualSpacing/>
        <w:rPr>
          <w:rFonts w:cs="Calibri"/>
          <w:szCs w:val="24"/>
        </w:rPr>
      </w:pPr>
      <w:r w:rsidRPr="007A6009">
        <w:rPr>
          <w:rFonts w:cs="Calibri"/>
          <w:szCs w:val="24"/>
        </w:rPr>
        <w:lastRenderedPageBreak/>
        <w:t xml:space="preserve">If DFCI’s Medicare reimbursement were to also increase substantially, total medical spending is forecast to increase by </w:t>
      </w:r>
      <w:r w:rsidRPr="007A6009">
        <w:rPr>
          <w:rFonts w:cs="Calibri"/>
          <w:b/>
          <w:bCs/>
          <w:szCs w:val="24"/>
        </w:rPr>
        <w:t>0.7% ($10.9 million)</w:t>
      </w:r>
      <w:r w:rsidRPr="007A6009">
        <w:rPr>
          <w:rFonts w:cs="Calibri"/>
          <w:szCs w:val="24"/>
        </w:rPr>
        <w:t xml:space="preserve">. </w:t>
      </w:r>
    </w:p>
    <w:p w14:paraId="33C26FAD" w14:textId="312C4EBA" w:rsidR="00DF6BA2" w:rsidRDefault="00DF6BA2" w:rsidP="00F91720">
      <w:pPr>
        <w:pStyle w:val="ListParagraph"/>
        <w:widowControl/>
        <w:numPr>
          <w:ilvl w:val="0"/>
          <w:numId w:val="45"/>
        </w:numPr>
        <w:autoSpaceDE/>
        <w:autoSpaceDN/>
        <w:spacing w:after="160"/>
        <w:contextualSpacing/>
        <w:rPr>
          <w:rFonts w:cs="Calibri"/>
          <w:szCs w:val="24"/>
        </w:rPr>
      </w:pPr>
      <w:r>
        <w:rPr>
          <w:rFonts w:cs="Calibri"/>
          <w:szCs w:val="24"/>
        </w:rPr>
        <w:t>If</w:t>
      </w:r>
      <w:r w:rsidRPr="007A6009">
        <w:rPr>
          <w:rFonts w:cs="Calibri"/>
          <w:szCs w:val="24"/>
        </w:rPr>
        <w:t xml:space="preserve"> 100% of newly available capacity is filled by new, general inpatient care at BWH and BIDMC, or by cancer care patients</w:t>
      </w:r>
      <w:r>
        <w:rPr>
          <w:rFonts w:cs="Calibri"/>
          <w:szCs w:val="24"/>
        </w:rPr>
        <w:t>, t</w:t>
      </w:r>
      <w:r w:rsidRPr="007A6009">
        <w:rPr>
          <w:rFonts w:cs="Calibri"/>
          <w:szCs w:val="24"/>
        </w:rPr>
        <w:t xml:space="preserve">he potential for the Proposed Project to lead to supply-induced demand related cost increases is </w:t>
      </w:r>
      <w:r w:rsidR="00525F7B">
        <w:rPr>
          <w:rFonts w:cs="Calibri"/>
          <w:szCs w:val="24"/>
        </w:rPr>
        <w:t xml:space="preserve">bounded by an </w:t>
      </w:r>
      <w:r w:rsidRPr="007A6009">
        <w:rPr>
          <w:rFonts w:cs="Calibri"/>
          <w:szCs w:val="24"/>
        </w:rPr>
        <w:t xml:space="preserve">estimated </w:t>
      </w:r>
      <w:r w:rsidRPr="007A6009">
        <w:rPr>
          <w:rFonts w:cs="Calibri"/>
          <w:b/>
          <w:bCs/>
          <w:szCs w:val="24"/>
        </w:rPr>
        <w:t>2.7%-3.3% ($239 million to $329 million)</w:t>
      </w:r>
      <w:r w:rsidRPr="007A6009">
        <w:rPr>
          <w:rFonts w:cs="Calibri"/>
          <w:szCs w:val="24"/>
        </w:rPr>
        <w:t xml:space="preserve">. </w:t>
      </w:r>
    </w:p>
    <w:p w14:paraId="45432108" w14:textId="77777777" w:rsidR="00DF6BA2" w:rsidRPr="001F2BC8" w:rsidRDefault="00DF6BA2" w:rsidP="00F91720">
      <w:pPr>
        <w:pStyle w:val="ListParagraph"/>
        <w:widowControl/>
        <w:numPr>
          <w:ilvl w:val="0"/>
          <w:numId w:val="45"/>
        </w:numPr>
        <w:autoSpaceDE/>
        <w:autoSpaceDN/>
        <w:spacing w:after="160"/>
        <w:contextualSpacing/>
        <w:rPr>
          <w:rFonts w:cs="Calibri"/>
          <w:szCs w:val="24"/>
        </w:rPr>
      </w:pPr>
      <w:r>
        <w:rPr>
          <w:rFonts w:cs="Calibri"/>
          <w:szCs w:val="24"/>
        </w:rPr>
        <w:t>T</w:t>
      </w:r>
      <w:r w:rsidRPr="001F2BC8">
        <w:rPr>
          <w:rFonts w:cs="Calibri"/>
          <w:szCs w:val="24"/>
        </w:rPr>
        <w:t xml:space="preserve">he ADC of inpatient cancer care </w:t>
      </w:r>
      <w:r>
        <w:rPr>
          <w:rFonts w:cs="Calibri"/>
          <w:szCs w:val="24"/>
        </w:rPr>
        <w:t xml:space="preserve">patients </w:t>
      </w:r>
      <w:r w:rsidRPr="001F2BC8">
        <w:rPr>
          <w:rFonts w:cs="Calibri"/>
          <w:szCs w:val="24"/>
        </w:rPr>
        <w:t xml:space="preserve">in Massachusetts is projected to grow by </w:t>
      </w:r>
      <w:r w:rsidRPr="00370FCB">
        <w:rPr>
          <w:rFonts w:cs="Calibri"/>
          <w:b/>
          <w:bCs/>
          <w:szCs w:val="24"/>
        </w:rPr>
        <w:t xml:space="preserve">249 </w:t>
      </w:r>
      <w:r w:rsidRPr="001F2BC8">
        <w:rPr>
          <w:rFonts w:cs="Calibri"/>
          <w:szCs w:val="24"/>
        </w:rPr>
        <w:t xml:space="preserve">by </w:t>
      </w:r>
      <w:r w:rsidRPr="00370FCB">
        <w:rPr>
          <w:rFonts w:cs="Calibri"/>
          <w:b/>
          <w:bCs/>
          <w:szCs w:val="24"/>
        </w:rPr>
        <w:t>2030</w:t>
      </w:r>
      <w:r w:rsidRPr="001F2BC8">
        <w:rPr>
          <w:rFonts w:cs="Calibri"/>
          <w:szCs w:val="24"/>
        </w:rPr>
        <w:t>. FTI states that this growth in demand that will occur regardless of the Proposed Project all but eliminates the scope for supply-induced demand by 2030.</w:t>
      </w:r>
    </w:p>
    <w:p w14:paraId="3B56F9F0" w14:textId="77777777" w:rsidR="00DF6BA2" w:rsidRDefault="00DF6BA2" w:rsidP="00DF6BA2">
      <w:pPr>
        <w:rPr>
          <w:rFonts w:cs="Calibri"/>
          <w:szCs w:val="24"/>
        </w:rPr>
      </w:pPr>
    </w:p>
    <w:p w14:paraId="12BF3159" w14:textId="77777777" w:rsidR="00DF6BA2" w:rsidRDefault="00DF6BA2" w:rsidP="00DF6BA2">
      <w:pPr>
        <w:rPr>
          <w:rFonts w:cs="Calibri"/>
          <w:b/>
          <w:bCs/>
          <w:szCs w:val="24"/>
        </w:rPr>
      </w:pPr>
      <w:r w:rsidRPr="006930C8">
        <w:rPr>
          <w:rFonts w:cs="Calibri"/>
          <w:b/>
          <w:bCs/>
          <w:szCs w:val="24"/>
        </w:rPr>
        <w:t>Imaging</w:t>
      </w:r>
      <w:r>
        <w:rPr>
          <w:rStyle w:val="FootnoteReference"/>
          <w:rFonts w:cs="Calibri"/>
          <w:b/>
          <w:bCs/>
          <w:szCs w:val="24"/>
        </w:rPr>
        <w:footnoteReference w:id="104"/>
      </w:r>
    </w:p>
    <w:p w14:paraId="4BD4EFE9" w14:textId="77777777" w:rsidR="00DF6BA2" w:rsidRPr="00685942" w:rsidRDefault="00DF6BA2" w:rsidP="00DF6BA2">
      <w:pPr>
        <w:rPr>
          <w:rFonts w:cs="Calibri"/>
          <w:szCs w:val="24"/>
        </w:rPr>
      </w:pPr>
      <w:r w:rsidRPr="00685942">
        <w:rPr>
          <w:rFonts w:cs="Calibri"/>
          <w:szCs w:val="24"/>
        </w:rPr>
        <w:t>Proposed Project: 2 MRI machines, 2 CT machines, and 1 PET-CT</w:t>
      </w:r>
      <w:r>
        <w:rPr>
          <w:rFonts w:cs="Calibri"/>
          <w:szCs w:val="24"/>
        </w:rPr>
        <w:t xml:space="preserve"> machine</w:t>
      </w:r>
    </w:p>
    <w:p w14:paraId="4304898C" w14:textId="77777777" w:rsidR="00DF6BA2" w:rsidRPr="00685942" w:rsidRDefault="00DF6BA2" w:rsidP="00DF6BA2">
      <w:pPr>
        <w:rPr>
          <w:rFonts w:cs="Calibri"/>
          <w:szCs w:val="24"/>
        </w:rPr>
      </w:pPr>
    </w:p>
    <w:p w14:paraId="201D99C7" w14:textId="77777777" w:rsidR="00DF6BA2" w:rsidRDefault="00DF6BA2" w:rsidP="00DF6BA2">
      <w:pPr>
        <w:rPr>
          <w:rFonts w:cs="Calibri"/>
          <w:szCs w:val="24"/>
        </w:rPr>
      </w:pPr>
      <w:r w:rsidRPr="00AA3159">
        <w:rPr>
          <w:rFonts w:cs="Calibri"/>
          <w:szCs w:val="24"/>
        </w:rPr>
        <w:t>FTI conducted its ICA analysis of outpatient imaging on a statewide basis</w:t>
      </w:r>
      <w:r>
        <w:rPr>
          <w:rFonts w:cs="Calibri"/>
          <w:szCs w:val="24"/>
        </w:rPr>
        <w:t>.</w:t>
      </w:r>
    </w:p>
    <w:p w14:paraId="015ECB50" w14:textId="77777777" w:rsidR="00DF6BA2" w:rsidRPr="007D40F1" w:rsidRDefault="00DF6BA2" w:rsidP="00DF6BA2">
      <w:pPr>
        <w:rPr>
          <w:rFonts w:cs="Calibri"/>
          <w:i/>
          <w:iCs/>
          <w:szCs w:val="24"/>
        </w:rPr>
      </w:pPr>
      <w:r w:rsidRPr="007D40F1">
        <w:rPr>
          <w:rFonts w:cs="Calibri"/>
          <w:i/>
          <w:iCs/>
          <w:szCs w:val="24"/>
        </w:rPr>
        <w:t xml:space="preserve">Current Provision of Services </w:t>
      </w:r>
    </w:p>
    <w:p w14:paraId="2CAA644D" w14:textId="6FC620AE" w:rsidR="00DF6BA2" w:rsidRDefault="00DF6BA2" w:rsidP="00F91720">
      <w:pPr>
        <w:pStyle w:val="ListParagraph"/>
        <w:widowControl/>
        <w:numPr>
          <w:ilvl w:val="0"/>
          <w:numId w:val="50"/>
        </w:numPr>
        <w:autoSpaceDE/>
        <w:autoSpaceDN/>
        <w:spacing w:after="160"/>
        <w:contextualSpacing/>
        <w:rPr>
          <w:rFonts w:cs="Calibri"/>
          <w:szCs w:val="24"/>
        </w:rPr>
      </w:pPr>
      <w:r>
        <w:rPr>
          <w:rFonts w:cs="Calibri"/>
          <w:szCs w:val="24"/>
        </w:rPr>
        <w:t xml:space="preserve">There were </w:t>
      </w:r>
      <w:r w:rsidRPr="0055251E">
        <w:rPr>
          <w:rFonts w:cs="Calibri"/>
          <w:b/>
          <w:bCs/>
          <w:szCs w:val="24"/>
        </w:rPr>
        <w:t>241,</w:t>
      </w:r>
      <w:r w:rsidR="00D92ACB">
        <w:rPr>
          <w:rFonts w:cs="Calibri"/>
          <w:b/>
          <w:bCs/>
          <w:szCs w:val="24"/>
        </w:rPr>
        <w:t>0</w:t>
      </w:r>
      <w:r w:rsidRPr="0055251E">
        <w:rPr>
          <w:rFonts w:cs="Calibri"/>
          <w:b/>
          <w:bCs/>
          <w:szCs w:val="24"/>
        </w:rPr>
        <w:t xml:space="preserve">88 </w:t>
      </w:r>
      <w:r>
        <w:rPr>
          <w:rFonts w:cs="Calibri"/>
          <w:b/>
          <w:bCs/>
          <w:szCs w:val="24"/>
        </w:rPr>
        <w:t xml:space="preserve">outpatient </w:t>
      </w:r>
      <w:r w:rsidRPr="0055251E">
        <w:rPr>
          <w:rFonts w:cs="Calibri"/>
          <w:b/>
          <w:bCs/>
          <w:szCs w:val="24"/>
        </w:rPr>
        <w:t xml:space="preserve">CT </w:t>
      </w:r>
      <w:r>
        <w:rPr>
          <w:rFonts w:cs="Calibri"/>
          <w:b/>
          <w:bCs/>
          <w:szCs w:val="24"/>
        </w:rPr>
        <w:t xml:space="preserve">scans </w:t>
      </w:r>
      <w:r w:rsidRPr="004E2C7C">
        <w:rPr>
          <w:rFonts w:cs="Calibri"/>
          <w:szCs w:val="24"/>
        </w:rPr>
        <w:t>and</w:t>
      </w:r>
      <w:r>
        <w:rPr>
          <w:rFonts w:cs="Calibri"/>
          <w:b/>
          <w:bCs/>
          <w:szCs w:val="24"/>
        </w:rPr>
        <w:t xml:space="preserve"> </w:t>
      </w:r>
      <w:r w:rsidRPr="0055251E">
        <w:rPr>
          <w:rFonts w:cs="Calibri"/>
          <w:b/>
          <w:bCs/>
          <w:szCs w:val="24"/>
        </w:rPr>
        <w:t xml:space="preserve">7,072 </w:t>
      </w:r>
      <w:r>
        <w:rPr>
          <w:rFonts w:cs="Calibri"/>
          <w:b/>
          <w:bCs/>
          <w:szCs w:val="24"/>
        </w:rPr>
        <w:t xml:space="preserve">outpatient </w:t>
      </w:r>
      <w:r w:rsidRPr="0055251E">
        <w:rPr>
          <w:rFonts w:cs="Calibri"/>
          <w:b/>
          <w:bCs/>
          <w:szCs w:val="24"/>
        </w:rPr>
        <w:t xml:space="preserve">PET-CT </w:t>
      </w:r>
      <w:r w:rsidRPr="004E2C7C">
        <w:rPr>
          <w:rFonts w:cs="Calibri"/>
          <w:b/>
          <w:bCs/>
          <w:szCs w:val="24"/>
        </w:rPr>
        <w:t>scans</w:t>
      </w:r>
      <w:r>
        <w:rPr>
          <w:rFonts w:cs="Calibri"/>
          <w:szCs w:val="24"/>
        </w:rPr>
        <w:t xml:space="preserve"> in 2021. </w:t>
      </w:r>
    </w:p>
    <w:p w14:paraId="1FD6A635" w14:textId="77777777" w:rsidR="00DF6BA2" w:rsidRDefault="00DF6BA2" w:rsidP="00F91720">
      <w:pPr>
        <w:pStyle w:val="ListParagraph"/>
        <w:widowControl/>
        <w:numPr>
          <w:ilvl w:val="0"/>
          <w:numId w:val="50"/>
        </w:numPr>
        <w:autoSpaceDE/>
        <w:autoSpaceDN/>
        <w:spacing w:after="160"/>
        <w:contextualSpacing/>
        <w:rPr>
          <w:rFonts w:cs="Calibri"/>
          <w:szCs w:val="24"/>
        </w:rPr>
      </w:pPr>
      <w:r w:rsidRPr="007D40F1">
        <w:rPr>
          <w:rFonts w:cs="Calibri"/>
          <w:szCs w:val="24"/>
        </w:rPr>
        <w:t xml:space="preserve">FTI estimates that DFCI accounted for </w:t>
      </w:r>
      <w:r w:rsidRPr="001C2ED2">
        <w:rPr>
          <w:rFonts w:cs="Calibri"/>
          <w:b/>
          <w:bCs/>
          <w:szCs w:val="24"/>
        </w:rPr>
        <w:t>36,325 CT</w:t>
      </w:r>
      <w:r w:rsidRPr="007D40F1">
        <w:rPr>
          <w:rFonts w:cs="Calibri"/>
          <w:szCs w:val="24"/>
        </w:rPr>
        <w:t xml:space="preserve"> and </w:t>
      </w:r>
      <w:r w:rsidRPr="0055251E">
        <w:rPr>
          <w:rFonts w:cs="Calibri"/>
          <w:b/>
          <w:bCs/>
          <w:szCs w:val="24"/>
        </w:rPr>
        <w:t>5</w:t>
      </w:r>
      <w:r w:rsidRPr="001C2ED2">
        <w:rPr>
          <w:rFonts w:cs="Calibri"/>
          <w:b/>
          <w:bCs/>
          <w:szCs w:val="24"/>
        </w:rPr>
        <w:t>,312 PET-CT</w:t>
      </w:r>
      <w:r w:rsidRPr="007D40F1">
        <w:rPr>
          <w:rFonts w:cs="Calibri"/>
          <w:szCs w:val="24"/>
        </w:rPr>
        <w:t xml:space="preserve"> outpatient procedures in 202</w:t>
      </w:r>
      <w:r>
        <w:rPr>
          <w:rFonts w:cs="Calibri"/>
          <w:szCs w:val="24"/>
        </w:rPr>
        <w:t>1</w:t>
      </w:r>
      <w:r w:rsidRPr="007D40F1">
        <w:rPr>
          <w:rFonts w:cs="Calibri"/>
          <w:szCs w:val="24"/>
        </w:rPr>
        <w:t xml:space="preserve">, </w:t>
      </w:r>
      <w:r>
        <w:rPr>
          <w:rFonts w:cs="Calibri"/>
          <w:szCs w:val="24"/>
        </w:rPr>
        <w:t xml:space="preserve">which represents </w:t>
      </w:r>
      <w:r w:rsidRPr="007D40F1">
        <w:rPr>
          <w:rFonts w:cs="Calibri"/>
          <w:b/>
          <w:bCs/>
          <w:szCs w:val="24"/>
        </w:rPr>
        <w:t>3%</w:t>
      </w:r>
      <w:r w:rsidRPr="007D40F1">
        <w:rPr>
          <w:rFonts w:cs="Calibri"/>
          <w:szCs w:val="24"/>
        </w:rPr>
        <w:t xml:space="preserve"> </w:t>
      </w:r>
      <w:r>
        <w:rPr>
          <w:rFonts w:cs="Calibri"/>
          <w:szCs w:val="24"/>
        </w:rPr>
        <w:t xml:space="preserve">of </w:t>
      </w:r>
      <w:r w:rsidRPr="00505205">
        <w:rPr>
          <w:rFonts w:cs="Calibri"/>
          <w:b/>
          <w:bCs/>
          <w:szCs w:val="24"/>
        </w:rPr>
        <w:t>CT</w:t>
      </w:r>
      <w:r>
        <w:rPr>
          <w:rFonts w:cs="Calibri"/>
          <w:szCs w:val="24"/>
        </w:rPr>
        <w:t xml:space="preserve"> </w:t>
      </w:r>
      <w:r w:rsidRPr="007D40F1">
        <w:rPr>
          <w:rFonts w:cs="Calibri"/>
          <w:szCs w:val="24"/>
        </w:rPr>
        <w:t xml:space="preserve">and </w:t>
      </w:r>
      <w:r w:rsidRPr="007D40F1">
        <w:rPr>
          <w:rFonts w:cs="Calibri"/>
          <w:b/>
          <w:bCs/>
          <w:szCs w:val="24"/>
        </w:rPr>
        <w:t>23%</w:t>
      </w:r>
      <w:r w:rsidRPr="007D40F1">
        <w:rPr>
          <w:rFonts w:cs="Calibri"/>
          <w:szCs w:val="24"/>
        </w:rPr>
        <w:t xml:space="preserve"> of </w:t>
      </w:r>
      <w:r w:rsidRPr="00505205">
        <w:rPr>
          <w:rFonts w:cs="Calibri"/>
          <w:b/>
          <w:bCs/>
          <w:szCs w:val="24"/>
        </w:rPr>
        <w:t>PET-CT</w:t>
      </w:r>
      <w:r>
        <w:rPr>
          <w:rFonts w:cs="Calibri"/>
          <w:szCs w:val="24"/>
        </w:rPr>
        <w:t xml:space="preserve"> </w:t>
      </w:r>
      <w:r w:rsidRPr="007D40F1">
        <w:rPr>
          <w:rFonts w:cs="Calibri"/>
          <w:szCs w:val="24"/>
        </w:rPr>
        <w:t>statewide totals.</w:t>
      </w:r>
    </w:p>
    <w:p w14:paraId="08B30222" w14:textId="77777777" w:rsidR="00DF6BA2" w:rsidRDefault="00DF6BA2" w:rsidP="00F91720">
      <w:pPr>
        <w:pStyle w:val="ListParagraph"/>
        <w:widowControl/>
        <w:numPr>
          <w:ilvl w:val="0"/>
          <w:numId w:val="50"/>
        </w:numPr>
        <w:autoSpaceDE/>
        <w:autoSpaceDN/>
        <w:spacing w:after="160"/>
        <w:contextualSpacing/>
        <w:rPr>
          <w:rFonts w:cs="Calibri"/>
          <w:szCs w:val="24"/>
        </w:rPr>
      </w:pPr>
      <w:r>
        <w:rPr>
          <w:rFonts w:cs="Calibri"/>
          <w:szCs w:val="24"/>
        </w:rPr>
        <w:t xml:space="preserve">There are thousands of CT providers in the state and all major hospitals provide some amount of outpatient CT scans. </w:t>
      </w:r>
    </w:p>
    <w:p w14:paraId="56657707" w14:textId="77777777" w:rsidR="00DF6BA2" w:rsidRPr="002A0F70" w:rsidRDefault="00DF6BA2" w:rsidP="00F91720">
      <w:pPr>
        <w:pStyle w:val="ListParagraph"/>
        <w:widowControl/>
        <w:numPr>
          <w:ilvl w:val="0"/>
          <w:numId w:val="50"/>
        </w:numPr>
        <w:autoSpaceDE/>
        <w:autoSpaceDN/>
        <w:spacing w:after="160"/>
        <w:contextualSpacing/>
        <w:rPr>
          <w:rFonts w:cs="Calibri"/>
          <w:szCs w:val="24"/>
        </w:rPr>
      </w:pPr>
      <w:r>
        <w:rPr>
          <w:rFonts w:cs="Calibri"/>
          <w:szCs w:val="24"/>
        </w:rPr>
        <w:t xml:space="preserve">Together DFCI, BILH, and MGB provide three-quarters of all PET-CT procedures. </w:t>
      </w:r>
    </w:p>
    <w:p w14:paraId="0D94313C" w14:textId="77777777" w:rsidR="00DF6BA2" w:rsidRDefault="00DF6BA2" w:rsidP="00DF6BA2">
      <w:pPr>
        <w:pStyle w:val="ListParagraph"/>
        <w:rPr>
          <w:rFonts w:cs="Calibri"/>
          <w:szCs w:val="24"/>
        </w:rPr>
      </w:pPr>
    </w:p>
    <w:p w14:paraId="093172F6" w14:textId="77777777" w:rsidR="00DF6BA2" w:rsidRPr="006D2CB5" w:rsidRDefault="00DF6BA2" w:rsidP="00DF6BA2">
      <w:pPr>
        <w:rPr>
          <w:rFonts w:cs="Calibri"/>
          <w:i/>
          <w:iCs/>
          <w:szCs w:val="24"/>
        </w:rPr>
      </w:pPr>
      <w:r w:rsidRPr="006D2CB5">
        <w:rPr>
          <w:rFonts w:cs="Calibri"/>
          <w:i/>
          <w:iCs/>
          <w:szCs w:val="24"/>
        </w:rPr>
        <w:t>Changes in Utilization</w:t>
      </w:r>
    </w:p>
    <w:p w14:paraId="491408A1" w14:textId="77777777" w:rsidR="00DF6BA2" w:rsidRPr="00744C5F" w:rsidRDefault="00DF6BA2" w:rsidP="00F91720">
      <w:pPr>
        <w:pStyle w:val="ListParagraph"/>
        <w:widowControl/>
        <w:numPr>
          <w:ilvl w:val="0"/>
          <w:numId w:val="55"/>
        </w:numPr>
        <w:autoSpaceDE/>
        <w:autoSpaceDN/>
        <w:spacing w:after="160"/>
        <w:contextualSpacing/>
        <w:rPr>
          <w:rFonts w:cs="Calibri"/>
          <w:szCs w:val="24"/>
        </w:rPr>
      </w:pPr>
      <w:r>
        <w:rPr>
          <w:rFonts w:cs="Calibri"/>
          <w:szCs w:val="24"/>
        </w:rPr>
        <w:t xml:space="preserve">FTI projects that demand for CT procedures will increase by </w:t>
      </w:r>
      <w:r w:rsidRPr="00D96060">
        <w:rPr>
          <w:rFonts w:cs="Calibri"/>
          <w:b/>
          <w:bCs/>
          <w:szCs w:val="24"/>
        </w:rPr>
        <w:t>17.2%</w:t>
      </w:r>
      <w:r>
        <w:rPr>
          <w:rFonts w:cs="Calibri"/>
          <w:szCs w:val="24"/>
        </w:rPr>
        <w:t xml:space="preserve"> from 1,340,895 in 2025 to 1,571,442 in 2040 and demand for PET-CT procedures will increase by </w:t>
      </w:r>
      <w:r w:rsidRPr="00D96060">
        <w:rPr>
          <w:rFonts w:cs="Calibri"/>
          <w:b/>
          <w:bCs/>
          <w:szCs w:val="24"/>
        </w:rPr>
        <w:t>17.7%</w:t>
      </w:r>
      <w:r>
        <w:rPr>
          <w:rFonts w:cs="Calibri"/>
          <w:szCs w:val="24"/>
        </w:rPr>
        <w:t xml:space="preserve"> from 24,225 in 2025 to 28,507 in 2040. </w:t>
      </w:r>
    </w:p>
    <w:p w14:paraId="209BEA59" w14:textId="77777777" w:rsidR="00DF6BA2" w:rsidRPr="003A47F3" w:rsidRDefault="00DF6BA2" w:rsidP="00DF6BA2">
      <w:pPr>
        <w:rPr>
          <w:rFonts w:cs="Calibri"/>
          <w:i/>
          <w:iCs/>
          <w:szCs w:val="24"/>
        </w:rPr>
      </w:pPr>
      <w:r w:rsidRPr="003A47F3">
        <w:rPr>
          <w:rFonts w:cs="Calibri"/>
          <w:i/>
          <w:iCs/>
          <w:szCs w:val="24"/>
        </w:rPr>
        <w:t xml:space="preserve">Projected Demand </w:t>
      </w:r>
    </w:p>
    <w:p w14:paraId="187A145A" w14:textId="77777777" w:rsidR="00DF6BA2" w:rsidRPr="003A47F3" w:rsidRDefault="00DF6BA2" w:rsidP="00F91720">
      <w:pPr>
        <w:pStyle w:val="ListParagraph"/>
        <w:widowControl/>
        <w:numPr>
          <w:ilvl w:val="0"/>
          <w:numId w:val="50"/>
        </w:numPr>
        <w:autoSpaceDE/>
        <w:autoSpaceDN/>
        <w:spacing w:after="160"/>
        <w:contextualSpacing/>
        <w:rPr>
          <w:rFonts w:cs="Calibri"/>
          <w:szCs w:val="24"/>
        </w:rPr>
      </w:pPr>
      <w:r w:rsidRPr="003A47F3">
        <w:rPr>
          <w:rFonts w:cs="Calibri"/>
          <w:szCs w:val="24"/>
        </w:rPr>
        <w:t xml:space="preserve">FTI projects that in 2025 DFCI will have combined inpatient and outpatient demand sufficient to utilize </w:t>
      </w:r>
      <w:r w:rsidRPr="003A47F3">
        <w:rPr>
          <w:rFonts w:cs="Calibri"/>
          <w:b/>
          <w:bCs/>
          <w:szCs w:val="24"/>
        </w:rPr>
        <w:t>1.3-1.9 CT scanners</w:t>
      </w:r>
      <w:r w:rsidRPr="003A47F3">
        <w:rPr>
          <w:rFonts w:cs="Calibri"/>
          <w:szCs w:val="24"/>
        </w:rPr>
        <w:t xml:space="preserve">, </w:t>
      </w:r>
      <w:r w:rsidRPr="003A47F3">
        <w:rPr>
          <w:rFonts w:cs="Calibri"/>
          <w:b/>
          <w:bCs/>
          <w:szCs w:val="24"/>
        </w:rPr>
        <w:t>1.1-1.3 MRI scanners</w:t>
      </w:r>
      <w:r w:rsidRPr="003A47F3">
        <w:rPr>
          <w:rFonts w:cs="Calibri"/>
          <w:szCs w:val="24"/>
        </w:rPr>
        <w:t xml:space="preserve">, and </w:t>
      </w:r>
      <w:r w:rsidRPr="003A47F3">
        <w:rPr>
          <w:rFonts w:cs="Calibri"/>
          <w:b/>
          <w:bCs/>
          <w:szCs w:val="24"/>
        </w:rPr>
        <w:t>0.4-0.5 PET-CT scanners</w:t>
      </w:r>
      <w:r w:rsidRPr="003A47F3">
        <w:rPr>
          <w:rFonts w:cs="Calibri"/>
          <w:szCs w:val="24"/>
        </w:rPr>
        <w:t xml:space="preserve">. </w:t>
      </w:r>
    </w:p>
    <w:p w14:paraId="536C9536" w14:textId="77777777" w:rsidR="007E3238" w:rsidRDefault="007E3238" w:rsidP="007E3238">
      <w:pPr>
        <w:widowControl/>
        <w:autoSpaceDE/>
        <w:autoSpaceDN/>
        <w:spacing w:after="160"/>
        <w:contextualSpacing/>
        <w:rPr>
          <w:rFonts w:cs="Calibri"/>
          <w:szCs w:val="24"/>
        </w:rPr>
      </w:pPr>
    </w:p>
    <w:p w14:paraId="51658CDC" w14:textId="77777777" w:rsidR="007E3238" w:rsidRPr="007E3238" w:rsidRDefault="007E3238" w:rsidP="007E3238">
      <w:pPr>
        <w:widowControl/>
        <w:autoSpaceDE/>
        <w:autoSpaceDN/>
        <w:spacing w:after="160"/>
        <w:contextualSpacing/>
        <w:rPr>
          <w:rFonts w:cs="Calibri"/>
          <w:szCs w:val="24"/>
        </w:rPr>
      </w:pPr>
    </w:p>
    <w:p w14:paraId="1E6B8721" w14:textId="77777777" w:rsidR="00DF6BA2" w:rsidRPr="003A47F3" w:rsidRDefault="00DF6BA2" w:rsidP="00DF6BA2">
      <w:pPr>
        <w:rPr>
          <w:rFonts w:cs="Calibri"/>
          <w:i/>
          <w:iCs/>
          <w:szCs w:val="24"/>
        </w:rPr>
      </w:pPr>
      <w:r w:rsidRPr="003A47F3">
        <w:rPr>
          <w:rFonts w:cs="Calibri"/>
          <w:i/>
          <w:iCs/>
          <w:szCs w:val="24"/>
        </w:rPr>
        <w:t xml:space="preserve">Relative Prices </w:t>
      </w:r>
    </w:p>
    <w:p w14:paraId="1E2BCCF0" w14:textId="77777777" w:rsidR="00DF6BA2" w:rsidRPr="003A47F3" w:rsidRDefault="00DF6BA2" w:rsidP="00F91720">
      <w:pPr>
        <w:pStyle w:val="ListParagraph"/>
        <w:widowControl/>
        <w:numPr>
          <w:ilvl w:val="0"/>
          <w:numId w:val="50"/>
        </w:numPr>
        <w:autoSpaceDE/>
        <w:autoSpaceDN/>
        <w:spacing w:after="160"/>
        <w:contextualSpacing/>
        <w:rPr>
          <w:rFonts w:cs="Calibri"/>
          <w:szCs w:val="24"/>
        </w:rPr>
      </w:pPr>
      <w:r w:rsidRPr="003A47F3">
        <w:rPr>
          <w:rFonts w:cs="Calibri"/>
          <w:szCs w:val="24"/>
        </w:rPr>
        <w:t>FTI estimate</w:t>
      </w:r>
      <w:r>
        <w:rPr>
          <w:rFonts w:cs="Calibri"/>
          <w:szCs w:val="24"/>
        </w:rPr>
        <w:t>d relative prices by hospital and payor in 2021 and found</w:t>
      </w:r>
      <w:r w:rsidRPr="003A47F3">
        <w:rPr>
          <w:rFonts w:cs="Calibri"/>
          <w:szCs w:val="24"/>
        </w:rPr>
        <w:t xml:space="preserve"> that DFCI’s commercial prices are on average higher than BWH for outpatient imaging (except for Medicare reimbursement of PET-CT).</w:t>
      </w:r>
    </w:p>
    <w:p w14:paraId="1161E5C3" w14:textId="77777777" w:rsidR="00DF6BA2" w:rsidRPr="00911945" w:rsidRDefault="00DF6BA2" w:rsidP="00DF6BA2">
      <w:pPr>
        <w:rPr>
          <w:rFonts w:cs="Calibri"/>
          <w:i/>
          <w:iCs/>
          <w:szCs w:val="24"/>
        </w:rPr>
      </w:pPr>
      <w:r w:rsidRPr="00911945">
        <w:rPr>
          <w:rFonts w:cs="Calibri"/>
          <w:i/>
          <w:iCs/>
          <w:szCs w:val="24"/>
        </w:rPr>
        <w:t>Market Shares</w:t>
      </w:r>
    </w:p>
    <w:p w14:paraId="73B823C2" w14:textId="18120565" w:rsidR="00DF6BA2" w:rsidRDefault="00DF6BA2" w:rsidP="00F91720">
      <w:pPr>
        <w:pStyle w:val="ListParagraph"/>
        <w:widowControl/>
        <w:numPr>
          <w:ilvl w:val="0"/>
          <w:numId w:val="50"/>
        </w:numPr>
        <w:autoSpaceDE/>
        <w:autoSpaceDN/>
        <w:spacing w:after="160"/>
        <w:contextualSpacing/>
        <w:rPr>
          <w:rFonts w:cs="Calibri"/>
          <w:szCs w:val="24"/>
        </w:rPr>
      </w:pPr>
      <w:r w:rsidRPr="003A47F3">
        <w:rPr>
          <w:rFonts w:cs="Calibri"/>
          <w:szCs w:val="24"/>
        </w:rPr>
        <w:lastRenderedPageBreak/>
        <w:t xml:space="preserve">The Proposed Project is projected to shift share away from MGB to DFCI and BIDMC: the estimated shift in </w:t>
      </w:r>
      <w:r w:rsidR="00861A73">
        <w:rPr>
          <w:rFonts w:cs="Calibri"/>
          <w:szCs w:val="24"/>
        </w:rPr>
        <w:t xml:space="preserve">outpatient </w:t>
      </w:r>
      <w:r w:rsidRPr="003A47F3">
        <w:rPr>
          <w:rFonts w:cs="Calibri"/>
          <w:szCs w:val="24"/>
        </w:rPr>
        <w:t xml:space="preserve">CT </w:t>
      </w:r>
      <w:r w:rsidR="008C44BD">
        <w:rPr>
          <w:rFonts w:cs="Calibri"/>
          <w:szCs w:val="24"/>
        </w:rPr>
        <w:t>scans</w:t>
      </w:r>
      <w:r w:rsidRPr="003A47F3">
        <w:rPr>
          <w:rFonts w:cs="Calibri"/>
          <w:szCs w:val="24"/>
        </w:rPr>
        <w:t xml:space="preserve"> is </w:t>
      </w:r>
      <w:r w:rsidRPr="003A47F3">
        <w:rPr>
          <w:rFonts w:cs="Calibri"/>
          <w:b/>
          <w:bCs/>
          <w:szCs w:val="24"/>
        </w:rPr>
        <w:t>0.8%</w:t>
      </w:r>
      <w:r w:rsidRPr="003A47F3">
        <w:rPr>
          <w:rFonts w:cs="Calibri"/>
          <w:szCs w:val="24"/>
        </w:rPr>
        <w:t xml:space="preserve"> and the estimated shift in </w:t>
      </w:r>
      <w:r w:rsidR="00861A73">
        <w:rPr>
          <w:rFonts w:cs="Calibri"/>
          <w:szCs w:val="24"/>
        </w:rPr>
        <w:t xml:space="preserve">outpatient </w:t>
      </w:r>
      <w:r w:rsidRPr="003A47F3">
        <w:rPr>
          <w:rFonts w:cs="Calibri"/>
          <w:szCs w:val="24"/>
        </w:rPr>
        <w:t xml:space="preserve">PET-CT </w:t>
      </w:r>
      <w:r w:rsidR="008C44BD">
        <w:rPr>
          <w:rFonts w:cs="Calibri"/>
          <w:szCs w:val="24"/>
        </w:rPr>
        <w:t>scans</w:t>
      </w:r>
      <w:r w:rsidRPr="003A47F3">
        <w:rPr>
          <w:rFonts w:cs="Calibri"/>
          <w:szCs w:val="24"/>
        </w:rPr>
        <w:t xml:space="preserve"> is </w:t>
      </w:r>
      <w:r w:rsidRPr="003A47F3">
        <w:rPr>
          <w:rFonts w:cs="Calibri"/>
          <w:b/>
          <w:bCs/>
          <w:szCs w:val="24"/>
        </w:rPr>
        <w:t>9.1%</w:t>
      </w:r>
      <w:r w:rsidRPr="003A47F3">
        <w:rPr>
          <w:rFonts w:cs="Calibri"/>
          <w:szCs w:val="24"/>
        </w:rPr>
        <w:t xml:space="preserve">. FTI determined that these shifts do not meaningfully affect market concentration, as measured by </w:t>
      </w:r>
      <w:r w:rsidRPr="003A47F3">
        <w:rPr>
          <w:rFonts w:cs="Calibri"/>
          <w:b/>
          <w:bCs/>
          <w:szCs w:val="24"/>
        </w:rPr>
        <w:t>HHI</w:t>
      </w:r>
      <w:r w:rsidRPr="003A47F3">
        <w:rPr>
          <w:rFonts w:cs="Calibri"/>
          <w:szCs w:val="24"/>
        </w:rPr>
        <w:t>.</w:t>
      </w:r>
    </w:p>
    <w:p w14:paraId="7A40B2F9" w14:textId="77777777" w:rsidR="00DF6BA2" w:rsidRPr="00911945" w:rsidRDefault="00DF6BA2" w:rsidP="00DF6BA2">
      <w:pPr>
        <w:rPr>
          <w:rFonts w:cs="Calibri"/>
          <w:i/>
          <w:iCs/>
          <w:szCs w:val="24"/>
        </w:rPr>
      </w:pPr>
      <w:r w:rsidRPr="00911945">
        <w:rPr>
          <w:rFonts w:cs="Calibri"/>
          <w:i/>
          <w:iCs/>
          <w:szCs w:val="24"/>
        </w:rPr>
        <w:t xml:space="preserve">Changes in Total Medical Spending </w:t>
      </w:r>
    </w:p>
    <w:p w14:paraId="1F1EF112" w14:textId="77777777" w:rsidR="00DF6BA2" w:rsidRPr="00911945" w:rsidRDefault="00DF6BA2" w:rsidP="00F91720">
      <w:pPr>
        <w:pStyle w:val="ListParagraph"/>
        <w:widowControl/>
        <w:numPr>
          <w:ilvl w:val="0"/>
          <w:numId w:val="50"/>
        </w:numPr>
        <w:autoSpaceDE/>
        <w:autoSpaceDN/>
        <w:spacing w:after="160"/>
        <w:contextualSpacing/>
        <w:rPr>
          <w:rFonts w:cs="Calibri"/>
          <w:szCs w:val="24"/>
        </w:rPr>
      </w:pPr>
      <w:r w:rsidRPr="00911945">
        <w:rPr>
          <w:rFonts w:cs="Calibri"/>
          <w:szCs w:val="24"/>
        </w:rPr>
        <w:t xml:space="preserve">The projected shifts in utilization between MGB and DFCI are estimated to increase total medical spending for outpatient CT scans in Massachusetts by </w:t>
      </w:r>
      <w:r w:rsidRPr="00911945">
        <w:rPr>
          <w:rFonts w:cs="Calibri"/>
          <w:b/>
          <w:bCs/>
          <w:szCs w:val="24"/>
        </w:rPr>
        <w:t>0.3% ($1.7 million)</w:t>
      </w:r>
      <w:r w:rsidRPr="00911945">
        <w:rPr>
          <w:rFonts w:cs="Calibri"/>
          <w:szCs w:val="24"/>
        </w:rPr>
        <w:t xml:space="preserve"> in 2025, with similar but decreasing impacts in the following years.</w:t>
      </w:r>
    </w:p>
    <w:p w14:paraId="011307B3" w14:textId="77777777" w:rsidR="00DF6BA2" w:rsidRPr="00911945" w:rsidRDefault="00DF6BA2" w:rsidP="00F91720">
      <w:pPr>
        <w:pStyle w:val="ListParagraph"/>
        <w:widowControl/>
        <w:numPr>
          <w:ilvl w:val="0"/>
          <w:numId w:val="50"/>
        </w:numPr>
        <w:autoSpaceDE/>
        <w:autoSpaceDN/>
        <w:spacing w:after="160"/>
        <w:contextualSpacing/>
        <w:rPr>
          <w:rFonts w:cs="Calibri"/>
          <w:szCs w:val="24"/>
        </w:rPr>
      </w:pPr>
      <w:r w:rsidRPr="00911945">
        <w:rPr>
          <w:rFonts w:cs="Calibri"/>
          <w:szCs w:val="24"/>
        </w:rPr>
        <w:t xml:space="preserve">The projected shifts in utilization are estimated to increase total medical spending for outpatient PET-CT scans in Massachusetts by </w:t>
      </w:r>
      <w:r w:rsidRPr="00911945">
        <w:rPr>
          <w:rFonts w:cs="Calibri"/>
          <w:b/>
          <w:bCs/>
          <w:szCs w:val="24"/>
        </w:rPr>
        <w:t>0.1%</w:t>
      </w:r>
      <w:r w:rsidRPr="00911945">
        <w:rPr>
          <w:rFonts w:cs="Calibri"/>
          <w:szCs w:val="24"/>
        </w:rPr>
        <w:t xml:space="preserve"> </w:t>
      </w:r>
      <w:r w:rsidRPr="00911945">
        <w:rPr>
          <w:rFonts w:cs="Calibri"/>
          <w:b/>
          <w:bCs/>
          <w:szCs w:val="24"/>
        </w:rPr>
        <w:t>($28,038)</w:t>
      </w:r>
      <w:r w:rsidRPr="00911945">
        <w:rPr>
          <w:rFonts w:cs="Calibri"/>
          <w:szCs w:val="24"/>
        </w:rPr>
        <w:t xml:space="preserve"> in 2025, with similar but decreasing impacts in the following years.</w:t>
      </w:r>
    </w:p>
    <w:p w14:paraId="521B0E6E" w14:textId="1B937B6D" w:rsidR="00DF6BA2" w:rsidRPr="00911945" w:rsidRDefault="00DF6BA2" w:rsidP="00F91720">
      <w:pPr>
        <w:pStyle w:val="ListParagraph"/>
        <w:widowControl/>
        <w:numPr>
          <w:ilvl w:val="0"/>
          <w:numId w:val="50"/>
        </w:numPr>
        <w:autoSpaceDE/>
        <w:autoSpaceDN/>
        <w:contextualSpacing/>
        <w:rPr>
          <w:rFonts w:cs="Calibri"/>
          <w:szCs w:val="24"/>
        </w:rPr>
      </w:pPr>
      <w:r w:rsidRPr="00911945">
        <w:rPr>
          <w:rFonts w:cs="Calibri"/>
          <w:szCs w:val="24"/>
        </w:rPr>
        <w:t>If MGB were to replace all the scans shifted to DFCI with new scans</w:t>
      </w:r>
      <w:r>
        <w:rPr>
          <w:rFonts w:cs="Calibri"/>
          <w:szCs w:val="24"/>
        </w:rPr>
        <w:t>, meaning</w:t>
      </w:r>
      <w:r w:rsidRPr="00911945">
        <w:rPr>
          <w:rFonts w:cs="Calibri"/>
          <w:szCs w:val="24"/>
        </w:rPr>
        <w:t xml:space="preserve"> scans that would otherwise not have occurred rather than with scans pulled from other competitors,</w:t>
      </w:r>
      <w:r>
        <w:rPr>
          <w:rFonts w:cs="Calibri"/>
          <w:szCs w:val="24"/>
        </w:rPr>
        <w:t xml:space="preserve"> FTI states that</w:t>
      </w:r>
      <w:r w:rsidRPr="00911945">
        <w:rPr>
          <w:rFonts w:cs="Calibri"/>
          <w:szCs w:val="24"/>
        </w:rPr>
        <w:t xml:space="preserve"> this “supply-induced demand” would </w:t>
      </w:r>
      <w:r w:rsidR="008A231A">
        <w:rPr>
          <w:rFonts w:cs="Calibri"/>
          <w:szCs w:val="24"/>
        </w:rPr>
        <w:t xml:space="preserve">increase outpatient CT </w:t>
      </w:r>
      <w:r w:rsidR="001E40C1">
        <w:rPr>
          <w:rFonts w:cs="Calibri"/>
          <w:szCs w:val="24"/>
        </w:rPr>
        <w:t>imaging costs by</w:t>
      </w:r>
      <w:r w:rsidRPr="00911945">
        <w:rPr>
          <w:rFonts w:cs="Calibri"/>
          <w:szCs w:val="24"/>
        </w:rPr>
        <w:t xml:space="preserve"> </w:t>
      </w:r>
      <w:r w:rsidRPr="00911945">
        <w:rPr>
          <w:rFonts w:cs="Calibri"/>
          <w:b/>
          <w:bCs/>
          <w:szCs w:val="24"/>
        </w:rPr>
        <w:t>1.1% ($6.3 million)</w:t>
      </w:r>
      <w:r w:rsidRPr="00911945">
        <w:rPr>
          <w:rFonts w:cs="Calibri"/>
          <w:szCs w:val="24"/>
        </w:rPr>
        <w:t xml:space="preserve"> in 2025 increase outpatient PET-CT scans </w:t>
      </w:r>
      <w:r w:rsidR="00377243">
        <w:rPr>
          <w:rFonts w:cs="Calibri"/>
          <w:szCs w:val="24"/>
        </w:rPr>
        <w:t xml:space="preserve">costs by </w:t>
      </w:r>
      <w:r w:rsidR="00377243" w:rsidRPr="00377243">
        <w:rPr>
          <w:rFonts w:cs="Calibri"/>
          <w:b/>
          <w:bCs/>
          <w:szCs w:val="24"/>
        </w:rPr>
        <w:t>7.7% (3.7 million)</w:t>
      </w:r>
      <w:r w:rsidR="00377243" w:rsidRPr="00377243">
        <w:rPr>
          <w:rFonts w:cs="Calibri"/>
          <w:szCs w:val="24"/>
        </w:rPr>
        <w:t xml:space="preserve"> </w:t>
      </w:r>
      <w:r w:rsidRPr="00911945">
        <w:rPr>
          <w:rFonts w:cs="Calibri"/>
          <w:szCs w:val="24"/>
        </w:rPr>
        <w:t>in 2025.</w:t>
      </w:r>
    </w:p>
    <w:p w14:paraId="730578D6" w14:textId="77777777" w:rsidR="00DF6BA2" w:rsidRDefault="00DF6BA2" w:rsidP="00DF6BA2">
      <w:pPr>
        <w:rPr>
          <w:rFonts w:cs="Calibri"/>
          <w:szCs w:val="24"/>
        </w:rPr>
      </w:pPr>
    </w:p>
    <w:p w14:paraId="33F99E1B" w14:textId="77777777" w:rsidR="00DF6BA2" w:rsidRPr="00DE55D8" w:rsidRDefault="00DF6BA2" w:rsidP="00DF6BA2">
      <w:pPr>
        <w:rPr>
          <w:rFonts w:cs="Calibri"/>
          <w:b/>
          <w:bCs/>
          <w:szCs w:val="24"/>
        </w:rPr>
      </w:pPr>
      <w:r w:rsidRPr="00DE55D8">
        <w:rPr>
          <w:rFonts w:cs="Calibri"/>
          <w:b/>
          <w:bCs/>
          <w:szCs w:val="24"/>
        </w:rPr>
        <w:t>Radiation Therapy</w:t>
      </w:r>
    </w:p>
    <w:p w14:paraId="0A334F19" w14:textId="77777777" w:rsidR="00DF6BA2" w:rsidRDefault="00DF6BA2" w:rsidP="00DF6BA2">
      <w:pPr>
        <w:rPr>
          <w:rFonts w:cs="Calibri"/>
          <w:szCs w:val="24"/>
        </w:rPr>
      </w:pPr>
      <w:r>
        <w:rPr>
          <w:rFonts w:cs="Calibri"/>
          <w:szCs w:val="24"/>
        </w:rPr>
        <w:t xml:space="preserve">Proposed Project: 3 LINACs and 2 CT Simulator Machines </w:t>
      </w:r>
    </w:p>
    <w:p w14:paraId="28BAF530" w14:textId="77777777" w:rsidR="00212178" w:rsidRDefault="00212178" w:rsidP="00DF6BA2">
      <w:pPr>
        <w:rPr>
          <w:rFonts w:cs="Calibri"/>
          <w:szCs w:val="24"/>
        </w:rPr>
      </w:pPr>
    </w:p>
    <w:p w14:paraId="6D6E2B06" w14:textId="77777777" w:rsidR="00DF6BA2" w:rsidRDefault="00DF6BA2" w:rsidP="00DF6BA2">
      <w:pPr>
        <w:rPr>
          <w:rFonts w:cs="Calibri"/>
          <w:szCs w:val="24"/>
        </w:rPr>
      </w:pPr>
      <w:r w:rsidRPr="006B64F0">
        <w:rPr>
          <w:rFonts w:cs="Calibri"/>
          <w:szCs w:val="24"/>
        </w:rPr>
        <w:t>FTI conducted its ICA analysis of radiation therapy for the Boston region</w:t>
      </w:r>
      <w:r>
        <w:rPr>
          <w:rFonts w:cs="Calibri"/>
          <w:szCs w:val="24"/>
        </w:rPr>
        <w:t xml:space="preserve">, which FTI states is </w:t>
      </w:r>
      <w:r w:rsidRPr="006B64F0">
        <w:rPr>
          <w:rFonts w:cs="Calibri"/>
          <w:szCs w:val="24"/>
        </w:rPr>
        <w:t>the region in which DFCI proposes to expand its radiation therapy equipment capacity</w:t>
      </w:r>
      <w:r>
        <w:rPr>
          <w:rFonts w:cs="Calibri"/>
          <w:szCs w:val="24"/>
        </w:rPr>
        <w:t>.</w:t>
      </w:r>
    </w:p>
    <w:p w14:paraId="3675872E" w14:textId="77777777" w:rsidR="00DF6BA2" w:rsidRPr="00911945" w:rsidRDefault="00DF6BA2" w:rsidP="00DF6BA2">
      <w:pPr>
        <w:rPr>
          <w:rFonts w:cs="Calibri"/>
          <w:i/>
          <w:iCs/>
          <w:szCs w:val="24"/>
        </w:rPr>
      </w:pPr>
      <w:r w:rsidRPr="00911945">
        <w:rPr>
          <w:rFonts w:cs="Calibri"/>
          <w:i/>
          <w:iCs/>
          <w:szCs w:val="24"/>
        </w:rPr>
        <w:t xml:space="preserve">Current Provision of Services </w:t>
      </w:r>
    </w:p>
    <w:p w14:paraId="55CFCF3E" w14:textId="77777777" w:rsidR="00DF6BA2" w:rsidRDefault="00DF6BA2" w:rsidP="00F91720">
      <w:pPr>
        <w:pStyle w:val="ListParagraph"/>
        <w:widowControl/>
        <w:numPr>
          <w:ilvl w:val="0"/>
          <w:numId w:val="51"/>
        </w:numPr>
        <w:autoSpaceDE/>
        <w:autoSpaceDN/>
        <w:spacing w:after="160"/>
        <w:contextualSpacing/>
        <w:rPr>
          <w:rFonts w:cs="Calibri"/>
          <w:szCs w:val="24"/>
        </w:rPr>
      </w:pPr>
      <w:r>
        <w:rPr>
          <w:rFonts w:cs="Calibri"/>
          <w:szCs w:val="24"/>
        </w:rPr>
        <w:t xml:space="preserve">There were </w:t>
      </w:r>
      <w:r w:rsidRPr="00CB2F0D">
        <w:rPr>
          <w:rFonts w:cs="Calibri"/>
          <w:b/>
          <w:bCs/>
          <w:szCs w:val="24"/>
        </w:rPr>
        <w:t>96,951</w:t>
      </w:r>
      <w:r>
        <w:rPr>
          <w:rFonts w:cs="Calibri"/>
          <w:szCs w:val="24"/>
        </w:rPr>
        <w:t xml:space="preserve"> LINAC procedures and </w:t>
      </w:r>
      <w:r w:rsidRPr="00CB2F0D">
        <w:rPr>
          <w:rFonts w:cs="Calibri"/>
          <w:b/>
          <w:bCs/>
          <w:szCs w:val="24"/>
        </w:rPr>
        <w:t>6,753</w:t>
      </w:r>
      <w:r>
        <w:rPr>
          <w:rFonts w:cs="Calibri"/>
          <w:szCs w:val="24"/>
        </w:rPr>
        <w:t xml:space="preserve"> CT Simulator Procedures in 2021.</w:t>
      </w:r>
    </w:p>
    <w:p w14:paraId="204E6E11" w14:textId="77777777" w:rsidR="00DF6BA2" w:rsidRPr="00911945" w:rsidRDefault="00DF6BA2" w:rsidP="00F91720">
      <w:pPr>
        <w:pStyle w:val="ListParagraph"/>
        <w:widowControl/>
        <w:numPr>
          <w:ilvl w:val="0"/>
          <w:numId w:val="51"/>
        </w:numPr>
        <w:autoSpaceDE/>
        <w:autoSpaceDN/>
        <w:spacing w:after="160"/>
        <w:contextualSpacing/>
        <w:rPr>
          <w:rFonts w:cs="Calibri"/>
          <w:szCs w:val="24"/>
        </w:rPr>
      </w:pPr>
      <w:r w:rsidRPr="51A45125">
        <w:rPr>
          <w:rFonts w:cs="Calibri"/>
          <w:szCs w:val="24"/>
        </w:rPr>
        <w:t xml:space="preserve">FTI estimates that DFCI accounted for </w:t>
      </w:r>
      <w:r w:rsidRPr="51A45125">
        <w:rPr>
          <w:rFonts w:cs="Calibri"/>
          <w:b/>
          <w:bCs/>
          <w:szCs w:val="24"/>
        </w:rPr>
        <w:t xml:space="preserve">10% </w:t>
      </w:r>
      <w:r w:rsidRPr="00B2492D">
        <w:rPr>
          <w:rFonts w:cs="Calibri"/>
          <w:szCs w:val="24"/>
        </w:rPr>
        <w:t>of</w:t>
      </w:r>
      <w:r w:rsidRPr="51A45125">
        <w:rPr>
          <w:rFonts w:cs="Calibri"/>
          <w:szCs w:val="24"/>
        </w:rPr>
        <w:t xml:space="preserve"> all LINAC procedures and </w:t>
      </w:r>
      <w:r w:rsidRPr="51A45125">
        <w:rPr>
          <w:rFonts w:cs="Calibri"/>
          <w:b/>
          <w:bCs/>
          <w:szCs w:val="24"/>
        </w:rPr>
        <w:t>4%</w:t>
      </w:r>
      <w:r w:rsidRPr="51A45125">
        <w:rPr>
          <w:rFonts w:cs="Calibri"/>
          <w:szCs w:val="24"/>
        </w:rPr>
        <w:t xml:space="preserve"> of all CT simulation procedures in Massachusetts in 2021.</w:t>
      </w:r>
    </w:p>
    <w:p w14:paraId="7BE15545" w14:textId="77777777" w:rsidR="00DF6BA2" w:rsidRDefault="00DF6BA2" w:rsidP="00DF6BA2">
      <w:pPr>
        <w:rPr>
          <w:rFonts w:cs="Calibri"/>
          <w:i/>
          <w:iCs/>
          <w:szCs w:val="24"/>
        </w:rPr>
      </w:pPr>
      <w:r>
        <w:rPr>
          <w:rFonts w:cs="Calibri"/>
          <w:i/>
          <w:iCs/>
          <w:szCs w:val="24"/>
        </w:rPr>
        <w:t>Changes in Utilization</w:t>
      </w:r>
    </w:p>
    <w:p w14:paraId="0E9122C5" w14:textId="77777777" w:rsidR="00DF6BA2" w:rsidRPr="007167B6" w:rsidRDefault="00DF6BA2" w:rsidP="00F91720">
      <w:pPr>
        <w:pStyle w:val="ListParagraph"/>
        <w:widowControl/>
        <w:numPr>
          <w:ilvl w:val="0"/>
          <w:numId w:val="56"/>
        </w:numPr>
        <w:autoSpaceDE/>
        <w:autoSpaceDN/>
        <w:spacing w:after="160"/>
        <w:contextualSpacing/>
        <w:rPr>
          <w:rFonts w:cs="Calibri"/>
          <w:i/>
          <w:iCs/>
          <w:szCs w:val="24"/>
        </w:rPr>
      </w:pPr>
      <w:r>
        <w:rPr>
          <w:rFonts w:cs="Calibri"/>
          <w:szCs w:val="24"/>
        </w:rPr>
        <w:t xml:space="preserve">FTI projects that LINAC procedures in the service area will increase by </w:t>
      </w:r>
      <w:r w:rsidRPr="00D434D6">
        <w:rPr>
          <w:rFonts w:cs="Calibri"/>
          <w:b/>
          <w:bCs/>
          <w:szCs w:val="24"/>
        </w:rPr>
        <w:t>17.4%</w:t>
      </w:r>
      <w:r>
        <w:rPr>
          <w:rFonts w:cs="Calibri"/>
          <w:szCs w:val="24"/>
        </w:rPr>
        <w:t xml:space="preserve"> from 36,003 in 2025 to 42,283 in 2040, and CT Simulator procedures will increase by </w:t>
      </w:r>
      <w:r w:rsidRPr="00D434D6">
        <w:rPr>
          <w:rFonts w:cs="Calibri"/>
          <w:b/>
          <w:bCs/>
          <w:szCs w:val="24"/>
        </w:rPr>
        <w:t>14.8%</w:t>
      </w:r>
      <w:r>
        <w:rPr>
          <w:rFonts w:cs="Calibri"/>
          <w:szCs w:val="24"/>
        </w:rPr>
        <w:t xml:space="preserve"> from 2,541 in 2025 to 2,918 in 2040. </w:t>
      </w:r>
    </w:p>
    <w:p w14:paraId="70EF85DA" w14:textId="77777777" w:rsidR="00DF6BA2" w:rsidRPr="00911945" w:rsidRDefault="00DF6BA2" w:rsidP="00DF6BA2">
      <w:pPr>
        <w:rPr>
          <w:rFonts w:cs="Calibri"/>
          <w:i/>
          <w:iCs/>
          <w:szCs w:val="24"/>
        </w:rPr>
      </w:pPr>
      <w:r w:rsidRPr="00911945">
        <w:rPr>
          <w:rFonts w:cs="Calibri"/>
          <w:i/>
          <w:iCs/>
          <w:szCs w:val="24"/>
        </w:rPr>
        <w:t xml:space="preserve">Projected Demand </w:t>
      </w:r>
    </w:p>
    <w:p w14:paraId="2FEEF56E" w14:textId="77777777" w:rsidR="00DF6BA2" w:rsidRPr="00911945" w:rsidRDefault="00DF6BA2" w:rsidP="00F91720">
      <w:pPr>
        <w:pStyle w:val="ListParagraph"/>
        <w:widowControl/>
        <w:numPr>
          <w:ilvl w:val="0"/>
          <w:numId w:val="51"/>
        </w:numPr>
        <w:autoSpaceDE/>
        <w:autoSpaceDN/>
        <w:spacing w:after="160"/>
        <w:contextualSpacing/>
        <w:rPr>
          <w:rFonts w:cs="Calibri"/>
          <w:szCs w:val="24"/>
        </w:rPr>
      </w:pPr>
      <w:r w:rsidRPr="00911945">
        <w:rPr>
          <w:rFonts w:cs="Calibri"/>
          <w:szCs w:val="24"/>
        </w:rPr>
        <w:t xml:space="preserve">FTI projects that the combined demand of existing DFCI, BIDMC, and BWH LINAC procedures will require approximately </w:t>
      </w:r>
      <w:r w:rsidRPr="00911945">
        <w:rPr>
          <w:rFonts w:cs="Calibri"/>
          <w:b/>
          <w:bCs/>
          <w:szCs w:val="24"/>
        </w:rPr>
        <w:t>10 LINACs</w:t>
      </w:r>
      <w:r w:rsidRPr="00911945">
        <w:rPr>
          <w:rFonts w:cs="Calibri"/>
          <w:szCs w:val="24"/>
        </w:rPr>
        <w:t xml:space="preserve"> in 2025. </w:t>
      </w:r>
      <w:r>
        <w:rPr>
          <w:rFonts w:cs="Calibri"/>
          <w:szCs w:val="24"/>
        </w:rPr>
        <w:t>When e</w:t>
      </w:r>
      <w:r w:rsidRPr="00911945">
        <w:rPr>
          <w:rFonts w:cs="Calibri"/>
          <w:szCs w:val="24"/>
        </w:rPr>
        <w:t xml:space="preserve">xcluding LINAC sessions currently performed by BWH LINACs, </w:t>
      </w:r>
      <w:r>
        <w:rPr>
          <w:rFonts w:cs="Calibri"/>
          <w:szCs w:val="24"/>
        </w:rPr>
        <w:t xml:space="preserve">FTI projects </w:t>
      </w:r>
      <w:r w:rsidRPr="00911945">
        <w:rPr>
          <w:rFonts w:cs="Calibri"/>
          <w:szCs w:val="24"/>
        </w:rPr>
        <w:t xml:space="preserve">the need will be approximately </w:t>
      </w:r>
      <w:r w:rsidRPr="00911945">
        <w:rPr>
          <w:rFonts w:cs="Calibri"/>
          <w:b/>
          <w:bCs/>
          <w:szCs w:val="24"/>
        </w:rPr>
        <w:t xml:space="preserve">7 LINACs </w:t>
      </w:r>
      <w:r w:rsidRPr="00911945">
        <w:rPr>
          <w:rFonts w:cs="Calibri"/>
          <w:szCs w:val="24"/>
        </w:rPr>
        <w:t>between DFCI and BIDMC in 2025.</w:t>
      </w:r>
    </w:p>
    <w:p w14:paraId="7D4A52E6" w14:textId="77777777" w:rsidR="00DF6BA2" w:rsidRPr="00911945" w:rsidRDefault="00DF6BA2" w:rsidP="00F91720">
      <w:pPr>
        <w:pStyle w:val="ListParagraph"/>
        <w:widowControl/>
        <w:numPr>
          <w:ilvl w:val="0"/>
          <w:numId w:val="51"/>
        </w:numPr>
        <w:autoSpaceDE/>
        <w:autoSpaceDN/>
        <w:spacing w:after="160"/>
        <w:contextualSpacing/>
        <w:rPr>
          <w:rFonts w:cs="Calibri"/>
          <w:szCs w:val="24"/>
        </w:rPr>
      </w:pPr>
      <w:r w:rsidRPr="00911945">
        <w:rPr>
          <w:rFonts w:cs="Calibri"/>
          <w:szCs w:val="24"/>
        </w:rPr>
        <w:t xml:space="preserve">FTI estimates that the combined demand of existing DFCI, BIDMC, and BWH LINAC procedures will require the equivalent of </w:t>
      </w:r>
      <w:r w:rsidRPr="00911945">
        <w:rPr>
          <w:rFonts w:cs="Calibri"/>
          <w:b/>
          <w:bCs/>
          <w:szCs w:val="24"/>
        </w:rPr>
        <w:t>2.1 CT simulators</w:t>
      </w:r>
      <w:r w:rsidRPr="00911945">
        <w:rPr>
          <w:rFonts w:cs="Calibri"/>
          <w:szCs w:val="24"/>
        </w:rPr>
        <w:t xml:space="preserve"> in 2025 or </w:t>
      </w:r>
      <w:r w:rsidRPr="00911945">
        <w:rPr>
          <w:rFonts w:cs="Calibri"/>
          <w:b/>
          <w:bCs/>
          <w:szCs w:val="24"/>
        </w:rPr>
        <w:t>1.2 equivalent CT simulators</w:t>
      </w:r>
      <w:r w:rsidRPr="00911945">
        <w:rPr>
          <w:rFonts w:cs="Calibri"/>
          <w:szCs w:val="24"/>
        </w:rPr>
        <w:t xml:space="preserve"> without BWH demand.</w:t>
      </w:r>
    </w:p>
    <w:p w14:paraId="275B4EDF" w14:textId="77777777" w:rsidR="00DF6BA2" w:rsidRPr="00911945" w:rsidRDefault="00DF6BA2" w:rsidP="00DF6BA2">
      <w:pPr>
        <w:rPr>
          <w:rFonts w:cs="Calibri"/>
          <w:i/>
          <w:iCs/>
          <w:szCs w:val="24"/>
        </w:rPr>
      </w:pPr>
      <w:r w:rsidRPr="00911945">
        <w:rPr>
          <w:rFonts w:cs="Calibri"/>
          <w:i/>
          <w:iCs/>
          <w:szCs w:val="24"/>
        </w:rPr>
        <w:t>Relative Prices</w:t>
      </w:r>
    </w:p>
    <w:p w14:paraId="74ED8AAA" w14:textId="75DEBF10" w:rsidR="00DF6BA2" w:rsidRPr="00911945" w:rsidRDefault="00DF6BA2" w:rsidP="00F91720">
      <w:pPr>
        <w:pStyle w:val="ListParagraph"/>
        <w:widowControl/>
        <w:numPr>
          <w:ilvl w:val="0"/>
          <w:numId w:val="52"/>
        </w:numPr>
        <w:autoSpaceDE/>
        <w:autoSpaceDN/>
        <w:spacing w:after="160"/>
        <w:contextualSpacing/>
        <w:rPr>
          <w:rFonts w:cs="Calibri"/>
          <w:szCs w:val="24"/>
        </w:rPr>
      </w:pPr>
      <w:r w:rsidRPr="00911945">
        <w:rPr>
          <w:rFonts w:cs="Calibri"/>
          <w:szCs w:val="24"/>
        </w:rPr>
        <w:lastRenderedPageBreak/>
        <w:t>FTI estimate</w:t>
      </w:r>
      <w:r w:rsidR="00F406FE">
        <w:rPr>
          <w:rFonts w:cs="Calibri"/>
          <w:szCs w:val="24"/>
        </w:rPr>
        <w:t>d</w:t>
      </w:r>
      <w:r>
        <w:rPr>
          <w:rFonts w:cs="Calibri"/>
          <w:szCs w:val="24"/>
        </w:rPr>
        <w:t xml:space="preserve"> relative prices by hospital and payor in 2021 and found</w:t>
      </w:r>
      <w:r w:rsidRPr="00911945">
        <w:rPr>
          <w:rFonts w:cs="Calibri"/>
          <w:szCs w:val="24"/>
        </w:rPr>
        <w:t xml:space="preserve"> that DFCI’s commercial prices are lower on average than BWH for radiation therapy (except for Medicaid reimbursement of LINAC treatment), implying cost savings from shifts away from BWH.</w:t>
      </w:r>
    </w:p>
    <w:p w14:paraId="57ED8ACD" w14:textId="77777777" w:rsidR="00DF6BA2" w:rsidRPr="00911945" w:rsidRDefault="00DF6BA2" w:rsidP="00DF6BA2">
      <w:pPr>
        <w:rPr>
          <w:rFonts w:cs="Calibri"/>
          <w:i/>
          <w:iCs/>
          <w:szCs w:val="24"/>
        </w:rPr>
      </w:pPr>
      <w:r w:rsidRPr="00911945">
        <w:rPr>
          <w:rFonts w:cs="Calibri"/>
          <w:i/>
          <w:iCs/>
          <w:szCs w:val="24"/>
        </w:rPr>
        <w:t xml:space="preserve">Market Shares </w:t>
      </w:r>
    </w:p>
    <w:p w14:paraId="4EF2BBCE" w14:textId="77777777" w:rsidR="00DF6BA2" w:rsidRPr="00554364" w:rsidRDefault="00DF6BA2" w:rsidP="00F91720">
      <w:pPr>
        <w:pStyle w:val="ListParagraph"/>
        <w:widowControl/>
        <w:numPr>
          <w:ilvl w:val="0"/>
          <w:numId w:val="52"/>
        </w:numPr>
        <w:autoSpaceDE/>
        <w:autoSpaceDN/>
        <w:spacing w:after="160"/>
        <w:contextualSpacing/>
        <w:rPr>
          <w:rFonts w:cs="Calibri"/>
          <w:szCs w:val="24"/>
        </w:rPr>
      </w:pPr>
      <w:r>
        <w:rPr>
          <w:rFonts w:cs="Calibri"/>
          <w:szCs w:val="24"/>
        </w:rPr>
        <w:t xml:space="preserve">FTI projected </w:t>
      </w:r>
      <w:r w:rsidRPr="00911945">
        <w:rPr>
          <w:rFonts w:cs="Calibri"/>
          <w:b/>
          <w:bCs/>
          <w:szCs w:val="24"/>
        </w:rPr>
        <w:t>12.4%</w:t>
      </w:r>
      <w:r w:rsidRPr="00911945">
        <w:rPr>
          <w:rFonts w:cs="Calibri"/>
          <w:szCs w:val="24"/>
        </w:rPr>
        <w:t xml:space="preserve"> of total LINAC procedures and </w:t>
      </w:r>
      <w:r w:rsidRPr="00911945">
        <w:rPr>
          <w:rFonts w:cs="Calibri"/>
          <w:b/>
          <w:bCs/>
          <w:szCs w:val="24"/>
        </w:rPr>
        <w:t xml:space="preserve">13.6% </w:t>
      </w:r>
      <w:r w:rsidRPr="00911945">
        <w:rPr>
          <w:rFonts w:cs="Calibri"/>
          <w:szCs w:val="24"/>
        </w:rPr>
        <w:t>of CT simulator procedures in the Boston area</w:t>
      </w:r>
      <w:r>
        <w:rPr>
          <w:rFonts w:cs="Calibri"/>
          <w:szCs w:val="24"/>
        </w:rPr>
        <w:t xml:space="preserve"> shift away from MGB to DFCI. </w:t>
      </w:r>
    </w:p>
    <w:p w14:paraId="511BA5CD" w14:textId="77777777" w:rsidR="00DF6BA2" w:rsidRPr="00911945" w:rsidRDefault="00DF6BA2" w:rsidP="00DF6BA2">
      <w:pPr>
        <w:rPr>
          <w:rFonts w:cs="Calibri"/>
          <w:i/>
          <w:iCs/>
          <w:szCs w:val="24"/>
        </w:rPr>
      </w:pPr>
      <w:r w:rsidRPr="00911945">
        <w:rPr>
          <w:rFonts w:cs="Calibri"/>
          <w:i/>
          <w:iCs/>
          <w:szCs w:val="24"/>
        </w:rPr>
        <w:t xml:space="preserve">Changes in Total Medical Spending </w:t>
      </w:r>
    </w:p>
    <w:p w14:paraId="2CB48CC1" w14:textId="2260047C" w:rsidR="00DF6BA2" w:rsidRPr="00911945" w:rsidRDefault="00DF6BA2" w:rsidP="00F91720">
      <w:pPr>
        <w:pStyle w:val="ListParagraph"/>
        <w:widowControl/>
        <w:numPr>
          <w:ilvl w:val="0"/>
          <w:numId w:val="52"/>
        </w:numPr>
        <w:autoSpaceDE/>
        <w:autoSpaceDN/>
        <w:spacing w:after="160"/>
        <w:contextualSpacing/>
        <w:rPr>
          <w:rFonts w:cs="Calibri"/>
          <w:szCs w:val="24"/>
        </w:rPr>
      </w:pPr>
      <w:r w:rsidRPr="00911945">
        <w:rPr>
          <w:rFonts w:cs="Calibri"/>
          <w:szCs w:val="24"/>
        </w:rPr>
        <w:t xml:space="preserve">The projected shifts in utilization between BWH and DFCI/BIDMC are estimated to decrease total medical spending in the Boston area for LINAC procedures by </w:t>
      </w:r>
      <w:r w:rsidRPr="00911945">
        <w:rPr>
          <w:rFonts w:cs="Calibri"/>
          <w:b/>
          <w:bCs/>
          <w:szCs w:val="24"/>
        </w:rPr>
        <w:t>2.4% (</w:t>
      </w:r>
      <w:r w:rsidR="00787855">
        <w:rPr>
          <w:rFonts w:cs="Calibri"/>
          <w:b/>
          <w:bCs/>
          <w:szCs w:val="24"/>
        </w:rPr>
        <w:t>$</w:t>
      </w:r>
      <w:r w:rsidRPr="00911945">
        <w:rPr>
          <w:rFonts w:cs="Calibri"/>
          <w:b/>
          <w:bCs/>
          <w:szCs w:val="24"/>
        </w:rPr>
        <w:t>0.7 million)</w:t>
      </w:r>
      <w:r w:rsidRPr="00911945">
        <w:rPr>
          <w:rFonts w:cs="Calibri"/>
          <w:szCs w:val="24"/>
        </w:rPr>
        <w:t xml:space="preserve"> in 2025, with similar but diminishing cost decreases in the following years.</w:t>
      </w:r>
    </w:p>
    <w:p w14:paraId="25889571" w14:textId="1E3CD948" w:rsidR="00DF6BA2" w:rsidRPr="00911945" w:rsidRDefault="00DF6BA2" w:rsidP="00F91720">
      <w:pPr>
        <w:pStyle w:val="ListParagraph"/>
        <w:widowControl/>
        <w:numPr>
          <w:ilvl w:val="0"/>
          <w:numId w:val="52"/>
        </w:numPr>
        <w:autoSpaceDE/>
        <w:autoSpaceDN/>
        <w:spacing w:after="160"/>
        <w:contextualSpacing/>
        <w:rPr>
          <w:rFonts w:cs="Calibri"/>
          <w:szCs w:val="24"/>
        </w:rPr>
      </w:pPr>
      <w:r w:rsidRPr="00911945">
        <w:rPr>
          <w:rFonts w:cs="Calibri"/>
          <w:szCs w:val="24"/>
        </w:rPr>
        <w:t xml:space="preserve">The projected shifts in utilization between BWH and DFCI/BIDMC are estimated to decrease total medical spending in the Boston area for CT simulator procedures by </w:t>
      </w:r>
      <w:r w:rsidRPr="00911945">
        <w:rPr>
          <w:rFonts w:cs="Calibri"/>
          <w:b/>
          <w:bCs/>
          <w:szCs w:val="24"/>
        </w:rPr>
        <w:t>7.3% (</w:t>
      </w:r>
      <w:r w:rsidR="00787855">
        <w:rPr>
          <w:rFonts w:cs="Calibri"/>
          <w:b/>
          <w:bCs/>
          <w:szCs w:val="24"/>
        </w:rPr>
        <w:t>$</w:t>
      </w:r>
      <w:r w:rsidRPr="00911945">
        <w:rPr>
          <w:rFonts w:cs="Calibri"/>
          <w:b/>
          <w:bCs/>
          <w:szCs w:val="24"/>
        </w:rPr>
        <w:t>0.1 million)</w:t>
      </w:r>
      <w:r w:rsidRPr="00911945">
        <w:rPr>
          <w:rFonts w:cs="Calibri"/>
          <w:szCs w:val="24"/>
        </w:rPr>
        <w:t xml:space="preserve"> in 2025, with cost decreases of more than </w:t>
      </w:r>
      <w:r w:rsidRPr="00911945">
        <w:rPr>
          <w:rFonts w:cs="Calibri"/>
          <w:b/>
          <w:bCs/>
          <w:szCs w:val="24"/>
        </w:rPr>
        <w:t>7.0% (0.1 million)</w:t>
      </w:r>
      <w:r w:rsidRPr="00911945">
        <w:rPr>
          <w:rFonts w:cs="Calibri"/>
          <w:szCs w:val="24"/>
        </w:rPr>
        <w:t xml:space="preserve"> through 2040.</w:t>
      </w:r>
    </w:p>
    <w:p w14:paraId="03D9D4EA" w14:textId="64BFC824" w:rsidR="00DF6BA2" w:rsidRPr="00911945" w:rsidRDefault="00DF6BA2" w:rsidP="00F91720">
      <w:pPr>
        <w:pStyle w:val="ListParagraph"/>
        <w:widowControl/>
        <w:numPr>
          <w:ilvl w:val="0"/>
          <w:numId w:val="52"/>
        </w:numPr>
        <w:autoSpaceDE/>
        <w:autoSpaceDN/>
        <w:contextualSpacing/>
        <w:rPr>
          <w:rFonts w:cs="Calibri"/>
          <w:szCs w:val="24"/>
        </w:rPr>
      </w:pPr>
      <w:r w:rsidRPr="00911945">
        <w:rPr>
          <w:rFonts w:cs="Calibri"/>
          <w:szCs w:val="24"/>
        </w:rPr>
        <w:t>FTI modeled the maximum impact of the potential of BWH to compete for patients with DFCI and other radiation therapy providers,</w:t>
      </w:r>
      <w:r w:rsidRPr="001D7A07">
        <w:t xml:space="preserve"> </w:t>
      </w:r>
      <w:r w:rsidRPr="00911945">
        <w:rPr>
          <w:rFonts w:cs="Calibri"/>
          <w:szCs w:val="24"/>
        </w:rPr>
        <w:t xml:space="preserve">an approach that FTI states would reduce cost savings from shifts to DFCI as patients are drawn into BWH from lower-priced surrounding providers. FTI estimated the impact (maximum cost increase) of BWH replacing all of its lost patients with other patients in the Boston area is between </w:t>
      </w:r>
      <w:r w:rsidRPr="00911945">
        <w:rPr>
          <w:rFonts w:cs="Calibri"/>
          <w:b/>
          <w:bCs/>
          <w:szCs w:val="24"/>
        </w:rPr>
        <w:t>4.5%-4.9% (</w:t>
      </w:r>
      <w:r w:rsidR="00787855">
        <w:rPr>
          <w:rFonts w:cs="Calibri"/>
          <w:b/>
          <w:bCs/>
          <w:szCs w:val="24"/>
        </w:rPr>
        <w:t>$</w:t>
      </w:r>
      <w:r w:rsidRPr="00911945">
        <w:rPr>
          <w:rFonts w:cs="Calibri"/>
          <w:b/>
          <w:bCs/>
          <w:szCs w:val="24"/>
        </w:rPr>
        <w:t xml:space="preserve">1.3 million to </w:t>
      </w:r>
      <w:r w:rsidR="00787855">
        <w:rPr>
          <w:rFonts w:cs="Calibri"/>
          <w:b/>
          <w:bCs/>
          <w:szCs w:val="24"/>
        </w:rPr>
        <w:t>$</w:t>
      </w:r>
      <w:r w:rsidRPr="00911945">
        <w:rPr>
          <w:rFonts w:cs="Calibri"/>
          <w:b/>
          <w:bCs/>
          <w:szCs w:val="24"/>
        </w:rPr>
        <w:t>1.4 million)</w:t>
      </w:r>
      <w:r w:rsidRPr="00911945">
        <w:rPr>
          <w:rFonts w:cs="Calibri"/>
          <w:szCs w:val="24"/>
        </w:rPr>
        <w:t xml:space="preserve"> for LINAC procedures and </w:t>
      </w:r>
      <w:r w:rsidRPr="00911945">
        <w:rPr>
          <w:rFonts w:cs="Calibri"/>
          <w:b/>
          <w:bCs/>
          <w:szCs w:val="24"/>
        </w:rPr>
        <w:t>5.9%-6.0%</w:t>
      </w:r>
      <w:r w:rsidRPr="00911945">
        <w:rPr>
          <w:rFonts w:cs="Calibri"/>
          <w:szCs w:val="24"/>
        </w:rPr>
        <w:t xml:space="preserve"> </w:t>
      </w:r>
      <w:r w:rsidRPr="00911945">
        <w:rPr>
          <w:rFonts w:cs="Calibri"/>
          <w:b/>
          <w:bCs/>
          <w:szCs w:val="24"/>
        </w:rPr>
        <w:t>($</w:t>
      </w:r>
      <w:r w:rsidR="00731B34" w:rsidRPr="00731B34">
        <w:rPr>
          <w:rFonts w:cs="Calibri"/>
          <w:b/>
          <w:bCs/>
          <w:szCs w:val="24"/>
        </w:rPr>
        <w:t>100,636-</w:t>
      </w:r>
      <w:r w:rsidRPr="00911945">
        <w:rPr>
          <w:rFonts w:cs="Calibri"/>
          <w:b/>
          <w:bCs/>
          <w:szCs w:val="24"/>
        </w:rPr>
        <w:t>$113,358)</w:t>
      </w:r>
      <w:r w:rsidRPr="00911945">
        <w:rPr>
          <w:rFonts w:cs="Calibri"/>
          <w:szCs w:val="24"/>
        </w:rPr>
        <w:t xml:space="preserve"> for CT simulator procedures.</w:t>
      </w:r>
    </w:p>
    <w:p w14:paraId="56C9C5B6" w14:textId="77777777" w:rsidR="00DF6BA2" w:rsidRDefault="00DF6BA2" w:rsidP="00DF6BA2">
      <w:pPr>
        <w:rPr>
          <w:rFonts w:cs="Calibri"/>
          <w:szCs w:val="24"/>
        </w:rPr>
      </w:pPr>
    </w:p>
    <w:p w14:paraId="15B2B382" w14:textId="77777777" w:rsidR="00DF6BA2" w:rsidRDefault="00DF6BA2" w:rsidP="00DF6BA2">
      <w:pPr>
        <w:rPr>
          <w:rFonts w:cs="Calibri"/>
          <w:szCs w:val="24"/>
        </w:rPr>
      </w:pPr>
    </w:p>
    <w:p w14:paraId="039D3448" w14:textId="77777777" w:rsidR="00DF6BA2" w:rsidRPr="004C3071" w:rsidRDefault="00DF6BA2" w:rsidP="00DF6BA2">
      <w:pPr>
        <w:rPr>
          <w:rFonts w:cs="Calibri"/>
          <w:b/>
          <w:bCs/>
          <w:szCs w:val="24"/>
        </w:rPr>
      </w:pPr>
      <w:r w:rsidRPr="004C3071">
        <w:rPr>
          <w:rFonts w:cs="Calibri"/>
          <w:b/>
          <w:bCs/>
          <w:szCs w:val="24"/>
        </w:rPr>
        <w:t>Specialized Cancer Therapies</w:t>
      </w:r>
    </w:p>
    <w:p w14:paraId="40EB6E85" w14:textId="4B5D5E1B" w:rsidR="00DF6BA2" w:rsidRDefault="00DF6BA2" w:rsidP="00DF6BA2">
      <w:pPr>
        <w:rPr>
          <w:rFonts w:cs="Calibri"/>
          <w:szCs w:val="24"/>
        </w:rPr>
      </w:pPr>
      <w:r>
        <w:rPr>
          <w:rFonts w:cs="Calibri"/>
          <w:szCs w:val="24"/>
        </w:rPr>
        <w:t>FTI states that a</w:t>
      </w:r>
      <w:r w:rsidRPr="00C6783B">
        <w:rPr>
          <w:rFonts w:cs="Calibri"/>
          <w:szCs w:val="24"/>
        </w:rPr>
        <w:t xml:space="preserve">s of 2024, six providers in Massachusetts were accredited by the Foundation for the Accreditation of Cellular Therapy </w:t>
      </w:r>
      <w:r w:rsidR="00804325">
        <w:rPr>
          <w:rFonts w:cs="Calibri"/>
          <w:szCs w:val="24"/>
        </w:rPr>
        <w:t>(FACT)</w:t>
      </w:r>
      <w:r w:rsidRPr="00C6783B">
        <w:rPr>
          <w:rFonts w:cs="Calibri"/>
          <w:szCs w:val="24"/>
        </w:rPr>
        <w:t xml:space="preserve"> to perform immune effector cellular therapy (i.e., CAR</w:t>
      </w:r>
      <w:r w:rsidR="0000298C">
        <w:rPr>
          <w:rFonts w:cs="Calibri"/>
          <w:szCs w:val="24"/>
        </w:rPr>
        <w:t>-</w:t>
      </w:r>
      <w:r w:rsidRPr="00C6783B">
        <w:rPr>
          <w:rFonts w:cs="Calibri"/>
          <w:szCs w:val="24"/>
        </w:rPr>
        <w:t xml:space="preserve">T). </w:t>
      </w:r>
    </w:p>
    <w:p w14:paraId="22FBBF48" w14:textId="1E223551" w:rsidR="00DF6BA2" w:rsidRPr="00E53508" w:rsidRDefault="00DF6BA2" w:rsidP="00F91720">
      <w:pPr>
        <w:pStyle w:val="ListParagraph"/>
        <w:widowControl/>
        <w:numPr>
          <w:ilvl w:val="0"/>
          <w:numId w:val="53"/>
        </w:numPr>
        <w:autoSpaceDE/>
        <w:autoSpaceDN/>
        <w:spacing w:after="160"/>
        <w:contextualSpacing/>
        <w:rPr>
          <w:rFonts w:cs="Calibri"/>
          <w:szCs w:val="24"/>
        </w:rPr>
      </w:pPr>
      <w:r w:rsidRPr="00E53508">
        <w:rPr>
          <w:rFonts w:cs="Calibri"/>
          <w:szCs w:val="24"/>
        </w:rPr>
        <w:t xml:space="preserve">In the most recently available data in Massachusetts, FTI found no recorded bi-specific antibody therapy procedures and </w:t>
      </w:r>
      <w:r w:rsidRPr="00E53508">
        <w:rPr>
          <w:rFonts w:cs="Calibri"/>
          <w:b/>
          <w:bCs/>
          <w:szCs w:val="24"/>
        </w:rPr>
        <w:t>152 CAR T-cell procedures</w:t>
      </w:r>
      <w:r w:rsidRPr="00E53508">
        <w:rPr>
          <w:rFonts w:cs="Calibri"/>
          <w:szCs w:val="24"/>
        </w:rPr>
        <w:t xml:space="preserve">. CAR-T cell procedures had an average length of stay of </w:t>
      </w:r>
      <w:r w:rsidRPr="00E53508">
        <w:rPr>
          <w:rFonts w:cs="Calibri"/>
          <w:b/>
          <w:bCs/>
          <w:szCs w:val="24"/>
        </w:rPr>
        <w:t>18.7 days</w:t>
      </w:r>
      <w:r w:rsidRPr="00E53508">
        <w:rPr>
          <w:rFonts w:cs="Calibri"/>
          <w:szCs w:val="24"/>
        </w:rPr>
        <w:t xml:space="preserve"> and an average reimbursement of </w:t>
      </w:r>
      <w:r w:rsidRPr="00E53508">
        <w:rPr>
          <w:rFonts w:cs="Calibri"/>
          <w:b/>
          <w:bCs/>
          <w:szCs w:val="24"/>
        </w:rPr>
        <w:t>$347,020</w:t>
      </w:r>
    </w:p>
    <w:p w14:paraId="2EE5F444" w14:textId="77777777" w:rsidR="00DF6BA2" w:rsidRPr="000A43AD" w:rsidRDefault="00DF6BA2" w:rsidP="00F91720">
      <w:pPr>
        <w:pStyle w:val="ListParagraph"/>
        <w:widowControl/>
        <w:numPr>
          <w:ilvl w:val="0"/>
          <w:numId w:val="53"/>
        </w:numPr>
        <w:autoSpaceDE/>
        <w:autoSpaceDN/>
        <w:spacing w:after="160" w:line="259" w:lineRule="auto"/>
        <w:contextualSpacing/>
        <w:rPr>
          <w:rFonts w:cs="Calibri"/>
          <w:szCs w:val="24"/>
        </w:rPr>
      </w:pPr>
      <w:r w:rsidRPr="000A43AD">
        <w:rPr>
          <w:rFonts w:cs="Calibri"/>
          <w:szCs w:val="24"/>
        </w:rPr>
        <w:t>FTI states that the proposed DFCI facility is projected to reach capacity without any increase in the utilization of specialized cancer treatment.</w:t>
      </w:r>
    </w:p>
    <w:p w14:paraId="0BBF660F" w14:textId="77777777" w:rsidR="00F828B7" w:rsidRPr="007C49AB" w:rsidRDefault="00F828B7" w:rsidP="00BA2054">
      <w:pPr>
        <w:pStyle w:val="BodyText"/>
        <w:rPr>
          <w:rFonts w:asciiTheme="minorHAnsi" w:hAnsiTheme="minorHAnsi"/>
        </w:rPr>
      </w:pPr>
    </w:p>
    <w:p w14:paraId="31D5D021" w14:textId="77777777" w:rsidR="00804325" w:rsidRDefault="00804325" w:rsidP="00BA2054">
      <w:pPr>
        <w:pStyle w:val="BodyText"/>
        <w:rPr>
          <w:rFonts w:asciiTheme="minorHAnsi" w:hAnsiTheme="minorHAnsi"/>
        </w:rPr>
      </w:pPr>
    </w:p>
    <w:p w14:paraId="3E80B958" w14:textId="77777777" w:rsidR="00804325" w:rsidRDefault="00804325" w:rsidP="00BA2054">
      <w:pPr>
        <w:pStyle w:val="BodyText"/>
        <w:rPr>
          <w:rFonts w:asciiTheme="minorHAnsi" w:hAnsiTheme="minorHAnsi"/>
        </w:rPr>
      </w:pPr>
    </w:p>
    <w:p w14:paraId="7574C7A9" w14:textId="77777777" w:rsidR="00804325" w:rsidRDefault="00804325" w:rsidP="00BA2054">
      <w:pPr>
        <w:pStyle w:val="BodyText"/>
        <w:rPr>
          <w:rFonts w:asciiTheme="minorHAnsi" w:hAnsiTheme="minorHAnsi"/>
        </w:rPr>
      </w:pPr>
    </w:p>
    <w:p w14:paraId="2600E333" w14:textId="034B131F" w:rsidR="00921505" w:rsidRPr="001668BA" w:rsidRDefault="00D24CBB" w:rsidP="00BA2054">
      <w:pPr>
        <w:pStyle w:val="BodyText"/>
        <w:rPr>
          <w:rFonts w:asciiTheme="minorHAnsi" w:hAnsiTheme="minorHAnsi"/>
          <w:b/>
          <w:bCs/>
        </w:rPr>
      </w:pPr>
      <w:r>
        <w:rPr>
          <w:rFonts w:asciiTheme="minorHAnsi" w:hAnsiTheme="minorHAnsi"/>
          <w:b/>
          <w:bCs/>
        </w:rPr>
        <w:t xml:space="preserve">Summary of </w:t>
      </w:r>
      <w:r w:rsidR="009B6DA5" w:rsidRPr="001668BA">
        <w:rPr>
          <w:rFonts w:asciiTheme="minorHAnsi" w:hAnsiTheme="minorHAnsi"/>
          <w:b/>
          <w:bCs/>
        </w:rPr>
        <w:t>Comments on the ICA from Parties of Record</w:t>
      </w:r>
    </w:p>
    <w:p w14:paraId="2588C437" w14:textId="77777777" w:rsidR="009B6DA5" w:rsidRDefault="009B6DA5" w:rsidP="00BA2054">
      <w:pPr>
        <w:pStyle w:val="BodyText"/>
        <w:rPr>
          <w:rFonts w:asciiTheme="minorHAnsi" w:hAnsiTheme="minorHAnsi"/>
        </w:rPr>
      </w:pPr>
    </w:p>
    <w:p w14:paraId="2A5D5EB6" w14:textId="23AF1F46" w:rsidR="00263EAB" w:rsidRDefault="00263EAB" w:rsidP="00263EAB">
      <w:pPr>
        <w:rPr>
          <w:rFonts w:cs="Calibri"/>
          <w:szCs w:val="24"/>
        </w:rPr>
      </w:pPr>
      <w:r>
        <w:rPr>
          <w:rFonts w:cs="Calibri"/>
          <w:szCs w:val="24"/>
        </w:rPr>
        <w:t xml:space="preserve">The Mass General Brigham TTG submitted comments on the ICA to the Department. A summary of the comments is included below. The summary provides a brief overview of the five points outlined in Mass General Brigham TTG’s submission. </w:t>
      </w:r>
      <w:r w:rsidR="002536BC">
        <w:rPr>
          <w:rFonts w:cs="Calibri"/>
          <w:szCs w:val="24"/>
        </w:rPr>
        <w:t>In the comments, MGB</w:t>
      </w:r>
      <w:r>
        <w:rPr>
          <w:rFonts w:cs="Calibri"/>
          <w:szCs w:val="24"/>
        </w:rPr>
        <w:t xml:space="preserve"> conclude</w:t>
      </w:r>
      <w:r w:rsidR="002536BC">
        <w:rPr>
          <w:rFonts w:cs="Calibri"/>
          <w:szCs w:val="24"/>
        </w:rPr>
        <w:t>s</w:t>
      </w:r>
      <w:r>
        <w:rPr>
          <w:rFonts w:cs="Calibri"/>
          <w:szCs w:val="24"/>
        </w:rPr>
        <w:t xml:space="preserve"> that the </w:t>
      </w:r>
      <w:r w:rsidR="00324759">
        <w:rPr>
          <w:rFonts w:cs="Calibri"/>
          <w:szCs w:val="24"/>
        </w:rPr>
        <w:t>ICA is based on a flawed assumption</w:t>
      </w:r>
      <w:r w:rsidR="00A837F8">
        <w:rPr>
          <w:rFonts w:cs="Calibri"/>
          <w:szCs w:val="24"/>
        </w:rPr>
        <w:t xml:space="preserve"> on where volume from the proposed hospital will originate</w:t>
      </w:r>
      <w:r>
        <w:rPr>
          <w:rFonts w:cs="Calibri"/>
          <w:szCs w:val="24"/>
        </w:rPr>
        <w:t xml:space="preserve">, overestimating Dana-Farber’s need for 300 beds and underestimating potential increases in healthcare costs </w:t>
      </w:r>
      <w:r>
        <w:rPr>
          <w:rFonts w:cs="Calibri"/>
          <w:szCs w:val="24"/>
        </w:rPr>
        <w:lastRenderedPageBreak/>
        <w:t>associated with the Proposed Project. Full text of Mass General Brigham TTG’s comments on the ICA are available on the DoN website.</w:t>
      </w:r>
    </w:p>
    <w:p w14:paraId="138CFA2C" w14:textId="77777777" w:rsidR="00263EAB" w:rsidRDefault="00263EAB" w:rsidP="00263EAB">
      <w:pPr>
        <w:rPr>
          <w:rFonts w:cs="Calibri"/>
          <w:szCs w:val="24"/>
        </w:rPr>
      </w:pPr>
    </w:p>
    <w:p w14:paraId="5B072EF4" w14:textId="77777777" w:rsidR="00263EAB" w:rsidRDefault="00263EAB" w:rsidP="00263EAB">
      <w:pPr>
        <w:rPr>
          <w:rFonts w:cs="Calibri"/>
          <w:b/>
          <w:bCs/>
          <w:szCs w:val="24"/>
        </w:rPr>
      </w:pPr>
      <w:r>
        <w:rPr>
          <w:rFonts w:cs="Calibri"/>
          <w:b/>
          <w:bCs/>
          <w:szCs w:val="24"/>
        </w:rPr>
        <w:t xml:space="preserve">The Patient Panel established in the ICA does not reflect how patients are referred for care. </w:t>
      </w:r>
    </w:p>
    <w:p w14:paraId="43D3261C" w14:textId="086D2F43" w:rsidR="00263EAB" w:rsidRPr="00B72212" w:rsidRDefault="002536BC" w:rsidP="001668BA">
      <w:pPr>
        <w:widowControl/>
        <w:autoSpaceDE/>
        <w:autoSpaceDN/>
        <w:spacing w:after="160"/>
        <w:contextualSpacing/>
        <w:rPr>
          <w:rFonts w:cs="Calibri"/>
        </w:rPr>
      </w:pPr>
      <w:r w:rsidRPr="72282CD7">
        <w:rPr>
          <w:rFonts w:cs="Calibri"/>
        </w:rPr>
        <w:t>MGB</w:t>
      </w:r>
      <w:r w:rsidR="00417AFC" w:rsidRPr="72282CD7">
        <w:rPr>
          <w:rFonts w:cs="Calibri"/>
        </w:rPr>
        <w:t xml:space="preserve"> state</w:t>
      </w:r>
      <w:r w:rsidRPr="72282CD7">
        <w:rPr>
          <w:rFonts w:cs="Calibri"/>
        </w:rPr>
        <w:t>s</w:t>
      </w:r>
      <w:r w:rsidR="00417AFC" w:rsidRPr="72282CD7">
        <w:rPr>
          <w:rFonts w:cs="Calibri"/>
        </w:rPr>
        <w:t xml:space="preserve"> that t</w:t>
      </w:r>
      <w:r w:rsidR="00263EAB" w:rsidRPr="72282CD7">
        <w:rPr>
          <w:rFonts w:cs="Calibri"/>
        </w:rPr>
        <w:t xml:space="preserve">he methodology used in the ICA to match patients with cancer admitted to BWH-licensed beds based on their attending physician during their inpatient admission does not account for how patients are typically referred for cancer care. </w:t>
      </w:r>
      <w:r w:rsidRPr="72282CD7">
        <w:rPr>
          <w:rFonts w:cs="Calibri"/>
        </w:rPr>
        <w:t>MGB</w:t>
      </w:r>
      <w:r w:rsidR="00224539" w:rsidRPr="72282CD7">
        <w:rPr>
          <w:rFonts w:cs="Calibri"/>
        </w:rPr>
        <w:t xml:space="preserve"> state</w:t>
      </w:r>
      <w:r w:rsidR="102696EB" w:rsidRPr="72282CD7">
        <w:rPr>
          <w:rFonts w:cs="Calibri"/>
        </w:rPr>
        <w:t>s</w:t>
      </w:r>
      <w:r w:rsidR="00224539" w:rsidRPr="72282CD7">
        <w:rPr>
          <w:rFonts w:cs="Calibri"/>
        </w:rPr>
        <w:t xml:space="preserve"> further that p</w:t>
      </w:r>
      <w:r w:rsidR="00263EAB" w:rsidRPr="72282CD7">
        <w:rPr>
          <w:rFonts w:cs="Calibri"/>
        </w:rPr>
        <w:t xml:space="preserve">atients are referred for cancer care through the patient’s primary care and/or specialty provider, and referrals for many types of cancer go directly from a patient’s primary or specialty care provider to surgical or radiation oncology. </w:t>
      </w:r>
      <w:r w:rsidR="00D05F94" w:rsidRPr="72282CD7">
        <w:rPr>
          <w:rFonts w:cs="Calibri"/>
        </w:rPr>
        <w:t xml:space="preserve">Additionally, </w:t>
      </w:r>
      <w:r w:rsidR="006836BC" w:rsidRPr="72282CD7">
        <w:rPr>
          <w:rFonts w:cs="Calibri"/>
        </w:rPr>
        <w:t>the ICA looks at the affiliation of the attending physician for an inpatient stay, while primary care and provider relationships are longer-term, and the more frequent referrers of patients to BWH for care</w:t>
      </w:r>
      <w:r w:rsidR="00763995" w:rsidRPr="72282CD7">
        <w:rPr>
          <w:rFonts w:cs="Calibri"/>
        </w:rPr>
        <w:t xml:space="preserve">. </w:t>
      </w:r>
      <w:r w:rsidR="00263EAB" w:rsidRPr="72282CD7">
        <w:rPr>
          <w:rFonts w:cs="Calibri"/>
        </w:rPr>
        <w:t xml:space="preserve">MGB </w:t>
      </w:r>
      <w:r w:rsidR="00CD7176" w:rsidRPr="72282CD7">
        <w:rPr>
          <w:rFonts w:cs="Calibri"/>
        </w:rPr>
        <w:t>states that it has</w:t>
      </w:r>
      <w:r w:rsidR="00263EAB" w:rsidRPr="72282CD7">
        <w:rPr>
          <w:rFonts w:cs="Calibri"/>
        </w:rPr>
        <w:t xml:space="preserve"> a primary patient relationship with over </w:t>
      </w:r>
      <w:r w:rsidR="00263EAB" w:rsidRPr="72282CD7">
        <w:rPr>
          <w:rFonts w:cs="Calibri"/>
          <w:b/>
          <w:bCs/>
        </w:rPr>
        <w:t>70%</w:t>
      </w:r>
      <w:r w:rsidR="002937D0" w:rsidRPr="72282CD7">
        <w:rPr>
          <w:rFonts w:cs="Calibri"/>
        </w:rPr>
        <w:t xml:space="preserve"> </w:t>
      </w:r>
      <w:r w:rsidR="00263EAB" w:rsidRPr="72282CD7">
        <w:rPr>
          <w:rFonts w:cs="Calibri"/>
        </w:rPr>
        <w:t>of patients seen at Dana-Farber/Brigham and Women’s Hospital Cancer Center at BWH</w:t>
      </w:r>
      <w:r w:rsidR="00720DD0" w:rsidRPr="72282CD7">
        <w:rPr>
          <w:rFonts w:cs="Calibri"/>
        </w:rPr>
        <w:t xml:space="preserve"> (primary care or specialist)</w:t>
      </w:r>
      <w:r w:rsidR="00CD7176" w:rsidRPr="72282CD7">
        <w:rPr>
          <w:rFonts w:cs="Calibri"/>
        </w:rPr>
        <w:t>, and that</w:t>
      </w:r>
      <w:r w:rsidR="00263EAB" w:rsidRPr="72282CD7">
        <w:rPr>
          <w:rFonts w:cs="Calibri"/>
        </w:rPr>
        <w:t xml:space="preserve"> </w:t>
      </w:r>
      <w:r w:rsidR="00CD7176" w:rsidRPr="72282CD7">
        <w:rPr>
          <w:rFonts w:cs="Calibri"/>
        </w:rPr>
        <w:t>d</w:t>
      </w:r>
      <w:r w:rsidR="00263EAB" w:rsidRPr="72282CD7">
        <w:rPr>
          <w:rFonts w:cs="Calibri"/>
        </w:rPr>
        <w:t xml:space="preserve">ue to these relationships, patients will likely choose to continue to receive their care at an MGB facility. </w:t>
      </w:r>
      <w:r w:rsidR="00CD7176" w:rsidRPr="72282CD7">
        <w:rPr>
          <w:rFonts w:cs="Calibri"/>
        </w:rPr>
        <w:t xml:space="preserve">As a result, </w:t>
      </w:r>
      <w:r w:rsidR="00263EAB" w:rsidRPr="72282CD7">
        <w:rPr>
          <w:rFonts w:cs="Calibri"/>
        </w:rPr>
        <w:t xml:space="preserve">MGB believes that a more accurate assumption is that no more than </w:t>
      </w:r>
      <w:r w:rsidR="00263EAB" w:rsidRPr="72282CD7">
        <w:rPr>
          <w:rFonts w:cs="Calibri"/>
          <w:b/>
          <w:bCs/>
        </w:rPr>
        <w:t xml:space="preserve">30% </w:t>
      </w:r>
      <w:r w:rsidR="00263EAB" w:rsidRPr="72282CD7">
        <w:rPr>
          <w:rFonts w:cs="Calibri"/>
        </w:rPr>
        <w:t>of the BWH patient volume will shift to DFCI.</w:t>
      </w:r>
    </w:p>
    <w:p w14:paraId="1669E7A7" w14:textId="77777777" w:rsidR="00263EAB" w:rsidRDefault="00263EAB" w:rsidP="00263EAB">
      <w:pPr>
        <w:pStyle w:val="ListParagraph"/>
        <w:rPr>
          <w:rFonts w:cs="Calibri"/>
          <w:szCs w:val="24"/>
        </w:rPr>
      </w:pPr>
    </w:p>
    <w:p w14:paraId="77E89F39" w14:textId="77777777" w:rsidR="00263EAB" w:rsidRDefault="00263EAB" w:rsidP="00263EAB">
      <w:pPr>
        <w:rPr>
          <w:rFonts w:cs="Calibri"/>
          <w:b/>
          <w:bCs/>
          <w:szCs w:val="24"/>
        </w:rPr>
      </w:pPr>
      <w:r>
        <w:rPr>
          <w:rFonts w:cs="Calibri"/>
          <w:b/>
          <w:bCs/>
          <w:szCs w:val="24"/>
        </w:rPr>
        <w:t xml:space="preserve">The ICA does not adequately reflect the potential impact of a new 300-bed cancer hospital on lower-cost AMCs and community hospitals. </w:t>
      </w:r>
    </w:p>
    <w:p w14:paraId="62E495C8" w14:textId="77777777" w:rsidR="0037367E" w:rsidRDefault="0037367E" w:rsidP="00263EAB">
      <w:pPr>
        <w:rPr>
          <w:rFonts w:cs="Calibri"/>
          <w:b/>
          <w:bCs/>
          <w:szCs w:val="24"/>
        </w:rPr>
      </w:pPr>
    </w:p>
    <w:p w14:paraId="190C0A6D" w14:textId="70CBF6C1" w:rsidR="00263EAB" w:rsidRDefault="002536BC" w:rsidP="002F3F05">
      <w:pPr>
        <w:rPr>
          <w:rFonts w:cs="Calibri"/>
          <w:szCs w:val="24"/>
        </w:rPr>
      </w:pPr>
      <w:r>
        <w:rPr>
          <w:rFonts w:cs="Calibri"/>
          <w:szCs w:val="24"/>
        </w:rPr>
        <w:t>MGB</w:t>
      </w:r>
      <w:r w:rsidR="0018168B">
        <w:rPr>
          <w:rFonts w:cs="Calibri"/>
          <w:szCs w:val="24"/>
        </w:rPr>
        <w:t xml:space="preserve"> states that because the ICA</w:t>
      </w:r>
      <w:r w:rsidR="00D3626E">
        <w:rPr>
          <w:rFonts w:cs="Calibri"/>
          <w:szCs w:val="24"/>
        </w:rPr>
        <w:t xml:space="preserve">’s flawed assumption </w:t>
      </w:r>
      <w:r w:rsidR="00FB2F62">
        <w:rPr>
          <w:rFonts w:cs="Calibri"/>
          <w:szCs w:val="24"/>
        </w:rPr>
        <w:t xml:space="preserve">about where most of </w:t>
      </w:r>
      <w:r w:rsidR="00DA23B7">
        <w:rPr>
          <w:rFonts w:cs="Calibri"/>
          <w:szCs w:val="24"/>
        </w:rPr>
        <w:t xml:space="preserve">the volume at the proposed hospital will </w:t>
      </w:r>
      <w:r w:rsidR="007973FA">
        <w:rPr>
          <w:rFonts w:cs="Calibri"/>
          <w:szCs w:val="24"/>
        </w:rPr>
        <w:t>come from</w:t>
      </w:r>
      <w:r w:rsidR="00DA23B7">
        <w:rPr>
          <w:rFonts w:cs="Calibri"/>
          <w:szCs w:val="24"/>
        </w:rPr>
        <w:t xml:space="preserve"> </w:t>
      </w:r>
      <w:r w:rsidR="00FB2F62">
        <w:rPr>
          <w:rFonts w:cs="Calibri"/>
          <w:szCs w:val="24"/>
        </w:rPr>
        <w:t>(</w:t>
      </w:r>
      <w:r w:rsidR="00DA23B7">
        <w:rPr>
          <w:rFonts w:cs="Calibri"/>
          <w:szCs w:val="24"/>
        </w:rPr>
        <w:t>BWH</w:t>
      </w:r>
      <w:r w:rsidR="00FB2F62">
        <w:rPr>
          <w:rFonts w:cs="Calibri"/>
          <w:szCs w:val="24"/>
        </w:rPr>
        <w:t>)</w:t>
      </w:r>
      <w:r w:rsidR="00263EAB" w:rsidRPr="0018168B">
        <w:rPr>
          <w:rFonts w:cs="Calibri"/>
          <w:szCs w:val="24"/>
        </w:rPr>
        <w:t xml:space="preserve">, DFCI will need to obtain patients from </w:t>
      </w:r>
      <w:r w:rsidR="00C01681">
        <w:rPr>
          <w:rFonts w:cs="Calibri"/>
          <w:szCs w:val="24"/>
        </w:rPr>
        <w:t>sources other than MGB and BWH,</w:t>
      </w:r>
      <w:r w:rsidR="00263EAB" w:rsidRPr="0018168B">
        <w:rPr>
          <w:rFonts w:cs="Calibri"/>
          <w:szCs w:val="24"/>
        </w:rPr>
        <w:t xml:space="preserve"> to operate the 300-bed hospital, which will drive up the cost of cancer care and burden existing hospitals that provide cancer care.</w:t>
      </w:r>
      <w:r w:rsidR="007F304C">
        <w:rPr>
          <w:rFonts w:cs="Calibri"/>
          <w:szCs w:val="24"/>
        </w:rPr>
        <w:t xml:space="preserve"> According to calculations </w:t>
      </w:r>
      <w:r w:rsidR="004B732B">
        <w:rPr>
          <w:rFonts w:cs="Calibri"/>
          <w:szCs w:val="24"/>
        </w:rPr>
        <w:t xml:space="preserve">included </w:t>
      </w:r>
      <w:r w:rsidR="007F304C">
        <w:rPr>
          <w:rFonts w:cs="Calibri"/>
          <w:szCs w:val="24"/>
        </w:rPr>
        <w:t>in the comments, t</w:t>
      </w:r>
      <w:r w:rsidR="00263EAB" w:rsidRPr="007F304C">
        <w:rPr>
          <w:rFonts w:cs="Calibri"/>
          <w:szCs w:val="24"/>
        </w:rPr>
        <w:t xml:space="preserve">he proposed 300-bed hospital will create capacity for </w:t>
      </w:r>
      <w:r w:rsidR="00263EAB" w:rsidRPr="007F304C">
        <w:rPr>
          <w:rFonts w:cs="Calibri"/>
          <w:b/>
          <w:bCs/>
          <w:szCs w:val="24"/>
        </w:rPr>
        <w:t>14,000</w:t>
      </w:r>
      <w:r w:rsidR="00263EAB" w:rsidRPr="007F304C">
        <w:rPr>
          <w:rFonts w:cs="Calibri"/>
          <w:szCs w:val="24"/>
        </w:rPr>
        <w:t xml:space="preserve"> discharges per year based on Dana-Farber’s estimates of average length of stay</w:t>
      </w:r>
      <w:r w:rsidR="00AD2E7B">
        <w:rPr>
          <w:rFonts w:cs="Calibri"/>
          <w:szCs w:val="24"/>
        </w:rPr>
        <w:t xml:space="preserve">, </w:t>
      </w:r>
      <w:r w:rsidR="00B1525E">
        <w:rPr>
          <w:rFonts w:cs="Calibri"/>
          <w:szCs w:val="24"/>
        </w:rPr>
        <w:t xml:space="preserve">approximately </w:t>
      </w:r>
      <w:r w:rsidR="00263EAB" w:rsidRPr="007F304C">
        <w:rPr>
          <w:rFonts w:cs="Calibri"/>
          <w:b/>
          <w:bCs/>
          <w:szCs w:val="24"/>
        </w:rPr>
        <w:t>5,000</w:t>
      </w:r>
      <w:r w:rsidR="00263EAB" w:rsidRPr="007F304C">
        <w:rPr>
          <w:rFonts w:cs="Calibri"/>
          <w:szCs w:val="24"/>
        </w:rPr>
        <w:t xml:space="preserve"> </w:t>
      </w:r>
      <w:r w:rsidR="00317DFA">
        <w:rPr>
          <w:rFonts w:cs="Calibri"/>
          <w:szCs w:val="24"/>
        </w:rPr>
        <w:t xml:space="preserve">of </w:t>
      </w:r>
      <w:r w:rsidR="00883144">
        <w:rPr>
          <w:rFonts w:cs="Calibri"/>
          <w:szCs w:val="24"/>
        </w:rPr>
        <w:t>which are currently</w:t>
      </w:r>
      <w:r w:rsidR="00317DFA">
        <w:rPr>
          <w:rFonts w:cs="Calibri"/>
          <w:szCs w:val="24"/>
        </w:rPr>
        <w:t xml:space="preserve"> unaccounted for</w:t>
      </w:r>
      <w:r w:rsidR="007B39EC">
        <w:rPr>
          <w:rFonts w:cs="Calibri"/>
          <w:szCs w:val="24"/>
        </w:rPr>
        <w:t xml:space="preserve"> in Dana-Farber’s </w:t>
      </w:r>
      <w:r w:rsidR="00B1525E">
        <w:rPr>
          <w:rFonts w:cs="Calibri"/>
          <w:szCs w:val="24"/>
        </w:rPr>
        <w:t>projected volume</w:t>
      </w:r>
      <w:r w:rsidR="007B39EC">
        <w:rPr>
          <w:rFonts w:cs="Calibri"/>
          <w:szCs w:val="24"/>
        </w:rPr>
        <w:t>.</w:t>
      </w:r>
      <w:r w:rsidR="005D7FCA">
        <w:rPr>
          <w:rStyle w:val="FootnoteReference"/>
          <w:rFonts w:cs="Calibri"/>
          <w:szCs w:val="24"/>
        </w:rPr>
        <w:footnoteReference w:id="105"/>
      </w:r>
      <w:r w:rsidR="0081074F">
        <w:rPr>
          <w:rFonts w:cs="Calibri"/>
          <w:szCs w:val="24"/>
        </w:rPr>
        <w:t xml:space="preserve"> </w:t>
      </w:r>
      <w:r w:rsidR="00883144">
        <w:rPr>
          <w:rFonts w:cs="Calibri"/>
          <w:szCs w:val="24"/>
        </w:rPr>
        <w:t xml:space="preserve">MGB states that </w:t>
      </w:r>
      <w:r w:rsidR="00263EAB" w:rsidRPr="00D46DF8">
        <w:rPr>
          <w:rFonts w:cs="Calibri"/>
          <w:szCs w:val="24"/>
        </w:rPr>
        <w:t xml:space="preserve">Dana-Farber will </w:t>
      </w:r>
      <w:r w:rsidR="0054555F">
        <w:rPr>
          <w:rFonts w:cs="Calibri"/>
          <w:szCs w:val="24"/>
        </w:rPr>
        <w:t xml:space="preserve">likely </w:t>
      </w:r>
      <w:r w:rsidR="00263EAB" w:rsidRPr="00D46DF8">
        <w:rPr>
          <w:rFonts w:cs="Calibri"/>
          <w:szCs w:val="24"/>
        </w:rPr>
        <w:t xml:space="preserve">draw </w:t>
      </w:r>
      <w:r w:rsidR="00654D78">
        <w:rPr>
          <w:rFonts w:cs="Calibri"/>
          <w:szCs w:val="24"/>
        </w:rPr>
        <w:t>5,000 discharges to fill its beds</w:t>
      </w:r>
      <w:r w:rsidR="00263EAB" w:rsidRPr="00D46DF8">
        <w:rPr>
          <w:rFonts w:cs="Calibri"/>
          <w:szCs w:val="24"/>
        </w:rPr>
        <w:t xml:space="preserve"> from lower-priced </w:t>
      </w:r>
      <w:r w:rsidR="00387943">
        <w:rPr>
          <w:rFonts w:cs="Calibri"/>
          <w:szCs w:val="24"/>
        </w:rPr>
        <w:t xml:space="preserve">AMC’s and </w:t>
      </w:r>
      <w:r w:rsidR="00263EAB" w:rsidRPr="00D46DF8">
        <w:rPr>
          <w:rFonts w:cs="Calibri"/>
          <w:szCs w:val="24"/>
        </w:rPr>
        <w:t>community hospitals, resulting in higher costs for cancer care</w:t>
      </w:r>
      <w:r w:rsidR="007704F4">
        <w:rPr>
          <w:rFonts w:cs="Calibri"/>
          <w:szCs w:val="24"/>
        </w:rPr>
        <w:t xml:space="preserve">, and </w:t>
      </w:r>
      <w:r w:rsidR="00654D78">
        <w:rPr>
          <w:rFonts w:cs="Calibri"/>
          <w:szCs w:val="24"/>
        </w:rPr>
        <w:t>a</w:t>
      </w:r>
      <w:r w:rsidR="00DF5724">
        <w:rPr>
          <w:rFonts w:cs="Calibri"/>
          <w:szCs w:val="24"/>
        </w:rPr>
        <w:t xml:space="preserve"> destabiliz</w:t>
      </w:r>
      <w:r w:rsidR="003817BA">
        <w:rPr>
          <w:rFonts w:cs="Calibri"/>
          <w:szCs w:val="24"/>
        </w:rPr>
        <w:t>ation</w:t>
      </w:r>
      <w:r w:rsidR="00654D78">
        <w:rPr>
          <w:rFonts w:cs="Calibri"/>
          <w:szCs w:val="24"/>
        </w:rPr>
        <w:t xml:space="preserve"> of</w:t>
      </w:r>
      <w:r w:rsidR="00DF5724">
        <w:rPr>
          <w:rFonts w:cs="Calibri"/>
          <w:szCs w:val="24"/>
        </w:rPr>
        <w:t xml:space="preserve"> </w:t>
      </w:r>
      <w:r w:rsidR="003817BA">
        <w:rPr>
          <w:rFonts w:cs="Calibri"/>
          <w:szCs w:val="24"/>
        </w:rPr>
        <w:t xml:space="preserve">the </w:t>
      </w:r>
      <w:r w:rsidR="00DF5724">
        <w:rPr>
          <w:rFonts w:cs="Calibri"/>
          <w:szCs w:val="24"/>
        </w:rPr>
        <w:t>community hospital</w:t>
      </w:r>
      <w:r w:rsidR="007704F4">
        <w:rPr>
          <w:rFonts w:cs="Calibri"/>
          <w:szCs w:val="24"/>
        </w:rPr>
        <w:t>s</w:t>
      </w:r>
      <w:r w:rsidR="00DF5724">
        <w:rPr>
          <w:rFonts w:cs="Calibri"/>
          <w:szCs w:val="24"/>
        </w:rPr>
        <w:t xml:space="preserve">. </w:t>
      </w:r>
      <w:r w:rsidR="002F3F05">
        <w:rPr>
          <w:rFonts w:cs="Calibri"/>
          <w:szCs w:val="24"/>
        </w:rPr>
        <w:t xml:space="preserve">The comments </w:t>
      </w:r>
      <w:r w:rsidR="004B732B">
        <w:rPr>
          <w:rFonts w:cs="Calibri"/>
          <w:szCs w:val="24"/>
        </w:rPr>
        <w:t>include</w:t>
      </w:r>
      <w:r w:rsidR="002F3F05">
        <w:rPr>
          <w:rFonts w:cs="Calibri"/>
          <w:szCs w:val="24"/>
        </w:rPr>
        <w:t xml:space="preserve"> </w:t>
      </w:r>
      <w:r w:rsidR="009648EB">
        <w:rPr>
          <w:rFonts w:cs="Calibri"/>
          <w:szCs w:val="24"/>
        </w:rPr>
        <w:t xml:space="preserve">2022 </w:t>
      </w:r>
      <w:r w:rsidR="00B14AC8">
        <w:rPr>
          <w:rFonts w:cs="Calibri"/>
          <w:szCs w:val="24"/>
        </w:rPr>
        <w:t xml:space="preserve">CHIA </w:t>
      </w:r>
      <w:r w:rsidR="002F3F05">
        <w:rPr>
          <w:rFonts w:cs="Calibri"/>
          <w:szCs w:val="24"/>
        </w:rPr>
        <w:t>relative price</w:t>
      </w:r>
      <w:r w:rsidR="007555AA">
        <w:rPr>
          <w:rFonts w:cs="Calibri"/>
          <w:szCs w:val="24"/>
        </w:rPr>
        <w:t xml:space="preserve"> (RP)</w:t>
      </w:r>
      <w:r w:rsidR="002F3F05">
        <w:rPr>
          <w:rFonts w:cs="Calibri"/>
          <w:szCs w:val="24"/>
        </w:rPr>
        <w:t xml:space="preserve"> data </w:t>
      </w:r>
      <w:r w:rsidR="009648EB">
        <w:rPr>
          <w:rFonts w:cs="Calibri"/>
          <w:szCs w:val="24"/>
        </w:rPr>
        <w:t>showing</w:t>
      </w:r>
      <w:r w:rsidR="002F3F05">
        <w:rPr>
          <w:rFonts w:cs="Calibri"/>
          <w:szCs w:val="24"/>
        </w:rPr>
        <w:t xml:space="preserve"> price differentials that will lead to increased costs. </w:t>
      </w:r>
      <w:r w:rsidR="00D33837">
        <w:rPr>
          <w:rFonts w:cs="Calibri"/>
          <w:szCs w:val="24"/>
        </w:rPr>
        <w:t>MGB states</w:t>
      </w:r>
      <w:r w:rsidR="002F3F05">
        <w:rPr>
          <w:rFonts w:cs="Calibri"/>
          <w:szCs w:val="24"/>
        </w:rPr>
        <w:t xml:space="preserve"> that a</w:t>
      </w:r>
      <w:r w:rsidR="00263EAB" w:rsidRPr="002F3F05">
        <w:rPr>
          <w:rFonts w:cs="Calibri"/>
          <w:szCs w:val="24"/>
        </w:rPr>
        <w:t xml:space="preserve">ll Massachusetts community hospitals have lower </w:t>
      </w:r>
      <w:r w:rsidR="004905AB">
        <w:rPr>
          <w:rFonts w:cs="Calibri"/>
          <w:szCs w:val="24"/>
        </w:rPr>
        <w:t xml:space="preserve">cross-payer </w:t>
      </w:r>
      <w:r w:rsidR="00263EAB" w:rsidRPr="002F3F05">
        <w:rPr>
          <w:rFonts w:cs="Calibri"/>
          <w:szCs w:val="24"/>
        </w:rPr>
        <w:t>statewide</w:t>
      </w:r>
      <w:r w:rsidR="00F92DEF">
        <w:rPr>
          <w:rFonts w:cs="Calibri"/>
          <w:szCs w:val="24"/>
        </w:rPr>
        <w:t xml:space="preserve"> </w:t>
      </w:r>
      <w:r w:rsidR="00263EAB" w:rsidRPr="002F3F05">
        <w:rPr>
          <w:rFonts w:cs="Calibri"/>
          <w:szCs w:val="24"/>
        </w:rPr>
        <w:t>relative price</w:t>
      </w:r>
      <w:r w:rsidR="006D7EF4">
        <w:rPr>
          <w:rFonts w:cs="Calibri"/>
          <w:szCs w:val="24"/>
        </w:rPr>
        <w:t>s</w:t>
      </w:r>
      <w:r w:rsidR="00263EAB" w:rsidRPr="002F3F05">
        <w:rPr>
          <w:rFonts w:cs="Calibri"/>
          <w:szCs w:val="24"/>
        </w:rPr>
        <w:t xml:space="preserve"> (S-RP</w:t>
      </w:r>
      <w:r w:rsidR="006D7EF4">
        <w:rPr>
          <w:rFonts w:cs="Calibri"/>
          <w:szCs w:val="24"/>
        </w:rPr>
        <w:t>s</w:t>
      </w:r>
      <w:r w:rsidR="00263EAB" w:rsidRPr="002F3F05">
        <w:rPr>
          <w:rFonts w:cs="Calibri"/>
          <w:szCs w:val="24"/>
        </w:rPr>
        <w:t xml:space="preserve">) than Dana-Farber, including three in particular, that </w:t>
      </w:r>
      <w:r w:rsidR="00424865">
        <w:rPr>
          <w:rFonts w:cs="Calibri"/>
          <w:szCs w:val="24"/>
        </w:rPr>
        <w:t xml:space="preserve">MGB states </w:t>
      </w:r>
      <w:r w:rsidR="00263EAB" w:rsidRPr="002F3F05">
        <w:rPr>
          <w:rFonts w:cs="Calibri"/>
          <w:szCs w:val="24"/>
        </w:rPr>
        <w:t>are vulnerable to patients shifting to</w:t>
      </w:r>
      <w:r w:rsidR="00424865">
        <w:rPr>
          <w:rFonts w:cs="Calibri"/>
          <w:szCs w:val="24"/>
        </w:rPr>
        <w:t xml:space="preserve"> Dana-Farber</w:t>
      </w:r>
      <w:r w:rsidR="00263EAB" w:rsidRPr="002F3F05">
        <w:rPr>
          <w:rFonts w:cs="Calibri"/>
          <w:szCs w:val="24"/>
        </w:rPr>
        <w:t xml:space="preserve">: Emerson Hospital, Heywood Hospital, and Holy Family Hospital. </w:t>
      </w:r>
    </w:p>
    <w:p w14:paraId="5D961138" w14:textId="77777777" w:rsidR="002F3F05" w:rsidRPr="002F3F05" w:rsidRDefault="002F3F05" w:rsidP="001668BA">
      <w:pPr>
        <w:rPr>
          <w:rFonts w:cs="Calibri"/>
          <w:szCs w:val="24"/>
        </w:rPr>
      </w:pPr>
    </w:p>
    <w:p w14:paraId="7DF8AED1" w14:textId="34432EA9" w:rsidR="00263EAB" w:rsidRDefault="00263EAB" w:rsidP="00263EAB">
      <w:pPr>
        <w:rPr>
          <w:rFonts w:cs="Calibri"/>
          <w:b/>
          <w:bCs/>
          <w:szCs w:val="24"/>
        </w:rPr>
      </w:pPr>
      <w:r>
        <w:rPr>
          <w:rFonts w:cs="Calibri"/>
          <w:b/>
          <w:bCs/>
          <w:szCs w:val="24"/>
        </w:rPr>
        <w:t xml:space="preserve">The ICA underestimates the impact on Medicare reimbursement due to the costs for the care to operate a 300-bed hospital. </w:t>
      </w:r>
    </w:p>
    <w:p w14:paraId="7662C53B" w14:textId="078FA35F" w:rsidR="00F60818" w:rsidRPr="00AF572A" w:rsidRDefault="002F3F05" w:rsidP="001668BA">
      <w:pPr>
        <w:widowControl/>
        <w:autoSpaceDE/>
        <w:autoSpaceDN/>
        <w:spacing w:after="160"/>
        <w:contextualSpacing/>
        <w:rPr>
          <w:rFonts w:cs="Calibri"/>
          <w:szCs w:val="24"/>
        </w:rPr>
      </w:pPr>
      <w:r>
        <w:rPr>
          <w:rFonts w:cs="Calibri"/>
          <w:szCs w:val="24"/>
        </w:rPr>
        <w:lastRenderedPageBreak/>
        <w:t>MGB states that t</w:t>
      </w:r>
      <w:r w:rsidR="00263EAB" w:rsidRPr="002F3F05">
        <w:rPr>
          <w:rFonts w:cs="Calibri"/>
          <w:szCs w:val="24"/>
        </w:rPr>
        <w:t>he ICA underestimates the costs of running a standalone cancer hospital in Boston and underestimates Dana-Farber’s future Medicare payments due to its status as a Medicare PPS-Exempt Cancer Hospital.</w:t>
      </w:r>
      <w:r w:rsidR="00F97810">
        <w:rPr>
          <w:rFonts w:cs="Calibri"/>
          <w:szCs w:val="24"/>
        </w:rPr>
        <w:t xml:space="preserve"> </w:t>
      </w:r>
      <w:r w:rsidR="0058221F">
        <w:rPr>
          <w:rFonts w:cs="Calibri"/>
          <w:szCs w:val="24"/>
        </w:rPr>
        <w:t>MGB states that the</w:t>
      </w:r>
      <w:r w:rsidR="00263EAB" w:rsidRPr="00F97810">
        <w:rPr>
          <w:rFonts w:cs="Calibri"/>
          <w:szCs w:val="24"/>
        </w:rPr>
        <w:t xml:space="preserve"> ICA relied on Dana-Farber’s current cost structure for providing care in 30 leased beds at BWH for assessing the costs of running a 300-bed freestanding hospital that will have additional expenses for staffing and other overhead needs. </w:t>
      </w:r>
      <w:r w:rsidR="00263EAB" w:rsidRPr="0058221F">
        <w:rPr>
          <w:rFonts w:cs="Calibri"/>
          <w:szCs w:val="24"/>
        </w:rPr>
        <w:t xml:space="preserve">MGB estimates the true cost structure for a cancer hospital to be </w:t>
      </w:r>
      <w:r w:rsidR="00263EAB" w:rsidRPr="0058221F">
        <w:rPr>
          <w:rFonts w:cs="Calibri"/>
          <w:b/>
          <w:bCs/>
          <w:szCs w:val="24"/>
        </w:rPr>
        <w:t>37% to 42%</w:t>
      </w:r>
      <w:r w:rsidR="00263EAB" w:rsidRPr="0058221F">
        <w:rPr>
          <w:rFonts w:cs="Calibri"/>
          <w:szCs w:val="24"/>
        </w:rPr>
        <w:t xml:space="preserve"> higher than existing costs for Dana-Farber’s 30 beds.</w:t>
      </w:r>
      <w:r w:rsidR="00263EAB">
        <w:rPr>
          <w:rStyle w:val="FootnoteReference"/>
          <w:rFonts w:cs="Calibri"/>
          <w:szCs w:val="24"/>
        </w:rPr>
        <w:footnoteReference w:id="106"/>
      </w:r>
      <w:r w:rsidR="00AF572A">
        <w:rPr>
          <w:rFonts w:cs="Calibri"/>
          <w:szCs w:val="24"/>
        </w:rPr>
        <w:t xml:space="preserve"> MGB states that the </w:t>
      </w:r>
      <w:r w:rsidR="00263EAB" w:rsidRPr="00AF572A">
        <w:rPr>
          <w:rFonts w:cs="Calibri"/>
          <w:szCs w:val="24"/>
        </w:rPr>
        <w:t>ICA does not reflect the potential for increased labor costs that will drive up Dana-Farber’s costs and therefore Dana-Farber’s Medicare payments</w:t>
      </w:r>
      <w:r w:rsidR="00A52169">
        <w:rPr>
          <w:rFonts w:cs="Calibri"/>
          <w:szCs w:val="24"/>
        </w:rPr>
        <w:t>, and the ICA does not account for i</w:t>
      </w:r>
      <w:r w:rsidR="00263EAB" w:rsidRPr="00AF572A">
        <w:rPr>
          <w:rFonts w:cs="Calibri"/>
          <w:szCs w:val="24"/>
        </w:rPr>
        <w:t xml:space="preserve">ncreased demand for staff in the Longwood Medical Area </w:t>
      </w:r>
      <w:r w:rsidR="00A52169">
        <w:rPr>
          <w:rFonts w:cs="Calibri"/>
          <w:szCs w:val="24"/>
        </w:rPr>
        <w:t xml:space="preserve">which MGB states </w:t>
      </w:r>
      <w:r w:rsidR="00263EAB" w:rsidRPr="00AF572A">
        <w:rPr>
          <w:rFonts w:cs="Calibri"/>
          <w:szCs w:val="24"/>
        </w:rPr>
        <w:t xml:space="preserve">will increase labor costs for all area providers, and </w:t>
      </w:r>
      <w:r w:rsidR="00AB3A5C">
        <w:rPr>
          <w:rFonts w:cs="Calibri"/>
          <w:szCs w:val="24"/>
        </w:rPr>
        <w:t>for</w:t>
      </w:r>
      <w:r w:rsidR="00263EAB" w:rsidRPr="00AF572A">
        <w:rPr>
          <w:rFonts w:cs="Calibri"/>
          <w:szCs w:val="24"/>
        </w:rPr>
        <w:t xml:space="preserve"> providers throughout Massachusetts. </w:t>
      </w:r>
    </w:p>
    <w:p w14:paraId="3D32D699" w14:textId="77777777" w:rsidR="00AB3A5C" w:rsidRDefault="00AB3A5C" w:rsidP="00AB3A5C">
      <w:pPr>
        <w:widowControl/>
        <w:autoSpaceDE/>
        <w:autoSpaceDN/>
        <w:spacing w:after="160"/>
        <w:contextualSpacing/>
        <w:rPr>
          <w:rFonts w:cs="Calibri"/>
          <w:szCs w:val="24"/>
        </w:rPr>
      </w:pPr>
    </w:p>
    <w:p w14:paraId="1307B4D4" w14:textId="6369654C" w:rsidR="00263EAB" w:rsidRPr="009C23E6" w:rsidRDefault="00AB3A5C" w:rsidP="001668BA">
      <w:pPr>
        <w:widowControl/>
        <w:autoSpaceDE/>
        <w:autoSpaceDN/>
        <w:spacing w:after="160"/>
        <w:contextualSpacing/>
        <w:rPr>
          <w:rFonts w:cs="Calibri"/>
          <w:szCs w:val="24"/>
        </w:rPr>
      </w:pPr>
      <w:r>
        <w:rPr>
          <w:rFonts w:cs="Calibri"/>
          <w:szCs w:val="24"/>
        </w:rPr>
        <w:t>MGB states that t</w:t>
      </w:r>
      <w:r w:rsidR="00263EAB" w:rsidRPr="00AB3A5C">
        <w:rPr>
          <w:rFonts w:cs="Calibri"/>
          <w:szCs w:val="24"/>
        </w:rPr>
        <w:t xml:space="preserve">he ICA’s pricing scenarios are based on flawed assumptions that underestimate Dana-Farber’s market share, and Dana-Farber’s leverage to pursue higher rates in alignment with the top of the market. </w:t>
      </w:r>
      <w:r w:rsidR="00263EAB" w:rsidRPr="009C23E6">
        <w:rPr>
          <w:rFonts w:cs="Calibri"/>
          <w:szCs w:val="24"/>
        </w:rPr>
        <w:t xml:space="preserve">MGB estimates that </w:t>
      </w:r>
      <w:r w:rsidR="00D238AB">
        <w:rPr>
          <w:rFonts w:cs="Calibri"/>
          <w:szCs w:val="24"/>
        </w:rPr>
        <w:t xml:space="preserve">even </w:t>
      </w:r>
      <w:r w:rsidR="00263EAB" w:rsidRPr="009C23E6">
        <w:rPr>
          <w:rFonts w:cs="Calibri"/>
          <w:szCs w:val="24"/>
        </w:rPr>
        <w:t>small increases in commercial rates for Dana-Farber</w:t>
      </w:r>
      <w:r w:rsidR="00263EAB">
        <w:rPr>
          <w:rStyle w:val="FootnoteReference"/>
          <w:rFonts w:cs="Calibri"/>
          <w:szCs w:val="24"/>
        </w:rPr>
        <w:footnoteReference w:id="107"/>
      </w:r>
      <w:r w:rsidR="00263EAB" w:rsidRPr="009C23E6">
        <w:rPr>
          <w:rFonts w:cs="Calibri"/>
          <w:szCs w:val="24"/>
        </w:rPr>
        <w:t xml:space="preserve">, in addition to increased Medicare rates, and </w:t>
      </w:r>
      <w:r w:rsidR="0082091C">
        <w:rPr>
          <w:rFonts w:cs="Calibri"/>
          <w:szCs w:val="24"/>
        </w:rPr>
        <w:t>a shift</w:t>
      </w:r>
      <w:r w:rsidR="00263EAB" w:rsidRPr="009C23E6">
        <w:rPr>
          <w:rFonts w:cs="Calibri"/>
          <w:szCs w:val="24"/>
        </w:rPr>
        <w:t xml:space="preserve"> of patients from lower-cost hospitals to the proposed hospital, will result in a </w:t>
      </w:r>
      <w:r w:rsidR="00263EAB" w:rsidRPr="009C23E6">
        <w:rPr>
          <w:rFonts w:cs="Calibri"/>
          <w:b/>
          <w:bCs/>
          <w:szCs w:val="24"/>
        </w:rPr>
        <w:t>14%</w:t>
      </w:r>
      <w:r w:rsidR="00263EAB" w:rsidRPr="009C23E6">
        <w:rPr>
          <w:rFonts w:cs="Calibri"/>
          <w:szCs w:val="24"/>
        </w:rPr>
        <w:t xml:space="preserve"> increase in TME.</w:t>
      </w:r>
    </w:p>
    <w:p w14:paraId="6A8CC806" w14:textId="77777777" w:rsidR="00A43FF1" w:rsidRDefault="00A43FF1" w:rsidP="00A43FF1">
      <w:pPr>
        <w:widowControl/>
        <w:autoSpaceDE/>
        <w:autoSpaceDN/>
        <w:spacing w:after="160"/>
        <w:contextualSpacing/>
        <w:rPr>
          <w:rFonts w:cs="Calibri"/>
          <w:szCs w:val="24"/>
        </w:rPr>
      </w:pPr>
    </w:p>
    <w:p w14:paraId="3A1C14B9" w14:textId="0BE998D5" w:rsidR="00263EAB" w:rsidRDefault="00A43FF1" w:rsidP="000B1D63">
      <w:pPr>
        <w:widowControl/>
        <w:autoSpaceDE/>
        <w:autoSpaceDN/>
        <w:spacing w:after="160"/>
        <w:contextualSpacing/>
        <w:rPr>
          <w:rFonts w:cs="Calibri"/>
          <w:szCs w:val="24"/>
        </w:rPr>
      </w:pPr>
      <w:r>
        <w:rPr>
          <w:rFonts w:cs="Calibri"/>
          <w:szCs w:val="24"/>
        </w:rPr>
        <w:t>MGB states that t</w:t>
      </w:r>
      <w:r w:rsidR="00263EAB" w:rsidRPr="00A43FF1">
        <w:rPr>
          <w:rFonts w:cs="Calibri"/>
          <w:szCs w:val="24"/>
        </w:rPr>
        <w:t xml:space="preserve">he ICA incorrectly ascribes supply-induced demand to BWH and underestimates the potential price increases from supply-induced demand from Dana-Farber based on the flawed assumption that all BWH patients will move to the new facility. </w:t>
      </w:r>
      <w:r w:rsidR="000B1D63">
        <w:rPr>
          <w:rFonts w:cs="Calibri"/>
          <w:szCs w:val="24"/>
        </w:rPr>
        <w:t>MGB states that e</w:t>
      </w:r>
      <w:r w:rsidR="00263EAB" w:rsidRPr="000B1D63">
        <w:rPr>
          <w:rFonts w:cs="Calibri"/>
          <w:szCs w:val="24"/>
        </w:rPr>
        <w:t>xisting beds at BWH will continue to be available to MGB patients who need inpatient cancer care or other inpatient care</w:t>
      </w:r>
      <w:r w:rsidR="000B1D63">
        <w:rPr>
          <w:rFonts w:cs="Calibri"/>
          <w:szCs w:val="24"/>
        </w:rPr>
        <w:t>, and that t</w:t>
      </w:r>
      <w:r w:rsidR="00263EAB" w:rsidRPr="000B1D63">
        <w:rPr>
          <w:rFonts w:cs="Calibri"/>
          <w:szCs w:val="24"/>
        </w:rPr>
        <w:t xml:space="preserve">he proposed hospital will </w:t>
      </w:r>
      <w:r w:rsidR="000B1D63">
        <w:rPr>
          <w:rFonts w:cs="Calibri"/>
          <w:szCs w:val="24"/>
        </w:rPr>
        <w:t xml:space="preserve">in fact </w:t>
      </w:r>
      <w:r w:rsidR="00263EAB" w:rsidRPr="000B1D63">
        <w:rPr>
          <w:rFonts w:cs="Calibri"/>
          <w:szCs w:val="24"/>
        </w:rPr>
        <w:t>create supply-induced demand to fill beds, drawing patients from community hospitals and patients who would not have otherwise received inpatient cancer care.</w:t>
      </w:r>
    </w:p>
    <w:p w14:paraId="277836DA" w14:textId="77777777" w:rsidR="000B1D63" w:rsidRPr="000B1D63" w:rsidRDefault="000B1D63" w:rsidP="001668BA">
      <w:pPr>
        <w:widowControl/>
        <w:autoSpaceDE/>
        <w:autoSpaceDN/>
        <w:spacing w:after="160"/>
        <w:contextualSpacing/>
        <w:rPr>
          <w:rFonts w:cs="Calibri"/>
          <w:szCs w:val="24"/>
        </w:rPr>
      </w:pPr>
    </w:p>
    <w:p w14:paraId="6253E0F0" w14:textId="77777777" w:rsidR="00263EAB" w:rsidRDefault="00263EAB" w:rsidP="00263EAB">
      <w:pPr>
        <w:rPr>
          <w:rFonts w:cs="Calibri"/>
          <w:b/>
          <w:bCs/>
          <w:szCs w:val="24"/>
        </w:rPr>
      </w:pPr>
      <w:r>
        <w:rPr>
          <w:rFonts w:cs="Calibri"/>
          <w:b/>
          <w:bCs/>
          <w:szCs w:val="24"/>
        </w:rPr>
        <w:t>ICA fails to account for financial and operational impact on existing emergency departments</w:t>
      </w:r>
    </w:p>
    <w:p w14:paraId="154DCD9E" w14:textId="7CA43AD9" w:rsidR="0065108D" w:rsidRPr="00A21BC1" w:rsidRDefault="00656B48" w:rsidP="001668BA">
      <w:pPr>
        <w:widowControl/>
        <w:autoSpaceDE/>
        <w:autoSpaceDN/>
        <w:spacing w:after="160"/>
        <w:contextualSpacing/>
        <w:rPr>
          <w:rFonts w:cs="Calibri"/>
          <w:szCs w:val="24"/>
        </w:rPr>
      </w:pPr>
      <w:r>
        <w:rPr>
          <w:rFonts w:cs="Calibri"/>
          <w:szCs w:val="24"/>
        </w:rPr>
        <w:t xml:space="preserve">MGB </w:t>
      </w:r>
      <w:r w:rsidR="00A21BC1">
        <w:rPr>
          <w:rFonts w:cs="Calibri"/>
          <w:szCs w:val="24"/>
        </w:rPr>
        <w:t>states that</w:t>
      </w:r>
      <w:r>
        <w:rPr>
          <w:rFonts w:cs="Calibri"/>
          <w:szCs w:val="24"/>
        </w:rPr>
        <w:t xml:space="preserve"> a</w:t>
      </w:r>
      <w:r w:rsidR="00263EAB" w:rsidRPr="00656B48">
        <w:rPr>
          <w:rFonts w:cs="Calibri"/>
          <w:szCs w:val="24"/>
        </w:rPr>
        <w:t xml:space="preserve"> number of BWH/Dana-Farber patients require emergency services during their treatment</w:t>
      </w:r>
      <w:r w:rsidR="00A21BC1">
        <w:rPr>
          <w:rFonts w:cs="Calibri"/>
          <w:szCs w:val="24"/>
        </w:rPr>
        <w:t>, and that the proposed hospital, which lacks an ED</w:t>
      </w:r>
      <w:r w:rsidR="00263EAB" w:rsidRPr="00656B48">
        <w:rPr>
          <w:rFonts w:cs="Calibri"/>
          <w:szCs w:val="24"/>
        </w:rPr>
        <w:t>, will exacerbate existing ED crowding and boarding in Massachusetts hospitals,</w:t>
      </w:r>
      <w:r w:rsidR="00BA44B0">
        <w:rPr>
          <w:rFonts w:cs="Calibri"/>
          <w:szCs w:val="24"/>
        </w:rPr>
        <w:t xml:space="preserve"> </w:t>
      </w:r>
      <w:r w:rsidR="00E95EE4">
        <w:rPr>
          <w:rFonts w:cs="Calibri"/>
          <w:szCs w:val="24"/>
        </w:rPr>
        <w:t>leading</w:t>
      </w:r>
      <w:r w:rsidR="00BA44B0">
        <w:rPr>
          <w:rFonts w:cs="Calibri"/>
          <w:szCs w:val="24"/>
        </w:rPr>
        <w:t xml:space="preserve"> to fragmented care</w:t>
      </w:r>
      <w:r w:rsidR="00263EAB" w:rsidRPr="00656B48">
        <w:rPr>
          <w:rFonts w:cs="Calibri"/>
          <w:szCs w:val="24"/>
        </w:rPr>
        <w:t xml:space="preserve"> and </w:t>
      </w:r>
      <w:r w:rsidR="00586A64">
        <w:rPr>
          <w:rFonts w:cs="Calibri"/>
          <w:szCs w:val="24"/>
        </w:rPr>
        <w:t xml:space="preserve">an </w:t>
      </w:r>
      <w:r w:rsidR="00263EAB" w:rsidRPr="00656B48">
        <w:rPr>
          <w:rFonts w:cs="Calibri"/>
          <w:szCs w:val="24"/>
        </w:rPr>
        <w:t xml:space="preserve">increase </w:t>
      </w:r>
      <w:r w:rsidR="00586A64">
        <w:rPr>
          <w:rFonts w:cs="Calibri"/>
          <w:szCs w:val="24"/>
        </w:rPr>
        <w:t xml:space="preserve">in </w:t>
      </w:r>
      <w:r w:rsidR="00263EAB" w:rsidRPr="00656B48">
        <w:rPr>
          <w:rFonts w:cs="Calibri"/>
          <w:szCs w:val="24"/>
        </w:rPr>
        <w:t xml:space="preserve">labor costs. </w:t>
      </w:r>
      <w:r w:rsidR="00A21BC1">
        <w:rPr>
          <w:rFonts w:cs="Calibri"/>
          <w:szCs w:val="24"/>
        </w:rPr>
        <w:t>MGB states that c</w:t>
      </w:r>
      <w:r w:rsidR="00263EAB" w:rsidRPr="00A21BC1">
        <w:rPr>
          <w:rFonts w:cs="Calibri"/>
          <w:szCs w:val="24"/>
        </w:rPr>
        <w:t xml:space="preserve">urrently, approximately </w:t>
      </w:r>
      <w:r w:rsidR="00263EAB" w:rsidRPr="00A21BC1">
        <w:rPr>
          <w:rFonts w:cs="Calibri"/>
          <w:b/>
          <w:bCs/>
          <w:szCs w:val="24"/>
        </w:rPr>
        <w:t>11%</w:t>
      </w:r>
      <w:r w:rsidR="00263EAB" w:rsidRPr="00A21BC1">
        <w:rPr>
          <w:rFonts w:cs="Calibri"/>
          <w:szCs w:val="24"/>
        </w:rPr>
        <w:t xml:space="preserve"> of patients treated at Dana-Farber return to an MGB ED within a year</w:t>
      </w:r>
      <w:r w:rsidR="007A6A68">
        <w:rPr>
          <w:rFonts w:cs="Calibri"/>
          <w:szCs w:val="24"/>
        </w:rPr>
        <w:t xml:space="preserve">. Based on </w:t>
      </w:r>
      <w:r w:rsidR="00E77652">
        <w:rPr>
          <w:rFonts w:cs="Calibri"/>
          <w:szCs w:val="24"/>
        </w:rPr>
        <w:t xml:space="preserve">MGB’s </w:t>
      </w:r>
      <w:r w:rsidR="00DC3A97">
        <w:rPr>
          <w:rFonts w:cs="Calibri"/>
          <w:szCs w:val="24"/>
        </w:rPr>
        <w:t xml:space="preserve">estimated </w:t>
      </w:r>
      <w:r w:rsidR="00263EAB" w:rsidRPr="00A21BC1">
        <w:rPr>
          <w:rFonts w:cs="Calibri"/>
          <w:b/>
          <w:bCs/>
          <w:szCs w:val="24"/>
        </w:rPr>
        <w:t>14,000</w:t>
      </w:r>
      <w:r w:rsidR="00263EAB" w:rsidRPr="00A21BC1">
        <w:rPr>
          <w:rFonts w:cs="Calibri"/>
          <w:szCs w:val="24"/>
        </w:rPr>
        <w:t xml:space="preserve"> discharges per year at the </w:t>
      </w:r>
      <w:r w:rsidR="00DC3A97">
        <w:rPr>
          <w:rFonts w:cs="Calibri"/>
          <w:szCs w:val="24"/>
        </w:rPr>
        <w:t>proposed hospital</w:t>
      </w:r>
      <w:r w:rsidR="007A6A68">
        <w:rPr>
          <w:rFonts w:cs="Calibri"/>
          <w:szCs w:val="24"/>
        </w:rPr>
        <w:t xml:space="preserve">, this </w:t>
      </w:r>
      <w:r w:rsidR="00263EAB" w:rsidRPr="00A21BC1">
        <w:rPr>
          <w:rFonts w:cs="Calibri"/>
          <w:szCs w:val="24"/>
        </w:rPr>
        <w:t xml:space="preserve">would amount to </w:t>
      </w:r>
      <w:r w:rsidR="00263EAB" w:rsidRPr="00A21BC1">
        <w:rPr>
          <w:rFonts w:cs="Calibri"/>
          <w:b/>
          <w:bCs/>
          <w:szCs w:val="24"/>
        </w:rPr>
        <w:t>1,500</w:t>
      </w:r>
      <w:r w:rsidR="00263EAB" w:rsidRPr="00A21BC1">
        <w:rPr>
          <w:rFonts w:cs="Calibri"/>
          <w:szCs w:val="24"/>
        </w:rPr>
        <w:t xml:space="preserve"> additional patients seeking care in the ED at BIDMC, and other EDs in Massachusetts, all of which are operating beyond capacity</w:t>
      </w:r>
      <w:r w:rsidR="005A0AB7" w:rsidRPr="00A21BC1">
        <w:rPr>
          <w:rFonts w:cs="Calibri"/>
          <w:szCs w:val="24"/>
        </w:rPr>
        <w:t xml:space="preserve">, as reflected in ED boarding. </w:t>
      </w:r>
    </w:p>
    <w:p w14:paraId="04EBF8D1" w14:textId="77777777" w:rsidR="0065108D" w:rsidRDefault="0065108D" w:rsidP="00521D5B">
      <w:pPr>
        <w:widowControl/>
        <w:autoSpaceDE/>
        <w:autoSpaceDN/>
        <w:spacing w:after="160"/>
        <w:contextualSpacing/>
        <w:rPr>
          <w:rFonts w:cs="Calibri"/>
          <w:b/>
          <w:bCs/>
          <w:szCs w:val="24"/>
        </w:rPr>
      </w:pPr>
    </w:p>
    <w:p w14:paraId="0D57AF4E" w14:textId="6F6B5D6C" w:rsidR="00263EAB" w:rsidRPr="0065108D" w:rsidRDefault="00263EAB" w:rsidP="001668BA">
      <w:pPr>
        <w:widowControl/>
        <w:autoSpaceDE/>
        <w:autoSpaceDN/>
        <w:spacing w:after="160"/>
        <w:contextualSpacing/>
        <w:rPr>
          <w:rFonts w:cs="Calibri"/>
          <w:szCs w:val="24"/>
        </w:rPr>
      </w:pPr>
      <w:r w:rsidRPr="001668BA">
        <w:rPr>
          <w:rFonts w:cs="Calibri"/>
          <w:b/>
          <w:bCs/>
          <w:szCs w:val="24"/>
        </w:rPr>
        <w:lastRenderedPageBreak/>
        <w:t xml:space="preserve">The ICA fails to account for what the comments describe as an over-resourcing of the area with new imaging and radiation therapy equipment. </w:t>
      </w:r>
    </w:p>
    <w:p w14:paraId="2C7F23AB" w14:textId="67C9049A" w:rsidR="00263EAB" w:rsidRDefault="00B52247" w:rsidP="001668BA">
      <w:pPr>
        <w:widowControl/>
        <w:autoSpaceDE/>
        <w:autoSpaceDN/>
        <w:spacing w:after="160"/>
        <w:contextualSpacing/>
        <w:rPr>
          <w:rFonts w:cs="Calibri"/>
          <w:szCs w:val="24"/>
        </w:rPr>
      </w:pPr>
      <w:r w:rsidRPr="00B52247">
        <w:rPr>
          <w:rFonts w:cs="Calibri"/>
          <w:szCs w:val="24"/>
        </w:rPr>
        <w:t xml:space="preserve">MGB states that there are 11 LINACs in the Longwood Area: 3 at Dana-Farber, 3 at BIDMC, and 5 at BWH. The ICA projects need for 10 LINACs, 3 of which are currently located at BWH. </w:t>
      </w:r>
      <w:r w:rsidR="00F22C4D">
        <w:rPr>
          <w:rFonts w:cs="Calibri"/>
          <w:szCs w:val="24"/>
        </w:rPr>
        <w:t>MGB states that t</w:t>
      </w:r>
      <w:r w:rsidR="00263EAB" w:rsidRPr="00F22C4D">
        <w:rPr>
          <w:rFonts w:cs="Calibri"/>
          <w:szCs w:val="24"/>
        </w:rPr>
        <w:t>he ICA’s projections for the Applicant’s linear accelerator need are flawed because they are based on the assumption that patients will move from receiving their care at BWH and other MGB facilities to the proposed hospital</w:t>
      </w:r>
      <w:r w:rsidR="007A7DE6">
        <w:rPr>
          <w:rFonts w:cs="Calibri"/>
          <w:szCs w:val="24"/>
        </w:rPr>
        <w:t xml:space="preserve">. </w:t>
      </w:r>
      <w:r w:rsidR="00F22C4D">
        <w:rPr>
          <w:rFonts w:cs="Calibri"/>
          <w:szCs w:val="24"/>
        </w:rPr>
        <w:t>MGB states that t</w:t>
      </w:r>
      <w:r w:rsidR="00263EAB" w:rsidRPr="00F22C4D">
        <w:rPr>
          <w:rFonts w:cs="Calibri"/>
          <w:szCs w:val="24"/>
        </w:rPr>
        <w:t xml:space="preserve">he ICA assumes that Dana-Farber will retain </w:t>
      </w:r>
      <w:r w:rsidR="00263EAB" w:rsidRPr="00F22C4D">
        <w:rPr>
          <w:rFonts w:cs="Calibri"/>
          <w:b/>
          <w:bCs/>
          <w:szCs w:val="24"/>
        </w:rPr>
        <w:t>100%</w:t>
      </w:r>
      <w:r w:rsidR="00263EAB" w:rsidRPr="00F22C4D">
        <w:rPr>
          <w:rFonts w:cs="Calibri"/>
          <w:szCs w:val="24"/>
        </w:rPr>
        <w:t xml:space="preserve"> of its current volume and capture </w:t>
      </w:r>
      <w:r w:rsidR="00263EAB" w:rsidRPr="00F22C4D">
        <w:rPr>
          <w:rFonts w:cs="Calibri"/>
          <w:b/>
          <w:bCs/>
          <w:szCs w:val="24"/>
        </w:rPr>
        <w:t>80%</w:t>
      </w:r>
      <w:r w:rsidR="00263EAB" w:rsidRPr="00F22C4D">
        <w:rPr>
          <w:rFonts w:cs="Calibri"/>
          <w:szCs w:val="24"/>
        </w:rPr>
        <w:t xml:space="preserve"> of BWH’s LINAC volume, which </w:t>
      </w:r>
      <w:r w:rsidR="00ED311A">
        <w:rPr>
          <w:rFonts w:cs="Calibri"/>
          <w:szCs w:val="24"/>
        </w:rPr>
        <w:t xml:space="preserve">MGB states </w:t>
      </w:r>
      <w:r w:rsidR="00263EAB" w:rsidRPr="00F22C4D">
        <w:rPr>
          <w:rFonts w:cs="Calibri"/>
          <w:szCs w:val="24"/>
        </w:rPr>
        <w:t xml:space="preserve">overstates the likely migration of patients, and inflates need for LINACs in the Longwood Area. </w:t>
      </w:r>
      <w:r w:rsidR="00F22C4D">
        <w:rPr>
          <w:rFonts w:cs="Calibri"/>
          <w:szCs w:val="24"/>
        </w:rPr>
        <w:t>MGB states that e</w:t>
      </w:r>
      <w:r w:rsidR="00263EAB" w:rsidRPr="00F22C4D">
        <w:rPr>
          <w:rFonts w:cs="Calibri"/>
          <w:szCs w:val="24"/>
        </w:rPr>
        <w:t xml:space="preserve">xisting LINACs at BWH primarily treat BWH surgical patients who are not expected to shift to Dana-Farber for their oncology care, neither are patients who have other medical care at BWH. </w:t>
      </w:r>
      <w:r w:rsidR="00B83126">
        <w:rPr>
          <w:rFonts w:cs="Calibri"/>
          <w:szCs w:val="24"/>
        </w:rPr>
        <w:t>As a result, t</w:t>
      </w:r>
      <w:r w:rsidR="00263EAB" w:rsidRPr="00B83126">
        <w:rPr>
          <w:rFonts w:cs="Calibri"/>
          <w:szCs w:val="24"/>
        </w:rPr>
        <w:t xml:space="preserve">he Proposed Project will result in supply-induced demand for LINAC services, </w:t>
      </w:r>
      <w:r w:rsidR="00F65371">
        <w:rPr>
          <w:rFonts w:cs="Calibri"/>
          <w:szCs w:val="24"/>
        </w:rPr>
        <w:t>with</w:t>
      </w:r>
      <w:r w:rsidR="00263EAB" w:rsidRPr="00B83126">
        <w:rPr>
          <w:rFonts w:cs="Calibri"/>
          <w:szCs w:val="24"/>
        </w:rPr>
        <w:t xml:space="preserve"> Dana-Farber obtaining patients from other sources, likely other lower-cost AMCs and community hospitals. This will in turn increase TME. </w:t>
      </w:r>
      <w:r w:rsidR="00730945">
        <w:rPr>
          <w:rFonts w:cs="Calibri"/>
          <w:szCs w:val="24"/>
        </w:rPr>
        <w:t>MGB states that t</w:t>
      </w:r>
      <w:r w:rsidR="00263EAB" w:rsidRPr="00730945">
        <w:rPr>
          <w:rFonts w:cs="Calibri"/>
          <w:szCs w:val="24"/>
        </w:rPr>
        <w:t xml:space="preserve">he addition of LINACs will </w:t>
      </w:r>
      <w:r w:rsidR="00634732">
        <w:rPr>
          <w:rFonts w:cs="Calibri"/>
          <w:szCs w:val="24"/>
        </w:rPr>
        <w:t xml:space="preserve">also </w:t>
      </w:r>
      <w:r w:rsidR="00263EAB" w:rsidRPr="00730945">
        <w:rPr>
          <w:rFonts w:cs="Calibri"/>
          <w:szCs w:val="24"/>
        </w:rPr>
        <w:t xml:space="preserve">exacerbate the existing shortage of radiation technicians and increase labor costs for radiation technicians. </w:t>
      </w:r>
    </w:p>
    <w:p w14:paraId="3104BA44" w14:textId="77777777" w:rsidR="00450585" w:rsidRDefault="00450585" w:rsidP="001668BA">
      <w:pPr>
        <w:widowControl/>
        <w:autoSpaceDE/>
        <w:autoSpaceDN/>
        <w:spacing w:after="160"/>
        <w:contextualSpacing/>
        <w:rPr>
          <w:rFonts w:cs="Calibri"/>
          <w:szCs w:val="24"/>
        </w:rPr>
      </w:pPr>
    </w:p>
    <w:p w14:paraId="75DFD9C4" w14:textId="2F07BD0C" w:rsidR="00C467DB" w:rsidRPr="00C467DB" w:rsidRDefault="00133899" w:rsidP="00C467DB">
      <w:pPr>
        <w:widowControl/>
        <w:autoSpaceDE/>
        <w:autoSpaceDN/>
        <w:spacing w:after="160"/>
        <w:contextualSpacing/>
      </w:pPr>
      <w:r>
        <w:t xml:space="preserve">Staff finds that, with the “Other Conditions” outlined below, the Proposed Project is consistent with the Commonwealth’s efforts to meet the health care cost containment goals, and therefore meets </w:t>
      </w:r>
      <w:r w:rsidR="00501BDA">
        <w:t>the requirements of Factor 2 and factor 4.</w:t>
      </w:r>
      <w:r>
        <w:t xml:space="preserve"> </w:t>
      </w:r>
    </w:p>
    <w:p w14:paraId="6BDBD029" w14:textId="77777777" w:rsidR="00263EAB" w:rsidRPr="007C49AB" w:rsidRDefault="00263EAB" w:rsidP="00BA2054">
      <w:pPr>
        <w:pStyle w:val="BodyText"/>
        <w:rPr>
          <w:rFonts w:asciiTheme="minorHAnsi" w:hAnsiTheme="minorHAnsi"/>
        </w:rPr>
      </w:pPr>
    </w:p>
    <w:p w14:paraId="45ED2C47" w14:textId="77777777" w:rsidR="00B447F3" w:rsidRPr="003B2CD4" w:rsidRDefault="00A4110F" w:rsidP="00F828B7">
      <w:pPr>
        <w:rPr>
          <w:b/>
          <w:bCs/>
        </w:rPr>
      </w:pPr>
      <w:r w:rsidRPr="003B2CD4">
        <w:rPr>
          <w:b/>
          <w:bCs/>
        </w:rPr>
        <w:t>Improved Public Health Outcomes</w:t>
      </w:r>
    </w:p>
    <w:p w14:paraId="08D8D7A3" w14:textId="77777777" w:rsidR="00F828B7" w:rsidRDefault="00F828B7" w:rsidP="00F828B7"/>
    <w:p w14:paraId="3FC4B358" w14:textId="1DD8F0AC" w:rsidR="00A41C60" w:rsidRDefault="00FB3180" w:rsidP="00BA2054">
      <w:pPr>
        <w:pStyle w:val="BodyText"/>
        <w:rPr>
          <w:rFonts w:asciiTheme="minorHAnsi" w:hAnsiTheme="minorHAnsi"/>
        </w:rPr>
      </w:pPr>
      <w:r>
        <w:rPr>
          <w:rFonts w:asciiTheme="minorHAnsi" w:hAnsiTheme="minorHAnsi"/>
        </w:rPr>
        <w:t xml:space="preserve">The Applicant states that the Proposed Project will have a direct impact on </w:t>
      </w:r>
      <w:r w:rsidR="00A41C60">
        <w:rPr>
          <w:rFonts w:asciiTheme="minorHAnsi" w:hAnsiTheme="minorHAnsi"/>
        </w:rPr>
        <w:t>public health outcomes</w:t>
      </w:r>
      <w:r w:rsidR="004D1A67">
        <w:rPr>
          <w:rFonts w:asciiTheme="minorHAnsi" w:hAnsiTheme="minorHAnsi"/>
        </w:rPr>
        <w:t xml:space="preserve"> and quality of life </w:t>
      </w:r>
      <w:r w:rsidR="00A41C60">
        <w:rPr>
          <w:rFonts w:asciiTheme="minorHAnsi" w:hAnsiTheme="minorHAnsi"/>
        </w:rPr>
        <w:t>in the following ways</w:t>
      </w:r>
      <w:r w:rsidR="005A3838">
        <w:rPr>
          <w:rFonts w:asciiTheme="minorHAnsi" w:hAnsiTheme="minorHAnsi"/>
        </w:rPr>
        <w:t>, many of which were noted above in Factor 1a and Factor 1b</w:t>
      </w:r>
      <w:r w:rsidR="00A41C60">
        <w:rPr>
          <w:rFonts w:asciiTheme="minorHAnsi" w:hAnsiTheme="minorHAnsi"/>
        </w:rPr>
        <w:t>:</w:t>
      </w:r>
    </w:p>
    <w:p w14:paraId="643CD0C2" w14:textId="04A7F61B" w:rsidR="00DD1B33" w:rsidRDefault="00AA4E01" w:rsidP="00F91720">
      <w:pPr>
        <w:pStyle w:val="BodyText"/>
        <w:numPr>
          <w:ilvl w:val="0"/>
          <w:numId w:val="5"/>
        </w:numPr>
        <w:rPr>
          <w:rFonts w:asciiTheme="minorHAnsi" w:hAnsiTheme="minorHAnsi"/>
        </w:rPr>
      </w:pPr>
      <w:r>
        <w:rPr>
          <w:rFonts w:asciiTheme="minorHAnsi" w:hAnsiTheme="minorHAnsi"/>
        </w:rPr>
        <w:t>E</w:t>
      </w:r>
      <w:r w:rsidR="00063CDE" w:rsidRPr="00063CDE">
        <w:rPr>
          <w:rFonts w:asciiTheme="minorHAnsi" w:hAnsiTheme="minorHAnsi"/>
        </w:rPr>
        <w:t>xpand the number of beds and equipment available to the Applicant to</w:t>
      </w:r>
      <w:r w:rsidR="00063CDE">
        <w:rPr>
          <w:rFonts w:asciiTheme="minorHAnsi" w:hAnsiTheme="minorHAnsi"/>
        </w:rPr>
        <w:t xml:space="preserve"> </w:t>
      </w:r>
      <w:r w:rsidR="00063CDE" w:rsidRPr="00063CDE">
        <w:rPr>
          <w:rFonts w:asciiTheme="minorHAnsi" w:hAnsiTheme="minorHAnsi"/>
        </w:rPr>
        <w:t xml:space="preserve">meet the needs </w:t>
      </w:r>
      <w:r w:rsidR="00F62480">
        <w:rPr>
          <w:rFonts w:asciiTheme="minorHAnsi" w:hAnsiTheme="minorHAnsi"/>
        </w:rPr>
        <w:t xml:space="preserve">of its Patient Panel </w:t>
      </w:r>
      <w:r w:rsidR="00DD249E">
        <w:rPr>
          <w:rFonts w:asciiTheme="minorHAnsi" w:hAnsiTheme="minorHAnsi"/>
        </w:rPr>
        <w:t xml:space="preserve"> </w:t>
      </w:r>
    </w:p>
    <w:p w14:paraId="13A80A30" w14:textId="3A992920" w:rsidR="00EC412D" w:rsidRDefault="00AA4E01" w:rsidP="00F91720">
      <w:pPr>
        <w:pStyle w:val="BodyText"/>
        <w:numPr>
          <w:ilvl w:val="0"/>
          <w:numId w:val="5"/>
        </w:numPr>
        <w:rPr>
          <w:rFonts w:asciiTheme="minorHAnsi" w:hAnsiTheme="minorHAnsi"/>
        </w:rPr>
      </w:pPr>
      <w:r>
        <w:rPr>
          <w:rFonts w:asciiTheme="minorHAnsi" w:hAnsiTheme="minorHAnsi"/>
        </w:rPr>
        <w:t>E</w:t>
      </w:r>
      <w:r w:rsidR="001636E4" w:rsidRPr="001636E4">
        <w:rPr>
          <w:rFonts w:asciiTheme="minorHAnsi" w:hAnsiTheme="minorHAnsi"/>
        </w:rPr>
        <w:t xml:space="preserve">xpand the availability and access to </w:t>
      </w:r>
      <w:r w:rsidR="00090F44">
        <w:rPr>
          <w:rFonts w:asciiTheme="minorHAnsi" w:hAnsiTheme="minorHAnsi"/>
        </w:rPr>
        <w:t xml:space="preserve">highly </w:t>
      </w:r>
      <w:r w:rsidR="001636E4" w:rsidRPr="001636E4">
        <w:rPr>
          <w:rFonts w:asciiTheme="minorHAnsi" w:hAnsiTheme="minorHAnsi"/>
        </w:rPr>
        <w:t>specialized</w:t>
      </w:r>
      <w:r w:rsidR="001636E4">
        <w:rPr>
          <w:rFonts w:asciiTheme="minorHAnsi" w:hAnsiTheme="minorHAnsi"/>
        </w:rPr>
        <w:t xml:space="preserve"> </w:t>
      </w:r>
      <w:r w:rsidR="001636E4" w:rsidRPr="001636E4">
        <w:rPr>
          <w:rFonts w:asciiTheme="minorHAnsi" w:hAnsiTheme="minorHAnsi"/>
        </w:rPr>
        <w:t xml:space="preserve">and focused care </w:t>
      </w:r>
    </w:p>
    <w:p w14:paraId="6CA92D3C" w14:textId="20CB76C3" w:rsidR="001636E4" w:rsidRDefault="00AA4E01" w:rsidP="00F91720">
      <w:pPr>
        <w:pStyle w:val="BodyText"/>
        <w:numPr>
          <w:ilvl w:val="0"/>
          <w:numId w:val="5"/>
        </w:numPr>
        <w:rPr>
          <w:rFonts w:asciiTheme="minorHAnsi" w:hAnsiTheme="minorHAnsi"/>
        </w:rPr>
      </w:pPr>
      <w:r>
        <w:rPr>
          <w:rFonts w:asciiTheme="minorHAnsi" w:hAnsiTheme="minorHAnsi"/>
        </w:rPr>
        <w:t>I</w:t>
      </w:r>
      <w:r w:rsidR="001636E4" w:rsidRPr="001636E4">
        <w:rPr>
          <w:rFonts w:asciiTheme="minorHAnsi" w:hAnsiTheme="minorHAnsi"/>
        </w:rPr>
        <w:t>mprov</w:t>
      </w:r>
      <w:r w:rsidR="00EC412D">
        <w:rPr>
          <w:rFonts w:asciiTheme="minorHAnsi" w:hAnsiTheme="minorHAnsi"/>
        </w:rPr>
        <w:t>e</w:t>
      </w:r>
      <w:r w:rsidR="001636E4" w:rsidRPr="001636E4">
        <w:rPr>
          <w:rFonts w:asciiTheme="minorHAnsi" w:hAnsiTheme="minorHAnsi"/>
        </w:rPr>
        <w:t xml:space="preserve"> access to clinical trials</w:t>
      </w:r>
    </w:p>
    <w:p w14:paraId="0C70F42A" w14:textId="3897CAEA" w:rsidR="00C870D3" w:rsidRDefault="00AA4E01" w:rsidP="00F91720">
      <w:pPr>
        <w:pStyle w:val="BodyText"/>
        <w:numPr>
          <w:ilvl w:val="0"/>
          <w:numId w:val="5"/>
        </w:numPr>
        <w:rPr>
          <w:rFonts w:asciiTheme="minorHAnsi" w:hAnsiTheme="minorHAnsi"/>
        </w:rPr>
      </w:pPr>
      <w:r>
        <w:rPr>
          <w:rFonts w:asciiTheme="minorHAnsi" w:hAnsiTheme="minorHAnsi"/>
        </w:rPr>
        <w:t>I</w:t>
      </w:r>
      <w:r w:rsidR="00F62480">
        <w:rPr>
          <w:rFonts w:asciiTheme="minorHAnsi" w:hAnsiTheme="minorHAnsi"/>
        </w:rPr>
        <w:t>mprov</w:t>
      </w:r>
      <w:r w:rsidR="009F170D">
        <w:rPr>
          <w:rFonts w:asciiTheme="minorHAnsi" w:hAnsiTheme="minorHAnsi"/>
        </w:rPr>
        <w:t>e</w:t>
      </w:r>
      <w:r w:rsidR="00F62480">
        <w:rPr>
          <w:rFonts w:asciiTheme="minorHAnsi" w:hAnsiTheme="minorHAnsi"/>
        </w:rPr>
        <w:t xml:space="preserve"> outcomes </w:t>
      </w:r>
      <w:r w:rsidR="002E42A2">
        <w:rPr>
          <w:rFonts w:asciiTheme="minorHAnsi" w:hAnsiTheme="minorHAnsi"/>
        </w:rPr>
        <w:t>through the provision of inpatient care in a</w:t>
      </w:r>
      <w:r w:rsidR="00F62480">
        <w:rPr>
          <w:rFonts w:asciiTheme="minorHAnsi" w:hAnsiTheme="minorHAnsi"/>
        </w:rPr>
        <w:t xml:space="preserve"> dedicated cancer hospital, </w:t>
      </w:r>
      <w:r w:rsidR="0060167C">
        <w:rPr>
          <w:rFonts w:asciiTheme="minorHAnsi" w:hAnsiTheme="minorHAnsi"/>
        </w:rPr>
        <w:t>which the Applicant has noted above have better survival outcomes</w:t>
      </w:r>
      <w:r w:rsidR="00090F44">
        <w:rPr>
          <w:rFonts w:asciiTheme="minorHAnsi" w:hAnsiTheme="minorHAnsi"/>
        </w:rPr>
        <w:t xml:space="preserve"> </w:t>
      </w:r>
    </w:p>
    <w:p w14:paraId="21FAB4E7" w14:textId="32505610" w:rsidR="000408CA" w:rsidRDefault="00AA4E01" w:rsidP="00F91720">
      <w:pPr>
        <w:pStyle w:val="BodyText"/>
        <w:numPr>
          <w:ilvl w:val="0"/>
          <w:numId w:val="5"/>
        </w:numPr>
        <w:rPr>
          <w:rFonts w:asciiTheme="minorHAnsi" w:hAnsiTheme="minorHAnsi"/>
        </w:rPr>
      </w:pPr>
      <w:r>
        <w:rPr>
          <w:rFonts w:asciiTheme="minorHAnsi" w:hAnsiTheme="minorHAnsi"/>
        </w:rPr>
        <w:t>I</w:t>
      </w:r>
      <w:r w:rsidR="004425B2">
        <w:rPr>
          <w:rFonts w:asciiTheme="minorHAnsi" w:hAnsiTheme="minorHAnsi"/>
        </w:rPr>
        <w:t>ncreas</w:t>
      </w:r>
      <w:r w:rsidR="009F170D">
        <w:rPr>
          <w:rFonts w:asciiTheme="minorHAnsi" w:hAnsiTheme="minorHAnsi"/>
        </w:rPr>
        <w:t>e</w:t>
      </w:r>
      <w:r w:rsidR="004425B2">
        <w:rPr>
          <w:rFonts w:asciiTheme="minorHAnsi" w:hAnsiTheme="minorHAnsi"/>
        </w:rPr>
        <w:t xml:space="preserve"> access to m</w:t>
      </w:r>
      <w:r w:rsidR="00372DAF" w:rsidRPr="00372DAF">
        <w:rPr>
          <w:rFonts w:asciiTheme="minorHAnsi" w:hAnsiTheme="minorHAnsi"/>
        </w:rPr>
        <w:t>ore timely care</w:t>
      </w:r>
      <w:r w:rsidR="00372DAF">
        <w:rPr>
          <w:rFonts w:asciiTheme="minorHAnsi" w:hAnsiTheme="minorHAnsi"/>
        </w:rPr>
        <w:t xml:space="preserve">, and </w:t>
      </w:r>
      <w:r w:rsidR="004425B2">
        <w:rPr>
          <w:rFonts w:asciiTheme="minorHAnsi" w:hAnsiTheme="minorHAnsi"/>
        </w:rPr>
        <w:t>the</w:t>
      </w:r>
      <w:r w:rsidR="00372DAF">
        <w:rPr>
          <w:rFonts w:asciiTheme="minorHAnsi" w:hAnsiTheme="minorHAnsi"/>
        </w:rPr>
        <w:t xml:space="preserve"> </w:t>
      </w:r>
      <w:r w:rsidR="00986B0C" w:rsidRPr="00372DAF">
        <w:rPr>
          <w:rFonts w:asciiTheme="minorHAnsi" w:hAnsiTheme="minorHAnsi"/>
        </w:rPr>
        <w:t xml:space="preserve">likelihood of patients </w:t>
      </w:r>
      <w:r w:rsidR="00EC412D">
        <w:rPr>
          <w:rFonts w:asciiTheme="minorHAnsi" w:hAnsiTheme="minorHAnsi"/>
        </w:rPr>
        <w:t>accessing</w:t>
      </w:r>
      <w:r w:rsidR="00EC412D" w:rsidRPr="00372DAF">
        <w:rPr>
          <w:rFonts w:asciiTheme="minorHAnsi" w:hAnsiTheme="minorHAnsi"/>
        </w:rPr>
        <w:t xml:space="preserve"> </w:t>
      </w:r>
      <w:r w:rsidR="00986B0C" w:rsidRPr="00372DAF">
        <w:rPr>
          <w:rFonts w:asciiTheme="minorHAnsi" w:hAnsiTheme="minorHAnsi"/>
        </w:rPr>
        <w:t xml:space="preserve">the right treatment, in the appropriate setting, </w:t>
      </w:r>
      <w:r w:rsidR="00EC412D">
        <w:rPr>
          <w:rFonts w:asciiTheme="minorHAnsi" w:hAnsiTheme="minorHAnsi"/>
        </w:rPr>
        <w:t xml:space="preserve">and </w:t>
      </w:r>
      <w:r w:rsidR="00986B0C" w:rsidRPr="00372DAF">
        <w:rPr>
          <w:rFonts w:asciiTheme="minorHAnsi" w:hAnsiTheme="minorHAnsi"/>
        </w:rPr>
        <w:t>at the optimal time</w:t>
      </w:r>
    </w:p>
    <w:p w14:paraId="35F6A406" w14:textId="4F028299" w:rsidR="00B6186B" w:rsidRPr="00844E13" w:rsidRDefault="009E337C" w:rsidP="00F91720">
      <w:pPr>
        <w:pStyle w:val="BodyText"/>
        <w:numPr>
          <w:ilvl w:val="0"/>
          <w:numId w:val="5"/>
        </w:numPr>
        <w:rPr>
          <w:rFonts w:asciiTheme="minorHAnsi" w:hAnsiTheme="minorHAnsi"/>
        </w:rPr>
      </w:pPr>
      <w:r>
        <w:rPr>
          <w:rFonts w:asciiTheme="minorHAnsi" w:hAnsiTheme="minorHAnsi"/>
        </w:rPr>
        <w:t>R</w:t>
      </w:r>
      <w:r w:rsidR="000408CA">
        <w:rPr>
          <w:rFonts w:asciiTheme="minorHAnsi" w:hAnsiTheme="minorHAnsi"/>
        </w:rPr>
        <w:t>educ</w:t>
      </w:r>
      <w:r w:rsidR="009F170D">
        <w:rPr>
          <w:rFonts w:asciiTheme="minorHAnsi" w:hAnsiTheme="minorHAnsi"/>
        </w:rPr>
        <w:t>e</w:t>
      </w:r>
      <w:r w:rsidR="000408CA">
        <w:rPr>
          <w:rFonts w:asciiTheme="minorHAnsi" w:hAnsiTheme="minorHAnsi"/>
        </w:rPr>
        <w:t xml:space="preserve"> </w:t>
      </w:r>
      <w:r w:rsidR="006F2E9C" w:rsidRPr="00844E13">
        <w:rPr>
          <w:rFonts w:asciiTheme="minorHAnsi" w:hAnsiTheme="minorHAnsi"/>
        </w:rPr>
        <w:t xml:space="preserve">wait times for tertiary level care and for radiation </w:t>
      </w:r>
      <w:r w:rsidR="00865D40" w:rsidRPr="00844E13">
        <w:rPr>
          <w:rFonts w:asciiTheme="minorHAnsi" w:hAnsiTheme="minorHAnsi"/>
        </w:rPr>
        <w:t>oncology services</w:t>
      </w:r>
    </w:p>
    <w:p w14:paraId="1CC0FD3F" w14:textId="2E58F8CE" w:rsidR="00281E68" w:rsidRDefault="009E337C" w:rsidP="00F91720">
      <w:pPr>
        <w:pStyle w:val="BodyText"/>
        <w:numPr>
          <w:ilvl w:val="0"/>
          <w:numId w:val="5"/>
        </w:numPr>
        <w:rPr>
          <w:rFonts w:asciiTheme="minorHAnsi" w:hAnsiTheme="minorHAnsi"/>
        </w:rPr>
      </w:pPr>
      <w:r>
        <w:rPr>
          <w:rFonts w:asciiTheme="minorHAnsi" w:hAnsiTheme="minorHAnsi"/>
        </w:rPr>
        <w:t>R</w:t>
      </w:r>
      <w:r w:rsidR="00E47942">
        <w:rPr>
          <w:rFonts w:asciiTheme="minorHAnsi" w:hAnsiTheme="minorHAnsi"/>
        </w:rPr>
        <w:t>educ</w:t>
      </w:r>
      <w:r w:rsidR="009F170D">
        <w:rPr>
          <w:rFonts w:asciiTheme="minorHAnsi" w:hAnsiTheme="minorHAnsi"/>
        </w:rPr>
        <w:t>e</w:t>
      </w:r>
      <w:r w:rsidR="00590C5C">
        <w:rPr>
          <w:rFonts w:asciiTheme="minorHAnsi" w:hAnsiTheme="minorHAnsi"/>
        </w:rPr>
        <w:t xml:space="preserve"> ED </w:t>
      </w:r>
      <w:r w:rsidR="00F12FB5" w:rsidRPr="00F12FB5">
        <w:rPr>
          <w:rFonts w:asciiTheme="minorHAnsi" w:hAnsiTheme="minorHAnsi"/>
        </w:rPr>
        <w:t>boarding</w:t>
      </w:r>
      <w:r w:rsidR="00F12FB5">
        <w:rPr>
          <w:rFonts w:asciiTheme="minorHAnsi" w:hAnsiTheme="minorHAnsi"/>
        </w:rPr>
        <w:t xml:space="preserve">, and </w:t>
      </w:r>
      <w:r w:rsidR="00405229">
        <w:rPr>
          <w:rFonts w:asciiTheme="minorHAnsi" w:hAnsiTheme="minorHAnsi"/>
        </w:rPr>
        <w:t xml:space="preserve">the associated negative effects, </w:t>
      </w:r>
      <w:r w:rsidR="0060077F">
        <w:rPr>
          <w:rFonts w:asciiTheme="minorHAnsi" w:hAnsiTheme="minorHAnsi"/>
        </w:rPr>
        <w:t>to also</w:t>
      </w:r>
      <w:r w:rsidR="00EC412D">
        <w:rPr>
          <w:rFonts w:asciiTheme="minorHAnsi" w:hAnsiTheme="minorHAnsi"/>
        </w:rPr>
        <w:t xml:space="preserve"> </w:t>
      </w:r>
      <w:r w:rsidR="00F12FB5">
        <w:rPr>
          <w:rFonts w:asciiTheme="minorHAnsi" w:hAnsiTheme="minorHAnsi"/>
        </w:rPr>
        <w:t>free</w:t>
      </w:r>
      <w:r w:rsidR="008D79DC">
        <w:rPr>
          <w:rFonts w:asciiTheme="minorHAnsi" w:hAnsiTheme="minorHAnsi"/>
        </w:rPr>
        <w:t xml:space="preserve"> </w:t>
      </w:r>
      <w:r w:rsidR="00F12FB5">
        <w:rPr>
          <w:rFonts w:asciiTheme="minorHAnsi" w:hAnsiTheme="minorHAnsi"/>
        </w:rPr>
        <w:t xml:space="preserve">up capacity in the ED for </w:t>
      </w:r>
      <w:r w:rsidR="005620CB">
        <w:rPr>
          <w:rFonts w:asciiTheme="minorHAnsi" w:hAnsiTheme="minorHAnsi"/>
        </w:rPr>
        <w:t>other patients seeking car</w:t>
      </w:r>
      <w:r w:rsidR="00A46B01">
        <w:rPr>
          <w:rFonts w:asciiTheme="minorHAnsi" w:hAnsiTheme="minorHAnsi"/>
        </w:rPr>
        <w:t>e</w:t>
      </w:r>
    </w:p>
    <w:p w14:paraId="4974A647" w14:textId="77777777" w:rsidR="0078770C" w:rsidRDefault="0078770C" w:rsidP="0078770C">
      <w:pPr>
        <w:pStyle w:val="BodyText"/>
        <w:spacing w:before="10"/>
        <w:rPr>
          <w:rFonts w:asciiTheme="minorHAnsi" w:hAnsiTheme="minorHAnsi"/>
        </w:rPr>
      </w:pPr>
    </w:p>
    <w:p w14:paraId="125D4EAD" w14:textId="37F34936" w:rsidR="0078770C" w:rsidRDefault="0084011B" w:rsidP="0078770C">
      <w:pPr>
        <w:pStyle w:val="BodyText"/>
        <w:spacing w:before="10"/>
        <w:rPr>
          <w:rFonts w:asciiTheme="minorHAnsi" w:hAnsiTheme="minorHAnsi"/>
        </w:rPr>
      </w:pPr>
      <w:r>
        <w:rPr>
          <w:rFonts w:asciiTheme="minorHAnsi" w:hAnsiTheme="minorHAnsi"/>
        </w:rPr>
        <w:t>The Applicant states that increas</w:t>
      </w:r>
      <w:r w:rsidR="00560552">
        <w:rPr>
          <w:rFonts w:asciiTheme="minorHAnsi" w:hAnsiTheme="minorHAnsi"/>
        </w:rPr>
        <w:t xml:space="preserve">ing the </w:t>
      </w:r>
      <w:r>
        <w:rPr>
          <w:rFonts w:asciiTheme="minorHAnsi" w:hAnsiTheme="minorHAnsi"/>
        </w:rPr>
        <w:t>accessibility of inpatient medical oncology services</w:t>
      </w:r>
      <w:r w:rsidR="00B4278C">
        <w:rPr>
          <w:rFonts w:asciiTheme="minorHAnsi" w:hAnsiTheme="minorHAnsi"/>
        </w:rPr>
        <w:t xml:space="preserve">, imaging, </w:t>
      </w:r>
      <w:r>
        <w:rPr>
          <w:rFonts w:asciiTheme="minorHAnsi" w:hAnsiTheme="minorHAnsi"/>
        </w:rPr>
        <w:t xml:space="preserve">and radiation therapy services for Massachusetts residents will improve quality of life and save patient lives. </w:t>
      </w:r>
      <w:r w:rsidR="00767062">
        <w:rPr>
          <w:rFonts w:asciiTheme="minorHAnsi" w:hAnsiTheme="minorHAnsi"/>
        </w:rPr>
        <w:t xml:space="preserve">Additionally, with a focus on providing care across the entire cancer care continuum, the Applicant </w:t>
      </w:r>
      <w:r w:rsidR="00183D16">
        <w:rPr>
          <w:rFonts w:asciiTheme="minorHAnsi" w:hAnsiTheme="minorHAnsi"/>
        </w:rPr>
        <w:t xml:space="preserve">states that it </w:t>
      </w:r>
      <w:r w:rsidR="00767062">
        <w:rPr>
          <w:rFonts w:asciiTheme="minorHAnsi" w:hAnsiTheme="minorHAnsi"/>
        </w:rPr>
        <w:t xml:space="preserve">will </w:t>
      </w:r>
      <w:r w:rsidR="00183D16" w:rsidRPr="00183D16">
        <w:rPr>
          <w:rFonts w:asciiTheme="minorHAnsi" w:hAnsiTheme="minorHAnsi"/>
        </w:rPr>
        <w:t>focus on opportunities for innovation, improve</w:t>
      </w:r>
      <w:r w:rsidR="0060077F">
        <w:rPr>
          <w:rFonts w:asciiTheme="minorHAnsi" w:hAnsiTheme="minorHAnsi"/>
        </w:rPr>
        <w:t>d</w:t>
      </w:r>
      <w:r w:rsidR="00183D16" w:rsidRPr="00183D16">
        <w:rPr>
          <w:rFonts w:asciiTheme="minorHAnsi" w:hAnsiTheme="minorHAnsi"/>
        </w:rPr>
        <w:t xml:space="preserve"> delivery and </w:t>
      </w:r>
      <w:r w:rsidR="00183D16" w:rsidRPr="00183D16">
        <w:rPr>
          <w:rFonts w:asciiTheme="minorHAnsi" w:hAnsiTheme="minorHAnsi"/>
        </w:rPr>
        <w:lastRenderedPageBreak/>
        <w:t>efficiency of care, and disseminat</w:t>
      </w:r>
      <w:r w:rsidR="0060077F">
        <w:rPr>
          <w:rFonts w:asciiTheme="minorHAnsi" w:hAnsiTheme="minorHAnsi"/>
        </w:rPr>
        <w:t>ion of</w:t>
      </w:r>
      <w:r w:rsidR="00183D16" w:rsidRPr="00183D16">
        <w:rPr>
          <w:rFonts w:asciiTheme="minorHAnsi" w:hAnsiTheme="minorHAnsi"/>
        </w:rPr>
        <w:t xml:space="preserve"> this knowledge to the broader oncology community to improve outcomes for cancer patients world-wid</w:t>
      </w:r>
      <w:r w:rsidR="00183D16">
        <w:rPr>
          <w:rFonts w:asciiTheme="minorHAnsi" w:hAnsiTheme="minorHAnsi"/>
        </w:rPr>
        <w:t xml:space="preserve">e. </w:t>
      </w:r>
    </w:p>
    <w:p w14:paraId="04A8E9C2" w14:textId="77777777" w:rsidR="00A46B01" w:rsidRPr="00F12FB5" w:rsidRDefault="00A46B01" w:rsidP="0078770C">
      <w:pPr>
        <w:pStyle w:val="BodyText"/>
        <w:spacing w:before="10"/>
        <w:rPr>
          <w:rFonts w:asciiTheme="minorHAnsi" w:hAnsiTheme="minorHAnsi"/>
        </w:rPr>
      </w:pPr>
    </w:p>
    <w:p w14:paraId="259E9A4D" w14:textId="1B37272B"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Public Health Outcomes</w:t>
      </w:r>
    </w:p>
    <w:p w14:paraId="5F30FBF4" w14:textId="0A671CAF" w:rsidR="00281E68" w:rsidRDefault="00574D67">
      <w:pPr>
        <w:pStyle w:val="BodyText"/>
        <w:spacing w:before="5"/>
        <w:rPr>
          <w:rFonts w:asciiTheme="minorHAnsi" w:hAnsiTheme="minorHAnsi"/>
        </w:rPr>
      </w:pPr>
      <w:r>
        <w:rPr>
          <w:rFonts w:asciiTheme="minorHAnsi" w:hAnsiTheme="minorHAnsi"/>
        </w:rPr>
        <w:t xml:space="preserve">Staff find that the Applicant has demonstrated </w:t>
      </w:r>
      <w:r w:rsidR="00EF41D3">
        <w:rPr>
          <w:rFonts w:asciiTheme="minorHAnsi" w:hAnsiTheme="minorHAnsi"/>
        </w:rPr>
        <w:t>that the Proposed Project</w:t>
      </w:r>
      <w:r w:rsidR="00070F48">
        <w:rPr>
          <w:rFonts w:asciiTheme="minorHAnsi" w:hAnsiTheme="minorHAnsi"/>
        </w:rPr>
        <w:t xml:space="preserve"> </w:t>
      </w:r>
      <w:r w:rsidR="00EF41D3">
        <w:rPr>
          <w:rFonts w:asciiTheme="minorHAnsi" w:hAnsiTheme="minorHAnsi"/>
        </w:rPr>
        <w:t xml:space="preserve">can improve health outcomes </w:t>
      </w:r>
      <w:r w:rsidR="00C90B3F">
        <w:rPr>
          <w:rFonts w:asciiTheme="minorHAnsi" w:hAnsiTheme="minorHAnsi"/>
        </w:rPr>
        <w:t>by</w:t>
      </w:r>
      <w:r w:rsidR="00EF41D3">
        <w:rPr>
          <w:rFonts w:asciiTheme="minorHAnsi" w:hAnsiTheme="minorHAnsi"/>
        </w:rPr>
        <w:t xml:space="preserve"> increasing </w:t>
      </w:r>
      <w:r w:rsidR="00AB2A10">
        <w:rPr>
          <w:rFonts w:asciiTheme="minorHAnsi" w:hAnsiTheme="minorHAnsi"/>
        </w:rPr>
        <w:t xml:space="preserve">timely </w:t>
      </w:r>
      <w:r w:rsidR="00EF41D3">
        <w:rPr>
          <w:rFonts w:asciiTheme="minorHAnsi" w:hAnsiTheme="minorHAnsi"/>
        </w:rPr>
        <w:t xml:space="preserve">access </w:t>
      </w:r>
      <w:r w:rsidR="0060077F">
        <w:rPr>
          <w:rFonts w:asciiTheme="minorHAnsi" w:hAnsiTheme="minorHAnsi"/>
        </w:rPr>
        <w:t>to</w:t>
      </w:r>
      <w:r w:rsidR="00EF41D3">
        <w:rPr>
          <w:rFonts w:asciiTheme="minorHAnsi" w:hAnsiTheme="minorHAnsi"/>
        </w:rPr>
        <w:t xml:space="preserve"> advanced cancer care. </w:t>
      </w:r>
      <w:r w:rsidR="00F2439C" w:rsidRPr="00F2439C">
        <w:rPr>
          <w:rFonts w:asciiTheme="minorHAnsi" w:hAnsiTheme="minorHAnsi"/>
        </w:rPr>
        <w:t>Therefore, DoN Staff can conclude that the Proposed Project will likely meet the Public Health Outcomes component of Factor 2.</w:t>
      </w:r>
    </w:p>
    <w:p w14:paraId="21C6A749" w14:textId="77777777" w:rsidR="00E74800" w:rsidRDefault="00E74800">
      <w:pPr>
        <w:pStyle w:val="BodyText"/>
        <w:spacing w:before="5"/>
        <w:rPr>
          <w:rFonts w:asciiTheme="minorHAnsi" w:hAnsiTheme="minorHAnsi"/>
        </w:rPr>
      </w:pPr>
    </w:p>
    <w:p w14:paraId="5A5B5207" w14:textId="15BDBFAC" w:rsidR="00B447F3" w:rsidRPr="009A0C61" w:rsidRDefault="00A4110F" w:rsidP="00BA2054">
      <w:pPr>
        <w:rPr>
          <w:rFonts w:asciiTheme="minorHAnsi" w:hAnsiTheme="minorHAnsi"/>
          <w:b/>
          <w:bCs/>
          <w:i/>
          <w:iCs/>
          <w:szCs w:val="24"/>
        </w:rPr>
      </w:pPr>
      <w:r w:rsidRPr="009A0C61">
        <w:rPr>
          <w:rFonts w:asciiTheme="minorHAnsi" w:hAnsiTheme="minorHAnsi"/>
          <w:b/>
          <w:bCs/>
          <w:i/>
          <w:iCs/>
          <w:szCs w:val="24"/>
        </w:rPr>
        <w:t>Delivery System Transformation</w:t>
      </w:r>
    </w:p>
    <w:p w14:paraId="37C5FE2C" w14:textId="438D4628" w:rsidR="00635EE5" w:rsidRDefault="000D0FE6" w:rsidP="00BA2054">
      <w:pPr>
        <w:pStyle w:val="BodyText"/>
        <w:rPr>
          <w:rFonts w:asciiTheme="minorHAnsi" w:hAnsiTheme="minorHAnsi"/>
        </w:rPr>
      </w:pPr>
      <w:r>
        <w:rPr>
          <w:rFonts w:asciiTheme="minorHAnsi" w:hAnsiTheme="minorHAnsi"/>
        </w:rPr>
        <w:t>The Applicant states that it screens patients for health-related social needs</w:t>
      </w:r>
      <w:r w:rsidR="00896ED7">
        <w:rPr>
          <w:rFonts w:asciiTheme="minorHAnsi" w:hAnsiTheme="minorHAnsi"/>
        </w:rPr>
        <w:t xml:space="preserve"> (HRSNs)</w:t>
      </w:r>
      <w:r>
        <w:rPr>
          <w:rFonts w:asciiTheme="minorHAnsi" w:hAnsiTheme="minorHAnsi"/>
        </w:rPr>
        <w:t xml:space="preserve"> in both the ambulatory and inpatient settings. </w:t>
      </w:r>
      <w:r w:rsidR="005D734D">
        <w:rPr>
          <w:rFonts w:asciiTheme="minorHAnsi" w:hAnsiTheme="minorHAnsi"/>
        </w:rPr>
        <w:t xml:space="preserve">The Applicant uses </w:t>
      </w:r>
      <w:r w:rsidR="00364806">
        <w:rPr>
          <w:rFonts w:asciiTheme="minorHAnsi" w:hAnsiTheme="minorHAnsi"/>
        </w:rPr>
        <w:t xml:space="preserve">MassHealth’s </w:t>
      </w:r>
      <w:r w:rsidR="005D734D">
        <w:rPr>
          <w:rFonts w:asciiTheme="minorHAnsi" w:hAnsiTheme="minorHAnsi"/>
        </w:rPr>
        <w:t xml:space="preserve">definition of </w:t>
      </w:r>
      <w:r w:rsidR="00632FCC">
        <w:rPr>
          <w:rFonts w:asciiTheme="minorHAnsi" w:hAnsiTheme="minorHAnsi"/>
        </w:rPr>
        <w:t>HRSNs</w:t>
      </w:r>
      <w:r w:rsidR="00364806">
        <w:rPr>
          <w:rFonts w:asciiTheme="minorHAnsi" w:hAnsiTheme="minorHAnsi"/>
        </w:rPr>
        <w:t xml:space="preserve">, which is </w:t>
      </w:r>
      <w:r w:rsidR="005D734D" w:rsidRPr="005D734D">
        <w:rPr>
          <w:rFonts w:asciiTheme="minorHAnsi" w:hAnsiTheme="minorHAnsi"/>
        </w:rPr>
        <w:t>“</w:t>
      </w:r>
      <w:r w:rsidR="006977CB" w:rsidRPr="006977CB">
        <w:rPr>
          <w:rFonts w:asciiTheme="minorHAnsi" w:hAnsiTheme="minorHAnsi"/>
        </w:rPr>
        <w:t>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r w:rsidR="005D734D" w:rsidRPr="005D734D">
        <w:rPr>
          <w:rFonts w:asciiTheme="minorHAnsi" w:hAnsiTheme="minorHAnsi"/>
        </w:rPr>
        <w:t>.”</w:t>
      </w:r>
      <w:r w:rsidR="00596DDE">
        <w:rPr>
          <w:rStyle w:val="EndnoteReference"/>
          <w:rFonts w:asciiTheme="minorHAnsi" w:hAnsiTheme="minorHAnsi"/>
        </w:rPr>
        <w:endnoteReference w:id="60"/>
      </w:r>
    </w:p>
    <w:p w14:paraId="098DB06D" w14:textId="77777777" w:rsidR="003823FD" w:rsidRDefault="003823FD" w:rsidP="00BA2054">
      <w:pPr>
        <w:pStyle w:val="BodyText"/>
        <w:rPr>
          <w:rFonts w:asciiTheme="minorHAnsi" w:hAnsiTheme="minorHAnsi"/>
          <w:b/>
          <w:bCs/>
        </w:rPr>
      </w:pPr>
    </w:p>
    <w:p w14:paraId="7C44F845" w14:textId="6BB0E185" w:rsidR="00635EE5" w:rsidRDefault="00635EE5" w:rsidP="00BA2054">
      <w:pPr>
        <w:pStyle w:val="BodyText"/>
        <w:rPr>
          <w:rFonts w:asciiTheme="minorHAnsi" w:hAnsiTheme="minorHAnsi"/>
        </w:rPr>
      </w:pPr>
      <w:r w:rsidRPr="005E2A9D">
        <w:rPr>
          <w:rFonts w:asciiTheme="minorHAnsi" w:hAnsiTheme="minorHAnsi"/>
          <w:b/>
          <w:bCs/>
        </w:rPr>
        <w:t>Outpatient/Ambulatory Patient Screens</w:t>
      </w:r>
      <w:r>
        <w:rPr>
          <w:rFonts w:asciiTheme="minorHAnsi" w:hAnsiTheme="minorHAnsi"/>
        </w:rPr>
        <w:t xml:space="preserve">: </w:t>
      </w:r>
      <w:r w:rsidR="000D0FE6">
        <w:rPr>
          <w:rFonts w:asciiTheme="minorHAnsi" w:hAnsiTheme="minorHAnsi"/>
        </w:rPr>
        <w:t xml:space="preserve">The </w:t>
      </w:r>
      <w:r>
        <w:rPr>
          <w:rFonts w:asciiTheme="minorHAnsi" w:hAnsiTheme="minorHAnsi"/>
        </w:rPr>
        <w:t>Applicant</w:t>
      </w:r>
      <w:r w:rsidR="000D0FE6">
        <w:rPr>
          <w:rFonts w:asciiTheme="minorHAnsi" w:hAnsiTheme="minorHAnsi"/>
        </w:rPr>
        <w:t xml:space="preserve"> </w:t>
      </w:r>
      <w:r w:rsidR="00DD4DE4">
        <w:rPr>
          <w:rFonts w:asciiTheme="minorHAnsi" w:hAnsiTheme="minorHAnsi"/>
        </w:rPr>
        <w:t xml:space="preserve">states that it </w:t>
      </w:r>
      <w:r w:rsidR="000D0FE6">
        <w:rPr>
          <w:rFonts w:asciiTheme="minorHAnsi" w:hAnsiTheme="minorHAnsi"/>
        </w:rPr>
        <w:t xml:space="preserve">has screened outpatient patients for HRSNs since April 2023, as part of its New Patient Intake Questionnaire. The Applicant states the most frequently identified need through HRSN screening in the ambulatory setting is food insecurity followed by paying bills, housing insecurity, and utility costs. </w:t>
      </w:r>
      <w:r w:rsidR="00364806">
        <w:rPr>
          <w:rFonts w:asciiTheme="minorHAnsi" w:hAnsiTheme="minorHAnsi"/>
        </w:rPr>
        <w:t>I</w:t>
      </w:r>
      <w:r w:rsidR="00E3117C">
        <w:rPr>
          <w:rFonts w:asciiTheme="minorHAnsi" w:hAnsiTheme="minorHAnsi"/>
        </w:rPr>
        <w:t xml:space="preserve">n FY24 </w:t>
      </w:r>
      <w:r w:rsidR="00364806" w:rsidRPr="00364806">
        <w:rPr>
          <w:rFonts w:asciiTheme="minorHAnsi" w:hAnsiTheme="minorHAnsi"/>
        </w:rPr>
        <w:t>25,196</w:t>
      </w:r>
      <w:r w:rsidR="00364806">
        <w:rPr>
          <w:rFonts w:asciiTheme="minorHAnsi" w:hAnsiTheme="minorHAnsi"/>
        </w:rPr>
        <w:t xml:space="preserve"> patients were screened </w:t>
      </w:r>
      <w:r w:rsidR="00E3117C">
        <w:rPr>
          <w:rFonts w:asciiTheme="minorHAnsi" w:hAnsiTheme="minorHAnsi"/>
        </w:rPr>
        <w:t>in the ambulatory setting .</w:t>
      </w:r>
      <w:r w:rsidR="00E3117C">
        <w:rPr>
          <w:rStyle w:val="FootnoteReference"/>
          <w:rFonts w:asciiTheme="minorHAnsi" w:hAnsiTheme="minorHAnsi"/>
        </w:rPr>
        <w:footnoteReference w:id="108"/>
      </w:r>
    </w:p>
    <w:p w14:paraId="30858F8A" w14:textId="77777777" w:rsidR="003823FD" w:rsidRDefault="003823FD" w:rsidP="00BA2054">
      <w:pPr>
        <w:pStyle w:val="BodyText"/>
        <w:rPr>
          <w:rFonts w:asciiTheme="minorHAnsi" w:hAnsiTheme="minorHAnsi"/>
          <w:b/>
          <w:bCs/>
        </w:rPr>
      </w:pPr>
    </w:p>
    <w:p w14:paraId="67BA9516" w14:textId="0138DC95" w:rsidR="000D0FE6" w:rsidRDefault="00635EE5" w:rsidP="00BA2054">
      <w:pPr>
        <w:pStyle w:val="BodyText"/>
        <w:rPr>
          <w:rFonts w:asciiTheme="minorHAnsi" w:hAnsiTheme="minorHAnsi"/>
        </w:rPr>
      </w:pPr>
      <w:r w:rsidRPr="008B43C0">
        <w:rPr>
          <w:rFonts w:asciiTheme="minorHAnsi" w:hAnsiTheme="minorHAnsi"/>
          <w:b/>
          <w:bCs/>
        </w:rPr>
        <w:t>Inpatient Patient Screens</w:t>
      </w:r>
      <w:r>
        <w:rPr>
          <w:rFonts w:asciiTheme="minorHAnsi" w:hAnsiTheme="minorHAnsi"/>
        </w:rPr>
        <w:t xml:space="preserve">: </w:t>
      </w:r>
      <w:r w:rsidR="000D0FE6">
        <w:rPr>
          <w:rFonts w:asciiTheme="minorHAnsi" w:hAnsiTheme="minorHAnsi"/>
        </w:rPr>
        <w:t xml:space="preserve">The Applicant </w:t>
      </w:r>
      <w:r w:rsidR="00AB42B9">
        <w:rPr>
          <w:rFonts w:asciiTheme="minorHAnsi" w:hAnsiTheme="minorHAnsi"/>
        </w:rPr>
        <w:t xml:space="preserve">states that it </w:t>
      </w:r>
      <w:r w:rsidR="000D0FE6">
        <w:rPr>
          <w:rFonts w:asciiTheme="minorHAnsi" w:hAnsiTheme="minorHAnsi"/>
        </w:rPr>
        <w:t>has screened inpatient patients since January 2024</w:t>
      </w:r>
      <w:r w:rsidR="005E3CD5">
        <w:rPr>
          <w:rFonts w:asciiTheme="minorHAnsi" w:hAnsiTheme="minorHAnsi"/>
        </w:rPr>
        <w:t>, and that t</w:t>
      </w:r>
      <w:r>
        <w:rPr>
          <w:rFonts w:asciiTheme="minorHAnsi" w:hAnsiTheme="minorHAnsi"/>
        </w:rPr>
        <w:t>he results of completed questionnaires are recorded in Dana-Farber’s electronic health records (EHR) system,</w:t>
      </w:r>
      <w:r w:rsidR="00752478">
        <w:rPr>
          <w:rFonts w:asciiTheme="minorHAnsi" w:hAnsiTheme="minorHAnsi"/>
        </w:rPr>
        <w:t xml:space="preserve"> and that this </w:t>
      </w:r>
      <w:r>
        <w:rPr>
          <w:rFonts w:asciiTheme="minorHAnsi" w:hAnsiTheme="minorHAnsi"/>
        </w:rPr>
        <w:t>allow</w:t>
      </w:r>
      <w:r w:rsidR="00752478">
        <w:rPr>
          <w:rFonts w:asciiTheme="minorHAnsi" w:hAnsiTheme="minorHAnsi"/>
        </w:rPr>
        <w:t>s</w:t>
      </w:r>
      <w:r>
        <w:rPr>
          <w:rFonts w:asciiTheme="minorHAnsi" w:hAnsiTheme="minorHAnsi"/>
        </w:rPr>
        <w:t xml:space="preserve"> members of the patient’s care team to access the information and respond to identified HRSNs. </w:t>
      </w:r>
      <w:r w:rsidR="000D0FE6">
        <w:rPr>
          <w:rFonts w:asciiTheme="minorHAnsi" w:hAnsiTheme="minorHAnsi"/>
        </w:rPr>
        <w:t xml:space="preserve">The Applicant </w:t>
      </w:r>
      <w:r w:rsidR="005E3CD5">
        <w:rPr>
          <w:rFonts w:asciiTheme="minorHAnsi" w:hAnsiTheme="minorHAnsi"/>
        </w:rPr>
        <w:t xml:space="preserve">states that it </w:t>
      </w:r>
      <w:r w:rsidR="000D0FE6">
        <w:rPr>
          <w:rFonts w:asciiTheme="minorHAnsi" w:hAnsiTheme="minorHAnsi"/>
        </w:rPr>
        <w:t xml:space="preserve">is not able to report on top HRSN’s identified </w:t>
      </w:r>
      <w:r>
        <w:rPr>
          <w:rFonts w:asciiTheme="minorHAnsi" w:hAnsiTheme="minorHAnsi"/>
        </w:rPr>
        <w:t>through screening</w:t>
      </w:r>
      <w:r w:rsidR="000D0FE6">
        <w:rPr>
          <w:rFonts w:asciiTheme="minorHAnsi" w:hAnsiTheme="minorHAnsi"/>
        </w:rPr>
        <w:t xml:space="preserve"> inpatients because analytical reporting is still under development. </w:t>
      </w:r>
      <w:r w:rsidR="00364806">
        <w:rPr>
          <w:rFonts w:asciiTheme="minorHAnsi" w:hAnsiTheme="minorHAnsi"/>
        </w:rPr>
        <w:t xml:space="preserve">In FY24, 271 patients were screened </w:t>
      </w:r>
      <w:r w:rsidR="00E3117C" w:rsidRPr="00E3117C">
        <w:rPr>
          <w:rFonts w:asciiTheme="minorHAnsi" w:hAnsiTheme="minorHAnsi"/>
        </w:rPr>
        <w:t xml:space="preserve">in the </w:t>
      </w:r>
      <w:r w:rsidR="00E3117C">
        <w:rPr>
          <w:rFonts w:asciiTheme="minorHAnsi" w:hAnsiTheme="minorHAnsi"/>
        </w:rPr>
        <w:t>inpatient</w:t>
      </w:r>
      <w:r w:rsidR="00E3117C" w:rsidRPr="00E3117C">
        <w:rPr>
          <w:rFonts w:asciiTheme="minorHAnsi" w:hAnsiTheme="minorHAnsi"/>
        </w:rPr>
        <w:t xml:space="preserve"> setting.</w:t>
      </w:r>
      <w:r w:rsidR="00E3117C">
        <w:rPr>
          <w:rStyle w:val="FootnoteReference"/>
          <w:rFonts w:asciiTheme="minorHAnsi" w:hAnsiTheme="minorHAnsi"/>
        </w:rPr>
        <w:footnoteReference w:id="109"/>
      </w:r>
    </w:p>
    <w:p w14:paraId="00C14479" w14:textId="77777777" w:rsidR="000D0FE6" w:rsidRDefault="000D0FE6" w:rsidP="00BA2054">
      <w:pPr>
        <w:pStyle w:val="BodyText"/>
        <w:rPr>
          <w:rFonts w:asciiTheme="minorHAnsi" w:hAnsiTheme="minorHAnsi"/>
        </w:rPr>
      </w:pPr>
    </w:p>
    <w:p w14:paraId="1C782482" w14:textId="348F6CA0" w:rsidR="003D3882" w:rsidRDefault="003D3882" w:rsidP="00BA2054">
      <w:pPr>
        <w:pStyle w:val="BodyText"/>
        <w:rPr>
          <w:rFonts w:asciiTheme="minorHAnsi" w:hAnsiTheme="minorHAnsi"/>
        </w:rPr>
      </w:pPr>
      <w:r>
        <w:rPr>
          <w:rFonts w:asciiTheme="minorHAnsi" w:hAnsiTheme="minorHAnsi"/>
        </w:rPr>
        <w:t xml:space="preserve">In comments submitted to the Department, </w:t>
      </w:r>
      <w:r w:rsidRPr="003D3882">
        <w:rPr>
          <w:rFonts w:asciiTheme="minorHAnsi" w:hAnsiTheme="minorHAnsi"/>
        </w:rPr>
        <w:t>Magnolia Contreras</w:t>
      </w:r>
      <w:r w:rsidR="008035C9">
        <w:rPr>
          <w:rFonts w:asciiTheme="minorHAnsi" w:hAnsiTheme="minorHAnsi"/>
        </w:rPr>
        <w:t>,</w:t>
      </w:r>
      <w:r w:rsidRPr="003D3882">
        <w:rPr>
          <w:rFonts w:asciiTheme="minorHAnsi" w:hAnsiTheme="minorHAnsi"/>
        </w:rPr>
        <w:t xml:space="preserve"> </w:t>
      </w:r>
      <w:r>
        <w:rPr>
          <w:rFonts w:asciiTheme="minorHAnsi" w:hAnsiTheme="minorHAnsi"/>
        </w:rPr>
        <w:t>Dana-Farber’s</w:t>
      </w:r>
      <w:r w:rsidR="008035C9">
        <w:rPr>
          <w:rFonts w:asciiTheme="minorHAnsi" w:hAnsiTheme="minorHAnsi"/>
        </w:rPr>
        <w:t xml:space="preserve"> </w:t>
      </w:r>
      <w:r w:rsidRPr="003D3882">
        <w:rPr>
          <w:rFonts w:asciiTheme="minorHAnsi" w:hAnsiTheme="minorHAnsi"/>
        </w:rPr>
        <w:t>Vice</w:t>
      </w:r>
      <w:r>
        <w:rPr>
          <w:rFonts w:asciiTheme="minorHAnsi" w:hAnsiTheme="minorHAnsi"/>
        </w:rPr>
        <w:t>-</w:t>
      </w:r>
      <w:r w:rsidRPr="003D3882">
        <w:rPr>
          <w:rFonts w:asciiTheme="minorHAnsi" w:hAnsiTheme="minorHAnsi"/>
        </w:rPr>
        <w:t>President of Community Health,</w:t>
      </w:r>
      <w:r>
        <w:rPr>
          <w:rFonts w:asciiTheme="minorHAnsi" w:hAnsiTheme="minorHAnsi"/>
        </w:rPr>
        <w:t xml:space="preserve"> and a </w:t>
      </w:r>
      <w:r w:rsidRPr="003D3882">
        <w:rPr>
          <w:rFonts w:asciiTheme="minorHAnsi" w:hAnsiTheme="minorHAnsi"/>
        </w:rPr>
        <w:t>breast cancer survivor</w:t>
      </w:r>
      <w:r>
        <w:rPr>
          <w:rFonts w:asciiTheme="minorHAnsi" w:hAnsiTheme="minorHAnsi"/>
        </w:rPr>
        <w:t xml:space="preserve">, discussed the Applicant’s focus on community programming </w:t>
      </w:r>
      <w:r w:rsidR="00AF4CDE">
        <w:rPr>
          <w:rFonts w:asciiTheme="minorHAnsi" w:hAnsiTheme="minorHAnsi"/>
        </w:rPr>
        <w:t>to</w:t>
      </w:r>
      <w:r>
        <w:rPr>
          <w:rFonts w:asciiTheme="minorHAnsi" w:hAnsiTheme="minorHAnsi"/>
        </w:rPr>
        <w:t xml:space="preserve"> advance health equity and future programming that will address the SDoH: “</w:t>
      </w:r>
      <w:r w:rsidRPr="003D3882">
        <w:rPr>
          <w:rFonts w:asciiTheme="minorHAnsi" w:hAnsiTheme="minorHAnsi"/>
        </w:rPr>
        <w:t xml:space="preserve">We serve as a bridge between the evidence based and sustainable outreach programs in the community organizations. We are increasingly aware of the vital importance of intervention dedicated to improving health outcomes among historically marginalized populations in our communities, and to those with access barriers. Our efforts to lessen this burden include a range of public health programs to reduce cancer incidence and mortality, support community development, and ensure </w:t>
      </w:r>
      <w:r w:rsidRPr="003D3882">
        <w:rPr>
          <w:rFonts w:asciiTheme="minorHAnsi" w:hAnsiTheme="minorHAnsi"/>
        </w:rPr>
        <w:lastRenderedPageBreak/>
        <w:t>that every patient who walks through our door receives equitable and culturally appropriate care</w:t>
      </w:r>
      <w:r>
        <w:rPr>
          <w:rFonts w:asciiTheme="minorHAnsi" w:hAnsiTheme="minorHAnsi"/>
        </w:rPr>
        <w:t>…</w:t>
      </w:r>
      <w:r w:rsidRPr="003D3882">
        <w:rPr>
          <w:szCs w:val="20"/>
        </w:rPr>
        <w:t xml:space="preserve"> </w:t>
      </w:r>
      <w:r w:rsidRPr="003D3882">
        <w:rPr>
          <w:rFonts w:asciiTheme="minorHAnsi" w:hAnsiTheme="minorHAnsi"/>
        </w:rPr>
        <w:t>The development of a new cancer hospital will</w:t>
      </w:r>
      <w:r w:rsidR="003E4769">
        <w:rPr>
          <w:rFonts w:asciiTheme="minorHAnsi" w:hAnsiTheme="minorHAnsi"/>
        </w:rPr>
        <w:t xml:space="preserve"> </w:t>
      </w:r>
      <w:r w:rsidRPr="003D3882">
        <w:rPr>
          <w:rFonts w:asciiTheme="minorHAnsi" w:hAnsiTheme="minorHAnsi"/>
        </w:rPr>
        <w:t>enable us to double down on our demonstrated commitment to cancer care into addressing the social determinants of health that contribute to the poor outcomes across our priority neighborhoods and beyond.</w:t>
      </w:r>
      <w:r>
        <w:rPr>
          <w:rFonts w:asciiTheme="minorHAnsi" w:hAnsiTheme="minorHAnsi"/>
        </w:rPr>
        <w:t>”</w:t>
      </w:r>
    </w:p>
    <w:p w14:paraId="3B3BDFE7" w14:textId="77777777" w:rsidR="003D3882" w:rsidRDefault="003D3882" w:rsidP="00BA2054">
      <w:pPr>
        <w:pStyle w:val="BodyText"/>
        <w:rPr>
          <w:rFonts w:asciiTheme="minorHAnsi" w:hAnsiTheme="minorHAnsi"/>
        </w:rPr>
      </w:pPr>
    </w:p>
    <w:p w14:paraId="4B64C25F" w14:textId="3CA8021D" w:rsidR="00281E68" w:rsidRDefault="00C628B9" w:rsidP="00BA2054">
      <w:pPr>
        <w:pStyle w:val="BodyText"/>
        <w:rPr>
          <w:rFonts w:asciiTheme="minorHAnsi" w:hAnsiTheme="minorHAnsi"/>
        </w:rPr>
      </w:pPr>
      <w:r>
        <w:rPr>
          <w:rFonts w:asciiTheme="minorHAnsi" w:hAnsiTheme="minorHAnsi"/>
        </w:rPr>
        <w:t xml:space="preserve">The Applicant </w:t>
      </w:r>
      <w:r w:rsidR="0041566A">
        <w:rPr>
          <w:rFonts w:asciiTheme="minorHAnsi" w:hAnsiTheme="minorHAnsi"/>
        </w:rPr>
        <w:t>provided examples of</w:t>
      </w:r>
      <w:r>
        <w:rPr>
          <w:rFonts w:asciiTheme="minorHAnsi" w:hAnsiTheme="minorHAnsi"/>
        </w:rPr>
        <w:t xml:space="preserve"> it</w:t>
      </w:r>
      <w:r w:rsidR="0041566A">
        <w:rPr>
          <w:rFonts w:asciiTheme="minorHAnsi" w:hAnsiTheme="minorHAnsi"/>
        </w:rPr>
        <w:t>s</w:t>
      </w:r>
      <w:r>
        <w:rPr>
          <w:rFonts w:asciiTheme="minorHAnsi" w:hAnsiTheme="minorHAnsi"/>
        </w:rPr>
        <w:t xml:space="preserve"> </w:t>
      </w:r>
      <w:r w:rsidRPr="00C628B9">
        <w:rPr>
          <w:rFonts w:asciiTheme="minorHAnsi" w:hAnsiTheme="minorHAnsi"/>
        </w:rPr>
        <w:t>partne</w:t>
      </w:r>
      <w:r w:rsidR="0084498C">
        <w:rPr>
          <w:rFonts w:asciiTheme="minorHAnsi" w:hAnsiTheme="minorHAnsi"/>
        </w:rPr>
        <w:t>r</w:t>
      </w:r>
      <w:r w:rsidR="00B20086">
        <w:rPr>
          <w:rFonts w:asciiTheme="minorHAnsi" w:hAnsiTheme="minorHAnsi"/>
        </w:rPr>
        <w:t>s</w:t>
      </w:r>
      <w:r w:rsidR="0084498C">
        <w:rPr>
          <w:rFonts w:asciiTheme="minorHAnsi" w:hAnsiTheme="minorHAnsi"/>
        </w:rPr>
        <w:t>hips</w:t>
      </w:r>
      <w:r w:rsidRPr="00C628B9">
        <w:rPr>
          <w:rFonts w:asciiTheme="minorHAnsi" w:hAnsiTheme="minorHAnsi"/>
        </w:rPr>
        <w:t xml:space="preserve"> with social services and community-based organizations t</w:t>
      </w:r>
      <w:r w:rsidR="009C1239">
        <w:rPr>
          <w:rFonts w:asciiTheme="minorHAnsi" w:hAnsiTheme="minorHAnsi"/>
        </w:rPr>
        <w:t>hat</w:t>
      </w:r>
      <w:r w:rsidRPr="00C628B9">
        <w:rPr>
          <w:rFonts w:asciiTheme="minorHAnsi" w:hAnsiTheme="minorHAnsi"/>
        </w:rPr>
        <w:t xml:space="preserve"> link its </w:t>
      </w:r>
      <w:r w:rsidR="002369AB">
        <w:rPr>
          <w:rFonts w:asciiTheme="minorHAnsi" w:hAnsiTheme="minorHAnsi"/>
        </w:rPr>
        <w:t>P</w:t>
      </w:r>
      <w:r w:rsidRPr="00C628B9">
        <w:rPr>
          <w:rFonts w:asciiTheme="minorHAnsi" w:hAnsiTheme="minorHAnsi"/>
        </w:rPr>
        <w:t xml:space="preserve">atient </w:t>
      </w:r>
      <w:r w:rsidR="002369AB">
        <w:rPr>
          <w:rFonts w:asciiTheme="minorHAnsi" w:hAnsiTheme="minorHAnsi"/>
        </w:rPr>
        <w:t>P</w:t>
      </w:r>
      <w:r w:rsidRPr="00C628B9">
        <w:rPr>
          <w:rFonts w:asciiTheme="minorHAnsi" w:hAnsiTheme="minorHAnsi"/>
        </w:rPr>
        <w:t xml:space="preserve">anel to resources that help </w:t>
      </w:r>
      <w:r w:rsidR="002F66E0">
        <w:rPr>
          <w:rFonts w:asciiTheme="minorHAnsi" w:hAnsiTheme="minorHAnsi"/>
        </w:rPr>
        <w:t xml:space="preserve">to </w:t>
      </w:r>
      <w:r w:rsidRPr="00C628B9">
        <w:rPr>
          <w:rFonts w:asciiTheme="minorHAnsi" w:hAnsiTheme="minorHAnsi"/>
        </w:rPr>
        <w:t>address health disparities.</w:t>
      </w:r>
      <w:r w:rsidR="00145295">
        <w:rPr>
          <w:rStyle w:val="FootnoteReference"/>
          <w:rFonts w:asciiTheme="minorHAnsi" w:hAnsiTheme="minorHAnsi"/>
        </w:rPr>
        <w:footnoteReference w:id="110"/>
      </w:r>
      <w:r w:rsidRPr="00C628B9">
        <w:rPr>
          <w:rFonts w:asciiTheme="minorHAnsi" w:hAnsiTheme="minorHAnsi"/>
        </w:rPr>
        <w:t xml:space="preserve"> </w:t>
      </w:r>
    </w:p>
    <w:p w14:paraId="0CE16DAB" w14:textId="77777777" w:rsidR="00364806" w:rsidRDefault="00364806" w:rsidP="001668BA">
      <w:pPr>
        <w:pStyle w:val="BodyText"/>
        <w:ind w:left="720"/>
        <w:rPr>
          <w:rFonts w:asciiTheme="minorHAnsi" w:hAnsiTheme="minorHAnsi"/>
        </w:rPr>
      </w:pPr>
    </w:p>
    <w:p w14:paraId="760DBF31" w14:textId="6217B7E1" w:rsidR="00D966BD" w:rsidRDefault="00C03A76" w:rsidP="00BA2054">
      <w:pPr>
        <w:pStyle w:val="BodyText"/>
        <w:rPr>
          <w:rFonts w:asciiTheme="minorHAnsi" w:hAnsiTheme="minorHAnsi"/>
        </w:rPr>
      </w:pPr>
      <w:r>
        <w:rPr>
          <w:rFonts w:asciiTheme="minorHAnsi" w:hAnsiTheme="minorHAnsi"/>
        </w:rPr>
        <w:t>The</w:t>
      </w:r>
      <w:r w:rsidR="00EF76B0">
        <w:rPr>
          <w:rFonts w:asciiTheme="minorHAnsi" w:hAnsiTheme="minorHAnsi"/>
        </w:rPr>
        <w:t xml:space="preserve"> Applicant maintains that its affiliation with BIDMC will allow it to improve its financial assistance policy and increase access to its services for </w:t>
      </w:r>
      <w:r w:rsidR="004D64C5">
        <w:rPr>
          <w:rFonts w:asciiTheme="minorHAnsi" w:hAnsiTheme="minorHAnsi"/>
        </w:rPr>
        <w:t xml:space="preserve">patients with the greatest financial need. </w:t>
      </w:r>
      <w:r w:rsidR="00973DAD">
        <w:rPr>
          <w:rFonts w:asciiTheme="minorHAnsi" w:hAnsiTheme="minorHAnsi"/>
        </w:rPr>
        <w:t>The Applicant’s current policy provides a 100% discount to patients at or below 150% of the Federal Poverty Guidelines</w:t>
      </w:r>
      <w:r w:rsidR="003F08FF">
        <w:rPr>
          <w:rFonts w:asciiTheme="minorHAnsi" w:hAnsiTheme="minorHAnsi"/>
        </w:rPr>
        <w:t xml:space="preserve"> with other lesser discounts to patients with higher incomes</w:t>
      </w:r>
      <w:r w:rsidR="00973DAD">
        <w:rPr>
          <w:rFonts w:asciiTheme="minorHAnsi" w:hAnsiTheme="minorHAnsi"/>
        </w:rPr>
        <w:t xml:space="preserve">. The Applicant expects that following completion of the Proposed Project it will </w:t>
      </w:r>
      <w:r w:rsidR="008B2568">
        <w:rPr>
          <w:rFonts w:asciiTheme="minorHAnsi" w:hAnsiTheme="minorHAnsi"/>
        </w:rPr>
        <w:t xml:space="preserve">revise its financial policy to align with BIDMC’s which provides a 100% discount to patients at or below 400% of the Federal Poverty Guidelines. </w:t>
      </w:r>
    </w:p>
    <w:p w14:paraId="3B8E63BD" w14:textId="77777777" w:rsidR="00D966BD" w:rsidRDefault="00D966BD" w:rsidP="00BA2054">
      <w:pPr>
        <w:pStyle w:val="BodyText"/>
        <w:rPr>
          <w:rFonts w:asciiTheme="minorHAnsi" w:hAnsiTheme="minorHAnsi"/>
        </w:rPr>
      </w:pPr>
    </w:p>
    <w:p w14:paraId="27E72A7B" w14:textId="10DA9C34" w:rsidR="0032098E" w:rsidRDefault="004554F4" w:rsidP="00BA2054">
      <w:pPr>
        <w:pStyle w:val="BodyText"/>
        <w:rPr>
          <w:rFonts w:asciiTheme="minorHAnsi" w:hAnsiTheme="minorHAnsi"/>
        </w:rPr>
      </w:pPr>
      <w:r>
        <w:rPr>
          <w:rFonts w:asciiTheme="minorHAnsi" w:hAnsiTheme="minorHAnsi"/>
        </w:rPr>
        <w:t>The Applicant states that the services provided at its</w:t>
      </w:r>
      <w:r w:rsidR="0032098E" w:rsidRPr="0032098E">
        <w:rPr>
          <w:rFonts w:asciiTheme="minorHAnsi" w:hAnsiTheme="minorHAnsi"/>
        </w:rPr>
        <w:t xml:space="preserve"> mammography van and the mammography suite at Whittier Street Health Center are linked to increased access to care at the Applicant’s facility through the Applicant’s patient navigation progra</w:t>
      </w:r>
      <w:r w:rsidR="0032098E">
        <w:rPr>
          <w:rFonts w:asciiTheme="minorHAnsi" w:hAnsiTheme="minorHAnsi"/>
        </w:rPr>
        <w:t>m</w:t>
      </w:r>
      <w:r w:rsidR="0032098E" w:rsidRPr="0032098E">
        <w:rPr>
          <w:rFonts w:asciiTheme="minorHAnsi" w:hAnsiTheme="minorHAnsi"/>
        </w:rPr>
        <w:t xml:space="preserve">. </w:t>
      </w:r>
      <w:r w:rsidR="00157BD6">
        <w:rPr>
          <w:rFonts w:asciiTheme="minorHAnsi" w:hAnsiTheme="minorHAnsi"/>
        </w:rPr>
        <w:t>Th</w:t>
      </w:r>
      <w:r w:rsidR="00AA06CF">
        <w:rPr>
          <w:rFonts w:asciiTheme="minorHAnsi" w:hAnsiTheme="minorHAnsi"/>
        </w:rPr>
        <w:t>e</w:t>
      </w:r>
      <w:r w:rsidR="00157BD6">
        <w:rPr>
          <w:rFonts w:asciiTheme="minorHAnsi" w:hAnsiTheme="minorHAnsi"/>
        </w:rPr>
        <w:t xml:space="preserve"> </w:t>
      </w:r>
      <w:r w:rsidR="00237577">
        <w:rPr>
          <w:rFonts w:asciiTheme="minorHAnsi" w:hAnsiTheme="minorHAnsi"/>
        </w:rPr>
        <w:t xml:space="preserve">results of the Program </w:t>
      </w:r>
      <w:r w:rsidR="00364806">
        <w:rPr>
          <w:rFonts w:asciiTheme="minorHAnsi" w:hAnsiTheme="minorHAnsi"/>
        </w:rPr>
        <w:t xml:space="preserve">for FY23 </w:t>
      </w:r>
      <w:r w:rsidR="00237577">
        <w:rPr>
          <w:rFonts w:asciiTheme="minorHAnsi" w:hAnsiTheme="minorHAnsi"/>
        </w:rPr>
        <w:t>are</w:t>
      </w:r>
      <w:r w:rsidR="00157BD6">
        <w:rPr>
          <w:rFonts w:asciiTheme="minorHAnsi" w:hAnsiTheme="minorHAnsi"/>
        </w:rPr>
        <w:t xml:space="preserve"> shown in Table </w:t>
      </w:r>
      <w:r w:rsidR="000F3142">
        <w:rPr>
          <w:rFonts w:asciiTheme="minorHAnsi" w:hAnsiTheme="minorHAnsi"/>
        </w:rPr>
        <w:t>4</w:t>
      </w:r>
      <w:r w:rsidR="00BD559C">
        <w:rPr>
          <w:rFonts w:asciiTheme="minorHAnsi" w:hAnsiTheme="minorHAnsi"/>
        </w:rPr>
        <w:t>1</w:t>
      </w:r>
      <w:r w:rsidR="00157BD6">
        <w:rPr>
          <w:rFonts w:asciiTheme="minorHAnsi" w:hAnsiTheme="minorHAnsi"/>
        </w:rPr>
        <w:t xml:space="preserve">. </w:t>
      </w:r>
    </w:p>
    <w:p w14:paraId="1BF52ED8" w14:textId="77777777" w:rsidR="00B357C3" w:rsidRDefault="00B357C3" w:rsidP="00BA2054">
      <w:pPr>
        <w:pStyle w:val="BodyText"/>
        <w:ind w:left="720"/>
        <w:rPr>
          <w:rFonts w:asciiTheme="minorHAnsi" w:hAnsiTheme="minorHAnsi"/>
        </w:rPr>
      </w:pPr>
    </w:p>
    <w:p w14:paraId="3E37A788" w14:textId="448F397A" w:rsidR="00480655" w:rsidRPr="00B357C3" w:rsidRDefault="00157BD6" w:rsidP="008917DC">
      <w:pPr>
        <w:pStyle w:val="BodyText"/>
        <w:rPr>
          <w:rFonts w:asciiTheme="minorHAnsi" w:hAnsiTheme="minorHAnsi"/>
          <w:b/>
          <w:bCs/>
        </w:rPr>
      </w:pPr>
      <w:r w:rsidRPr="00B357C3">
        <w:rPr>
          <w:rFonts w:asciiTheme="minorHAnsi" w:hAnsiTheme="minorHAnsi"/>
          <w:b/>
          <w:bCs/>
          <w:u w:val="single"/>
        </w:rPr>
        <w:t xml:space="preserve">Table </w:t>
      </w:r>
      <w:r w:rsidR="000F3142">
        <w:rPr>
          <w:rFonts w:asciiTheme="minorHAnsi" w:hAnsiTheme="minorHAnsi"/>
          <w:b/>
          <w:bCs/>
          <w:u w:val="single"/>
        </w:rPr>
        <w:t>4</w:t>
      </w:r>
      <w:r w:rsidR="00BD559C">
        <w:rPr>
          <w:rFonts w:asciiTheme="minorHAnsi" w:hAnsiTheme="minorHAnsi"/>
          <w:b/>
          <w:bCs/>
          <w:u w:val="single"/>
        </w:rPr>
        <w:t>1</w:t>
      </w:r>
      <w:r w:rsidRPr="00B357C3">
        <w:rPr>
          <w:rFonts w:asciiTheme="minorHAnsi" w:hAnsiTheme="minorHAnsi"/>
          <w:b/>
          <w:bCs/>
        </w:rPr>
        <w:t xml:space="preserve">: </w:t>
      </w:r>
      <w:r w:rsidR="00773801" w:rsidRPr="00B357C3">
        <w:rPr>
          <w:rFonts w:asciiTheme="minorHAnsi" w:hAnsiTheme="minorHAnsi"/>
          <w:b/>
          <w:bCs/>
        </w:rPr>
        <w:t xml:space="preserve">Mammography Screenings, </w:t>
      </w:r>
      <w:r w:rsidR="00B357C3" w:rsidRPr="00B357C3">
        <w:rPr>
          <w:rFonts w:asciiTheme="minorHAnsi" w:hAnsiTheme="minorHAnsi"/>
          <w:b/>
          <w:bCs/>
        </w:rPr>
        <w:t>FY23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3"/>
        <w:gridCol w:w="3281"/>
        <w:gridCol w:w="3306"/>
      </w:tblGrid>
      <w:tr w:rsidR="00222D37" w:rsidRPr="0076531B" w14:paraId="22E63206" w14:textId="77777777" w:rsidTr="00222D37">
        <w:trPr>
          <w:cantSplit/>
          <w:tblHeader/>
        </w:trPr>
        <w:tc>
          <w:tcPr>
            <w:tcW w:w="0" w:type="auto"/>
            <w:shd w:val="clear" w:color="auto" w:fill="DBE5F1" w:themeFill="accent1" w:themeFillTint="33"/>
            <w:tcMar>
              <w:top w:w="0" w:type="dxa"/>
              <w:left w:w="108" w:type="dxa"/>
              <w:bottom w:w="0" w:type="dxa"/>
              <w:right w:w="108" w:type="dxa"/>
            </w:tcMar>
            <w:vAlign w:val="center"/>
            <w:hideMark/>
          </w:tcPr>
          <w:p w14:paraId="55B19844" w14:textId="77777777" w:rsidR="00222D37" w:rsidRPr="0076531B" w:rsidRDefault="00222D37">
            <w:pPr>
              <w:jc w:val="both"/>
              <w:rPr>
                <w:szCs w:val="24"/>
              </w:rPr>
            </w:pPr>
            <w:r w:rsidRPr="0076531B">
              <w:rPr>
                <w:szCs w:val="24"/>
              </w:rPr>
              <w:t> </w:t>
            </w:r>
          </w:p>
        </w:tc>
        <w:tc>
          <w:tcPr>
            <w:tcW w:w="0" w:type="auto"/>
            <w:shd w:val="clear" w:color="auto" w:fill="DBE5F1" w:themeFill="accent1" w:themeFillTint="33"/>
            <w:tcMar>
              <w:top w:w="0" w:type="dxa"/>
              <w:left w:w="108" w:type="dxa"/>
              <w:bottom w:w="0" w:type="dxa"/>
              <w:right w:w="108" w:type="dxa"/>
            </w:tcMar>
            <w:vAlign w:val="center"/>
            <w:hideMark/>
          </w:tcPr>
          <w:p w14:paraId="192B39A1" w14:textId="77777777" w:rsidR="00222D37" w:rsidRPr="0076531B" w:rsidRDefault="00222D37">
            <w:pPr>
              <w:jc w:val="center"/>
              <w:rPr>
                <w:b/>
                <w:bCs/>
                <w:szCs w:val="24"/>
              </w:rPr>
            </w:pPr>
            <w:r w:rsidRPr="0076531B">
              <w:rPr>
                <w:b/>
                <w:bCs/>
                <w:szCs w:val="24"/>
              </w:rPr>
              <w:t>Mammography Van</w:t>
            </w:r>
          </w:p>
        </w:tc>
        <w:tc>
          <w:tcPr>
            <w:tcW w:w="0" w:type="auto"/>
            <w:shd w:val="clear" w:color="auto" w:fill="DBE5F1" w:themeFill="accent1" w:themeFillTint="33"/>
            <w:tcMar>
              <w:top w:w="0" w:type="dxa"/>
              <w:left w:w="108" w:type="dxa"/>
              <w:bottom w:w="0" w:type="dxa"/>
              <w:right w:w="108" w:type="dxa"/>
            </w:tcMar>
            <w:vAlign w:val="center"/>
            <w:hideMark/>
          </w:tcPr>
          <w:p w14:paraId="2A4E8F8F" w14:textId="77777777" w:rsidR="00222D37" w:rsidRPr="0076531B" w:rsidRDefault="00222D37">
            <w:pPr>
              <w:jc w:val="center"/>
              <w:rPr>
                <w:b/>
                <w:bCs/>
                <w:szCs w:val="24"/>
              </w:rPr>
            </w:pPr>
            <w:r w:rsidRPr="0076531B">
              <w:rPr>
                <w:b/>
                <w:bCs/>
                <w:szCs w:val="24"/>
              </w:rPr>
              <w:t>Whittier Mammography Suite</w:t>
            </w:r>
          </w:p>
        </w:tc>
      </w:tr>
      <w:tr w:rsidR="00222D37" w:rsidRPr="0076531B" w14:paraId="66AF2570" w14:textId="77777777" w:rsidTr="00222D37">
        <w:trPr>
          <w:cantSplit/>
        </w:trPr>
        <w:tc>
          <w:tcPr>
            <w:tcW w:w="0" w:type="auto"/>
            <w:shd w:val="clear" w:color="auto" w:fill="FFFFFF" w:themeFill="background1"/>
            <w:tcMar>
              <w:top w:w="0" w:type="dxa"/>
              <w:left w:w="108" w:type="dxa"/>
              <w:bottom w:w="0" w:type="dxa"/>
              <w:right w:w="108" w:type="dxa"/>
            </w:tcMar>
            <w:vAlign w:val="center"/>
            <w:hideMark/>
          </w:tcPr>
          <w:p w14:paraId="7419D82F" w14:textId="77777777" w:rsidR="00222D37" w:rsidRPr="0076531B" w:rsidRDefault="00222D37">
            <w:pPr>
              <w:rPr>
                <w:szCs w:val="24"/>
              </w:rPr>
            </w:pPr>
            <w:r>
              <w:rPr>
                <w:szCs w:val="24"/>
              </w:rPr>
              <w:t>Patient Screenings</w:t>
            </w:r>
          </w:p>
        </w:tc>
        <w:tc>
          <w:tcPr>
            <w:tcW w:w="0" w:type="auto"/>
            <w:tcMar>
              <w:top w:w="0" w:type="dxa"/>
              <w:left w:w="108" w:type="dxa"/>
              <w:bottom w:w="0" w:type="dxa"/>
              <w:right w:w="108" w:type="dxa"/>
            </w:tcMar>
            <w:vAlign w:val="center"/>
            <w:hideMark/>
          </w:tcPr>
          <w:p w14:paraId="1E877245" w14:textId="77777777" w:rsidR="00222D37" w:rsidRPr="0076531B" w:rsidRDefault="00222D37">
            <w:pPr>
              <w:jc w:val="center"/>
              <w:rPr>
                <w:szCs w:val="24"/>
              </w:rPr>
            </w:pPr>
            <w:r w:rsidRPr="0076531B">
              <w:rPr>
                <w:szCs w:val="24"/>
              </w:rPr>
              <w:t>1,516</w:t>
            </w:r>
          </w:p>
        </w:tc>
        <w:tc>
          <w:tcPr>
            <w:tcW w:w="0" w:type="auto"/>
            <w:tcMar>
              <w:top w:w="0" w:type="dxa"/>
              <w:left w:w="108" w:type="dxa"/>
              <w:bottom w:w="0" w:type="dxa"/>
              <w:right w:w="108" w:type="dxa"/>
            </w:tcMar>
            <w:vAlign w:val="center"/>
            <w:hideMark/>
          </w:tcPr>
          <w:p w14:paraId="4D3789D2" w14:textId="77777777" w:rsidR="00222D37" w:rsidRPr="0076531B" w:rsidRDefault="00222D37">
            <w:pPr>
              <w:jc w:val="center"/>
              <w:rPr>
                <w:szCs w:val="24"/>
              </w:rPr>
            </w:pPr>
            <w:r w:rsidRPr="0076531B">
              <w:rPr>
                <w:szCs w:val="24"/>
              </w:rPr>
              <w:t>712</w:t>
            </w:r>
          </w:p>
        </w:tc>
      </w:tr>
      <w:tr w:rsidR="00222D37" w:rsidRPr="0076531B" w14:paraId="6635271E" w14:textId="77777777" w:rsidTr="00222D37">
        <w:trPr>
          <w:cantSplit/>
        </w:trPr>
        <w:tc>
          <w:tcPr>
            <w:tcW w:w="0" w:type="auto"/>
            <w:shd w:val="clear" w:color="auto" w:fill="FFFFFF" w:themeFill="background1"/>
            <w:tcMar>
              <w:top w:w="0" w:type="dxa"/>
              <w:left w:w="108" w:type="dxa"/>
              <w:bottom w:w="0" w:type="dxa"/>
              <w:right w:w="108" w:type="dxa"/>
            </w:tcMar>
            <w:vAlign w:val="center"/>
            <w:hideMark/>
          </w:tcPr>
          <w:p w14:paraId="683C25F5" w14:textId="77777777" w:rsidR="00222D37" w:rsidRPr="0076531B" w:rsidRDefault="00222D37">
            <w:pPr>
              <w:rPr>
                <w:szCs w:val="24"/>
              </w:rPr>
            </w:pPr>
            <w:r>
              <w:rPr>
                <w:szCs w:val="24"/>
              </w:rPr>
              <w:t xml:space="preserve">Patients Requiring Diagnostic Treatment </w:t>
            </w:r>
          </w:p>
        </w:tc>
        <w:tc>
          <w:tcPr>
            <w:tcW w:w="0" w:type="auto"/>
            <w:tcMar>
              <w:top w:w="0" w:type="dxa"/>
              <w:left w:w="108" w:type="dxa"/>
              <w:bottom w:w="0" w:type="dxa"/>
              <w:right w:w="108" w:type="dxa"/>
            </w:tcMar>
            <w:vAlign w:val="center"/>
            <w:hideMark/>
          </w:tcPr>
          <w:p w14:paraId="2D1EAD9B" w14:textId="77777777" w:rsidR="0066486E" w:rsidRDefault="00222D37">
            <w:pPr>
              <w:jc w:val="center"/>
              <w:rPr>
                <w:szCs w:val="24"/>
              </w:rPr>
            </w:pPr>
            <w:r w:rsidRPr="0076531B">
              <w:rPr>
                <w:szCs w:val="24"/>
              </w:rPr>
              <w:t xml:space="preserve">206 </w:t>
            </w:r>
          </w:p>
          <w:p w14:paraId="668913E6" w14:textId="62A3486F" w:rsidR="00222D37" w:rsidRPr="0076531B" w:rsidRDefault="00222D37">
            <w:pPr>
              <w:jc w:val="center"/>
              <w:rPr>
                <w:szCs w:val="24"/>
              </w:rPr>
            </w:pPr>
            <w:r w:rsidRPr="0076531B">
              <w:rPr>
                <w:szCs w:val="24"/>
              </w:rPr>
              <w:t>(13.6%</w:t>
            </w:r>
            <w:r>
              <w:rPr>
                <w:szCs w:val="24"/>
              </w:rPr>
              <w:t xml:space="preserve"> of patient screenings</w:t>
            </w:r>
            <w:r w:rsidRPr="0076531B">
              <w:rPr>
                <w:szCs w:val="24"/>
              </w:rPr>
              <w:t>)</w:t>
            </w:r>
          </w:p>
        </w:tc>
        <w:tc>
          <w:tcPr>
            <w:tcW w:w="0" w:type="auto"/>
            <w:tcMar>
              <w:top w:w="0" w:type="dxa"/>
              <w:left w:w="108" w:type="dxa"/>
              <w:bottom w:w="0" w:type="dxa"/>
              <w:right w:w="108" w:type="dxa"/>
            </w:tcMar>
            <w:vAlign w:val="center"/>
            <w:hideMark/>
          </w:tcPr>
          <w:p w14:paraId="3A1EFC79" w14:textId="77777777" w:rsidR="0066486E" w:rsidRDefault="00222D37">
            <w:pPr>
              <w:jc w:val="center"/>
              <w:rPr>
                <w:szCs w:val="24"/>
              </w:rPr>
            </w:pPr>
            <w:r w:rsidRPr="0076531B">
              <w:rPr>
                <w:szCs w:val="24"/>
              </w:rPr>
              <w:t xml:space="preserve">102 </w:t>
            </w:r>
          </w:p>
          <w:p w14:paraId="33CD4DF9" w14:textId="0A74B3B6" w:rsidR="00222D37" w:rsidRPr="0076531B" w:rsidRDefault="00222D37">
            <w:pPr>
              <w:jc w:val="center"/>
              <w:rPr>
                <w:szCs w:val="24"/>
              </w:rPr>
            </w:pPr>
            <w:r w:rsidRPr="0076531B">
              <w:rPr>
                <w:szCs w:val="24"/>
              </w:rPr>
              <w:t>(14.3%</w:t>
            </w:r>
            <w:r>
              <w:rPr>
                <w:szCs w:val="24"/>
              </w:rPr>
              <w:t xml:space="preserve"> of patient screenings</w:t>
            </w:r>
            <w:r w:rsidRPr="0076531B">
              <w:rPr>
                <w:szCs w:val="24"/>
              </w:rPr>
              <w:t>)</w:t>
            </w:r>
          </w:p>
        </w:tc>
      </w:tr>
      <w:tr w:rsidR="00222D37" w:rsidRPr="0076531B" w14:paraId="74749B90" w14:textId="77777777" w:rsidTr="00222D37">
        <w:trPr>
          <w:cantSplit/>
        </w:trPr>
        <w:tc>
          <w:tcPr>
            <w:tcW w:w="0" w:type="auto"/>
            <w:shd w:val="clear" w:color="auto" w:fill="FFFFFF" w:themeFill="background1"/>
            <w:tcMar>
              <w:top w:w="0" w:type="dxa"/>
              <w:left w:w="108" w:type="dxa"/>
              <w:bottom w:w="0" w:type="dxa"/>
              <w:right w:w="108" w:type="dxa"/>
            </w:tcMar>
            <w:vAlign w:val="center"/>
            <w:hideMark/>
          </w:tcPr>
          <w:p w14:paraId="202A85B0" w14:textId="77777777" w:rsidR="00222D37" w:rsidRPr="0076531B" w:rsidRDefault="00222D37">
            <w:pPr>
              <w:rPr>
                <w:szCs w:val="24"/>
              </w:rPr>
            </w:pPr>
            <w:r>
              <w:rPr>
                <w:szCs w:val="24"/>
              </w:rPr>
              <w:t>Patients Receiving Diagnostic Treatment w/Applicant</w:t>
            </w:r>
          </w:p>
        </w:tc>
        <w:tc>
          <w:tcPr>
            <w:tcW w:w="0" w:type="auto"/>
            <w:tcMar>
              <w:top w:w="0" w:type="dxa"/>
              <w:left w:w="108" w:type="dxa"/>
              <w:bottom w:w="0" w:type="dxa"/>
              <w:right w:w="108" w:type="dxa"/>
            </w:tcMar>
            <w:vAlign w:val="center"/>
            <w:hideMark/>
          </w:tcPr>
          <w:p w14:paraId="7A706E36" w14:textId="77777777" w:rsidR="00AD4222" w:rsidRDefault="00222D37">
            <w:pPr>
              <w:jc w:val="center"/>
              <w:rPr>
                <w:szCs w:val="24"/>
              </w:rPr>
            </w:pPr>
            <w:r w:rsidRPr="0076531B">
              <w:rPr>
                <w:szCs w:val="24"/>
              </w:rPr>
              <w:t xml:space="preserve">54 </w:t>
            </w:r>
          </w:p>
          <w:p w14:paraId="1A5777F9" w14:textId="5EEB0D77" w:rsidR="00222D37" w:rsidRPr="0076531B" w:rsidRDefault="00222D37">
            <w:pPr>
              <w:jc w:val="center"/>
              <w:rPr>
                <w:szCs w:val="24"/>
              </w:rPr>
            </w:pPr>
            <w:r w:rsidRPr="0076531B">
              <w:rPr>
                <w:szCs w:val="24"/>
              </w:rPr>
              <w:t>(26.2%</w:t>
            </w:r>
            <w:r>
              <w:rPr>
                <w:szCs w:val="24"/>
              </w:rPr>
              <w:t xml:space="preserve"> of patients requiring diagnostic treatment</w:t>
            </w:r>
            <w:r w:rsidRPr="0076531B">
              <w:rPr>
                <w:szCs w:val="24"/>
              </w:rPr>
              <w:t>)</w:t>
            </w:r>
          </w:p>
        </w:tc>
        <w:tc>
          <w:tcPr>
            <w:tcW w:w="0" w:type="auto"/>
            <w:tcMar>
              <w:top w:w="0" w:type="dxa"/>
              <w:left w:w="108" w:type="dxa"/>
              <w:bottom w:w="0" w:type="dxa"/>
              <w:right w:w="108" w:type="dxa"/>
            </w:tcMar>
            <w:vAlign w:val="center"/>
            <w:hideMark/>
          </w:tcPr>
          <w:p w14:paraId="46E7780A" w14:textId="77777777" w:rsidR="00AD4222" w:rsidRDefault="00222D37">
            <w:pPr>
              <w:jc w:val="center"/>
              <w:rPr>
                <w:szCs w:val="24"/>
              </w:rPr>
            </w:pPr>
            <w:r w:rsidRPr="0076531B">
              <w:rPr>
                <w:szCs w:val="24"/>
              </w:rPr>
              <w:t>59</w:t>
            </w:r>
          </w:p>
          <w:p w14:paraId="28A2466D" w14:textId="7FC16DBC" w:rsidR="00222D37" w:rsidRPr="0076531B" w:rsidRDefault="00222D37">
            <w:pPr>
              <w:jc w:val="center"/>
              <w:rPr>
                <w:szCs w:val="24"/>
              </w:rPr>
            </w:pPr>
            <w:r w:rsidRPr="0076531B">
              <w:rPr>
                <w:szCs w:val="24"/>
              </w:rPr>
              <w:t xml:space="preserve"> (57.</w:t>
            </w:r>
            <w:r w:rsidR="00195C24">
              <w:rPr>
                <w:szCs w:val="24"/>
              </w:rPr>
              <w:t>8</w:t>
            </w:r>
            <w:r w:rsidRPr="0076531B">
              <w:rPr>
                <w:szCs w:val="24"/>
              </w:rPr>
              <w:t>%</w:t>
            </w:r>
            <w:r>
              <w:rPr>
                <w:szCs w:val="24"/>
              </w:rPr>
              <w:t xml:space="preserve"> of patients requiring diagnostic treatment</w:t>
            </w:r>
            <w:r w:rsidRPr="0076531B">
              <w:rPr>
                <w:szCs w:val="24"/>
              </w:rPr>
              <w:t>)</w:t>
            </w:r>
          </w:p>
        </w:tc>
      </w:tr>
    </w:tbl>
    <w:p w14:paraId="6CC57D9E" w14:textId="77777777" w:rsidR="00480655" w:rsidRDefault="00480655" w:rsidP="008917DC">
      <w:pPr>
        <w:pStyle w:val="BodyText"/>
        <w:rPr>
          <w:rFonts w:asciiTheme="minorHAnsi" w:hAnsiTheme="minorHAnsi"/>
        </w:rPr>
      </w:pPr>
    </w:p>
    <w:p w14:paraId="791AC409" w14:textId="268D8AE9" w:rsidR="00DC6DC0" w:rsidRDefault="6B8DFBB6" w:rsidP="67771AE9">
      <w:pPr>
        <w:pStyle w:val="BodyText"/>
        <w:rPr>
          <w:rFonts w:asciiTheme="minorHAnsi" w:hAnsiTheme="minorHAnsi"/>
        </w:rPr>
      </w:pPr>
      <w:r w:rsidRPr="67771AE9">
        <w:rPr>
          <w:rFonts w:asciiTheme="minorHAnsi" w:hAnsiTheme="minorHAnsi"/>
        </w:rPr>
        <w:t>As part of its</w:t>
      </w:r>
      <w:r w:rsidR="2392C352" w:rsidRPr="67771AE9">
        <w:rPr>
          <w:rFonts w:asciiTheme="minorHAnsi" w:hAnsiTheme="minorHAnsi"/>
        </w:rPr>
        <w:t xml:space="preserve"> </w:t>
      </w:r>
      <w:r w:rsidR="1C991097" w:rsidRPr="67771AE9">
        <w:rPr>
          <w:rFonts w:asciiTheme="minorHAnsi" w:hAnsiTheme="minorHAnsi"/>
        </w:rPr>
        <w:t>health equity initiatives focused on patient financial assistance</w:t>
      </w:r>
      <w:r w:rsidR="2392C352" w:rsidRPr="67771AE9">
        <w:rPr>
          <w:rFonts w:asciiTheme="minorHAnsi" w:hAnsiTheme="minorHAnsi"/>
        </w:rPr>
        <w:t xml:space="preserve">, the Applicant is also developing an initiative to promote access to screening mammography for historically marginalized communities </w:t>
      </w:r>
      <w:r w:rsidR="37349F67" w:rsidRPr="67771AE9">
        <w:rPr>
          <w:rFonts w:asciiTheme="minorHAnsi" w:hAnsiTheme="minorHAnsi"/>
        </w:rPr>
        <w:t>by reducing cost barriers to mammography screenings on Dana-Farber’s mammography van and at Dana-Farber’s Mammography suite at Whittier Street Health Center.</w:t>
      </w:r>
      <w:r w:rsidR="00AA06CF" w:rsidRPr="67771AE9">
        <w:rPr>
          <w:rStyle w:val="FootnoteReference"/>
          <w:rFonts w:asciiTheme="minorHAnsi" w:hAnsiTheme="minorHAnsi"/>
        </w:rPr>
        <w:footnoteReference w:id="111"/>
      </w:r>
      <w:r w:rsidR="37349F67" w:rsidRPr="67771AE9">
        <w:rPr>
          <w:rFonts w:asciiTheme="minorHAnsi" w:hAnsiTheme="minorHAnsi"/>
        </w:rPr>
        <w:t xml:space="preserve"> </w:t>
      </w:r>
    </w:p>
    <w:p w14:paraId="28B93F89" w14:textId="584B842C" w:rsidR="00E52C17" w:rsidRDefault="00C40315" w:rsidP="00BA2054">
      <w:pPr>
        <w:pStyle w:val="BodyText"/>
        <w:rPr>
          <w:rFonts w:asciiTheme="minorHAnsi" w:hAnsiTheme="minorHAnsi"/>
        </w:rPr>
      </w:pPr>
      <w:r>
        <w:rPr>
          <w:rFonts w:asciiTheme="minorHAnsi" w:hAnsiTheme="minorHAnsi"/>
        </w:rPr>
        <w:t xml:space="preserve">The Applicant states that starting in June 2024, </w:t>
      </w:r>
      <w:r w:rsidR="00E41A5E">
        <w:rPr>
          <w:rFonts w:asciiTheme="minorHAnsi" w:hAnsiTheme="minorHAnsi"/>
        </w:rPr>
        <w:t xml:space="preserve">patients can obtain screening on the Applicant’s </w:t>
      </w:r>
      <w:r w:rsidR="00E41A5E">
        <w:rPr>
          <w:rFonts w:asciiTheme="minorHAnsi" w:hAnsiTheme="minorHAnsi"/>
        </w:rPr>
        <w:lastRenderedPageBreak/>
        <w:t>mammography van wi</w:t>
      </w:r>
      <w:r w:rsidR="002C441C">
        <w:rPr>
          <w:rFonts w:asciiTheme="minorHAnsi" w:hAnsiTheme="minorHAnsi"/>
        </w:rPr>
        <w:t xml:space="preserve">th no out-of-pocket responsibility, regardless of insurance status. </w:t>
      </w:r>
      <w:r w:rsidR="009D2472">
        <w:rPr>
          <w:rFonts w:asciiTheme="minorHAnsi" w:hAnsiTheme="minorHAnsi"/>
        </w:rPr>
        <w:t xml:space="preserve">The Applicant </w:t>
      </w:r>
      <w:r w:rsidR="008C786B">
        <w:rPr>
          <w:rFonts w:asciiTheme="minorHAnsi" w:hAnsiTheme="minorHAnsi"/>
        </w:rPr>
        <w:t xml:space="preserve">affirmed its support for statewide efforts to remove such barriers to screening. </w:t>
      </w:r>
      <w:r w:rsidR="00AC03A4">
        <w:rPr>
          <w:rFonts w:asciiTheme="minorHAnsi" w:hAnsiTheme="minorHAnsi"/>
        </w:rPr>
        <w:t xml:space="preserve"> </w:t>
      </w:r>
    </w:p>
    <w:p w14:paraId="245A5742" w14:textId="77777777" w:rsidR="00DC6DC0" w:rsidRDefault="00DC6DC0" w:rsidP="008917DC">
      <w:pPr>
        <w:pStyle w:val="BodyText"/>
        <w:rPr>
          <w:rFonts w:asciiTheme="minorHAnsi" w:hAnsiTheme="minorHAnsi"/>
        </w:rPr>
      </w:pPr>
    </w:p>
    <w:p w14:paraId="070B40EB" w14:textId="77777777" w:rsidR="00B447F3" w:rsidRPr="009A0C61" w:rsidRDefault="00A4110F" w:rsidP="008917DC">
      <w:pPr>
        <w:rPr>
          <w:rFonts w:asciiTheme="minorHAnsi" w:hAnsiTheme="minorHAnsi"/>
          <w:b/>
          <w:bCs/>
          <w:i/>
          <w:iCs/>
          <w:szCs w:val="24"/>
        </w:rPr>
      </w:pPr>
      <w:r w:rsidRPr="009A0C61">
        <w:rPr>
          <w:rFonts w:asciiTheme="minorHAnsi" w:hAnsiTheme="minorHAnsi"/>
          <w:b/>
          <w:bCs/>
          <w:i/>
          <w:iCs/>
          <w:szCs w:val="24"/>
        </w:rPr>
        <w:t>Analysis: Delivery System Transformation</w:t>
      </w:r>
    </w:p>
    <w:p w14:paraId="43317E62" w14:textId="0B0A2E46" w:rsidR="008D7A1C" w:rsidRDefault="00E2248C" w:rsidP="008D7A1C">
      <w:pPr>
        <w:rPr>
          <w:rFonts w:asciiTheme="minorHAnsi" w:hAnsiTheme="minorHAnsi"/>
          <w:szCs w:val="24"/>
        </w:rPr>
      </w:pPr>
      <w:r w:rsidRPr="00E2248C">
        <w:rPr>
          <w:rFonts w:asciiTheme="minorHAnsi" w:hAnsiTheme="minorHAnsi"/>
          <w:szCs w:val="24"/>
        </w:rPr>
        <w:t xml:space="preserve">Central to the goal of delivery system transformation is the integration of social services and community-based expertise. The Applicant has described, at a high level, how patients in the panel are assessed and how linkages to social services organizations are created. </w:t>
      </w:r>
      <w:r>
        <w:rPr>
          <w:rFonts w:asciiTheme="minorHAnsi" w:hAnsiTheme="minorHAnsi"/>
          <w:szCs w:val="24"/>
        </w:rPr>
        <w:t xml:space="preserve">The Applicant also described additional programming </w:t>
      </w:r>
      <w:r w:rsidR="00BA6F2E">
        <w:rPr>
          <w:rFonts w:asciiTheme="minorHAnsi" w:hAnsiTheme="minorHAnsi"/>
          <w:szCs w:val="24"/>
        </w:rPr>
        <w:t>t</w:t>
      </w:r>
      <w:r>
        <w:rPr>
          <w:rFonts w:asciiTheme="minorHAnsi" w:hAnsiTheme="minorHAnsi"/>
          <w:szCs w:val="24"/>
        </w:rPr>
        <w:t xml:space="preserve">o reduce barriers to accessing care, and to increase access to its services. </w:t>
      </w:r>
      <w:r w:rsidR="00BF0412" w:rsidRPr="00BF0412">
        <w:rPr>
          <w:rFonts w:asciiTheme="minorHAnsi" w:hAnsiTheme="minorHAnsi"/>
          <w:szCs w:val="24"/>
        </w:rPr>
        <w:t>DoN Staff can conclude that the Proposed Project will likely meet the Delivery System Transformation component of Factor 2.</w:t>
      </w:r>
    </w:p>
    <w:p w14:paraId="62929AAA" w14:textId="6DC9F99C" w:rsidR="00B447F3" w:rsidRDefault="00082235" w:rsidP="008917DC">
      <w:pPr>
        <w:pStyle w:val="Heading1"/>
        <w:spacing w:before="179"/>
        <w:ind w:left="0"/>
        <w:rPr>
          <w:rFonts w:asciiTheme="minorHAnsi" w:hAnsiTheme="minorHAnsi"/>
          <w:color w:val="42558C"/>
        </w:rPr>
      </w:pPr>
      <w:bookmarkStart w:id="24" w:name="_Toc190780590"/>
      <w:r>
        <w:rPr>
          <w:rFonts w:asciiTheme="minorHAnsi" w:hAnsiTheme="minorHAnsi"/>
          <w:color w:val="42558C"/>
        </w:rPr>
        <w:t>Factor 2 Summary</w:t>
      </w:r>
      <w:bookmarkEnd w:id="24"/>
    </w:p>
    <w:p w14:paraId="49BF185E" w14:textId="77777777" w:rsidR="0037406F" w:rsidRPr="0037406F" w:rsidRDefault="0037406F" w:rsidP="00BA2054">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285765B0" w14:textId="7401F602" w:rsidR="0037406F" w:rsidRDefault="0037406F" w:rsidP="00BA2054">
      <w:pPr>
        <w:rPr>
          <w:rFonts w:asciiTheme="minorHAnsi" w:hAnsiTheme="minorHAnsi"/>
          <w:szCs w:val="24"/>
        </w:rPr>
      </w:pPr>
      <w:r w:rsidRPr="0037406F">
        <w:rPr>
          <w:rFonts w:asciiTheme="minorHAnsi" w:hAnsiTheme="minorHAnsi"/>
          <w:szCs w:val="24"/>
        </w:rPr>
        <w:t xml:space="preserve">the </w:t>
      </w:r>
      <w:r w:rsidR="00624B2D">
        <w:rPr>
          <w:rFonts w:asciiTheme="minorHAnsi" w:hAnsiTheme="minorHAnsi"/>
          <w:szCs w:val="24"/>
        </w:rPr>
        <w:t xml:space="preserve">“Other Conditions” outlined below, and the </w:t>
      </w:r>
      <w:r w:rsidRPr="0037406F">
        <w:rPr>
          <w:rFonts w:asciiTheme="minorHAnsi" w:hAnsiTheme="minorHAnsi"/>
          <w:szCs w:val="24"/>
        </w:rPr>
        <w:t>standard reporting conditions, the Applicant has demonstrated that the Proposed Project</w:t>
      </w:r>
      <w:r w:rsidR="00BA2054">
        <w:rPr>
          <w:rFonts w:asciiTheme="minorHAnsi" w:hAnsiTheme="minorHAnsi"/>
          <w:szCs w:val="24"/>
        </w:rPr>
        <w:t xml:space="preserve"> </w:t>
      </w:r>
      <w:r w:rsidRPr="0037406F">
        <w:rPr>
          <w:rFonts w:asciiTheme="minorHAnsi" w:hAnsiTheme="minorHAnsi"/>
          <w:szCs w:val="24"/>
        </w:rPr>
        <w:t>has met Factor 2.</w:t>
      </w:r>
    </w:p>
    <w:p w14:paraId="1A827478" w14:textId="19BAF16B" w:rsidR="00D451AE" w:rsidRDefault="00D451AE" w:rsidP="00203868">
      <w:pPr>
        <w:rPr>
          <w:rFonts w:asciiTheme="minorHAnsi" w:hAnsiTheme="minorHAnsi"/>
          <w:szCs w:val="24"/>
        </w:rPr>
      </w:pPr>
    </w:p>
    <w:p w14:paraId="0BE36815" w14:textId="77777777" w:rsidR="00B447F3" w:rsidRPr="003436F0" w:rsidRDefault="00A4110F" w:rsidP="008917DC">
      <w:pPr>
        <w:pStyle w:val="Heading1"/>
        <w:ind w:left="0"/>
        <w:rPr>
          <w:rFonts w:asciiTheme="minorHAnsi" w:hAnsiTheme="minorHAnsi"/>
        </w:rPr>
      </w:pPr>
      <w:bookmarkStart w:id="25" w:name="Factor_3:_Relevant_Licensure/Oversight_C"/>
      <w:bookmarkStart w:id="26" w:name="_Toc190780591"/>
      <w:bookmarkEnd w:id="25"/>
      <w:r w:rsidRPr="003436F0">
        <w:rPr>
          <w:rFonts w:asciiTheme="minorHAnsi" w:hAnsiTheme="minorHAnsi"/>
          <w:color w:val="42558C"/>
        </w:rPr>
        <w:t>Factor 3: Relevant Licensure/Oversight Compliance</w:t>
      </w:r>
      <w:bookmarkEnd w:id="26"/>
    </w:p>
    <w:p w14:paraId="01533F5A" w14:textId="77777777" w:rsidR="00B447F3" w:rsidRDefault="00A4110F" w:rsidP="00BA2054">
      <w:pPr>
        <w:pStyle w:val="BodyText"/>
        <w:ind w:right="317"/>
        <w:rPr>
          <w:rFonts w:asciiTheme="minorHAnsi" w:hAnsiTheme="minorHAnsi"/>
        </w:rPr>
      </w:pPr>
      <w:r w:rsidRPr="003436F0">
        <w:rPr>
          <w:rFonts w:asciiTheme="minorHAnsi" w:hAnsiTheme="minorHAnsi"/>
        </w:rPr>
        <w:t>The Applicant has provided evidence of compliance and good standing with federal, state, and local laws and regulations and will not be addressed further in this report. As a result of information provided by the Applicant, staff finds the Applicant has reasonably met the standards of Factor 3.</w:t>
      </w:r>
    </w:p>
    <w:p w14:paraId="0DF7D993" w14:textId="77777777" w:rsidR="00236BD4" w:rsidRDefault="00236BD4" w:rsidP="008917DC">
      <w:pPr>
        <w:pStyle w:val="BodyText"/>
        <w:ind w:right="321"/>
        <w:rPr>
          <w:rFonts w:asciiTheme="minorHAnsi" w:hAnsiTheme="minorHAnsi"/>
        </w:rPr>
      </w:pPr>
    </w:p>
    <w:p w14:paraId="3DDFCA58" w14:textId="4A44C1AB" w:rsidR="00B447F3" w:rsidRPr="00A27368" w:rsidRDefault="00A4110F" w:rsidP="00474C96">
      <w:pPr>
        <w:pStyle w:val="Heading1"/>
        <w:spacing w:before="87"/>
        <w:ind w:left="0" w:right="441"/>
        <w:rPr>
          <w:rFonts w:asciiTheme="minorHAnsi" w:hAnsiTheme="minorHAnsi"/>
          <w:color w:val="42558C"/>
        </w:rPr>
      </w:pPr>
      <w:bookmarkStart w:id="27" w:name="Factor_4:_Demonstration_of_Sufficient_Fu"/>
      <w:bookmarkStart w:id="28" w:name="_Toc190780592"/>
      <w:bookmarkEnd w:id="27"/>
      <w:r w:rsidRPr="003436F0">
        <w:rPr>
          <w:rFonts w:asciiTheme="minorHAnsi" w:hAnsiTheme="minorHAnsi"/>
          <w:color w:val="42558C"/>
        </w:rPr>
        <w:t>Factor 4:</w:t>
      </w:r>
      <w:r w:rsidR="00A27368">
        <w:rPr>
          <w:rFonts w:asciiTheme="minorHAnsi" w:hAnsiTheme="minorHAnsi"/>
          <w:color w:val="42558C"/>
        </w:rPr>
        <w:t xml:space="preserve"> </w:t>
      </w:r>
      <w:r w:rsidR="00474C96" w:rsidRPr="00474C96">
        <w:rPr>
          <w:rFonts w:asciiTheme="minorHAnsi" w:hAnsiTheme="minorHAnsi"/>
          <w:color w:val="42558C"/>
        </w:rPr>
        <w:t>Demonstration of Sufficient Funds as Supported by an Independent</w:t>
      </w:r>
      <w:r w:rsidR="00A27368">
        <w:rPr>
          <w:rFonts w:asciiTheme="minorHAnsi" w:hAnsiTheme="minorHAnsi"/>
          <w:color w:val="42558C"/>
        </w:rPr>
        <w:t xml:space="preserve"> </w:t>
      </w:r>
      <w:r w:rsidR="00474C96" w:rsidRPr="00474C96">
        <w:rPr>
          <w:rFonts w:asciiTheme="minorHAnsi" w:hAnsiTheme="minorHAnsi"/>
          <w:color w:val="42558C"/>
        </w:rPr>
        <w:t>CPA Analysis</w:t>
      </w:r>
      <w:bookmarkEnd w:id="28"/>
    </w:p>
    <w:p w14:paraId="4D625B2C" w14:textId="47A3FB9C" w:rsidR="00B447F3" w:rsidRPr="003436F0" w:rsidRDefault="00A4110F" w:rsidP="00BA2054">
      <w:pPr>
        <w:pStyle w:val="BodyText"/>
        <w:ind w:right="306"/>
        <w:rPr>
          <w:rFonts w:asciiTheme="minorHAnsi" w:hAnsiTheme="minorHAnsi"/>
        </w:rPr>
      </w:pPr>
      <w:r w:rsidRPr="003436F0">
        <w:rPr>
          <w:rFonts w:asciiTheme="minorHAnsi" w:hAnsi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w:t>
      </w:r>
      <w:r w:rsidR="00F33F8E">
        <w:rPr>
          <w:rFonts w:asciiTheme="minorHAnsi" w:hAnsiTheme="minorHAnsi"/>
        </w:rPr>
        <w:t xml:space="preserve"> BDO </w:t>
      </w:r>
      <w:r w:rsidRPr="003436F0">
        <w:rPr>
          <w:rFonts w:asciiTheme="minorHAnsi" w:hAnsiTheme="minorHAnsi"/>
        </w:rPr>
        <w:t>(CPA Report).</w:t>
      </w:r>
    </w:p>
    <w:p w14:paraId="28424149" w14:textId="77777777" w:rsidR="00F0319B" w:rsidRDefault="00F0319B" w:rsidP="00BA2054">
      <w:pPr>
        <w:pStyle w:val="BodyText"/>
        <w:rPr>
          <w:rFonts w:asciiTheme="minorHAnsi" w:hAnsiTheme="minorHAnsi"/>
        </w:rPr>
      </w:pPr>
    </w:p>
    <w:p w14:paraId="59446BA3" w14:textId="7D72D892" w:rsidR="00F33F8E" w:rsidRDefault="00F0319B" w:rsidP="00BA2054">
      <w:pPr>
        <w:pStyle w:val="BodyText"/>
        <w:rPr>
          <w:rFonts w:asciiTheme="minorHAnsi" w:hAnsiTheme="minorHAnsi"/>
        </w:rPr>
      </w:pPr>
      <w:r w:rsidRPr="00F0319B">
        <w:rPr>
          <w:rFonts w:asciiTheme="minorHAnsi" w:hAnsiTheme="minorHAnsi"/>
        </w:rPr>
        <w:t xml:space="preserve">The scope of the CPA Report, performed by BDO, is limited to an analysis of the </w:t>
      </w:r>
      <w:r w:rsidR="006D2394">
        <w:rPr>
          <w:rFonts w:asciiTheme="minorHAnsi" w:hAnsiTheme="minorHAnsi"/>
        </w:rPr>
        <w:t>fourteen</w:t>
      </w:r>
      <w:r w:rsidRPr="00F0319B">
        <w:rPr>
          <w:rFonts w:asciiTheme="minorHAnsi" w:hAnsiTheme="minorHAnsi"/>
        </w:rPr>
        <w:t xml:space="preserve">-year Projections for the fiscal years ending </w:t>
      </w:r>
      <w:r w:rsidR="006D2394">
        <w:rPr>
          <w:rFonts w:asciiTheme="minorHAnsi" w:hAnsiTheme="minorHAnsi"/>
        </w:rPr>
        <w:t>September 30</w:t>
      </w:r>
      <w:r w:rsidR="00BF6BB9">
        <w:rPr>
          <w:rFonts w:asciiTheme="minorHAnsi" w:hAnsiTheme="minorHAnsi"/>
        </w:rPr>
        <w:t xml:space="preserve">, </w:t>
      </w:r>
      <w:r w:rsidR="006D2394">
        <w:rPr>
          <w:rFonts w:asciiTheme="minorHAnsi" w:hAnsiTheme="minorHAnsi"/>
        </w:rPr>
        <w:t>2023 through 2036</w:t>
      </w:r>
      <w:r w:rsidRPr="00F0319B">
        <w:rPr>
          <w:rFonts w:asciiTheme="minorHAnsi" w:hAnsiTheme="minorHAnsi"/>
        </w:rPr>
        <w:t xml:space="preserve">, prepared by </w:t>
      </w:r>
      <w:r w:rsidR="008B4EEA">
        <w:rPr>
          <w:rFonts w:asciiTheme="minorHAnsi" w:hAnsiTheme="minorHAnsi"/>
        </w:rPr>
        <w:t xml:space="preserve">the </w:t>
      </w:r>
      <w:r w:rsidRPr="00F0319B">
        <w:rPr>
          <w:rFonts w:asciiTheme="minorHAnsi" w:hAnsiTheme="minorHAnsi"/>
        </w:rPr>
        <w:t>Management</w:t>
      </w:r>
      <w:r w:rsidR="008B4EEA">
        <w:rPr>
          <w:rFonts w:asciiTheme="minorHAnsi" w:hAnsiTheme="minorHAnsi"/>
        </w:rPr>
        <w:t xml:space="preserve"> of </w:t>
      </w:r>
      <w:r w:rsidR="00D37A05">
        <w:rPr>
          <w:rFonts w:asciiTheme="minorHAnsi" w:hAnsiTheme="minorHAnsi"/>
        </w:rPr>
        <w:t>Dana-Farber Cancer Institute</w:t>
      </w:r>
      <w:r w:rsidR="00245073">
        <w:rPr>
          <w:rFonts w:asciiTheme="minorHAnsi" w:hAnsiTheme="minorHAnsi"/>
        </w:rPr>
        <w:t xml:space="preserve"> (Management)</w:t>
      </w:r>
      <w:r w:rsidRPr="00F0319B">
        <w:rPr>
          <w:rFonts w:asciiTheme="minorHAnsi" w:hAnsiTheme="minorHAnsi"/>
        </w:rPr>
        <w:t>, and the supporting documentation</w:t>
      </w:r>
      <w:r w:rsidR="00BF6BB9">
        <w:rPr>
          <w:rFonts w:asciiTheme="minorHAnsi" w:hAnsiTheme="minorHAnsi"/>
        </w:rPr>
        <w:t xml:space="preserve"> to render an opinion as to the reasonableness of the assumptions used in the preparation and feasibility of the Projections.</w:t>
      </w:r>
      <w:r w:rsidR="006D2394">
        <w:rPr>
          <w:rStyle w:val="FootnoteReference"/>
          <w:rFonts w:asciiTheme="minorHAnsi" w:hAnsiTheme="minorHAnsi"/>
        </w:rPr>
        <w:footnoteReference w:id="112"/>
      </w:r>
      <w:r w:rsidRPr="00F0319B">
        <w:rPr>
          <w:rFonts w:asciiTheme="minorHAnsi" w:hAnsiTheme="minorHAnsi"/>
        </w:rPr>
        <w:t xml:space="preserve"> </w:t>
      </w:r>
      <w:r w:rsidR="000C02AC" w:rsidRPr="000C02AC">
        <w:rPr>
          <w:rFonts w:asciiTheme="minorHAnsi" w:hAnsiTheme="minorHAnsi"/>
        </w:rPr>
        <w:t>Reasonableness is defined within the context of this report as supportable and proper, given the underlying information. Feasibility is defined as</w:t>
      </w:r>
      <w:r w:rsidR="52AA23F9" w:rsidRPr="3E594735">
        <w:rPr>
          <w:rFonts w:asciiTheme="minorHAnsi" w:hAnsiTheme="minorHAnsi"/>
        </w:rPr>
        <w:t>,</w:t>
      </w:r>
      <w:r w:rsidR="000C02AC" w:rsidRPr="000C02AC">
        <w:rPr>
          <w:rFonts w:asciiTheme="minorHAnsi" w:hAnsiTheme="minorHAnsi"/>
        </w:rPr>
        <w:t xml:space="preserve"> based on the assumptions used, the Proposed Project is not likely to result in a liquidation of the underlying assets or the need for reorganization.</w:t>
      </w:r>
      <w:r w:rsidR="000C02AC">
        <w:rPr>
          <w:rFonts w:asciiTheme="minorHAnsi" w:hAnsiTheme="minorHAnsi"/>
        </w:rPr>
        <w:t xml:space="preserve"> </w:t>
      </w:r>
      <w:r w:rsidRPr="00F0319B">
        <w:rPr>
          <w:rFonts w:asciiTheme="minorHAnsi" w:hAnsiTheme="minorHAnsi"/>
        </w:rPr>
        <w:t>The CPA reviewed documents produced by Management as well as third party industry data sources</w:t>
      </w:r>
      <w:r w:rsidR="00BD331B">
        <w:rPr>
          <w:rFonts w:asciiTheme="minorHAnsi" w:hAnsiTheme="minorHAnsi"/>
        </w:rPr>
        <w:t>, and historical results</w:t>
      </w:r>
      <w:r w:rsidRPr="00F0319B">
        <w:rPr>
          <w:rFonts w:asciiTheme="minorHAnsi" w:hAnsiTheme="minorHAnsi"/>
        </w:rPr>
        <w:t xml:space="preserve"> to formulate its conclusions; these documents included:</w:t>
      </w:r>
    </w:p>
    <w:p w14:paraId="7CFAF3F7" w14:textId="77777777" w:rsidR="00075319" w:rsidRDefault="00075319" w:rsidP="00BA2054">
      <w:pPr>
        <w:pStyle w:val="BodyText"/>
        <w:rPr>
          <w:rFonts w:asciiTheme="minorHAnsi" w:hAnsiTheme="minorHAnsi"/>
        </w:rPr>
      </w:pPr>
    </w:p>
    <w:p w14:paraId="1E599534" w14:textId="6DBDA236" w:rsidR="000E357D" w:rsidRDefault="000E357D" w:rsidP="00F91720">
      <w:pPr>
        <w:pStyle w:val="BodyText"/>
        <w:numPr>
          <w:ilvl w:val="0"/>
          <w:numId w:val="8"/>
        </w:numPr>
        <w:rPr>
          <w:rFonts w:asciiTheme="minorHAnsi" w:hAnsiTheme="minorHAnsi"/>
        </w:rPr>
      </w:pPr>
      <w:r w:rsidRPr="000E357D">
        <w:rPr>
          <w:rFonts w:asciiTheme="minorHAnsi" w:hAnsiTheme="minorHAnsi"/>
        </w:rPr>
        <w:t>Projected Financial Model for DFCI for the periods ending September 30, 2023, through September 30, 2036;</w:t>
      </w:r>
    </w:p>
    <w:p w14:paraId="49788B7E"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Draft Dana-Farber Cancer Institute, Inc. Application Form for DoN Application as of October 13, 2023;</w:t>
      </w:r>
    </w:p>
    <w:p w14:paraId="01704CA2"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Audited Financial Statements for Dana-Farber Cancer Institute, Inc. and Subsidiaries for Fiscal Years Ended September 30, 2020 through 2022;</w:t>
      </w:r>
    </w:p>
    <w:p w14:paraId="642500B9"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Unaudited Comparative Statement of Revenues and Expenses for Dana-Farber Cancer Institute Inc. for the period ended June 30, 2023;</w:t>
      </w:r>
    </w:p>
    <w:p w14:paraId="490D90C8"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Manager’s Discussion and Analysis of Financial Condition and Operating Results for the Third Quarter ended June 30, 2023 as of September 8, 2023;</w:t>
      </w:r>
    </w:p>
    <w:p w14:paraId="2BA499D9"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Capital Cost Breakout Presentation as of April 24, 2023;</w:t>
      </w:r>
    </w:p>
    <w:p w14:paraId="10AE84E8"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September 12, 2023 Joint Meeting of the Executive Committee and Finance Committee of the Board of Trustees of the Dana-Farber Cancer Institute, Inc. Meeting Minutes;</w:t>
      </w:r>
    </w:p>
    <w:p w14:paraId="2299855F"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September 13, 2023 Joint Meeting of the Executive Committee and Finance Committee of the Board of Trustees of the Dana-Farber Cancer Institute, Inc. Meeting Minutes;</w:t>
      </w:r>
    </w:p>
    <w:p w14:paraId="271C89E7"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Project Silver: Programming &amp; Building Cost Update presented April 25, 2023;</w:t>
      </w:r>
    </w:p>
    <w:p w14:paraId="128862AC"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Project Silver Development Schedule developed April 14, 2023;</w:t>
      </w:r>
    </w:p>
    <w:p w14:paraId="1CC25CE7"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Annotated Project Silver Total Project Cost estimate developed October 12, 2023;</w:t>
      </w:r>
    </w:p>
    <w:p w14:paraId="4B0D04F6"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Silver Project Monthly Cash Flow: July 2023 – December 2031 provided September 6, 2023;</w:t>
      </w:r>
    </w:p>
    <w:p w14:paraId="5123512B"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Dana-Farber Cancer Institute, Inc. Research Policy and Procedure Manual Section 5: Protection of Intellectual Property effective June 2017;</w:t>
      </w:r>
    </w:p>
    <w:p w14:paraId="472FC47F"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Agreement to Lease for Air Rights of One Joslin Place, Boston MA between Joslin Diabetes Center, Inc. as Landlord and Dana-Farber Cancer Institute, Inc. as Tenant executed September 2023;</w:t>
      </w:r>
    </w:p>
    <w:p w14:paraId="4992EAAB"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EPIC Asset Depreciation estimate provided on September 27, 2023;</w:t>
      </w:r>
    </w:p>
    <w:p w14:paraId="54744F2B"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DFCI Goldman Sachs Engagement Letter signed October 13, 2023;</w:t>
      </w:r>
    </w:p>
    <w:p w14:paraId="28745900"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Max Capital Expenditure Reconciliation Model dated October 10, 2023;</w:t>
      </w:r>
    </w:p>
    <w:p w14:paraId="05920939"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Excerpt of the Final DFCI-BMS-Ono Settlement Agreement dated April 4, 2023;</w:t>
      </w:r>
    </w:p>
    <w:p w14:paraId="4FC63D4C"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Project Silver Ground Lease Present Value calculations provided on October 13, 2023;</w:t>
      </w:r>
    </w:p>
    <w:p w14:paraId="435A7B48"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Definitive Healthcare data;</w:t>
      </w:r>
    </w:p>
    <w:p w14:paraId="43474D97" w14:textId="77777777" w:rsidR="000E357D" w:rsidRDefault="000E357D" w:rsidP="00F91720">
      <w:pPr>
        <w:pStyle w:val="BodyText"/>
        <w:numPr>
          <w:ilvl w:val="0"/>
          <w:numId w:val="8"/>
        </w:numPr>
        <w:rPr>
          <w:rFonts w:asciiTheme="minorHAnsi" w:hAnsiTheme="minorHAnsi"/>
        </w:rPr>
      </w:pPr>
      <w:r w:rsidRPr="000E357D">
        <w:rPr>
          <w:rFonts w:asciiTheme="minorHAnsi" w:hAnsiTheme="minorHAnsi"/>
        </w:rPr>
        <w:t>Data obtained from Integra Information, A Division of Microbilt Corporation as of August 4, 2023; and,</w:t>
      </w:r>
    </w:p>
    <w:p w14:paraId="1CF57C4C" w14:textId="7B493A1C" w:rsidR="00075319" w:rsidRDefault="000E357D" w:rsidP="00F91720">
      <w:pPr>
        <w:pStyle w:val="BodyText"/>
        <w:numPr>
          <w:ilvl w:val="0"/>
          <w:numId w:val="8"/>
        </w:numPr>
        <w:rPr>
          <w:rFonts w:asciiTheme="minorHAnsi" w:hAnsiTheme="minorHAnsi"/>
        </w:rPr>
      </w:pPr>
      <w:r w:rsidRPr="000E357D">
        <w:rPr>
          <w:rFonts w:asciiTheme="minorHAnsi" w:hAnsiTheme="minorHAnsi"/>
        </w:rPr>
        <w:t>IBISWorld Industry Report 62211: Hospitals in the US, dated January 2023.</w:t>
      </w:r>
    </w:p>
    <w:p w14:paraId="6D4B25BC" w14:textId="77777777" w:rsidR="00E6322F" w:rsidRDefault="00E6322F" w:rsidP="00BA2054">
      <w:pPr>
        <w:pStyle w:val="BodyText"/>
        <w:rPr>
          <w:rFonts w:asciiTheme="minorHAnsi" w:hAnsiTheme="minorHAnsi"/>
        </w:rPr>
      </w:pPr>
    </w:p>
    <w:p w14:paraId="5B8BD992" w14:textId="700F2866" w:rsidR="00002C5C" w:rsidRDefault="00002C5C" w:rsidP="00BA2054">
      <w:pPr>
        <w:pStyle w:val="BodyText"/>
        <w:rPr>
          <w:rFonts w:asciiTheme="minorHAnsi" w:hAnsiTheme="minorHAnsi"/>
        </w:rPr>
      </w:pPr>
      <w:r>
        <w:rPr>
          <w:rFonts w:asciiTheme="minorHAnsi" w:hAnsiTheme="minorHAnsi"/>
        </w:rPr>
        <w:t xml:space="preserve">To assess the reasonableness of the Projections, the CPA </w:t>
      </w:r>
      <w:r w:rsidR="00DF086F">
        <w:rPr>
          <w:rFonts w:asciiTheme="minorHAnsi" w:hAnsiTheme="minorHAnsi"/>
        </w:rPr>
        <w:t>calculated</w:t>
      </w:r>
      <w:r>
        <w:rPr>
          <w:rFonts w:asciiTheme="minorHAnsi" w:hAnsiTheme="minorHAnsi"/>
        </w:rPr>
        <w:t xml:space="preserve"> key metrics which compared the operating results of the Projections to market information from Integra Reports, IBISWorld, and Definitive Healthcare, as well as the Applicant’s historical performance. </w:t>
      </w:r>
      <w:r w:rsidR="00052964">
        <w:rPr>
          <w:rFonts w:asciiTheme="minorHAnsi" w:hAnsiTheme="minorHAnsi"/>
        </w:rPr>
        <w:t>The k</w:t>
      </w:r>
      <w:r w:rsidR="003A72EF">
        <w:rPr>
          <w:rFonts w:asciiTheme="minorHAnsi" w:hAnsiTheme="minorHAnsi"/>
        </w:rPr>
        <w:t>ey metrics fall into three categories</w:t>
      </w:r>
      <w:r w:rsidR="003A72EF" w:rsidRPr="003A72EF">
        <w:rPr>
          <w:rFonts w:asciiTheme="minorHAnsi" w:hAnsiTheme="minorHAnsi"/>
        </w:rPr>
        <w:t xml:space="preserve">: </w:t>
      </w:r>
      <w:r w:rsidR="00052964">
        <w:rPr>
          <w:rFonts w:asciiTheme="minorHAnsi" w:hAnsiTheme="minorHAnsi"/>
        </w:rPr>
        <w:t>profitability</w:t>
      </w:r>
      <w:r w:rsidR="003A72EF" w:rsidRPr="003A72EF">
        <w:rPr>
          <w:rFonts w:asciiTheme="minorHAnsi" w:hAnsiTheme="minorHAnsi"/>
        </w:rPr>
        <w:t>, liquidity, and solvency.</w:t>
      </w:r>
      <w:r w:rsidR="00052964">
        <w:rPr>
          <w:rStyle w:val="FootnoteReference"/>
          <w:rFonts w:asciiTheme="minorHAnsi" w:hAnsiTheme="minorHAnsi"/>
        </w:rPr>
        <w:footnoteReference w:id="113"/>
      </w:r>
      <w:r w:rsidR="003A72EF" w:rsidRPr="003A72EF">
        <w:rPr>
          <w:rFonts w:asciiTheme="minorHAnsi" w:hAnsiTheme="minorHAnsi"/>
        </w:rPr>
        <w:cr/>
      </w:r>
    </w:p>
    <w:p w14:paraId="499A7C35" w14:textId="15CA1557" w:rsidR="00002C5C" w:rsidRPr="00487707" w:rsidRDefault="00487707" w:rsidP="00BA2054">
      <w:pPr>
        <w:pStyle w:val="BodyText"/>
        <w:rPr>
          <w:rFonts w:asciiTheme="minorHAnsi" w:hAnsiTheme="minorHAnsi"/>
          <w:b/>
          <w:bCs/>
        </w:rPr>
      </w:pPr>
      <w:r w:rsidRPr="00487707">
        <w:rPr>
          <w:rFonts w:asciiTheme="minorHAnsi" w:hAnsiTheme="minorHAnsi"/>
          <w:b/>
          <w:bCs/>
        </w:rPr>
        <w:t>Revenue</w:t>
      </w:r>
    </w:p>
    <w:p w14:paraId="505ACD48" w14:textId="7EA690AF" w:rsidR="00581F29" w:rsidRDefault="00E4487B" w:rsidP="00BA2054">
      <w:pPr>
        <w:pStyle w:val="BodyText"/>
        <w:rPr>
          <w:rFonts w:asciiTheme="minorHAnsi" w:hAnsiTheme="minorHAnsi"/>
        </w:rPr>
      </w:pPr>
      <w:r w:rsidRPr="00E4487B">
        <w:rPr>
          <w:rFonts w:asciiTheme="minorHAnsi" w:hAnsiTheme="minorHAnsi"/>
        </w:rPr>
        <w:t xml:space="preserve">The CPA analyzed the revenue forecast within the Projections. </w:t>
      </w:r>
      <w:r w:rsidR="00730ABD">
        <w:rPr>
          <w:rFonts w:asciiTheme="minorHAnsi" w:hAnsiTheme="minorHAnsi"/>
        </w:rPr>
        <w:t xml:space="preserve">Revenue streams include net patient service revenue (NPSR), research revenue from direct grants and contracts and gift related research revenue, indirect grants and contracts, unrestricted gifts, and other operating revenue. </w:t>
      </w:r>
    </w:p>
    <w:p w14:paraId="44BD702B" w14:textId="44600DE2" w:rsidR="006A2655" w:rsidRDefault="00730ABD" w:rsidP="00F91720">
      <w:pPr>
        <w:pStyle w:val="BodyText"/>
        <w:numPr>
          <w:ilvl w:val="0"/>
          <w:numId w:val="6"/>
        </w:numPr>
        <w:rPr>
          <w:rFonts w:asciiTheme="minorHAnsi" w:hAnsiTheme="minorHAnsi"/>
        </w:rPr>
      </w:pPr>
      <w:r>
        <w:rPr>
          <w:rFonts w:asciiTheme="minorHAnsi" w:hAnsiTheme="minorHAnsi"/>
        </w:rPr>
        <w:t>The CPA reports that approximately 78</w:t>
      </w:r>
      <w:r w:rsidR="00C1545C">
        <w:rPr>
          <w:rFonts w:asciiTheme="minorHAnsi" w:hAnsiTheme="minorHAnsi"/>
        </w:rPr>
        <w:t>.0 percent</w:t>
      </w:r>
      <w:r>
        <w:rPr>
          <w:rFonts w:asciiTheme="minorHAnsi" w:hAnsiTheme="minorHAnsi"/>
        </w:rPr>
        <w:t xml:space="preserve"> of revenue on average is derived from NPSR</w:t>
      </w:r>
      <w:r w:rsidR="00AF46D3">
        <w:rPr>
          <w:rFonts w:asciiTheme="minorHAnsi" w:hAnsiTheme="minorHAnsi"/>
        </w:rPr>
        <w:t xml:space="preserve"> (Average Percent of Total Operating Revenue)</w:t>
      </w:r>
      <w:r>
        <w:rPr>
          <w:rFonts w:asciiTheme="minorHAnsi" w:hAnsiTheme="minorHAnsi"/>
        </w:rPr>
        <w:t xml:space="preserve">. NPSR is projected to grow between 5.0 percent and 16.1 percent annually from FY2023 to FY2036, over the projection period, with the exception of FY2031, in which </w:t>
      </w:r>
      <w:r w:rsidR="00D37A05">
        <w:rPr>
          <w:rFonts w:asciiTheme="minorHAnsi" w:hAnsiTheme="minorHAnsi"/>
        </w:rPr>
        <w:t>NPSR is expected to grow</w:t>
      </w:r>
      <w:r>
        <w:rPr>
          <w:rFonts w:asciiTheme="minorHAnsi" w:hAnsiTheme="minorHAnsi"/>
        </w:rPr>
        <w:t xml:space="preserve"> 26.2 percent. </w:t>
      </w:r>
      <w:r w:rsidRPr="006A2655">
        <w:rPr>
          <w:rFonts w:asciiTheme="minorHAnsi" w:hAnsiTheme="minorHAnsi"/>
        </w:rPr>
        <w:t>Historical growth in NPSR for FY2018 to FY2022 ranged from 0.2 percent to 20.5 percent.</w:t>
      </w:r>
    </w:p>
    <w:p w14:paraId="4BA78BDF" w14:textId="44A9A8A4" w:rsidR="00F033D7" w:rsidRPr="006A2655" w:rsidRDefault="00730ABD" w:rsidP="00F91720">
      <w:pPr>
        <w:pStyle w:val="BodyText"/>
        <w:numPr>
          <w:ilvl w:val="0"/>
          <w:numId w:val="6"/>
        </w:numPr>
        <w:rPr>
          <w:rFonts w:asciiTheme="minorHAnsi" w:hAnsiTheme="minorHAnsi"/>
        </w:rPr>
      </w:pPr>
      <w:r w:rsidRPr="006A2655">
        <w:rPr>
          <w:rFonts w:asciiTheme="minorHAnsi" w:hAnsiTheme="minorHAnsi"/>
        </w:rPr>
        <w:t>The projected annual growth from FY2023 to FY203</w:t>
      </w:r>
      <w:r w:rsidR="000D347B">
        <w:rPr>
          <w:rFonts w:asciiTheme="minorHAnsi" w:hAnsiTheme="minorHAnsi"/>
        </w:rPr>
        <w:t>6</w:t>
      </w:r>
      <w:r w:rsidRPr="006A2655">
        <w:rPr>
          <w:rFonts w:asciiTheme="minorHAnsi" w:hAnsiTheme="minorHAnsi"/>
        </w:rPr>
        <w:t xml:space="preserve"> for Direct Research Revenues, Indirect Grants and Contracts, and Unrestricted Gifts is consistent with historical growth from FY2018 to FY2022, and these revenue streams make up 20.9 percent </w:t>
      </w:r>
      <w:r w:rsidR="00AA770E">
        <w:rPr>
          <w:rFonts w:asciiTheme="minorHAnsi" w:hAnsiTheme="minorHAnsi"/>
        </w:rPr>
        <w:t>(1</w:t>
      </w:r>
      <w:r w:rsidR="002D6CF2">
        <w:rPr>
          <w:rFonts w:asciiTheme="minorHAnsi" w:hAnsiTheme="minorHAnsi"/>
        </w:rPr>
        <w:t>4.5%, 3.8%, and 2.6%, respectively)</w:t>
      </w:r>
      <w:r w:rsidRPr="006A2655">
        <w:rPr>
          <w:rFonts w:asciiTheme="minorHAnsi" w:hAnsiTheme="minorHAnsi"/>
        </w:rPr>
        <w:t xml:space="preserve"> of total operating revenue over the projection period. </w:t>
      </w:r>
    </w:p>
    <w:p w14:paraId="00F7E672" w14:textId="0FB72906" w:rsidR="006A2655" w:rsidRPr="0097336F" w:rsidRDefault="00041F5E" w:rsidP="00F91720">
      <w:pPr>
        <w:pStyle w:val="BodyText"/>
        <w:numPr>
          <w:ilvl w:val="0"/>
          <w:numId w:val="6"/>
        </w:numPr>
        <w:rPr>
          <w:rFonts w:asciiTheme="minorHAnsi" w:hAnsiTheme="minorHAnsi"/>
        </w:rPr>
      </w:pPr>
      <w:r>
        <w:rPr>
          <w:rFonts w:asciiTheme="minorHAnsi" w:hAnsiTheme="minorHAnsi"/>
        </w:rPr>
        <w:t>F</w:t>
      </w:r>
      <w:r w:rsidRPr="00041F5E">
        <w:rPr>
          <w:rFonts w:asciiTheme="minorHAnsi" w:hAnsiTheme="minorHAnsi"/>
        </w:rPr>
        <w:t xml:space="preserve">uture </w:t>
      </w:r>
      <w:r>
        <w:rPr>
          <w:rFonts w:asciiTheme="minorHAnsi" w:hAnsiTheme="minorHAnsi"/>
        </w:rPr>
        <w:t xml:space="preserve">NPSR </w:t>
      </w:r>
      <w:r w:rsidRPr="00041F5E">
        <w:rPr>
          <w:rFonts w:asciiTheme="minorHAnsi" w:hAnsiTheme="minorHAnsi"/>
        </w:rPr>
        <w:t>annual growth from FY2023 to FY2036 is consistent with historical annual growth from FY2018 and FY2022</w:t>
      </w:r>
      <w:r w:rsidR="00802B3A">
        <w:rPr>
          <w:rFonts w:asciiTheme="minorHAnsi" w:hAnsiTheme="minorHAnsi"/>
        </w:rPr>
        <w:t xml:space="preserve"> (0.2% to 20.5%)</w:t>
      </w:r>
      <w:r w:rsidRPr="00041F5E">
        <w:rPr>
          <w:rFonts w:asciiTheme="minorHAnsi" w:hAnsiTheme="minorHAnsi"/>
        </w:rPr>
        <w:t>.</w:t>
      </w:r>
      <w:r w:rsidR="0097336F">
        <w:rPr>
          <w:rFonts w:asciiTheme="minorHAnsi" w:hAnsiTheme="minorHAnsi"/>
        </w:rPr>
        <w:t xml:space="preserve"> </w:t>
      </w:r>
      <w:r w:rsidR="0009366B" w:rsidRPr="002963A8">
        <w:rPr>
          <w:rFonts w:asciiTheme="minorHAnsi" w:hAnsiTheme="minorHAnsi"/>
        </w:rPr>
        <w:t xml:space="preserve">The higher NPSR growth for FY2023 (16.1 percent) is attributed to the opening of the new Foxborough cancer treatment center in Foxborough, MA (Patriot Place). </w:t>
      </w:r>
      <w:r w:rsidR="007452DD" w:rsidRPr="0097336F">
        <w:rPr>
          <w:rFonts w:asciiTheme="minorHAnsi" w:hAnsiTheme="minorHAnsi"/>
        </w:rPr>
        <w:t xml:space="preserve">NPSR growth is expected to be higher in FY2031 (26.2 percent) due primarily to the start of the operations of the Proposed Project. </w:t>
      </w:r>
    </w:p>
    <w:p w14:paraId="19DFD087" w14:textId="54030D42" w:rsidR="007452DD" w:rsidRDefault="00193BB5" w:rsidP="00F91720">
      <w:pPr>
        <w:pStyle w:val="BodyText"/>
        <w:numPr>
          <w:ilvl w:val="0"/>
          <w:numId w:val="6"/>
        </w:numPr>
        <w:rPr>
          <w:rFonts w:asciiTheme="minorHAnsi" w:hAnsiTheme="minorHAnsi"/>
        </w:rPr>
      </w:pPr>
      <w:r>
        <w:rPr>
          <w:rFonts w:asciiTheme="minorHAnsi" w:hAnsiTheme="minorHAnsi"/>
        </w:rPr>
        <w:t>The fourteen-year compound annual growth rate (CAGR) from FY202</w:t>
      </w:r>
      <w:r w:rsidR="006142D5">
        <w:rPr>
          <w:rFonts w:asciiTheme="minorHAnsi" w:hAnsiTheme="minorHAnsi"/>
        </w:rPr>
        <w:t>3</w:t>
      </w:r>
      <w:r>
        <w:rPr>
          <w:rFonts w:asciiTheme="minorHAnsi" w:hAnsiTheme="minorHAnsi"/>
        </w:rPr>
        <w:t xml:space="preserve"> to FY2036 for total operating revenue in the Projections of 8.3 percent is within the range of DFCI’s revenue growth from FY2018 to FY2022, between 0.2 percent to 20.5 percent. </w:t>
      </w:r>
    </w:p>
    <w:p w14:paraId="528A6044" w14:textId="77777777" w:rsidR="001546D1" w:rsidRDefault="001546D1" w:rsidP="00BA2054">
      <w:pPr>
        <w:pStyle w:val="BodyText"/>
        <w:rPr>
          <w:rFonts w:asciiTheme="minorHAnsi" w:hAnsiTheme="minorHAnsi"/>
        </w:rPr>
      </w:pPr>
    </w:p>
    <w:p w14:paraId="7622A0EC" w14:textId="5E8123B7" w:rsidR="001546D1" w:rsidRDefault="001546D1" w:rsidP="00BA2054">
      <w:pPr>
        <w:pStyle w:val="BodyText"/>
        <w:rPr>
          <w:rFonts w:asciiTheme="minorHAnsi" w:hAnsiTheme="minorHAnsi"/>
        </w:rPr>
      </w:pPr>
      <w:r>
        <w:rPr>
          <w:rFonts w:asciiTheme="minorHAnsi" w:hAnsiTheme="minorHAnsi"/>
        </w:rPr>
        <w:t>The CPA concluded that the revenue growth projected by Management is based on reasonable assumptions and is feasible for the combined operations of DFCI</w:t>
      </w:r>
      <w:r w:rsidR="00A761DC">
        <w:rPr>
          <w:rFonts w:asciiTheme="minorHAnsi" w:hAnsiTheme="minorHAnsi"/>
        </w:rPr>
        <w:t>.</w:t>
      </w:r>
    </w:p>
    <w:p w14:paraId="1DE09BDB" w14:textId="77777777" w:rsidR="00A761DC" w:rsidRDefault="00A761DC" w:rsidP="00BA2054">
      <w:pPr>
        <w:pStyle w:val="BodyText"/>
        <w:rPr>
          <w:rFonts w:asciiTheme="minorHAnsi" w:hAnsiTheme="minorHAnsi"/>
        </w:rPr>
      </w:pPr>
    </w:p>
    <w:p w14:paraId="6FB58818" w14:textId="2F2F01A9" w:rsidR="001546D1" w:rsidRPr="001546D1" w:rsidRDefault="001546D1" w:rsidP="00BA2054">
      <w:pPr>
        <w:pStyle w:val="BodyText"/>
        <w:rPr>
          <w:rFonts w:asciiTheme="minorHAnsi" w:hAnsiTheme="minorHAnsi"/>
          <w:b/>
          <w:bCs/>
        </w:rPr>
      </w:pPr>
      <w:r w:rsidRPr="001546D1">
        <w:rPr>
          <w:rFonts w:asciiTheme="minorHAnsi" w:hAnsiTheme="minorHAnsi"/>
          <w:b/>
          <w:bCs/>
        </w:rPr>
        <w:t>Operating Expenses</w:t>
      </w:r>
    </w:p>
    <w:p w14:paraId="38BF3351" w14:textId="54E725B3" w:rsidR="00215B99" w:rsidRDefault="0073607C" w:rsidP="00BA2054">
      <w:pPr>
        <w:pStyle w:val="BodyText"/>
        <w:rPr>
          <w:rFonts w:asciiTheme="minorHAnsi" w:hAnsiTheme="minorHAnsi"/>
        </w:rPr>
      </w:pPr>
      <w:r>
        <w:rPr>
          <w:rFonts w:asciiTheme="minorHAnsi" w:hAnsiTheme="minorHAnsi"/>
        </w:rPr>
        <w:t xml:space="preserve">The CPA </w:t>
      </w:r>
      <w:r w:rsidRPr="0073607C">
        <w:rPr>
          <w:rFonts w:asciiTheme="minorHAnsi" w:hAnsiTheme="minorHAnsi"/>
        </w:rPr>
        <w:t>analyzed each of the categorized operating expenses for reasonableness and feasibility related to the Projections.</w:t>
      </w:r>
      <w:r>
        <w:rPr>
          <w:rFonts w:asciiTheme="minorHAnsi" w:hAnsiTheme="minorHAnsi"/>
        </w:rPr>
        <w:t xml:space="preserve"> </w:t>
      </w:r>
      <w:r w:rsidR="00070DB9">
        <w:rPr>
          <w:rFonts w:asciiTheme="minorHAnsi" w:hAnsiTheme="minorHAnsi"/>
        </w:rPr>
        <w:t>Operating expenses in the analyses are broken out into three categories: patient service, research, and general &amp; administrative.</w:t>
      </w:r>
      <w:r w:rsidR="00070DB9">
        <w:rPr>
          <w:rStyle w:val="FootnoteReference"/>
          <w:rFonts w:asciiTheme="minorHAnsi" w:hAnsiTheme="minorHAnsi"/>
        </w:rPr>
        <w:footnoteReference w:id="114"/>
      </w:r>
      <w:r w:rsidR="00BD2759">
        <w:rPr>
          <w:rFonts w:asciiTheme="minorHAnsi" w:hAnsiTheme="minorHAnsi"/>
        </w:rPr>
        <w:t xml:space="preserve"> </w:t>
      </w:r>
    </w:p>
    <w:p w14:paraId="444D3324" w14:textId="77777777" w:rsidR="00564EA6" w:rsidRDefault="00BD2759" w:rsidP="00F91720">
      <w:pPr>
        <w:pStyle w:val="BodyText"/>
        <w:numPr>
          <w:ilvl w:val="0"/>
          <w:numId w:val="16"/>
        </w:numPr>
        <w:rPr>
          <w:rFonts w:asciiTheme="minorHAnsi" w:hAnsiTheme="minorHAnsi"/>
        </w:rPr>
      </w:pPr>
      <w:r>
        <w:rPr>
          <w:rFonts w:asciiTheme="minorHAnsi" w:hAnsiTheme="minorHAnsi"/>
        </w:rPr>
        <w:t xml:space="preserve">The Projections indicate a total operating expense growth from FY2023 to FY2036 of 5.5 percent to 20.5 percent, with an average growth rate of 7.5 percent, excluding the highest year of 20.5 percent. The CPA states that the primary driver of the higher expenses are increased drug costs, with the pharmacy being the main contributor to expense growth. </w:t>
      </w:r>
      <w:r w:rsidR="00FE1906">
        <w:rPr>
          <w:rFonts w:asciiTheme="minorHAnsi" w:hAnsiTheme="minorHAnsi"/>
        </w:rPr>
        <w:t xml:space="preserve">The CPA states that Management expects the drivers of expense growth to moderate over time, and decline to 5.5 percent by FY2030. </w:t>
      </w:r>
    </w:p>
    <w:p w14:paraId="4E489291" w14:textId="00AD7658" w:rsidR="00FE1906" w:rsidRDefault="00FE1906" w:rsidP="00F91720">
      <w:pPr>
        <w:pStyle w:val="BodyText"/>
        <w:numPr>
          <w:ilvl w:val="0"/>
          <w:numId w:val="16"/>
        </w:numPr>
        <w:rPr>
          <w:rFonts w:asciiTheme="minorHAnsi" w:hAnsiTheme="minorHAnsi"/>
        </w:rPr>
      </w:pPr>
      <w:r>
        <w:rPr>
          <w:rFonts w:asciiTheme="minorHAnsi" w:hAnsiTheme="minorHAnsi"/>
        </w:rPr>
        <w:lastRenderedPageBreak/>
        <w:t xml:space="preserve">The projected annual growth in operating expense </w:t>
      </w:r>
      <w:r w:rsidR="001132C7">
        <w:rPr>
          <w:rFonts w:asciiTheme="minorHAnsi" w:hAnsiTheme="minorHAnsi"/>
        </w:rPr>
        <w:t>(5.5% to 11.9%)</w:t>
      </w:r>
      <w:r w:rsidDel="001132C7">
        <w:rPr>
          <w:rFonts w:asciiTheme="minorHAnsi" w:hAnsiTheme="minorHAnsi"/>
        </w:rPr>
        <w:t xml:space="preserve"> </w:t>
      </w:r>
      <w:r>
        <w:rPr>
          <w:rFonts w:asciiTheme="minorHAnsi" w:hAnsiTheme="minorHAnsi"/>
        </w:rPr>
        <w:t>from FY2023 to FY2036 is consistent with the historical annual growth range</w:t>
      </w:r>
      <w:r w:rsidR="00357A8D">
        <w:rPr>
          <w:rFonts w:asciiTheme="minorHAnsi" w:hAnsiTheme="minorHAnsi"/>
        </w:rPr>
        <w:t xml:space="preserve"> (2.3% to 14.7%)</w:t>
      </w:r>
      <w:r>
        <w:rPr>
          <w:rFonts w:asciiTheme="minorHAnsi" w:hAnsiTheme="minorHAnsi"/>
        </w:rPr>
        <w:t xml:space="preserve">, with the exception of FY2031 where the growth was projected to be 20.5 percent. This, the CPA states, is related to the projected added revenue generated from the operations of the Proposed Project. </w:t>
      </w:r>
    </w:p>
    <w:p w14:paraId="05F4FB82" w14:textId="77777777" w:rsidR="00FE1906" w:rsidRDefault="00FE1906" w:rsidP="00BA2054">
      <w:pPr>
        <w:pStyle w:val="BodyText"/>
        <w:rPr>
          <w:rFonts w:asciiTheme="minorHAnsi" w:hAnsiTheme="minorHAnsi"/>
        </w:rPr>
      </w:pPr>
    </w:p>
    <w:p w14:paraId="3D2CF2C1" w14:textId="4EC0A8F2" w:rsidR="00FE1906" w:rsidRDefault="00FE1906" w:rsidP="00BA2054">
      <w:pPr>
        <w:pStyle w:val="BodyText"/>
        <w:rPr>
          <w:rFonts w:asciiTheme="minorHAnsi" w:hAnsiTheme="minorHAnsi"/>
        </w:rPr>
      </w:pPr>
      <w:r>
        <w:rPr>
          <w:rFonts w:asciiTheme="minorHAnsi" w:hAnsiTheme="minorHAnsi"/>
        </w:rPr>
        <w:t xml:space="preserve">The CPA notes that the projected total expenses as a percentage of total revenue range from 96.5 percent to 99.4 percent from FY2023 to FY2036, noting further that the level of total operating expenses is consistent with the historical total expenses as a percentage of total revenue, which ranged from 97.5 percent to 98.4 percent from FY2018 to FY2022, with the exception of FY2020, which was approximately 100.9 percent of total revenue. </w:t>
      </w:r>
    </w:p>
    <w:p w14:paraId="18C5B132" w14:textId="77777777" w:rsidR="00DF5755" w:rsidRDefault="00DF5755" w:rsidP="00BA2054">
      <w:pPr>
        <w:pStyle w:val="BodyText"/>
        <w:rPr>
          <w:rFonts w:asciiTheme="minorHAnsi" w:hAnsiTheme="minorHAnsi"/>
        </w:rPr>
      </w:pPr>
    </w:p>
    <w:p w14:paraId="73DDC7E1" w14:textId="04ECB6B0" w:rsidR="00DF5755" w:rsidRPr="00DF5755" w:rsidRDefault="00DF5755" w:rsidP="00CC5842">
      <w:pPr>
        <w:pStyle w:val="BodyText"/>
        <w:rPr>
          <w:rFonts w:asciiTheme="minorHAnsi" w:hAnsiTheme="minorHAnsi"/>
        </w:rPr>
      </w:pPr>
      <w:r w:rsidRPr="00DF5755">
        <w:rPr>
          <w:rFonts w:asciiTheme="minorHAnsi" w:hAnsiTheme="minorHAnsi"/>
        </w:rPr>
        <w:t xml:space="preserve">The CPA concluded that the </w:t>
      </w:r>
      <w:r w:rsidR="00CC5842" w:rsidRPr="00CC5842">
        <w:rPr>
          <w:rFonts w:asciiTheme="minorHAnsi" w:hAnsiTheme="minorHAnsi"/>
        </w:rPr>
        <w:t>operating expenses within the Projections reflect reasonable</w:t>
      </w:r>
      <w:r w:rsidR="009F611C">
        <w:rPr>
          <w:rFonts w:asciiTheme="minorHAnsi" w:hAnsiTheme="minorHAnsi"/>
        </w:rPr>
        <w:t xml:space="preserve"> </w:t>
      </w:r>
      <w:r w:rsidR="00CC5842" w:rsidRPr="00CC5842">
        <w:rPr>
          <w:rFonts w:asciiTheme="minorHAnsi" w:hAnsiTheme="minorHAnsi"/>
        </w:rPr>
        <w:t>estimation of future expenses of the Applicant</w:t>
      </w:r>
      <w:r w:rsidRPr="00DF5755">
        <w:rPr>
          <w:rFonts w:asciiTheme="minorHAnsi" w:hAnsiTheme="minorHAnsi"/>
        </w:rPr>
        <w:t>.</w:t>
      </w:r>
    </w:p>
    <w:p w14:paraId="28F2F986" w14:textId="77777777" w:rsidR="00DF5755" w:rsidRDefault="00DF5755" w:rsidP="00BA2054">
      <w:pPr>
        <w:pStyle w:val="BodyText"/>
        <w:rPr>
          <w:rFonts w:asciiTheme="minorHAnsi" w:hAnsiTheme="minorHAnsi"/>
        </w:rPr>
      </w:pPr>
    </w:p>
    <w:p w14:paraId="7E6FD57E" w14:textId="440851CD" w:rsidR="00FE1906" w:rsidRPr="00FE1906" w:rsidRDefault="00FE1906" w:rsidP="00BA2054">
      <w:pPr>
        <w:pStyle w:val="BodyText"/>
        <w:rPr>
          <w:rFonts w:asciiTheme="minorHAnsi" w:hAnsiTheme="minorHAnsi"/>
          <w:b/>
          <w:bCs/>
        </w:rPr>
      </w:pPr>
      <w:r w:rsidRPr="00FE1906">
        <w:rPr>
          <w:rFonts w:asciiTheme="minorHAnsi" w:hAnsiTheme="minorHAnsi"/>
          <w:b/>
          <w:bCs/>
        </w:rPr>
        <w:t xml:space="preserve">Capital Expenditures and Proposed Project Financing </w:t>
      </w:r>
    </w:p>
    <w:p w14:paraId="62A7EE71" w14:textId="5406BEF3" w:rsidR="00823223" w:rsidRDefault="00F60E4C" w:rsidP="00BA2054">
      <w:pPr>
        <w:pStyle w:val="BodyText"/>
        <w:rPr>
          <w:rFonts w:asciiTheme="minorHAnsi" w:hAnsiTheme="minorHAnsi"/>
        </w:rPr>
      </w:pPr>
      <w:r>
        <w:rPr>
          <w:rFonts w:asciiTheme="minorHAnsi" w:hAnsiTheme="minorHAnsi"/>
        </w:rPr>
        <w:t>The CPA reviewed the project costs related to the Proposed Project. The CPA states that the project costs, which were developed jointly by DFCI and Leggat McCall Properties, the Applicant’s project representative, is based on the following:</w:t>
      </w:r>
      <w:r w:rsidR="00E53BE6">
        <w:rPr>
          <w:rFonts w:asciiTheme="minorHAnsi" w:hAnsiTheme="minorHAnsi"/>
        </w:rPr>
        <w:t xml:space="preserve"> </w:t>
      </w:r>
      <w:r w:rsidR="00E53BE6" w:rsidRPr="00E53BE6">
        <w:rPr>
          <w:rFonts w:asciiTheme="minorHAnsi" w:hAnsiTheme="minorHAnsi"/>
        </w:rPr>
        <w:t>(1) an initial construction estimate by the Proposed Project’s construction manager and (2) historic cost data from both DFCI and Leggat McCall.</w:t>
      </w:r>
      <w:r w:rsidR="00E53BE6">
        <w:rPr>
          <w:rFonts w:asciiTheme="minorHAnsi" w:hAnsiTheme="minorHAnsi"/>
        </w:rPr>
        <w:t xml:space="preserve"> </w:t>
      </w:r>
      <w:r w:rsidR="00FE47D5">
        <w:rPr>
          <w:rFonts w:asciiTheme="minorHAnsi" w:hAnsiTheme="minorHAnsi"/>
        </w:rPr>
        <w:t xml:space="preserve">The CPA notes that construction costs </w:t>
      </w:r>
      <w:r w:rsidR="00A009C7">
        <w:rPr>
          <w:rFonts w:asciiTheme="minorHAnsi" w:hAnsiTheme="minorHAnsi"/>
        </w:rPr>
        <w:t>(</w:t>
      </w:r>
      <w:r w:rsidR="00A009C7" w:rsidRPr="00A009C7">
        <w:rPr>
          <w:rFonts w:asciiTheme="minorHAnsi" w:hAnsiTheme="minorHAnsi"/>
        </w:rPr>
        <w:t>$ 1,570,561,818</w:t>
      </w:r>
      <w:r w:rsidR="00A009C7">
        <w:rPr>
          <w:rFonts w:asciiTheme="minorHAnsi" w:hAnsiTheme="minorHAnsi"/>
        </w:rPr>
        <w:t>)</w:t>
      </w:r>
      <w:r w:rsidR="00FE47D5">
        <w:rPr>
          <w:rFonts w:asciiTheme="minorHAnsi" w:hAnsiTheme="minorHAnsi"/>
        </w:rPr>
        <w:t xml:space="preserve"> is approximately 93.7 percent of the total project cost. </w:t>
      </w:r>
    </w:p>
    <w:p w14:paraId="656589CC" w14:textId="77777777" w:rsidR="00823223" w:rsidRDefault="00823223" w:rsidP="00BA2054">
      <w:pPr>
        <w:pStyle w:val="BodyText"/>
        <w:rPr>
          <w:rFonts w:asciiTheme="minorHAnsi" w:hAnsiTheme="minorHAnsi"/>
        </w:rPr>
      </w:pPr>
    </w:p>
    <w:p w14:paraId="386B6CC8" w14:textId="77777777" w:rsidR="00823223" w:rsidRDefault="00FE47D5" w:rsidP="00BA2054">
      <w:pPr>
        <w:pStyle w:val="BodyText"/>
        <w:rPr>
          <w:rFonts w:asciiTheme="minorHAnsi" w:hAnsiTheme="minorHAnsi"/>
        </w:rPr>
      </w:pPr>
      <w:r>
        <w:rPr>
          <w:rFonts w:asciiTheme="minorHAnsi" w:hAnsiTheme="minorHAnsi"/>
        </w:rPr>
        <w:t xml:space="preserve">The CPA reviewed the supporting documentation building up the total maximum capital expenditure. The CPA also reviewed the proposed financing of the Proposed Project. The Projections detailed a mix of debt financing and various types of contributions. Debt financing accounts for approximately 77.6 percent of the estimated capital expenditures, and the remaining funds will be sourced from Beth Israel Deaconess Medical Center and surplus funds drawn from the President’s Initiative Fund of the Applicant. </w:t>
      </w:r>
    </w:p>
    <w:p w14:paraId="04808938" w14:textId="77777777" w:rsidR="00823223" w:rsidRDefault="00823223" w:rsidP="00BA2054">
      <w:pPr>
        <w:pStyle w:val="BodyText"/>
        <w:rPr>
          <w:rFonts w:asciiTheme="minorHAnsi" w:hAnsiTheme="minorHAnsi"/>
        </w:rPr>
      </w:pPr>
    </w:p>
    <w:p w14:paraId="357EB66C" w14:textId="11C3398A" w:rsidR="00823223" w:rsidRDefault="00F47C32" w:rsidP="00BA2054">
      <w:pPr>
        <w:pStyle w:val="BodyText"/>
        <w:rPr>
          <w:rFonts w:asciiTheme="minorHAnsi" w:hAnsiTheme="minorHAnsi"/>
        </w:rPr>
      </w:pPr>
      <w:r>
        <w:rPr>
          <w:rFonts w:asciiTheme="minorHAnsi" w:hAnsiTheme="minorHAnsi"/>
        </w:rPr>
        <w:t xml:space="preserve">DFCI plans to raise up </w:t>
      </w:r>
      <w:r w:rsidR="00F956FD">
        <w:rPr>
          <w:rFonts w:asciiTheme="minorHAnsi" w:hAnsiTheme="minorHAnsi"/>
        </w:rPr>
        <w:t xml:space="preserve">to </w:t>
      </w:r>
      <w:r>
        <w:rPr>
          <w:rFonts w:asciiTheme="minorHAnsi" w:hAnsiTheme="minorHAnsi"/>
        </w:rPr>
        <w:t>approximately $1.8 billion through debt financing for the Proposed Project, with $1.3 billion of that amount allocated to the DoN. The CPA reviewed the debit credit rating analysis conducted by Goldman Sachs &amp; Co. LLC</w:t>
      </w:r>
      <w:r w:rsidR="00E61A85">
        <w:rPr>
          <w:rFonts w:asciiTheme="minorHAnsi" w:hAnsiTheme="minorHAnsi"/>
        </w:rPr>
        <w:t>,</w:t>
      </w:r>
      <w:r>
        <w:rPr>
          <w:rFonts w:asciiTheme="minorHAnsi" w:hAnsiTheme="minorHAnsi"/>
        </w:rPr>
        <w:t xml:space="preserve"> </w:t>
      </w:r>
      <w:r w:rsidR="00E61A85" w:rsidRPr="00E61A85">
        <w:rPr>
          <w:rFonts w:asciiTheme="minorHAnsi" w:hAnsiTheme="minorHAnsi"/>
        </w:rPr>
        <w:t>who was engaged to assist the Applicant with the debt raising initiative</w:t>
      </w:r>
      <w:r w:rsidR="00E61A85">
        <w:rPr>
          <w:rFonts w:asciiTheme="minorHAnsi" w:hAnsiTheme="minorHAnsi"/>
        </w:rPr>
        <w:t xml:space="preserve">, </w:t>
      </w:r>
      <w:r w:rsidR="00B140F7">
        <w:rPr>
          <w:rFonts w:asciiTheme="minorHAnsi" w:hAnsiTheme="minorHAnsi"/>
        </w:rPr>
        <w:t>noting</w:t>
      </w:r>
      <w:r>
        <w:rPr>
          <w:rFonts w:asciiTheme="minorHAnsi" w:hAnsiTheme="minorHAnsi"/>
        </w:rPr>
        <w:t xml:space="preserve"> that their initial analysis was performed in February 2023 and was based on market assumptions at that time and reflected a lower financing amount of $1.5 billion. The Goldman Sachs analysis in February 2023, states that there was a high probability that DFCI would secure access to capital ($1.5 billion) for the project, but with a potentially lower credit rating of Baa1 compared to the current A1 rating issued by Moody’s Corporation (Moody’s). The potential downgrade is primarily due to the additional debt incurred. Goldman Sachs indicated that the debt raise would likely reduce financial flexibility and could result in a credit rating downgrade potential down three notches to Baa1 by Moody’s and two notches to BBB+ by Standard and Poor’s</w:t>
      </w:r>
      <w:r w:rsidR="001728D3">
        <w:rPr>
          <w:rFonts w:asciiTheme="minorHAnsi" w:hAnsiTheme="minorHAnsi"/>
        </w:rPr>
        <w:t xml:space="preserve"> (S&amp;P)</w:t>
      </w:r>
      <w:r>
        <w:rPr>
          <w:rFonts w:asciiTheme="minorHAnsi" w:hAnsiTheme="minorHAnsi"/>
        </w:rPr>
        <w:t xml:space="preserve">. </w:t>
      </w:r>
    </w:p>
    <w:p w14:paraId="1A84F8CF" w14:textId="77777777" w:rsidR="00823223" w:rsidRDefault="00823223" w:rsidP="00BA2054">
      <w:pPr>
        <w:pStyle w:val="BodyText"/>
        <w:rPr>
          <w:rFonts w:asciiTheme="minorHAnsi" w:hAnsiTheme="minorHAnsi"/>
        </w:rPr>
      </w:pPr>
    </w:p>
    <w:p w14:paraId="70D33BE0" w14:textId="098312B7" w:rsidR="00FE1906" w:rsidRDefault="00F47C32" w:rsidP="00BA2054">
      <w:pPr>
        <w:pStyle w:val="BodyText"/>
        <w:rPr>
          <w:rFonts w:asciiTheme="minorHAnsi" w:hAnsiTheme="minorHAnsi"/>
        </w:rPr>
      </w:pPr>
      <w:r>
        <w:rPr>
          <w:rFonts w:asciiTheme="minorHAnsi" w:hAnsiTheme="minorHAnsi"/>
        </w:rPr>
        <w:t xml:space="preserve">The CPA states that during the construction period, DFCI’s financial metrics (days cash on hand, cash </w:t>
      </w:r>
      <w:r>
        <w:rPr>
          <w:rFonts w:asciiTheme="minorHAnsi" w:hAnsiTheme="minorHAnsi"/>
        </w:rPr>
        <w:lastRenderedPageBreak/>
        <w:t>to debt, maximum annual debt service</w:t>
      </w:r>
      <w:r w:rsidR="001728D3">
        <w:rPr>
          <w:rFonts w:asciiTheme="minorHAnsi" w:hAnsiTheme="minorHAnsi"/>
        </w:rPr>
        <w:t xml:space="preserve"> (MADS)</w:t>
      </w:r>
      <w:r>
        <w:rPr>
          <w:rFonts w:asciiTheme="minorHAnsi" w:hAnsiTheme="minorHAnsi"/>
        </w:rPr>
        <w:t xml:space="preserve"> coverage, debt to cash flow, and debt to capitalization) are expected to underperform to the weakest quartile of Moody’s Baa1-rated credit metrics</w:t>
      </w:r>
      <w:r w:rsidR="009E0816">
        <w:rPr>
          <w:rFonts w:asciiTheme="minorHAnsi" w:hAnsiTheme="minorHAnsi"/>
        </w:rPr>
        <w:t xml:space="preserve">. </w:t>
      </w:r>
      <w:r w:rsidR="009E0816" w:rsidRPr="009E0816">
        <w:rPr>
          <w:rFonts w:asciiTheme="minorHAnsi" w:hAnsiTheme="minorHAnsi"/>
        </w:rPr>
        <w:t>This potential credit rating downgrade will impact DFCI's</w:t>
      </w:r>
      <w:r w:rsidR="009E0816">
        <w:rPr>
          <w:rFonts w:asciiTheme="minorHAnsi" w:hAnsiTheme="minorHAnsi"/>
        </w:rPr>
        <w:t xml:space="preserve"> </w:t>
      </w:r>
      <w:r w:rsidR="009E0816" w:rsidRPr="009E0816">
        <w:rPr>
          <w:rFonts w:asciiTheme="minorHAnsi" w:hAnsiTheme="minorHAnsi"/>
        </w:rPr>
        <w:t>current and future borrowing costs, potentially affecting any future lines of credit or short-term borrowings required during periods of cash flow shortfall, operational challenges, and unexpected costs.</w:t>
      </w:r>
      <w:r w:rsidR="009E0816">
        <w:rPr>
          <w:rFonts w:asciiTheme="minorHAnsi" w:hAnsiTheme="minorHAnsi"/>
        </w:rPr>
        <w:t xml:space="preserve"> </w:t>
      </w:r>
      <w:r w:rsidR="00545AB2" w:rsidRPr="00545AB2">
        <w:rPr>
          <w:rFonts w:asciiTheme="minorHAnsi" w:hAnsiTheme="minorHAnsi"/>
        </w:rPr>
        <w:t>Goldman Sachs also highlighted that DFCI's qualitative strengths would help mitigate the financial and strategic risks associated with the Proposed Project</w:t>
      </w:r>
      <w:r w:rsidR="004C1479">
        <w:rPr>
          <w:rFonts w:asciiTheme="minorHAnsi" w:hAnsiTheme="minorHAnsi"/>
        </w:rPr>
        <w:t xml:space="preserve"> citing DFCI’s 75-year legacy providing cancer care, and its prior experience navigating financial and strategic risks. </w:t>
      </w:r>
    </w:p>
    <w:p w14:paraId="00B701E8" w14:textId="77777777" w:rsidR="00823223" w:rsidRDefault="00823223" w:rsidP="00BA2054">
      <w:pPr>
        <w:pStyle w:val="BodyText"/>
        <w:rPr>
          <w:rFonts w:asciiTheme="minorHAnsi" w:hAnsiTheme="minorHAnsi"/>
        </w:rPr>
      </w:pPr>
    </w:p>
    <w:p w14:paraId="63187E4B" w14:textId="0EDA1178" w:rsidR="00D500F2" w:rsidRDefault="00D500F2" w:rsidP="00BA2054">
      <w:pPr>
        <w:pStyle w:val="BodyText"/>
        <w:rPr>
          <w:rFonts w:asciiTheme="minorHAnsi" w:hAnsiTheme="minorHAnsi"/>
        </w:rPr>
      </w:pPr>
      <w:r>
        <w:rPr>
          <w:rFonts w:asciiTheme="minorHAnsi" w:hAnsiTheme="minorHAnsi"/>
        </w:rPr>
        <w:t xml:space="preserve">The CPA also reviewed a partially updated analysis which included the updated maximum debt balance of $1.8 billion and the latest construction timeline. The updated analysis from Goldman Sachs suggested that DFCI is on track to recover from the risks and financial stressors associated with the construction period by the time the new hospital is expected to be operational. </w:t>
      </w:r>
    </w:p>
    <w:p w14:paraId="0421FB58" w14:textId="77777777" w:rsidR="00823223" w:rsidRDefault="00823223" w:rsidP="00BA2054">
      <w:pPr>
        <w:pStyle w:val="BodyText"/>
        <w:rPr>
          <w:rFonts w:asciiTheme="minorHAnsi" w:hAnsiTheme="minorHAnsi"/>
        </w:rPr>
      </w:pPr>
    </w:p>
    <w:p w14:paraId="499E6A58" w14:textId="378C22CB" w:rsidR="00D500F2" w:rsidRDefault="00D500F2" w:rsidP="00BA2054">
      <w:pPr>
        <w:pStyle w:val="BodyText"/>
        <w:rPr>
          <w:rFonts w:asciiTheme="minorHAnsi" w:hAnsiTheme="minorHAnsi"/>
        </w:rPr>
      </w:pPr>
      <w:r>
        <w:rPr>
          <w:rFonts w:asciiTheme="minorHAnsi" w:hAnsiTheme="minorHAnsi"/>
        </w:rPr>
        <w:t xml:space="preserve">To further test the financial flexibility of the Applicant, the CPA conducted a sensitivity analysis of the Projections using the current interest rate corresponding to a </w:t>
      </w:r>
      <w:r w:rsidRPr="0019333A">
        <w:rPr>
          <w:rFonts w:asciiTheme="minorHAnsi" w:hAnsiTheme="minorHAnsi"/>
        </w:rPr>
        <w:t>BB</w:t>
      </w:r>
      <w:r>
        <w:rPr>
          <w:rFonts w:asciiTheme="minorHAnsi" w:hAnsiTheme="minorHAnsi"/>
        </w:rPr>
        <w:t xml:space="preserve"> credit rating</w:t>
      </w:r>
      <w:r w:rsidR="00BD331B">
        <w:rPr>
          <w:rFonts w:asciiTheme="minorHAnsi" w:hAnsiTheme="minorHAnsi"/>
        </w:rPr>
        <w:t xml:space="preserve">, which is one notch below what Goldman Sachs indicated and what the Applicant anticipates. </w:t>
      </w:r>
      <w:r>
        <w:rPr>
          <w:rFonts w:asciiTheme="minorHAnsi" w:hAnsiTheme="minorHAnsi"/>
        </w:rPr>
        <w:t xml:space="preserve">The </w:t>
      </w:r>
      <w:r w:rsidR="003108C3">
        <w:rPr>
          <w:rFonts w:asciiTheme="minorHAnsi" w:hAnsiTheme="minorHAnsi"/>
        </w:rPr>
        <w:t>CPA’s</w:t>
      </w:r>
      <w:r>
        <w:rPr>
          <w:rFonts w:asciiTheme="minorHAnsi" w:hAnsiTheme="minorHAnsi"/>
        </w:rPr>
        <w:t xml:space="preserve"> analysis indicated that under this scenario, the Applicant would still generate a positive operating surplus and maintain a positive net asset balance throughout the Projection Period, suggesting that DFCI has a strong financial position and is well-equipped to handle potential financial stressors. </w:t>
      </w:r>
    </w:p>
    <w:p w14:paraId="71B79838" w14:textId="77777777" w:rsidR="00BD331B" w:rsidRDefault="00BD331B" w:rsidP="00BA2054">
      <w:pPr>
        <w:pStyle w:val="BodyText"/>
        <w:rPr>
          <w:rFonts w:asciiTheme="minorHAnsi" w:hAnsiTheme="minorHAnsi"/>
        </w:rPr>
      </w:pPr>
    </w:p>
    <w:p w14:paraId="7CF95C45" w14:textId="76682062" w:rsidR="00BD331B" w:rsidRDefault="00A413C2" w:rsidP="00BA2054">
      <w:pPr>
        <w:pStyle w:val="BodyText"/>
        <w:rPr>
          <w:rFonts w:asciiTheme="minorHAnsi" w:hAnsiTheme="minorHAnsi"/>
        </w:rPr>
      </w:pPr>
      <w:r>
        <w:rPr>
          <w:rFonts w:asciiTheme="minorHAnsi" w:hAnsiTheme="minorHAnsi"/>
        </w:rPr>
        <w:t>The</w:t>
      </w:r>
      <w:r w:rsidR="00BD331B">
        <w:rPr>
          <w:rFonts w:asciiTheme="minorHAnsi" w:hAnsiTheme="minorHAnsi"/>
        </w:rPr>
        <w:t xml:space="preserve"> CPA states that </w:t>
      </w:r>
      <w:r>
        <w:rPr>
          <w:rFonts w:asciiTheme="minorHAnsi" w:hAnsiTheme="minorHAnsi"/>
        </w:rPr>
        <w:t>i</w:t>
      </w:r>
      <w:r w:rsidRPr="00A413C2">
        <w:rPr>
          <w:rFonts w:asciiTheme="minorHAnsi" w:hAnsiTheme="minorHAnsi"/>
        </w:rPr>
        <w:t xml:space="preserve">n addition to the debt financing, </w:t>
      </w:r>
      <w:r w:rsidR="00BD331B">
        <w:rPr>
          <w:rFonts w:asciiTheme="minorHAnsi" w:hAnsiTheme="minorHAnsi"/>
        </w:rPr>
        <w:t xml:space="preserve">Beth Israel Deaconess Medical Center has made a commitment to contribute $185.3 million towards the costs associated with the maximum capital expenditure. The remaining financial amount of $189.6 million will be funded by the President’s Initiative Fund of DFCI. </w:t>
      </w:r>
    </w:p>
    <w:p w14:paraId="3945ADF3" w14:textId="77777777" w:rsidR="00F60E4C" w:rsidRDefault="00F60E4C" w:rsidP="00BA2054">
      <w:pPr>
        <w:pStyle w:val="BodyText"/>
        <w:rPr>
          <w:rFonts w:asciiTheme="minorHAnsi" w:hAnsiTheme="minorHAnsi"/>
        </w:rPr>
      </w:pPr>
    </w:p>
    <w:p w14:paraId="553F46F9" w14:textId="614A93D1" w:rsidR="00FE1906" w:rsidRPr="00823223" w:rsidRDefault="00823223" w:rsidP="00BA2054">
      <w:pPr>
        <w:pStyle w:val="BodyText"/>
        <w:rPr>
          <w:rFonts w:asciiTheme="minorHAnsi" w:hAnsiTheme="minorHAnsi"/>
          <w:b/>
          <w:bCs/>
        </w:rPr>
      </w:pPr>
      <w:r w:rsidRPr="00823223">
        <w:rPr>
          <w:rFonts w:asciiTheme="minorHAnsi" w:hAnsiTheme="minorHAnsi"/>
          <w:b/>
          <w:bCs/>
        </w:rPr>
        <w:t>Feasibility</w:t>
      </w:r>
    </w:p>
    <w:p w14:paraId="701F3C36" w14:textId="17291D20" w:rsidR="008D413E" w:rsidRDefault="00FE1906" w:rsidP="00BA2054">
      <w:pPr>
        <w:pStyle w:val="BodyText"/>
        <w:rPr>
          <w:rFonts w:asciiTheme="minorHAnsi" w:hAnsiTheme="minorHAnsi"/>
          <w:i/>
          <w:iCs/>
        </w:rPr>
      </w:pPr>
      <w:r>
        <w:rPr>
          <w:rFonts w:asciiTheme="minorHAnsi" w:hAnsiTheme="minorHAnsi"/>
        </w:rPr>
        <w:t>The CPA conclud</w:t>
      </w:r>
      <w:r w:rsidR="00823223">
        <w:rPr>
          <w:rFonts w:asciiTheme="minorHAnsi" w:hAnsiTheme="minorHAnsi"/>
        </w:rPr>
        <w:t xml:space="preserve">ed, </w:t>
      </w:r>
      <w:r w:rsidR="00823223" w:rsidRPr="008D413E">
        <w:rPr>
          <w:rFonts w:asciiTheme="minorHAnsi" w:hAnsiTheme="minorHAnsi"/>
          <w:i/>
          <w:iCs/>
        </w:rPr>
        <w:t>“</w:t>
      </w:r>
      <w:r w:rsidR="008D413E" w:rsidRPr="008D413E">
        <w:rPr>
          <w:rFonts w:asciiTheme="minorHAnsi" w:hAnsiTheme="minorHAnsi"/>
          <w:i/>
          <w:iCs/>
        </w:rPr>
        <w:t>Within the projected financial information, the Projections exhibit a cumulative operating EBIDA surplus of approximately 6.4 percent of cumulative projected total revenue for the fourteen years from FY 2023 through FY 2036. Based upon our review of the relevant documents and analysis of the Projections, we determined the anticipated EBIDA surplus is a reasonable expectation and is based upon feasible financial assumptions. Accordingly, we determined that the Projections are reasonable and feasible, and are not likely to have a negative impact on the patient panel or result in a liquidation of assets of DFCI.”</w:t>
      </w:r>
    </w:p>
    <w:p w14:paraId="46F4DA15" w14:textId="77777777" w:rsidR="00C343C4" w:rsidRDefault="00C343C4" w:rsidP="00BA2054">
      <w:pPr>
        <w:pStyle w:val="BodyText"/>
        <w:rPr>
          <w:rFonts w:asciiTheme="minorHAnsi" w:hAnsiTheme="minorHAnsi"/>
          <w:i/>
          <w:iCs/>
        </w:rPr>
      </w:pPr>
    </w:p>
    <w:p w14:paraId="3A2740B2" w14:textId="77777777" w:rsidR="00F947A2" w:rsidRPr="008D413E" w:rsidRDefault="00F947A2" w:rsidP="00BA2054">
      <w:pPr>
        <w:pStyle w:val="BodyText"/>
        <w:rPr>
          <w:rFonts w:asciiTheme="minorHAnsi" w:hAnsiTheme="minorHAnsi"/>
        </w:rPr>
      </w:pPr>
    </w:p>
    <w:p w14:paraId="6E40EA66" w14:textId="575C0D85" w:rsidR="00B447F3" w:rsidRPr="009A0C61" w:rsidRDefault="00A4110F" w:rsidP="00BA2054">
      <w:pPr>
        <w:pStyle w:val="BodyText"/>
        <w:ind w:left="-144"/>
        <w:rPr>
          <w:rFonts w:asciiTheme="minorHAnsi" w:hAnsiTheme="minorHAnsi"/>
          <w:b/>
          <w:bCs/>
          <w:i/>
          <w:iCs/>
        </w:rPr>
      </w:pPr>
      <w:r w:rsidRPr="009A0C61">
        <w:rPr>
          <w:rFonts w:asciiTheme="minorHAnsi" w:hAnsiTheme="minorHAnsi"/>
          <w:b/>
          <w:bCs/>
          <w:i/>
          <w:iCs/>
        </w:rPr>
        <w:t xml:space="preserve">   </w:t>
      </w:r>
      <w:r w:rsidR="00BF17F6">
        <w:rPr>
          <w:rFonts w:asciiTheme="minorHAnsi" w:hAnsiTheme="minorHAnsi"/>
          <w:b/>
          <w:bCs/>
          <w:i/>
          <w:iCs/>
        </w:rPr>
        <w:t xml:space="preserve">CPA </w:t>
      </w:r>
      <w:r w:rsidRPr="009A0C61">
        <w:rPr>
          <w:rFonts w:asciiTheme="minorHAnsi" w:hAnsiTheme="minorHAnsi"/>
          <w:b/>
          <w:bCs/>
          <w:i/>
          <w:iCs/>
        </w:rPr>
        <w:t>Analysis</w:t>
      </w:r>
    </w:p>
    <w:p w14:paraId="30653C8F" w14:textId="0E64F105" w:rsidR="00FE3BD6" w:rsidRDefault="00FE3BD6" w:rsidP="00BA2054">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Staff is satisfied with the CPA’s analysis of the Applicant’s decision to proceed with the Proposed Project. As a result, staff finds the CPA analysis to be acceptable.</w:t>
      </w:r>
    </w:p>
    <w:p w14:paraId="5B394926" w14:textId="77777777" w:rsidR="00B21948" w:rsidRDefault="00B21948" w:rsidP="00BA2054">
      <w:pPr>
        <w:pStyle w:val="BodyText"/>
        <w:ind w:hanging="144"/>
        <w:rPr>
          <w:rFonts w:asciiTheme="minorHAnsi" w:hAnsiTheme="minorHAnsi"/>
        </w:rPr>
      </w:pPr>
    </w:p>
    <w:p w14:paraId="62FFF9C6" w14:textId="77777777" w:rsidR="00B21948" w:rsidRPr="00B21948" w:rsidRDefault="00B21948" w:rsidP="00BA2054">
      <w:pPr>
        <w:pStyle w:val="BodyText"/>
        <w:ind w:hanging="144"/>
        <w:rPr>
          <w:rFonts w:asciiTheme="minorHAnsi" w:hAnsiTheme="minorHAnsi"/>
          <w:b/>
          <w:bCs/>
        </w:rPr>
      </w:pPr>
      <w:r>
        <w:rPr>
          <w:rFonts w:asciiTheme="minorHAnsi" w:hAnsiTheme="minorHAnsi"/>
        </w:rPr>
        <w:tab/>
      </w:r>
      <w:r w:rsidRPr="00B21948">
        <w:rPr>
          <w:rFonts w:asciiTheme="minorHAnsi" w:hAnsiTheme="minorHAnsi"/>
          <w:b/>
          <w:bCs/>
        </w:rPr>
        <w:t xml:space="preserve">Independent Cost Analysis for the Proposed Project </w:t>
      </w:r>
    </w:p>
    <w:p w14:paraId="13AB3862" w14:textId="39694AB5" w:rsidR="00B21948" w:rsidRDefault="00B21948" w:rsidP="00B21948">
      <w:pPr>
        <w:pStyle w:val="BodyText"/>
        <w:rPr>
          <w:rFonts w:asciiTheme="minorHAnsi" w:hAnsiTheme="minorHAnsi"/>
        </w:rPr>
      </w:pPr>
      <w:r w:rsidRPr="00B21948">
        <w:rPr>
          <w:rFonts w:asciiTheme="minorHAnsi" w:hAnsiTheme="minorHAnsi"/>
        </w:rPr>
        <w:t xml:space="preserve">As noted in Factor 2, the Project was required to undergo an ICA to evaluate whether the Proposed </w:t>
      </w:r>
      <w:r w:rsidRPr="00B21948">
        <w:rPr>
          <w:rFonts w:asciiTheme="minorHAnsi" w:hAnsiTheme="minorHAnsi"/>
        </w:rPr>
        <w:lastRenderedPageBreak/>
        <w:t xml:space="preserve">Project would be consistent with the health care cost containment goals of Massachusetts. Please see the cost </w:t>
      </w:r>
      <w:r w:rsidR="005C4502">
        <w:rPr>
          <w:rFonts w:asciiTheme="minorHAnsi" w:hAnsiTheme="minorHAnsi"/>
        </w:rPr>
        <w:t xml:space="preserve">containment </w:t>
      </w:r>
      <w:r w:rsidRPr="00B21948">
        <w:rPr>
          <w:rFonts w:asciiTheme="minorHAnsi" w:hAnsiTheme="minorHAnsi"/>
        </w:rPr>
        <w:t>section of Factor 2 for discussion and analysis of the ICA.</w:t>
      </w:r>
    </w:p>
    <w:p w14:paraId="2E0DBCFC" w14:textId="77777777" w:rsidR="00330CD5" w:rsidRDefault="00330CD5" w:rsidP="00B21948">
      <w:pPr>
        <w:pStyle w:val="BodyText"/>
        <w:rPr>
          <w:rFonts w:asciiTheme="minorHAnsi" w:hAnsiTheme="minorHAnsi"/>
        </w:rPr>
      </w:pPr>
    </w:p>
    <w:p w14:paraId="6E2B6999" w14:textId="77777777" w:rsidR="00330CD5" w:rsidRPr="00330CD5" w:rsidRDefault="00330CD5" w:rsidP="00330CD5">
      <w:pPr>
        <w:pStyle w:val="BodyText"/>
        <w:rPr>
          <w:rFonts w:asciiTheme="minorHAnsi" w:hAnsiTheme="minorHAnsi"/>
          <w:b/>
          <w:bCs/>
        </w:rPr>
      </w:pPr>
      <w:r w:rsidRPr="00330CD5">
        <w:rPr>
          <w:rFonts w:asciiTheme="minorHAnsi" w:hAnsiTheme="minorHAnsi"/>
          <w:b/>
          <w:bCs/>
        </w:rPr>
        <w:t xml:space="preserve">Factor 4 Analysis </w:t>
      </w:r>
    </w:p>
    <w:p w14:paraId="127F158F" w14:textId="5FA12F1C" w:rsidR="00330CD5" w:rsidRPr="00330CD5" w:rsidRDefault="00330CD5" w:rsidP="00330CD5">
      <w:pPr>
        <w:pStyle w:val="BodyText"/>
        <w:rPr>
          <w:rFonts w:asciiTheme="minorHAnsi" w:hAnsiTheme="minorHAnsi"/>
        </w:rPr>
      </w:pPr>
      <w:r w:rsidRPr="00330CD5">
        <w:rPr>
          <w:rFonts w:asciiTheme="minorHAnsi" w:hAnsiTheme="minorHAnsi"/>
        </w:rPr>
        <w:t xml:space="preserve">Staff finds the CPA analysis to be acceptable and with </w:t>
      </w:r>
      <w:r w:rsidR="002B09B3">
        <w:rPr>
          <w:rFonts w:asciiTheme="minorHAnsi" w:hAnsiTheme="minorHAnsi"/>
        </w:rPr>
        <w:t>the “Other C</w:t>
      </w:r>
      <w:r w:rsidRPr="00330CD5">
        <w:rPr>
          <w:rFonts w:asciiTheme="minorHAnsi" w:hAnsiTheme="minorHAnsi"/>
        </w:rPr>
        <w:t>onditions</w:t>
      </w:r>
      <w:r w:rsidR="002B09B3">
        <w:rPr>
          <w:rFonts w:asciiTheme="minorHAnsi" w:hAnsiTheme="minorHAnsi"/>
        </w:rPr>
        <w:t>” outlined below</w:t>
      </w:r>
      <w:r w:rsidRPr="00330CD5">
        <w:rPr>
          <w:rFonts w:asciiTheme="minorHAnsi" w:hAnsiTheme="minorHAnsi"/>
        </w:rPr>
        <w:t xml:space="preserve">, the </w:t>
      </w:r>
      <w:r w:rsidR="002B4938">
        <w:rPr>
          <w:rFonts w:asciiTheme="minorHAnsi" w:hAnsiTheme="minorHAnsi"/>
        </w:rPr>
        <w:t>requirements of Factor 4 have been met</w:t>
      </w:r>
      <w:r w:rsidRPr="00330CD5">
        <w:rPr>
          <w:rFonts w:asciiTheme="minorHAnsi" w:hAnsiTheme="minorHAnsi"/>
        </w:rPr>
        <w:t>.</w:t>
      </w:r>
    </w:p>
    <w:p w14:paraId="0FA954EB" w14:textId="77777777" w:rsidR="00330CD5" w:rsidRDefault="00330CD5" w:rsidP="00B21948">
      <w:pPr>
        <w:pStyle w:val="BodyText"/>
        <w:rPr>
          <w:rFonts w:asciiTheme="minorHAnsi" w:hAnsiTheme="minorHAnsi"/>
        </w:rPr>
      </w:pPr>
    </w:p>
    <w:p w14:paraId="566C5B97" w14:textId="77777777" w:rsidR="00D94A49" w:rsidRDefault="00D94A49" w:rsidP="00FF7F9F">
      <w:pPr>
        <w:pStyle w:val="BodyText"/>
        <w:ind w:hanging="144"/>
        <w:rPr>
          <w:rFonts w:asciiTheme="minorHAnsi" w:hAnsiTheme="minorHAnsi"/>
        </w:rPr>
      </w:pPr>
    </w:p>
    <w:p w14:paraId="39D90124" w14:textId="51480EE6" w:rsidR="00B447F3" w:rsidRPr="003436F0" w:rsidRDefault="00A4110F" w:rsidP="008917DC">
      <w:pPr>
        <w:pStyle w:val="Heading1"/>
        <w:spacing w:before="1"/>
        <w:ind w:left="0"/>
        <w:rPr>
          <w:rFonts w:asciiTheme="minorHAnsi" w:hAnsiTheme="minorHAnsi"/>
        </w:rPr>
      </w:pPr>
      <w:bookmarkStart w:id="29" w:name="Factor_5:_Assessment_of_the_Proposed_Pro"/>
      <w:bookmarkStart w:id="30" w:name="_Toc190780593"/>
      <w:bookmarkEnd w:id="29"/>
      <w:r w:rsidRPr="003436F0">
        <w:rPr>
          <w:rFonts w:asciiTheme="minorHAnsi" w:hAnsiTheme="minorHAnsi"/>
          <w:color w:val="42558C"/>
        </w:rPr>
        <w:t>Factor 5: Assessment of the Proposed Project’s Relative Merit</w:t>
      </w:r>
      <w:bookmarkEnd w:id="30"/>
    </w:p>
    <w:p w14:paraId="4FC717A7" w14:textId="19A1B310" w:rsidR="00B447F3" w:rsidRDefault="006D7D58" w:rsidP="00BA2054">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31" w:name="_Int_BedYxzXG"/>
      <w:r w:rsidRPr="6ACB936F">
        <w:rPr>
          <w:rFonts w:asciiTheme="minorHAnsi" w:hAnsiTheme="minorHAnsi"/>
        </w:rPr>
        <w:t>take into account</w:t>
      </w:r>
      <w:bookmarkEnd w:id="31"/>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BA2054">
      <w:pPr>
        <w:pStyle w:val="BodyText"/>
        <w:rPr>
          <w:rFonts w:asciiTheme="minorHAnsi" w:hAnsiTheme="minorHAnsi"/>
        </w:rPr>
      </w:pPr>
    </w:p>
    <w:p w14:paraId="201DB86F" w14:textId="77777777" w:rsidR="00EC14DD" w:rsidRDefault="00736AC3" w:rsidP="00BA2054">
      <w:pPr>
        <w:pStyle w:val="BodyText"/>
        <w:rPr>
          <w:rFonts w:asciiTheme="minorHAnsi" w:hAnsiTheme="minorHAnsi"/>
        </w:rPr>
      </w:pPr>
      <w:r>
        <w:rPr>
          <w:rFonts w:asciiTheme="minorHAnsi" w:hAnsiTheme="minorHAnsi"/>
        </w:rPr>
        <w:t>The Applicant identified</w:t>
      </w:r>
      <w:r w:rsidR="00F65A18">
        <w:rPr>
          <w:rFonts w:asciiTheme="minorHAnsi" w:hAnsiTheme="minorHAnsi"/>
        </w:rPr>
        <w:t xml:space="preserve"> the following</w:t>
      </w:r>
      <w:r>
        <w:rPr>
          <w:rFonts w:asciiTheme="minorHAnsi" w:hAnsiTheme="minorHAnsi"/>
        </w:rPr>
        <w:t xml:space="preserve"> key criteria for the new facilit</w:t>
      </w:r>
      <w:r w:rsidR="00F65A18">
        <w:rPr>
          <w:rFonts w:asciiTheme="minorHAnsi" w:hAnsiTheme="minorHAnsi"/>
        </w:rPr>
        <w:t>y</w:t>
      </w:r>
      <w:r>
        <w:rPr>
          <w:rFonts w:asciiTheme="minorHAnsi" w:hAnsiTheme="minorHAnsi"/>
        </w:rPr>
        <w:t xml:space="preserve">: </w:t>
      </w:r>
    </w:p>
    <w:p w14:paraId="5B4618AC" w14:textId="1BDF2EC5" w:rsidR="00EC14DD" w:rsidRDefault="003F26F9" w:rsidP="00F91720">
      <w:pPr>
        <w:pStyle w:val="BodyText"/>
        <w:numPr>
          <w:ilvl w:val="0"/>
          <w:numId w:val="17"/>
        </w:numPr>
        <w:rPr>
          <w:rFonts w:asciiTheme="minorHAnsi" w:hAnsiTheme="minorHAnsi"/>
        </w:rPr>
      </w:pPr>
      <w:r>
        <w:rPr>
          <w:rFonts w:asciiTheme="minorHAnsi" w:hAnsiTheme="minorHAnsi"/>
        </w:rPr>
        <w:t>C</w:t>
      </w:r>
      <w:r w:rsidR="00736AC3">
        <w:rPr>
          <w:rFonts w:asciiTheme="minorHAnsi" w:hAnsiTheme="minorHAnsi"/>
        </w:rPr>
        <w:t xml:space="preserve">ontiguous to the Applicant’s existing care locations </w:t>
      </w:r>
    </w:p>
    <w:p w14:paraId="7206E431" w14:textId="3B8FD6AE" w:rsidR="00EC14DD" w:rsidRDefault="003F26F9" w:rsidP="00F91720">
      <w:pPr>
        <w:pStyle w:val="BodyText"/>
        <w:numPr>
          <w:ilvl w:val="0"/>
          <w:numId w:val="17"/>
        </w:numPr>
        <w:rPr>
          <w:rFonts w:asciiTheme="minorHAnsi" w:hAnsiTheme="minorHAnsi"/>
        </w:rPr>
      </w:pPr>
      <w:r>
        <w:rPr>
          <w:rFonts w:asciiTheme="minorHAnsi" w:hAnsiTheme="minorHAnsi"/>
        </w:rPr>
        <w:t>D</w:t>
      </w:r>
      <w:r w:rsidR="00736AC3">
        <w:rPr>
          <w:rFonts w:asciiTheme="minorHAnsi" w:hAnsiTheme="minorHAnsi"/>
        </w:rPr>
        <w:t>edicated exclusively to cancer care</w:t>
      </w:r>
    </w:p>
    <w:p w14:paraId="68185ACF" w14:textId="77190E69" w:rsidR="00EC14DD" w:rsidRDefault="003F26F9" w:rsidP="00F91720">
      <w:pPr>
        <w:pStyle w:val="BodyText"/>
        <w:numPr>
          <w:ilvl w:val="0"/>
          <w:numId w:val="17"/>
        </w:numPr>
        <w:rPr>
          <w:rFonts w:asciiTheme="minorHAnsi" w:hAnsiTheme="minorHAnsi"/>
        </w:rPr>
      </w:pPr>
      <w:r>
        <w:rPr>
          <w:rFonts w:asciiTheme="minorHAnsi" w:hAnsiTheme="minorHAnsi"/>
        </w:rPr>
        <w:t>L</w:t>
      </w:r>
      <w:r w:rsidR="00736AC3">
        <w:rPr>
          <w:rFonts w:asciiTheme="minorHAnsi" w:hAnsiTheme="minorHAnsi"/>
        </w:rPr>
        <w:t xml:space="preserve">ayout and operations that reduce fragmentation of care </w:t>
      </w:r>
    </w:p>
    <w:p w14:paraId="47D0FE3E" w14:textId="28B73D39" w:rsidR="00736AC3" w:rsidRDefault="003F26F9" w:rsidP="00F91720">
      <w:pPr>
        <w:pStyle w:val="BodyText"/>
        <w:numPr>
          <w:ilvl w:val="0"/>
          <w:numId w:val="17"/>
        </w:numPr>
        <w:rPr>
          <w:rFonts w:asciiTheme="minorHAnsi" w:hAnsiTheme="minorHAnsi"/>
        </w:rPr>
      </w:pPr>
      <w:r>
        <w:rPr>
          <w:rFonts w:asciiTheme="minorHAnsi" w:hAnsiTheme="minorHAnsi"/>
        </w:rPr>
        <w:t>E</w:t>
      </w:r>
      <w:r w:rsidR="00736AC3">
        <w:rPr>
          <w:rFonts w:asciiTheme="minorHAnsi" w:hAnsiTheme="minorHAnsi"/>
        </w:rPr>
        <w:t>quipped with state-of-the-art research capabilities</w:t>
      </w:r>
    </w:p>
    <w:p w14:paraId="66800AC6" w14:textId="77777777" w:rsidR="00736AC3" w:rsidRDefault="00736AC3" w:rsidP="00BA2054">
      <w:pPr>
        <w:pStyle w:val="BodyText"/>
        <w:rPr>
          <w:rFonts w:asciiTheme="minorHAnsi" w:hAnsiTheme="minorHAnsi"/>
        </w:rPr>
      </w:pPr>
    </w:p>
    <w:p w14:paraId="35A98D62" w14:textId="29102A3F" w:rsidR="005A02F3" w:rsidRDefault="00564218" w:rsidP="003B2CD4">
      <w:pPr>
        <w:pStyle w:val="BodyText"/>
      </w:pPr>
      <w:r>
        <w:rPr>
          <w:rFonts w:asciiTheme="minorHAnsi" w:hAnsiTheme="minorHAnsi"/>
        </w:rPr>
        <w:t xml:space="preserve">The Applicant states that it </w:t>
      </w:r>
      <w:r w:rsidR="00F43BD2">
        <w:rPr>
          <w:rFonts w:asciiTheme="minorHAnsi" w:hAnsiTheme="minorHAnsi"/>
        </w:rPr>
        <w:t xml:space="preserve">explored a variety of options for addressing Patient Panel need for its services, including discussions with MGB </w:t>
      </w:r>
      <w:r w:rsidR="007D209F">
        <w:rPr>
          <w:rFonts w:asciiTheme="minorHAnsi" w:hAnsiTheme="minorHAnsi"/>
        </w:rPr>
        <w:t>surrounding</w:t>
      </w:r>
      <w:r w:rsidR="00F43BD2">
        <w:rPr>
          <w:rFonts w:asciiTheme="minorHAnsi" w:hAnsiTheme="minorHAnsi"/>
        </w:rPr>
        <w:t xml:space="preserve"> their affiliation</w:t>
      </w:r>
      <w:r w:rsidR="00C31B17" w:rsidRPr="00C31B17">
        <w:rPr>
          <w:rFonts w:asciiTheme="minorHAnsi" w:hAnsiTheme="minorHAnsi"/>
        </w:rPr>
        <w:t xml:space="preserve">, but </w:t>
      </w:r>
      <w:r w:rsidR="00F74C05">
        <w:rPr>
          <w:rFonts w:asciiTheme="minorHAnsi" w:hAnsiTheme="minorHAnsi"/>
        </w:rPr>
        <w:t xml:space="preserve">stated that </w:t>
      </w:r>
      <w:r w:rsidR="00C31B17" w:rsidRPr="00C31B17">
        <w:rPr>
          <w:rFonts w:asciiTheme="minorHAnsi" w:hAnsiTheme="minorHAnsi"/>
        </w:rPr>
        <w:t>those discussions did not yield any viable alternative</w:t>
      </w:r>
      <w:r w:rsidR="00C31B17">
        <w:rPr>
          <w:rFonts w:asciiTheme="minorHAnsi" w:hAnsiTheme="minorHAnsi"/>
        </w:rPr>
        <w:t>s.</w:t>
      </w:r>
      <w:r w:rsidR="00F74C05">
        <w:rPr>
          <w:rFonts w:asciiTheme="minorHAnsi" w:hAnsiTheme="minorHAnsi"/>
        </w:rPr>
        <w:t xml:space="preserve"> </w:t>
      </w:r>
      <w:r w:rsidR="005A02F3">
        <w:t xml:space="preserve">The Applicant piloted </w:t>
      </w:r>
      <w:r w:rsidR="005A02F3" w:rsidRPr="00711231">
        <w:t xml:space="preserve">an </w:t>
      </w:r>
      <w:r w:rsidR="005A02F3">
        <w:t>oncology</w:t>
      </w:r>
      <w:r w:rsidR="00DB780A">
        <w:t>-specific</w:t>
      </w:r>
      <w:r w:rsidR="005A02F3">
        <w:t xml:space="preserve"> </w:t>
      </w:r>
      <w:r w:rsidR="00E947E1">
        <w:t>A</w:t>
      </w:r>
      <w:r w:rsidR="005A02F3" w:rsidRPr="00711231">
        <w:t xml:space="preserve">cute </w:t>
      </w:r>
      <w:r w:rsidR="00E947E1">
        <w:t>C</w:t>
      </w:r>
      <w:r w:rsidR="005A02F3" w:rsidRPr="00711231">
        <w:t xml:space="preserve">are </w:t>
      </w:r>
      <w:r w:rsidR="00E947E1">
        <w:t>C</w:t>
      </w:r>
      <w:r w:rsidR="005A02F3" w:rsidRPr="00711231">
        <w:t xml:space="preserve">linic (ACC), in </w:t>
      </w:r>
      <w:r w:rsidR="005A02F3">
        <w:t xml:space="preserve">the </w:t>
      </w:r>
      <w:r w:rsidR="005A02F3" w:rsidRPr="00711231">
        <w:t>hospital outpatient setting to effectively manage patients with cancer-related symptoms</w:t>
      </w:r>
      <w:r w:rsidR="005A02F3">
        <w:t xml:space="preserve"> who would otherwise be seen in the ED</w:t>
      </w:r>
      <w:r w:rsidR="0097336F">
        <w:t xml:space="preserve">. </w:t>
      </w:r>
      <w:r w:rsidR="005A02F3">
        <w:t>The Applicant maintains that even with alternative strategies</w:t>
      </w:r>
      <w:r w:rsidR="004B67CF">
        <w:t xml:space="preserve"> like the ACC, </w:t>
      </w:r>
      <w:r w:rsidR="005A02F3">
        <w:t xml:space="preserve">need for inpatient care will remain. </w:t>
      </w:r>
    </w:p>
    <w:p w14:paraId="353C0182" w14:textId="77777777" w:rsidR="005A02F3" w:rsidRDefault="005A02F3" w:rsidP="00BA2054">
      <w:pPr>
        <w:pStyle w:val="BodyText"/>
        <w:rPr>
          <w:rFonts w:asciiTheme="minorHAnsi" w:hAnsiTheme="minorHAnsi"/>
        </w:rPr>
      </w:pPr>
    </w:p>
    <w:p w14:paraId="58A005F1" w14:textId="2634B7E2" w:rsidR="00C31B17" w:rsidRPr="00C31B17" w:rsidRDefault="00F74C05" w:rsidP="00BA2054">
      <w:pPr>
        <w:pStyle w:val="BodyText"/>
        <w:rPr>
          <w:rFonts w:asciiTheme="minorHAnsi" w:hAnsiTheme="minorHAnsi"/>
        </w:rPr>
      </w:pPr>
      <w:r>
        <w:rPr>
          <w:rFonts w:asciiTheme="minorHAnsi" w:hAnsiTheme="minorHAnsi"/>
        </w:rPr>
        <w:t>The Applicant states that it</w:t>
      </w:r>
      <w:r w:rsidR="00C31B17" w:rsidRPr="00C31B17">
        <w:rPr>
          <w:rFonts w:asciiTheme="minorHAnsi" w:hAnsiTheme="minorHAnsi"/>
        </w:rPr>
        <w:t xml:space="preserve"> landed on two options: the Proposed Project and one alternative, described below.</w:t>
      </w:r>
    </w:p>
    <w:p w14:paraId="68F7BEC4" w14:textId="77777777" w:rsidR="003D3A47" w:rsidRDefault="003D3A47" w:rsidP="00BA2054">
      <w:pPr>
        <w:pStyle w:val="BodyText"/>
        <w:rPr>
          <w:rFonts w:asciiTheme="minorHAnsi" w:hAnsiTheme="minorHAnsi"/>
          <w:b/>
          <w:bCs/>
        </w:rPr>
      </w:pPr>
    </w:p>
    <w:p w14:paraId="2FB30178" w14:textId="7B0E26E9" w:rsidR="00AE3E96" w:rsidRDefault="003E29E8" w:rsidP="00BA2054">
      <w:pPr>
        <w:pStyle w:val="BodyText"/>
        <w:rPr>
          <w:rFonts w:asciiTheme="minorHAnsi" w:hAnsiTheme="minorHAnsi"/>
        </w:rPr>
      </w:pPr>
      <w:r w:rsidRPr="003E29E8">
        <w:rPr>
          <w:rFonts w:asciiTheme="minorHAnsi" w:hAnsiTheme="minorHAnsi"/>
          <w:b/>
          <w:bCs/>
        </w:rPr>
        <w:t>Alternative:</w:t>
      </w:r>
      <w:r>
        <w:rPr>
          <w:rFonts w:asciiTheme="minorHAnsi" w:hAnsiTheme="minorHAnsi"/>
        </w:rPr>
        <w:t xml:space="preserve"> </w:t>
      </w:r>
      <w:r w:rsidR="003C06B6" w:rsidRPr="003C06B6">
        <w:rPr>
          <w:rFonts w:asciiTheme="minorHAnsi" w:hAnsiTheme="minorHAnsi"/>
        </w:rPr>
        <w:t>The Applicant constructs and operates a completely independent comprehensive cancer center.</w:t>
      </w:r>
    </w:p>
    <w:p w14:paraId="2D041A04" w14:textId="02BC0021" w:rsidR="003C06B6" w:rsidRDefault="00D81957" w:rsidP="00BA2054">
      <w:pPr>
        <w:pStyle w:val="BodyText"/>
        <w:ind w:left="288"/>
        <w:rPr>
          <w:rFonts w:asciiTheme="minorHAnsi" w:hAnsiTheme="minorHAnsi"/>
        </w:rPr>
      </w:pPr>
      <w:r w:rsidRPr="003E29E8">
        <w:rPr>
          <w:rFonts w:asciiTheme="minorHAnsi" w:hAnsiTheme="minorHAnsi"/>
          <w:u w:val="single"/>
        </w:rPr>
        <w:t>Quality</w:t>
      </w:r>
      <w:r>
        <w:rPr>
          <w:rFonts w:asciiTheme="minorHAnsi" w:hAnsiTheme="minorHAnsi"/>
        </w:rPr>
        <w:t xml:space="preserve">: </w:t>
      </w:r>
      <w:r w:rsidR="00302633">
        <w:rPr>
          <w:rFonts w:asciiTheme="minorHAnsi" w:hAnsiTheme="minorHAnsi"/>
        </w:rPr>
        <w:t>Because t</w:t>
      </w:r>
      <w:r w:rsidR="007816A5">
        <w:rPr>
          <w:rFonts w:asciiTheme="minorHAnsi" w:hAnsiTheme="minorHAnsi"/>
        </w:rPr>
        <w:t>his alternative l</w:t>
      </w:r>
      <w:r w:rsidRPr="00D81957">
        <w:rPr>
          <w:rFonts w:asciiTheme="minorHAnsi" w:hAnsiTheme="minorHAnsi"/>
        </w:rPr>
        <w:t>ack</w:t>
      </w:r>
      <w:r w:rsidR="007816A5">
        <w:rPr>
          <w:rFonts w:asciiTheme="minorHAnsi" w:hAnsiTheme="minorHAnsi"/>
        </w:rPr>
        <w:t xml:space="preserve">s </w:t>
      </w:r>
      <w:r w:rsidRPr="00D81957">
        <w:rPr>
          <w:rFonts w:asciiTheme="minorHAnsi" w:hAnsiTheme="minorHAnsi"/>
        </w:rPr>
        <w:t>a primary clinical partner</w:t>
      </w:r>
      <w:r w:rsidR="00302633">
        <w:rPr>
          <w:rFonts w:asciiTheme="minorHAnsi" w:hAnsiTheme="minorHAnsi"/>
        </w:rPr>
        <w:t xml:space="preserve"> it</w:t>
      </w:r>
      <w:r w:rsidRPr="00D81957">
        <w:rPr>
          <w:rFonts w:asciiTheme="minorHAnsi" w:hAnsiTheme="minorHAnsi"/>
        </w:rPr>
        <w:t xml:space="preserve"> may reduce care coordination for essential cancer-adjacent services</w:t>
      </w:r>
      <w:r w:rsidR="00BF5D2D">
        <w:rPr>
          <w:rFonts w:asciiTheme="minorHAnsi" w:hAnsiTheme="minorHAnsi"/>
        </w:rPr>
        <w:t xml:space="preserve">. </w:t>
      </w:r>
    </w:p>
    <w:p w14:paraId="2CB3801F" w14:textId="3F188C0B" w:rsidR="00794D47" w:rsidRDefault="00794D47" w:rsidP="00BA2054">
      <w:pPr>
        <w:pStyle w:val="BodyText"/>
        <w:ind w:left="288"/>
        <w:rPr>
          <w:rFonts w:asciiTheme="minorHAnsi" w:hAnsiTheme="minorHAnsi"/>
        </w:rPr>
      </w:pPr>
      <w:r w:rsidRPr="003E29E8">
        <w:rPr>
          <w:rFonts w:asciiTheme="minorHAnsi" w:hAnsiTheme="minorHAnsi"/>
          <w:u w:val="single"/>
        </w:rPr>
        <w:t>Efficiency</w:t>
      </w:r>
      <w:r>
        <w:rPr>
          <w:rFonts w:asciiTheme="minorHAnsi" w:hAnsiTheme="minorHAnsi"/>
        </w:rPr>
        <w:t xml:space="preserve">: </w:t>
      </w:r>
      <w:r w:rsidR="007816A5">
        <w:rPr>
          <w:rFonts w:asciiTheme="minorHAnsi" w:hAnsiTheme="minorHAnsi"/>
        </w:rPr>
        <w:t>This alternative r</w:t>
      </w:r>
      <w:r w:rsidRPr="00794D47">
        <w:rPr>
          <w:rFonts w:asciiTheme="minorHAnsi" w:hAnsiTheme="minorHAnsi"/>
        </w:rPr>
        <w:t xml:space="preserve">equires the Applicant to establish its own </w:t>
      </w:r>
      <w:r w:rsidR="00C073B1">
        <w:rPr>
          <w:rFonts w:asciiTheme="minorHAnsi" w:hAnsiTheme="minorHAnsi"/>
        </w:rPr>
        <w:t xml:space="preserve">surgical service line </w:t>
      </w:r>
      <w:r w:rsidR="003306EC">
        <w:rPr>
          <w:rFonts w:asciiTheme="minorHAnsi" w:hAnsiTheme="minorHAnsi"/>
        </w:rPr>
        <w:t>to offer patients a full continuum of care</w:t>
      </w:r>
      <w:r w:rsidR="009A1AA5">
        <w:rPr>
          <w:rFonts w:asciiTheme="minorHAnsi" w:hAnsiTheme="minorHAnsi"/>
        </w:rPr>
        <w:t xml:space="preserve">, which the Applicant states </w:t>
      </w:r>
      <w:r w:rsidRPr="00794D47">
        <w:rPr>
          <w:rFonts w:asciiTheme="minorHAnsi" w:hAnsiTheme="minorHAnsi"/>
        </w:rPr>
        <w:t>may result in initial operating inefficiency due to the Applicant’s lack of experience and cost inefficiencies associated with having duplicate services.</w:t>
      </w:r>
      <w:r>
        <w:rPr>
          <w:rFonts w:asciiTheme="minorHAnsi" w:hAnsiTheme="minorHAnsi"/>
        </w:rPr>
        <w:t xml:space="preserve"> </w:t>
      </w:r>
      <w:r w:rsidR="005E1507">
        <w:rPr>
          <w:rFonts w:asciiTheme="minorHAnsi" w:hAnsiTheme="minorHAnsi"/>
        </w:rPr>
        <w:t>The Applicant states that t</w:t>
      </w:r>
      <w:r w:rsidR="00A2420B">
        <w:rPr>
          <w:rFonts w:asciiTheme="minorHAnsi" w:hAnsiTheme="minorHAnsi"/>
        </w:rPr>
        <w:t>his alternative r</w:t>
      </w:r>
      <w:r w:rsidRPr="00794D47">
        <w:rPr>
          <w:rFonts w:asciiTheme="minorHAnsi" w:hAnsiTheme="minorHAnsi"/>
        </w:rPr>
        <w:t>equires new construction and equipping of expensive operating surgical suites</w:t>
      </w:r>
      <w:r w:rsidR="001B571C">
        <w:rPr>
          <w:rFonts w:asciiTheme="minorHAnsi" w:hAnsiTheme="minorHAnsi"/>
        </w:rPr>
        <w:t xml:space="preserve">, </w:t>
      </w:r>
      <w:r w:rsidR="00F3428D">
        <w:rPr>
          <w:rFonts w:asciiTheme="minorHAnsi" w:hAnsiTheme="minorHAnsi"/>
        </w:rPr>
        <w:t>ED</w:t>
      </w:r>
      <w:r w:rsidRPr="00794D47">
        <w:rPr>
          <w:rFonts w:asciiTheme="minorHAnsi" w:hAnsiTheme="minorHAnsi"/>
        </w:rPr>
        <w:t xml:space="preserve"> and surgical ICU</w:t>
      </w:r>
      <w:r w:rsidR="006B66B0">
        <w:rPr>
          <w:rFonts w:asciiTheme="minorHAnsi" w:hAnsiTheme="minorHAnsi"/>
        </w:rPr>
        <w:t xml:space="preserve">, </w:t>
      </w:r>
      <w:r w:rsidR="001B571C">
        <w:rPr>
          <w:rFonts w:asciiTheme="minorHAnsi" w:hAnsiTheme="minorHAnsi"/>
        </w:rPr>
        <w:t>and</w:t>
      </w:r>
      <w:r w:rsidR="006B66B0">
        <w:rPr>
          <w:rFonts w:asciiTheme="minorHAnsi" w:hAnsiTheme="minorHAnsi"/>
        </w:rPr>
        <w:t xml:space="preserve"> the recruitment of surgeons and specialists, such as cardiologists, dermatologists, pulmonologists, and </w:t>
      </w:r>
      <w:r w:rsidR="001B571C">
        <w:rPr>
          <w:rFonts w:asciiTheme="minorHAnsi" w:hAnsiTheme="minorHAnsi"/>
        </w:rPr>
        <w:t>psychiatrists</w:t>
      </w:r>
      <w:r w:rsidR="006B66B0">
        <w:rPr>
          <w:rFonts w:asciiTheme="minorHAnsi" w:hAnsiTheme="minorHAnsi"/>
        </w:rPr>
        <w:t xml:space="preserve">. </w:t>
      </w:r>
      <w:r w:rsidR="006B66B0">
        <w:rPr>
          <w:rFonts w:asciiTheme="minorHAnsi" w:hAnsiTheme="minorHAnsi"/>
        </w:rPr>
        <w:lastRenderedPageBreak/>
        <w:t xml:space="preserve">The Applicant states that these surgeons and specialists are better supported when they are a part of a larger department. </w:t>
      </w:r>
    </w:p>
    <w:p w14:paraId="4DA3ADF4" w14:textId="25FEC6E6" w:rsidR="00794D47" w:rsidRDefault="00F61C02" w:rsidP="00BA2054">
      <w:pPr>
        <w:pStyle w:val="BodyText"/>
        <w:ind w:left="288"/>
        <w:rPr>
          <w:rFonts w:asciiTheme="minorHAnsi" w:hAnsiTheme="minorHAnsi"/>
        </w:rPr>
      </w:pPr>
      <w:r w:rsidRPr="003E29E8">
        <w:rPr>
          <w:rFonts w:asciiTheme="minorHAnsi" w:hAnsiTheme="minorHAnsi"/>
          <w:u w:val="single"/>
        </w:rPr>
        <w:t>Capital Expense</w:t>
      </w:r>
      <w:r>
        <w:rPr>
          <w:rFonts w:asciiTheme="minorHAnsi" w:hAnsiTheme="minorHAnsi"/>
        </w:rPr>
        <w:t xml:space="preserve">: </w:t>
      </w:r>
      <w:r w:rsidR="007816A5">
        <w:rPr>
          <w:rFonts w:asciiTheme="minorHAnsi" w:hAnsiTheme="minorHAnsi"/>
        </w:rPr>
        <w:t>This alternative r</w:t>
      </w:r>
      <w:r w:rsidRPr="00F61C02">
        <w:rPr>
          <w:rFonts w:asciiTheme="minorHAnsi" w:hAnsiTheme="minorHAnsi"/>
        </w:rPr>
        <w:t xml:space="preserve">equires the construction of a new facility with medical oncology and surgical oncology capacities. </w:t>
      </w:r>
      <w:r w:rsidR="00AE269B">
        <w:rPr>
          <w:rFonts w:asciiTheme="minorHAnsi" w:hAnsiTheme="minorHAnsi"/>
        </w:rPr>
        <w:t>This alternative r</w:t>
      </w:r>
      <w:r w:rsidRPr="00F61C02">
        <w:rPr>
          <w:rFonts w:asciiTheme="minorHAnsi" w:hAnsiTheme="minorHAnsi"/>
        </w:rPr>
        <w:t>equires an estimated $3.4 billion in initial capital expenditures</w:t>
      </w:r>
      <w:r w:rsidR="00AE269B">
        <w:rPr>
          <w:rFonts w:asciiTheme="minorHAnsi" w:hAnsiTheme="minorHAnsi"/>
        </w:rPr>
        <w:t xml:space="preserve">, which </w:t>
      </w:r>
      <w:r w:rsidR="00630AB2">
        <w:rPr>
          <w:rFonts w:asciiTheme="minorHAnsi" w:hAnsiTheme="minorHAnsi"/>
        </w:rPr>
        <w:t xml:space="preserve">is </w:t>
      </w:r>
      <w:r w:rsidR="00AE269B">
        <w:rPr>
          <w:rFonts w:asciiTheme="minorHAnsi" w:hAnsiTheme="minorHAnsi"/>
        </w:rPr>
        <w:t>significantly higher</w:t>
      </w:r>
      <w:r w:rsidR="00B241B9">
        <w:rPr>
          <w:rFonts w:asciiTheme="minorHAnsi" w:hAnsiTheme="minorHAnsi"/>
        </w:rPr>
        <w:t xml:space="preserve"> (103%)</w:t>
      </w:r>
      <w:r w:rsidR="00AE269B">
        <w:rPr>
          <w:rFonts w:asciiTheme="minorHAnsi" w:hAnsiTheme="minorHAnsi"/>
        </w:rPr>
        <w:t xml:space="preserve"> than the Proposed Project and </w:t>
      </w:r>
      <w:r w:rsidR="00F76313">
        <w:rPr>
          <w:rFonts w:asciiTheme="minorHAnsi" w:hAnsiTheme="minorHAnsi"/>
        </w:rPr>
        <w:t>cost prohibitive</w:t>
      </w:r>
      <w:r w:rsidR="00630AB2">
        <w:rPr>
          <w:rFonts w:asciiTheme="minorHAnsi" w:hAnsiTheme="minorHAnsi"/>
        </w:rPr>
        <w:t xml:space="preserve">. </w:t>
      </w:r>
    </w:p>
    <w:p w14:paraId="58AED854" w14:textId="3C7AB41C" w:rsidR="00F61C02" w:rsidRDefault="000765B1" w:rsidP="00BA2054">
      <w:pPr>
        <w:pStyle w:val="BodyText"/>
        <w:ind w:left="288"/>
        <w:rPr>
          <w:rFonts w:asciiTheme="minorHAnsi" w:hAnsiTheme="minorHAnsi"/>
        </w:rPr>
      </w:pPr>
      <w:r w:rsidRPr="003D3A47">
        <w:rPr>
          <w:rFonts w:asciiTheme="minorHAnsi" w:hAnsiTheme="minorHAnsi"/>
          <w:u w:val="single"/>
        </w:rPr>
        <w:t>Operating Costs</w:t>
      </w:r>
      <w:r>
        <w:rPr>
          <w:rFonts w:asciiTheme="minorHAnsi" w:hAnsiTheme="minorHAnsi"/>
        </w:rPr>
        <w:t xml:space="preserve">: </w:t>
      </w:r>
      <w:r w:rsidR="000774D1">
        <w:rPr>
          <w:rFonts w:asciiTheme="minorHAnsi" w:hAnsiTheme="minorHAnsi"/>
        </w:rPr>
        <w:t>This alternative r</w:t>
      </w:r>
      <w:r w:rsidR="00164C35" w:rsidRPr="00164C35">
        <w:rPr>
          <w:rFonts w:asciiTheme="minorHAnsi" w:hAnsiTheme="minorHAnsi"/>
        </w:rPr>
        <w:t>equires an estimated increase of $700 million in annual operating expenses</w:t>
      </w:r>
      <w:r w:rsidR="004318B5">
        <w:rPr>
          <w:rFonts w:asciiTheme="minorHAnsi" w:hAnsiTheme="minorHAnsi"/>
        </w:rPr>
        <w:t>,</w:t>
      </w:r>
      <w:r w:rsidR="001F5CB8">
        <w:rPr>
          <w:rFonts w:asciiTheme="minorHAnsi" w:hAnsiTheme="minorHAnsi"/>
        </w:rPr>
        <w:t xml:space="preserve"> </w:t>
      </w:r>
      <w:r w:rsidR="00750BC0">
        <w:rPr>
          <w:rFonts w:asciiTheme="minorHAnsi" w:hAnsiTheme="minorHAnsi"/>
        </w:rPr>
        <w:t>which is</w:t>
      </w:r>
      <w:r w:rsidR="004318B5">
        <w:rPr>
          <w:rFonts w:asciiTheme="minorHAnsi" w:hAnsiTheme="minorHAnsi"/>
        </w:rPr>
        <w:t xml:space="preserve"> </w:t>
      </w:r>
      <w:r w:rsidR="00AE269B">
        <w:rPr>
          <w:rFonts w:asciiTheme="minorHAnsi" w:hAnsiTheme="minorHAnsi"/>
        </w:rPr>
        <w:t>significantly higher</w:t>
      </w:r>
      <w:r w:rsidR="007875F3">
        <w:rPr>
          <w:rFonts w:asciiTheme="minorHAnsi" w:hAnsiTheme="minorHAnsi"/>
        </w:rPr>
        <w:t xml:space="preserve"> (94%)</w:t>
      </w:r>
      <w:r w:rsidR="00AE269B">
        <w:rPr>
          <w:rFonts w:asciiTheme="minorHAnsi" w:hAnsiTheme="minorHAnsi"/>
        </w:rPr>
        <w:t xml:space="preserve"> than the Proposed Project and cost prohibitive</w:t>
      </w:r>
      <w:r w:rsidR="004318B5">
        <w:rPr>
          <w:rFonts w:asciiTheme="minorHAnsi" w:hAnsiTheme="minorHAnsi"/>
        </w:rPr>
        <w:t xml:space="preserve">. Since the Applicant does not have surgeons or non-oncology physicians on its faculty, this </w:t>
      </w:r>
      <w:r w:rsidR="0003269A">
        <w:rPr>
          <w:rFonts w:asciiTheme="minorHAnsi" w:hAnsiTheme="minorHAnsi"/>
        </w:rPr>
        <w:t xml:space="preserve">option would </w:t>
      </w:r>
      <w:r w:rsidR="00424CE3">
        <w:rPr>
          <w:rFonts w:asciiTheme="minorHAnsi" w:hAnsiTheme="minorHAnsi"/>
        </w:rPr>
        <w:t>require additional</w:t>
      </w:r>
      <w:r w:rsidR="0003269A">
        <w:rPr>
          <w:rFonts w:asciiTheme="minorHAnsi" w:hAnsiTheme="minorHAnsi"/>
        </w:rPr>
        <w:t xml:space="preserve"> staffing, as well as facility and maintenance costs. </w:t>
      </w:r>
    </w:p>
    <w:p w14:paraId="2B25EFCB" w14:textId="77777777" w:rsidR="00DE3F93" w:rsidRPr="00F61C02" w:rsidRDefault="00DE3F93" w:rsidP="00BA2054">
      <w:pPr>
        <w:pStyle w:val="BodyText"/>
        <w:ind w:left="288"/>
        <w:rPr>
          <w:rFonts w:asciiTheme="minorHAnsi" w:hAnsiTheme="minorHAnsi"/>
        </w:rPr>
      </w:pPr>
    </w:p>
    <w:p w14:paraId="5DBCF6CA" w14:textId="3EA255BC" w:rsidR="00055A6C" w:rsidRPr="00055A6C" w:rsidRDefault="00055A6C" w:rsidP="7178D369">
      <w:pPr>
        <w:pStyle w:val="BodyText"/>
        <w:rPr>
          <w:rFonts w:asciiTheme="minorHAnsi" w:hAnsiTheme="minorHAnsi"/>
        </w:rPr>
      </w:pPr>
      <w:r w:rsidRPr="7178D369">
        <w:rPr>
          <w:rFonts w:asciiTheme="minorHAnsi" w:hAnsiTheme="minorHAnsi"/>
        </w:rPr>
        <w:t>The Applicant states that partnering with BIDMC and HMFP provides it with access to surgeons and non-oncology specialists that are essential to the care of its patients at all points during treatment and survival. The Applicant affirms that BIDMC is the optimal clinical partner because of several advantages, that include:</w:t>
      </w:r>
      <w:r w:rsidR="00104A98" w:rsidRPr="7178D369">
        <w:rPr>
          <w:rFonts w:asciiTheme="minorHAnsi" w:hAnsiTheme="minorHAnsi"/>
        </w:rPr>
        <w:t xml:space="preserve"> BIDMC’s </w:t>
      </w:r>
      <w:r w:rsidRPr="7178D369">
        <w:rPr>
          <w:rFonts w:asciiTheme="minorHAnsi" w:hAnsiTheme="minorHAnsi"/>
        </w:rPr>
        <w:t xml:space="preserve">close physical proximity to Dana-Farber and the </w:t>
      </w:r>
      <w:r w:rsidR="001D6316">
        <w:rPr>
          <w:rFonts w:asciiTheme="minorHAnsi" w:hAnsiTheme="minorHAnsi"/>
        </w:rPr>
        <w:t>proposed h</w:t>
      </w:r>
      <w:r w:rsidRPr="7178D369">
        <w:rPr>
          <w:rFonts w:asciiTheme="minorHAnsi" w:hAnsiTheme="minorHAnsi"/>
        </w:rPr>
        <w:t xml:space="preserve">ospital; </w:t>
      </w:r>
      <w:r w:rsidR="00104A98" w:rsidRPr="7178D369">
        <w:rPr>
          <w:rFonts w:asciiTheme="minorHAnsi" w:hAnsiTheme="minorHAnsi"/>
        </w:rPr>
        <w:t>BIDMC’s</w:t>
      </w:r>
      <w:r w:rsidRPr="7178D369">
        <w:rPr>
          <w:rFonts w:asciiTheme="minorHAnsi" w:hAnsiTheme="minorHAnsi"/>
        </w:rPr>
        <w:t xml:space="preserve"> affiliation with Harvard Medical School and </w:t>
      </w:r>
      <w:r w:rsidR="00E63C28">
        <w:rPr>
          <w:rFonts w:asciiTheme="minorHAnsi" w:hAnsiTheme="minorHAnsi"/>
        </w:rPr>
        <w:t>its</w:t>
      </w:r>
      <w:r w:rsidR="00783390">
        <w:rPr>
          <w:rFonts w:asciiTheme="minorHAnsi" w:hAnsiTheme="minorHAnsi"/>
        </w:rPr>
        <w:t xml:space="preserve"> </w:t>
      </w:r>
      <w:r w:rsidR="00AF30CA">
        <w:rPr>
          <w:rFonts w:asciiTheme="minorHAnsi" w:hAnsiTheme="minorHAnsi"/>
        </w:rPr>
        <w:t>world</w:t>
      </w:r>
      <w:r w:rsidR="006A6426">
        <w:rPr>
          <w:rFonts w:asciiTheme="minorHAnsi" w:hAnsiTheme="minorHAnsi"/>
        </w:rPr>
        <w:t>-</w:t>
      </w:r>
      <w:r w:rsidR="00AF30CA">
        <w:rPr>
          <w:rFonts w:asciiTheme="minorHAnsi" w:hAnsiTheme="minorHAnsi"/>
        </w:rPr>
        <w:t xml:space="preserve">class </w:t>
      </w:r>
      <w:r w:rsidRPr="000677E1">
        <w:rPr>
          <w:rFonts w:asciiTheme="minorHAnsi" w:hAnsiTheme="minorHAnsi"/>
        </w:rPr>
        <w:t>clinicians</w:t>
      </w:r>
      <w:r w:rsidRPr="7178D369">
        <w:rPr>
          <w:rFonts w:asciiTheme="minorHAnsi" w:hAnsiTheme="minorHAnsi"/>
        </w:rPr>
        <w:t>; and</w:t>
      </w:r>
      <w:r w:rsidR="00104A98" w:rsidRPr="7178D369">
        <w:rPr>
          <w:rFonts w:asciiTheme="minorHAnsi" w:hAnsiTheme="minorHAnsi"/>
        </w:rPr>
        <w:t xml:space="preserve"> BIDMC’s </w:t>
      </w:r>
      <w:r w:rsidRPr="7178D369">
        <w:rPr>
          <w:rFonts w:asciiTheme="minorHAnsi" w:hAnsiTheme="minorHAnsi"/>
        </w:rPr>
        <w:t xml:space="preserve">existing relationships and affiliations (including with community health centers), which </w:t>
      </w:r>
      <w:r w:rsidR="00097A58">
        <w:rPr>
          <w:rFonts w:asciiTheme="minorHAnsi" w:hAnsiTheme="minorHAnsi"/>
        </w:rPr>
        <w:t xml:space="preserve">the Applicant states </w:t>
      </w:r>
      <w:r w:rsidRPr="7178D369">
        <w:rPr>
          <w:rFonts w:asciiTheme="minorHAnsi" w:hAnsiTheme="minorHAnsi"/>
        </w:rPr>
        <w:t>may be leveraged to expand equitable access to Dana-Farber</w:t>
      </w:r>
      <w:r w:rsidR="007816A5">
        <w:rPr>
          <w:rFonts w:asciiTheme="minorHAnsi" w:hAnsiTheme="minorHAnsi"/>
        </w:rPr>
        <w:t>’s services</w:t>
      </w:r>
      <w:r w:rsidRPr="7178D369">
        <w:rPr>
          <w:rFonts w:asciiTheme="minorHAnsi" w:hAnsiTheme="minorHAnsi"/>
        </w:rPr>
        <w:t xml:space="preserve">. </w:t>
      </w:r>
    </w:p>
    <w:p w14:paraId="4E6F2674" w14:textId="77777777" w:rsidR="00055A6C" w:rsidRDefault="00055A6C" w:rsidP="00BA2054">
      <w:pPr>
        <w:pStyle w:val="BodyText"/>
        <w:rPr>
          <w:rFonts w:asciiTheme="minorHAnsi" w:hAnsiTheme="minorHAnsi"/>
        </w:rPr>
      </w:pPr>
    </w:p>
    <w:p w14:paraId="5FB18803" w14:textId="275CA1DF" w:rsidR="00C735C2" w:rsidRDefault="006B15F1" w:rsidP="00BA2054">
      <w:pPr>
        <w:pStyle w:val="BodyText"/>
        <w:rPr>
          <w:rFonts w:asciiTheme="minorHAnsi" w:hAnsiTheme="minorHAnsi"/>
        </w:rPr>
      </w:pPr>
      <w:r>
        <w:rPr>
          <w:rFonts w:asciiTheme="minorHAnsi" w:hAnsiTheme="minorHAnsi"/>
        </w:rPr>
        <w:t>C</w:t>
      </w:r>
      <w:r w:rsidR="003F46A2">
        <w:rPr>
          <w:rFonts w:asciiTheme="minorHAnsi" w:hAnsiTheme="minorHAnsi"/>
        </w:rPr>
        <w:t>omments submitted to the Department</w:t>
      </w:r>
      <w:r>
        <w:rPr>
          <w:rFonts w:asciiTheme="minorHAnsi" w:hAnsiTheme="minorHAnsi"/>
        </w:rPr>
        <w:t xml:space="preserve"> </w:t>
      </w:r>
      <w:r w:rsidR="00C735C2">
        <w:rPr>
          <w:rFonts w:asciiTheme="minorHAnsi" w:hAnsiTheme="minorHAnsi"/>
        </w:rPr>
        <w:t xml:space="preserve">discussed Dana-Farber and BIDMC’s </w:t>
      </w:r>
      <w:r w:rsidR="003F46A2">
        <w:rPr>
          <w:rFonts w:asciiTheme="minorHAnsi" w:hAnsiTheme="minorHAnsi"/>
        </w:rPr>
        <w:t xml:space="preserve">collaboration. </w:t>
      </w:r>
    </w:p>
    <w:p w14:paraId="6C53A1FF" w14:textId="0744B22B" w:rsidR="00C735C2" w:rsidRDefault="00707349" w:rsidP="00F91720">
      <w:pPr>
        <w:pStyle w:val="BodyText"/>
        <w:numPr>
          <w:ilvl w:val="0"/>
          <w:numId w:val="22"/>
        </w:numPr>
        <w:rPr>
          <w:rFonts w:asciiTheme="minorHAnsi" w:hAnsiTheme="minorHAnsi"/>
        </w:rPr>
      </w:pPr>
      <w:r>
        <w:rPr>
          <w:rFonts w:asciiTheme="minorHAnsi" w:hAnsiTheme="minorHAnsi"/>
        </w:rPr>
        <w:t>Pete Healy, President of BIDMC state</w:t>
      </w:r>
      <w:r w:rsidR="006B15F1">
        <w:rPr>
          <w:rFonts w:asciiTheme="minorHAnsi" w:hAnsiTheme="minorHAnsi"/>
        </w:rPr>
        <w:t xml:space="preserve">d, </w:t>
      </w:r>
      <w:r>
        <w:rPr>
          <w:rFonts w:asciiTheme="minorHAnsi" w:hAnsiTheme="minorHAnsi"/>
        </w:rPr>
        <w:t>“</w:t>
      </w:r>
      <w:r w:rsidR="00BB01A1" w:rsidRPr="00BB01A1">
        <w:rPr>
          <w:rFonts w:asciiTheme="minorHAnsi" w:hAnsiTheme="minorHAnsi"/>
        </w:rPr>
        <w:t>Together, BIDMC and Dana Farber will collectively ensure that patients have access to</w:t>
      </w:r>
      <w:r w:rsidR="00BF1446">
        <w:rPr>
          <w:rFonts w:asciiTheme="minorHAnsi" w:hAnsiTheme="minorHAnsi"/>
        </w:rPr>
        <w:t xml:space="preserve"> </w:t>
      </w:r>
      <w:r w:rsidR="00BB01A1" w:rsidRPr="00BB01A1">
        <w:rPr>
          <w:rFonts w:asciiTheme="minorHAnsi" w:hAnsiTheme="minorHAnsi"/>
        </w:rPr>
        <w:t>the highest caliber of cancer care. Across Massachusetts hospitals are experiencing critical capacity challenges. This, combined with a rising incidence of cancer, which is the leading cause of death in the state, has created an urgent need to expand capacity for cancer care in our community.</w:t>
      </w:r>
      <w:r w:rsidR="00BF1446" w:rsidRPr="00BF1446">
        <w:rPr>
          <w:szCs w:val="20"/>
        </w:rPr>
        <w:t xml:space="preserve"> </w:t>
      </w:r>
      <w:r w:rsidR="00BF1446" w:rsidRPr="00BF1446">
        <w:rPr>
          <w:rFonts w:asciiTheme="minorHAnsi" w:hAnsiTheme="minorHAnsi"/>
        </w:rPr>
        <w:t>Developing a dedicated inpatient cancer hospital will increase capacity for high quality cancer services to meet the needs of the Commonwealth's patients.</w:t>
      </w:r>
      <w:r w:rsidR="00BF1446">
        <w:rPr>
          <w:rFonts w:asciiTheme="minorHAnsi" w:hAnsiTheme="minorHAnsi"/>
        </w:rPr>
        <w:t>”</w:t>
      </w:r>
    </w:p>
    <w:p w14:paraId="021E607B" w14:textId="60665430" w:rsidR="00542252" w:rsidRPr="00C735C2" w:rsidRDefault="00C735C2" w:rsidP="00F91720">
      <w:pPr>
        <w:pStyle w:val="BodyText"/>
        <w:numPr>
          <w:ilvl w:val="0"/>
          <w:numId w:val="7"/>
        </w:numPr>
        <w:rPr>
          <w:rFonts w:asciiTheme="minorHAnsi" w:hAnsiTheme="minorHAnsi"/>
        </w:rPr>
      </w:pPr>
      <w:r>
        <w:rPr>
          <w:rFonts w:asciiTheme="minorHAnsi" w:hAnsiTheme="minorHAnsi"/>
        </w:rPr>
        <w:t>The</w:t>
      </w:r>
      <w:r w:rsidR="00931068" w:rsidRPr="00C735C2">
        <w:rPr>
          <w:rFonts w:asciiTheme="minorHAnsi" w:hAnsiTheme="minorHAnsi"/>
        </w:rPr>
        <w:t xml:space="preserve"> CEO of Charles River Community Health Center, </w:t>
      </w:r>
      <w:r w:rsidR="00A6681A" w:rsidRPr="00C735C2">
        <w:rPr>
          <w:rFonts w:asciiTheme="minorHAnsi" w:hAnsiTheme="minorHAnsi"/>
        </w:rPr>
        <w:t>President and CEO of the Massachusetts League of Community Health Centers,</w:t>
      </w:r>
      <w:r w:rsidR="00542252" w:rsidRPr="00C735C2">
        <w:rPr>
          <w:rFonts w:asciiTheme="minorHAnsi" w:hAnsiTheme="minorHAnsi"/>
        </w:rPr>
        <w:t xml:space="preserve"> </w:t>
      </w:r>
      <w:r>
        <w:rPr>
          <w:rFonts w:asciiTheme="minorHAnsi" w:hAnsiTheme="minorHAnsi"/>
        </w:rPr>
        <w:t xml:space="preserve">and others </w:t>
      </w:r>
      <w:r w:rsidR="00542252" w:rsidRPr="00C735C2">
        <w:rPr>
          <w:rFonts w:asciiTheme="minorHAnsi" w:hAnsiTheme="minorHAnsi"/>
        </w:rPr>
        <w:t xml:space="preserve">stated </w:t>
      </w:r>
      <w:r w:rsidR="00BF1446" w:rsidRPr="00C735C2">
        <w:rPr>
          <w:rFonts w:asciiTheme="minorHAnsi" w:hAnsiTheme="minorHAnsi"/>
        </w:rPr>
        <w:t xml:space="preserve">in their remarks that </w:t>
      </w:r>
      <w:r w:rsidR="00542252" w:rsidRPr="00C735C2">
        <w:rPr>
          <w:rFonts w:asciiTheme="minorHAnsi" w:hAnsiTheme="minorHAnsi"/>
        </w:rPr>
        <w:t xml:space="preserve">“Dana-Farber and BIDMC share a deep commitment to fostering </w:t>
      </w:r>
      <w:r w:rsidR="00443977" w:rsidRPr="00C735C2">
        <w:rPr>
          <w:rFonts w:asciiTheme="minorHAnsi" w:hAnsiTheme="minorHAnsi"/>
        </w:rPr>
        <w:t xml:space="preserve">a culture of diversity, equity, and inclusion.” </w:t>
      </w:r>
      <w:r w:rsidR="00542252" w:rsidRPr="00C735C2">
        <w:rPr>
          <w:rFonts w:asciiTheme="minorHAnsi" w:hAnsiTheme="minorHAnsi"/>
        </w:rPr>
        <w:t xml:space="preserve"> </w:t>
      </w:r>
    </w:p>
    <w:p w14:paraId="1A722DA2" w14:textId="77777777" w:rsidR="00665FC7" w:rsidRDefault="00665FC7" w:rsidP="00BA2054">
      <w:pPr>
        <w:pStyle w:val="BodyText"/>
        <w:rPr>
          <w:rFonts w:asciiTheme="minorHAnsi" w:hAnsiTheme="minorHAnsi"/>
        </w:rPr>
      </w:pPr>
    </w:p>
    <w:p w14:paraId="4517F930" w14:textId="2606992B" w:rsidR="00A4110F" w:rsidRPr="003436F0" w:rsidRDefault="00A4110F" w:rsidP="00BA2054">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BA2054">
      <w:pPr>
        <w:pStyle w:val="BodyText"/>
        <w:rPr>
          <w:rFonts w:asciiTheme="minorHAnsi" w:hAnsiTheme="minorHAnsi"/>
        </w:rPr>
      </w:pPr>
      <w:r w:rsidRPr="00374DEC">
        <w:rPr>
          <w:rFonts w:asciiTheme="minorHAnsi" w:hAnsiTheme="minorHAnsi"/>
        </w:rPr>
        <w:t>Staff finds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2CC88530" w14:textId="7A493C2F" w:rsidR="00FE3BD6" w:rsidRDefault="00FE3BD6" w:rsidP="00BA2054">
      <w:pPr>
        <w:pStyle w:val="BodyText"/>
        <w:rPr>
          <w:rFonts w:asciiTheme="minorHAnsi" w:hAnsiTheme="minorHAnsi"/>
        </w:rPr>
      </w:pPr>
    </w:p>
    <w:p w14:paraId="088AA06E" w14:textId="77777777" w:rsidR="009E2C49" w:rsidRDefault="009E2C49" w:rsidP="00BA2054">
      <w:pPr>
        <w:pStyle w:val="BodyText"/>
        <w:rPr>
          <w:rFonts w:asciiTheme="minorHAnsi" w:hAnsiTheme="minorHAnsi"/>
        </w:rPr>
      </w:pPr>
    </w:p>
    <w:p w14:paraId="23E345B3" w14:textId="53AE571A" w:rsidR="00B447F3" w:rsidRDefault="00A4110F" w:rsidP="00143E9A">
      <w:pPr>
        <w:pStyle w:val="Heading1"/>
        <w:ind w:left="0" w:right="424"/>
        <w:rPr>
          <w:rFonts w:asciiTheme="minorHAnsi" w:hAnsiTheme="minorHAnsi"/>
          <w:color w:val="42558C"/>
        </w:rPr>
      </w:pPr>
      <w:bookmarkStart w:id="32" w:name="Factor_6:_Fulfillment_of_DPH_Community-b"/>
      <w:bookmarkStart w:id="33" w:name="_Toc190780594"/>
      <w:bookmarkEnd w:id="32"/>
      <w:r w:rsidRPr="003436F0">
        <w:rPr>
          <w:rFonts w:asciiTheme="minorHAnsi" w:hAnsiTheme="minorHAnsi"/>
          <w:color w:val="42558C"/>
        </w:rPr>
        <w:t>Factor 6: Fulfillment of DPH Community-based Health Initiatives Guideline</w:t>
      </w:r>
      <w:bookmarkEnd w:id="33"/>
    </w:p>
    <w:p w14:paraId="4255597C" w14:textId="77777777" w:rsidR="00F92C18" w:rsidRDefault="00F92C18" w:rsidP="00F92C18">
      <w:pPr>
        <w:pStyle w:val="paragraph"/>
        <w:spacing w:before="0" w:beforeAutospacing="0" w:after="0" w:afterAutospacing="0"/>
        <w:ind w:right="540"/>
        <w:textAlignment w:val="baseline"/>
        <w:rPr>
          <w:rStyle w:val="normaltextrun"/>
          <w:rFonts w:asciiTheme="minorHAnsi" w:hAnsiTheme="minorHAnsi" w:cstheme="minorHAnsi"/>
          <w:i/>
          <w:iCs/>
          <w:sz w:val="22"/>
          <w:szCs w:val="22"/>
        </w:rPr>
      </w:pPr>
    </w:p>
    <w:p w14:paraId="345C9725"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b/>
          <w:bCs/>
          <w:color w:val="000000"/>
        </w:rPr>
        <w:lastRenderedPageBreak/>
        <w:t>Summary, relevant background and context for this application</w:t>
      </w:r>
      <w:r>
        <w:rPr>
          <w:rStyle w:val="normaltextrun"/>
          <w:rFonts w:ascii="Calibri" w:hAnsi="Calibri" w:cs="Calibri"/>
          <w:color w:val="000000"/>
        </w:rPr>
        <w:t xml:space="preserve">: This is a DoN project that will result in a Tier 3 Community-based Health Initiative (CHI). </w:t>
      </w:r>
      <w:r>
        <w:rPr>
          <w:rStyle w:val="normaltextrun"/>
          <w:rFonts w:ascii="Calibri" w:hAnsi="Calibri" w:cs="Calibri"/>
        </w:rPr>
        <w:t>The Applicant engaged in an ongoing, collaborative process in fulfilling its CHI requirement. DFCI participated in the Boston Community Health Collaborative’s (“the Collaborative”), city-wide Community Health Needs Assessment (CHNA) and Community Health Improvement Plan (CHIP) process. Coordinating with the larger Collaborative, the Applicant utilized multilingual community-wide surveys, focus groups, and interviews to obtain community input, and analyzed data from institution-specific priority Boston communities. DFCI also engaged community throughout their subsequent Cancer-Focused 2022 CHNA/CHIP. The Applicant and the Collaborative’s upcoming CHNAs will be released in 2025. Using the updated reports, the Applicant will engage its DoN Advisory Committee to select priorities and identify strategies for CHI implementation with the funds associated with this project.</w:t>
      </w:r>
      <w:r>
        <w:rPr>
          <w:rStyle w:val="eop"/>
          <w:rFonts w:ascii="Calibri" w:hAnsi="Calibri" w:cs="Calibri"/>
        </w:rPr>
        <w:t> </w:t>
      </w:r>
    </w:p>
    <w:p w14:paraId="5F1F27AA"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rPr>
        <w:t> </w:t>
      </w:r>
    </w:p>
    <w:p w14:paraId="49419650"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color w:val="000000"/>
        </w:rPr>
        <w:t>To fulfill Factor 6 requirements, the Applicant submitted a CHI Narrative, Self-Assessment, Community Engagement Plan and Addendum, Partner Assessments, the Collaborative’s 2022 city-wide CHNA/CHIP, and DFCI’s Cancer-Focused 2022 CHNA/CHIP. </w:t>
      </w:r>
      <w:r>
        <w:rPr>
          <w:rStyle w:val="eop"/>
          <w:rFonts w:ascii="Calibri" w:hAnsi="Calibri" w:cs="Calibri"/>
          <w:color w:val="000000"/>
        </w:rPr>
        <w:t> </w:t>
      </w:r>
    </w:p>
    <w:p w14:paraId="74304C48"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color w:val="000000"/>
        </w:rPr>
        <w:t> </w:t>
      </w:r>
    </w:p>
    <w:p w14:paraId="7BEB6275"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b/>
          <w:bCs/>
          <w:color w:val="000000"/>
        </w:rPr>
        <w:t xml:space="preserve">Collaborative’s 2022 CHNA </w:t>
      </w:r>
      <w:r>
        <w:rPr>
          <w:rStyle w:val="normaltextrun"/>
          <w:rFonts w:ascii="Calibri" w:hAnsi="Calibri" w:cs="Calibri"/>
          <w:color w:val="000000"/>
        </w:rPr>
        <w:t>built off their first, citywide 2019 assessment and focused on assessing social determinants of health (SDoH) with a health equity lens using data collection and analysis methods. Key findings included: </w:t>
      </w:r>
      <w:r>
        <w:rPr>
          <w:rStyle w:val="eop"/>
          <w:rFonts w:ascii="Calibri" w:hAnsi="Calibri" w:cs="Calibri"/>
          <w:color w:val="000000"/>
        </w:rPr>
        <w:t> </w:t>
      </w:r>
    </w:p>
    <w:p w14:paraId="102D2FE6"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color w:val="000000"/>
        </w:rPr>
        <w:t> </w:t>
      </w:r>
    </w:p>
    <w:p w14:paraId="309334BE" w14:textId="77777777" w:rsidR="00026725" w:rsidRDefault="00026725" w:rsidP="00F91720">
      <w:pPr>
        <w:pStyle w:val="paragraph"/>
        <w:numPr>
          <w:ilvl w:val="0"/>
          <w:numId w:val="28"/>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Financial stability &amp; mobility</w:t>
      </w:r>
      <w:r>
        <w:rPr>
          <w:rStyle w:val="normaltextrun"/>
          <w:rFonts w:ascii="Calibri" w:hAnsi="Calibri" w:cs="Calibri"/>
          <w:color w:val="000000"/>
        </w:rPr>
        <w:t>—jobs, low-wage/minimum wage work, employment, income, education, and food security.</w:t>
      </w:r>
      <w:r>
        <w:rPr>
          <w:rStyle w:val="eop"/>
          <w:rFonts w:ascii="Calibri" w:hAnsi="Calibri" w:cs="Calibri"/>
          <w:color w:val="000000"/>
        </w:rPr>
        <w:t> </w:t>
      </w:r>
    </w:p>
    <w:p w14:paraId="1A5B1A9E" w14:textId="77777777" w:rsidR="00026725" w:rsidRDefault="00026725" w:rsidP="00F91720">
      <w:pPr>
        <w:pStyle w:val="paragraph"/>
        <w:numPr>
          <w:ilvl w:val="0"/>
          <w:numId w:val="29"/>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Housing</w:t>
      </w:r>
      <w:r>
        <w:rPr>
          <w:rStyle w:val="normaltextrun"/>
          <w:rFonts w:ascii="Calibri" w:hAnsi="Calibri" w:cs="Calibri"/>
          <w:color w:val="000000"/>
        </w:rPr>
        <w:t>—affordability, instability, quality, homelessness, homeownership, gentrification and displacement.</w:t>
      </w:r>
      <w:r>
        <w:rPr>
          <w:rStyle w:val="eop"/>
          <w:rFonts w:ascii="Calibri" w:hAnsi="Calibri" w:cs="Calibri"/>
          <w:color w:val="000000"/>
        </w:rPr>
        <w:t> </w:t>
      </w:r>
    </w:p>
    <w:p w14:paraId="3418DEB7" w14:textId="77777777" w:rsidR="00026725" w:rsidRDefault="00026725" w:rsidP="00F91720">
      <w:pPr>
        <w:pStyle w:val="paragraph"/>
        <w:numPr>
          <w:ilvl w:val="0"/>
          <w:numId w:val="30"/>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Behavioral health</w:t>
      </w:r>
      <w:r>
        <w:rPr>
          <w:rStyle w:val="normaltextrun"/>
          <w:rFonts w:ascii="Calibri" w:hAnsi="Calibri" w:cs="Calibri"/>
          <w:color w:val="000000"/>
        </w:rPr>
        <w:t>—trauma, discrimination, racism, community violence and interactions with police, mental health, substance use, and access to care.</w:t>
      </w:r>
      <w:r>
        <w:rPr>
          <w:rStyle w:val="eop"/>
          <w:rFonts w:ascii="Calibri" w:hAnsi="Calibri" w:cs="Calibri"/>
          <w:color w:val="000000"/>
        </w:rPr>
        <w:t> </w:t>
      </w:r>
    </w:p>
    <w:p w14:paraId="3924D89D" w14:textId="77777777" w:rsidR="00026725" w:rsidRDefault="00026725" w:rsidP="00F91720">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Accessing services</w:t>
      </w:r>
      <w:r>
        <w:rPr>
          <w:rStyle w:val="normaltextrun"/>
          <w:rFonts w:ascii="Calibri" w:hAnsi="Calibri" w:cs="Calibri"/>
          <w:color w:val="000000"/>
        </w:rPr>
        <w:t>—childcare, healthcare, social and other services.</w:t>
      </w:r>
      <w:r>
        <w:rPr>
          <w:rStyle w:val="eop"/>
          <w:rFonts w:ascii="Calibri" w:hAnsi="Calibri" w:cs="Calibri"/>
          <w:color w:val="000000"/>
        </w:rPr>
        <w:t> </w:t>
      </w:r>
    </w:p>
    <w:p w14:paraId="5596D979"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color w:val="000000"/>
        </w:rPr>
        <w:t> </w:t>
      </w:r>
    </w:p>
    <w:p w14:paraId="1721DA04"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color w:val="000000"/>
        </w:rPr>
        <w:t xml:space="preserve">These findings were used to develop the Collaborative’s multi-year </w:t>
      </w:r>
      <w:r>
        <w:rPr>
          <w:rStyle w:val="normaltextrun"/>
          <w:rFonts w:ascii="Calibri" w:hAnsi="Calibri" w:cs="Calibri"/>
          <w:b/>
          <w:bCs/>
          <w:color w:val="000000"/>
        </w:rPr>
        <w:t>2022-2025 CHIP</w:t>
      </w:r>
      <w:r>
        <w:rPr>
          <w:rStyle w:val="normaltextrun"/>
          <w:rFonts w:ascii="Calibri" w:hAnsi="Calibri" w:cs="Calibri"/>
          <w:color w:val="000000"/>
        </w:rPr>
        <w:t xml:space="preserve"> that builds upon the engagement work conducted by the city’s regional collaborative.</w:t>
      </w:r>
      <w:r>
        <w:rPr>
          <w:rStyle w:val="eop"/>
          <w:rFonts w:ascii="Calibri" w:hAnsi="Calibri" w:cs="Calibri"/>
          <w:color w:val="000000"/>
        </w:rPr>
        <w:t> </w:t>
      </w:r>
    </w:p>
    <w:p w14:paraId="08B583E1"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color w:val="000000"/>
        </w:rPr>
        <w:t> </w:t>
      </w:r>
    </w:p>
    <w:p w14:paraId="3690F999"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b/>
          <w:bCs/>
          <w:color w:val="000000"/>
        </w:rPr>
        <w:t xml:space="preserve">DFCI’s Cancer-Focused 2022 CHNA </w:t>
      </w:r>
      <w:r>
        <w:rPr>
          <w:rStyle w:val="normaltextrun"/>
          <w:rFonts w:ascii="Calibri" w:hAnsi="Calibri" w:cs="Calibri"/>
          <w:color w:val="000000"/>
        </w:rPr>
        <w:t>built upon the Collaborative’s CHNA to provide cancer-focused data collection using key informant surveys, focus groups, interviews and secondary data analysis. It focused on engaging the Applicant’s priority neighborhoods of Roxbury, Mission Hill, Dorchester, Mattapan, and Jamaica Plain. The DFCI CHNA explored the resident, patient and survivor experiences related to supports, concerns, challenges and inequities in cancer prevention, screening, treatment and survivorship—all within a SDoH and health equity framework. The CHNA identified that socio-demographic inequities persisted in terms of cancer mortality, risk and incident rates (E.g., Black residents, Asian residents, Latino residents, immigrant residents, and low-income residents). Key SDoH findings included:</w:t>
      </w:r>
      <w:r>
        <w:rPr>
          <w:rStyle w:val="eop"/>
          <w:rFonts w:ascii="Calibri" w:hAnsi="Calibri" w:cs="Calibri"/>
          <w:color w:val="000000"/>
        </w:rPr>
        <w:t> </w:t>
      </w:r>
    </w:p>
    <w:p w14:paraId="72C43886"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color w:val="000000"/>
        </w:rPr>
        <w:t> </w:t>
      </w:r>
    </w:p>
    <w:p w14:paraId="6CB953A1" w14:textId="77777777" w:rsidR="00026725" w:rsidRDefault="00026725" w:rsidP="00F91720">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lastRenderedPageBreak/>
        <w:t>Income inequality</w:t>
      </w:r>
      <w:r>
        <w:rPr>
          <w:rStyle w:val="normaltextrun"/>
          <w:rFonts w:ascii="Calibri" w:hAnsi="Calibri" w:cs="Calibri"/>
          <w:color w:val="000000"/>
        </w:rPr>
        <w:t>—cancer treatment can carry extreme financial costs.</w:t>
      </w:r>
      <w:r>
        <w:rPr>
          <w:rStyle w:val="eop"/>
          <w:rFonts w:ascii="Calibri" w:hAnsi="Calibri" w:cs="Calibri"/>
          <w:color w:val="000000"/>
        </w:rPr>
        <w:t> </w:t>
      </w:r>
    </w:p>
    <w:p w14:paraId="1CCA3782" w14:textId="77777777" w:rsidR="00026725" w:rsidRDefault="00026725" w:rsidP="00F91720">
      <w:pPr>
        <w:pStyle w:val="paragraph"/>
        <w:numPr>
          <w:ilvl w:val="0"/>
          <w:numId w:val="33"/>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Job/income loss</w:t>
      </w:r>
      <w:r>
        <w:rPr>
          <w:rStyle w:val="normaltextrun"/>
          <w:rFonts w:ascii="Calibri" w:hAnsi="Calibri" w:cs="Calibri"/>
          <w:color w:val="000000"/>
        </w:rPr>
        <w:t>—some survivors lost jobs/left due to health concerns about in person work during the pandemic.</w:t>
      </w:r>
      <w:r>
        <w:rPr>
          <w:rStyle w:val="eop"/>
          <w:rFonts w:ascii="Calibri" w:hAnsi="Calibri" w:cs="Calibri"/>
          <w:color w:val="000000"/>
        </w:rPr>
        <w:t> </w:t>
      </w:r>
    </w:p>
    <w:p w14:paraId="14C03EFC" w14:textId="77777777" w:rsidR="00026725" w:rsidRDefault="00026725" w:rsidP="00F91720">
      <w:pPr>
        <w:pStyle w:val="paragraph"/>
        <w:numPr>
          <w:ilvl w:val="0"/>
          <w:numId w:val="34"/>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Food security</w:t>
      </w:r>
      <w:r>
        <w:rPr>
          <w:rStyle w:val="normaltextrun"/>
          <w:rFonts w:ascii="Calibri" w:hAnsi="Calibri" w:cs="Calibri"/>
          <w:color w:val="000000"/>
        </w:rPr>
        <w:t>—difficult to obtain food, especially healthy food during treatment.</w:t>
      </w:r>
      <w:r>
        <w:rPr>
          <w:rStyle w:val="eop"/>
          <w:rFonts w:ascii="Calibri" w:hAnsi="Calibri" w:cs="Calibri"/>
          <w:color w:val="000000"/>
        </w:rPr>
        <w:t> </w:t>
      </w:r>
    </w:p>
    <w:p w14:paraId="2E3D0B56" w14:textId="77777777" w:rsidR="00026725" w:rsidRDefault="00026725" w:rsidP="00F91720">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Housing</w:t>
      </w:r>
      <w:r>
        <w:rPr>
          <w:rStyle w:val="normaltextrun"/>
          <w:rFonts w:ascii="Calibri" w:hAnsi="Calibri" w:cs="Calibri"/>
          <w:color w:val="000000"/>
        </w:rPr>
        <w:t>—increased medical costs, job loss or reduced work during cancer treatment makes it harder to afford housing/leads to fears about losing housing.</w:t>
      </w:r>
      <w:r>
        <w:rPr>
          <w:rStyle w:val="eop"/>
          <w:rFonts w:ascii="Calibri" w:hAnsi="Calibri" w:cs="Calibri"/>
          <w:color w:val="000000"/>
        </w:rPr>
        <w:t> </w:t>
      </w:r>
    </w:p>
    <w:p w14:paraId="76E8A826" w14:textId="77777777" w:rsidR="00026725" w:rsidRDefault="00026725" w:rsidP="00F91720">
      <w:pPr>
        <w:pStyle w:val="paragraph"/>
        <w:numPr>
          <w:ilvl w:val="0"/>
          <w:numId w:val="36"/>
        </w:numPr>
        <w:spacing w:before="0" w:beforeAutospacing="0" w:after="0" w:afterAutospacing="0"/>
        <w:ind w:left="1080" w:firstLine="0"/>
        <w:textAlignment w:val="baseline"/>
        <w:rPr>
          <w:rFonts w:ascii="Calibri" w:hAnsi="Calibri" w:cs="Calibri"/>
        </w:rPr>
      </w:pPr>
      <w:r>
        <w:rPr>
          <w:rStyle w:val="normaltextrun"/>
          <w:rFonts w:ascii="Calibri" w:hAnsi="Calibri" w:cs="Calibri"/>
          <w:i/>
          <w:iCs/>
          <w:color w:val="000000"/>
        </w:rPr>
        <w:t>Transportation</w:t>
      </w:r>
      <w:r>
        <w:rPr>
          <w:rStyle w:val="normaltextrun"/>
          <w:rFonts w:ascii="Calibri" w:hAnsi="Calibri" w:cs="Calibri"/>
          <w:color w:val="000000"/>
        </w:rPr>
        <w:t>—long distances to medical facilities can be a barrier to screen and treatment and is exhausting for those undergoing treatment. </w:t>
      </w:r>
      <w:r>
        <w:rPr>
          <w:rStyle w:val="eop"/>
          <w:rFonts w:ascii="Calibri" w:hAnsi="Calibri" w:cs="Calibri"/>
          <w:color w:val="000000"/>
        </w:rPr>
        <w:t> </w:t>
      </w:r>
    </w:p>
    <w:p w14:paraId="5687A5B3"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color w:val="000000"/>
        </w:rPr>
        <w:t> </w:t>
      </w:r>
    </w:p>
    <w:p w14:paraId="2CECB372"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rPr>
        <w:t xml:space="preserve">Multisectoral partnerships contributed to the Applicant’s </w:t>
      </w:r>
      <w:r>
        <w:rPr>
          <w:rStyle w:val="normaltextrun"/>
          <w:rFonts w:ascii="Calibri" w:hAnsi="Calibri" w:cs="Calibri"/>
          <w:b/>
          <w:bCs/>
        </w:rPr>
        <w:t>Cancer-Focused 2022-2025 CHIP</w:t>
      </w:r>
      <w:r>
        <w:rPr>
          <w:rStyle w:val="normaltextrun"/>
          <w:rFonts w:ascii="Calibri" w:hAnsi="Calibri" w:cs="Calibri"/>
        </w:rPr>
        <w:t>, which noted efforts and action steps to address the priority areas identified in both the Boston and DFCI CHNAs. </w:t>
      </w:r>
      <w:r>
        <w:rPr>
          <w:rStyle w:val="eop"/>
          <w:rFonts w:ascii="Calibri" w:hAnsi="Calibri" w:cs="Calibri"/>
        </w:rPr>
        <w:t> </w:t>
      </w:r>
    </w:p>
    <w:p w14:paraId="0FACFA14"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rPr>
        <w:t> </w:t>
      </w:r>
    </w:p>
    <w:p w14:paraId="7A0286B0"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normaltextrun"/>
          <w:rFonts w:ascii="Calibri" w:hAnsi="Calibri" w:cs="Calibri"/>
        </w:rPr>
        <w:t>Collectively, the CHNA/CHIP reports capture SDoH needs and provide a range of prospective CHI investment areas that align with the CHI and Health Priority Guidelines. The Applicant will collaborate with the community partners who sit on their DoN Advisory Committee and select health priorities and strategies that allow for implementation and intervention at the root cause level.  </w:t>
      </w:r>
      <w:r>
        <w:rPr>
          <w:rStyle w:val="eop"/>
          <w:rFonts w:ascii="Calibri" w:hAnsi="Calibri" w:cs="Calibri"/>
        </w:rPr>
        <w:t> </w:t>
      </w:r>
    </w:p>
    <w:p w14:paraId="4DF5FB55" w14:textId="77777777" w:rsidR="00026725" w:rsidRDefault="00026725" w:rsidP="00026725">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rPr>
        <w:t> </w:t>
      </w:r>
    </w:p>
    <w:p w14:paraId="70B7CD35"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xml:space="preserve">Self-Assessment </w:t>
      </w:r>
      <w:r>
        <w:rPr>
          <w:rStyle w:val="normaltextrun"/>
          <w:rFonts w:ascii="Calibri" w:hAnsi="Calibri" w:cs="Calibri"/>
          <w:color w:val="000000"/>
        </w:rPr>
        <w:t>provided a summary of community engagement processes and socio-demographic information, data and highlights related to topics and themes of community needs. Through data analysis, surveys, focus groups and key informant interviews, the Applicant, participating community groups and residents identified the key priorities and strategies also highlighted in the 2022 Cancer-Focused CHNA/CHIP.</w:t>
      </w:r>
      <w:r>
        <w:rPr>
          <w:rStyle w:val="eop"/>
          <w:rFonts w:ascii="Calibri" w:hAnsi="Calibri" w:cs="Calibri"/>
          <w:color w:val="000000"/>
        </w:rPr>
        <w:t> </w:t>
      </w:r>
    </w:p>
    <w:p w14:paraId="56486895"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32E0FF8F"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Community Engagement Plan and Addendum</w:t>
      </w:r>
      <w:r>
        <w:rPr>
          <w:rStyle w:val="normaltextrun"/>
          <w:rFonts w:ascii="Calibri" w:hAnsi="Calibri" w:cs="Calibri"/>
          <w:color w:val="000000"/>
        </w:rPr>
        <w:t xml:space="preserve"> provided background information for, and explanation of existing CHNA/CHIP planning processes.  These elements focused on the 2022 CHNA processes for Boston and DFCI, as well as the supplementary engagement in priority neighborhoods. Levels of engagement in all activity areas were identified for the CHNA/CHIP processes and key CHI implementation phases from selecting health priorities to evaluating actions.</w:t>
      </w:r>
      <w:r>
        <w:rPr>
          <w:rStyle w:val="eop"/>
          <w:rFonts w:ascii="Calibri" w:hAnsi="Calibri" w:cs="Calibri"/>
          <w:color w:val="000000"/>
        </w:rPr>
        <w:t> </w:t>
      </w:r>
    </w:p>
    <w:p w14:paraId="7CB8EC35"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D4AB699"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Partner Assessments</w:t>
      </w:r>
      <w:r>
        <w:rPr>
          <w:rStyle w:val="normaltextrun"/>
          <w:rFonts w:ascii="Calibri" w:hAnsi="Calibri" w:cs="Calibri"/>
          <w:color w:val="000000"/>
        </w:rPr>
        <w:t xml:space="preserve"> (formerly known as Stakeholder Assessments) submitted provided information on the individuals’ engagement levels (e.g., their personal participation and role) and their analysis of how the Applicant engaged the community in community health improvement planning processes. The information provided in these forms were largely consistent with the self-assessment conducted by the Applicant.</w:t>
      </w:r>
      <w:r>
        <w:rPr>
          <w:rStyle w:val="eop"/>
          <w:rFonts w:ascii="Calibri" w:hAnsi="Calibri" w:cs="Calibri"/>
          <w:color w:val="000000"/>
        </w:rPr>
        <w:t> </w:t>
      </w:r>
    </w:p>
    <w:p w14:paraId="164BE37A"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78627544"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xml:space="preserve">CHI Narrative </w:t>
      </w:r>
      <w:r>
        <w:rPr>
          <w:rStyle w:val="normaltextrun"/>
          <w:rFonts w:ascii="Calibri" w:hAnsi="Calibri" w:cs="Calibri"/>
          <w:color w:val="000000"/>
        </w:rPr>
        <w:t xml:space="preserve">provided an overview of the CHI funds breakdown, processes and community engagement and planning activities. It also highlighted DoN Advisory and Allocation Committee duties, timeline for CHI activities, explanation of administrative monies, and evaluation overview. DFCI plans to convene their DoN Advisory Committee to select health priorities, Allocation </w:t>
      </w:r>
      <w:r>
        <w:rPr>
          <w:rStyle w:val="normaltextrun"/>
          <w:rFonts w:ascii="Calibri" w:hAnsi="Calibri" w:cs="Calibri"/>
          <w:color w:val="000000"/>
        </w:rPr>
        <w:lastRenderedPageBreak/>
        <w:t>Committee and funding method(s) within 12 months post approval. Funding decisions, disbursement and implementation will take place within 15-18 months post approval. </w:t>
      </w:r>
      <w:r>
        <w:rPr>
          <w:rStyle w:val="eop"/>
          <w:rFonts w:ascii="Calibri" w:hAnsi="Calibri" w:cs="Calibri"/>
          <w:color w:val="000000"/>
        </w:rPr>
        <w:t> </w:t>
      </w:r>
    </w:p>
    <w:p w14:paraId="7439A983"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328F183"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DFCI plans to utilize administrative funds to promote funding opportunities, develop a Request for Proposal (RFP) process, provide applicants with technical assistance resources and support additional staff time. Administrative funds will also be utilized to support the work of the regional Boston Community Health Collaborative. The CHI team also asks the Applicant to utilize administrative dollars to address barriers to community participation and engagement (e.g., provide interpretation/translation services and/or stipends for resident participation). The proposed timeline and use of administrative and evaluation funds are all appropriate and in line with CHI planning guidelines. </w:t>
      </w:r>
      <w:r>
        <w:rPr>
          <w:rStyle w:val="eop"/>
          <w:rFonts w:ascii="Calibri" w:hAnsi="Calibri" w:cs="Calibri"/>
          <w:color w:val="000000"/>
        </w:rPr>
        <w:t> </w:t>
      </w:r>
    </w:p>
    <w:p w14:paraId="34C61039" w14:textId="77777777" w:rsidR="00026725" w:rsidRDefault="00026725" w:rsidP="00026725">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2D69282F"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color w:val="000000"/>
        </w:rPr>
        <w:t>Analysis</w:t>
      </w:r>
      <w:r>
        <w:rPr>
          <w:rStyle w:val="eop"/>
          <w:rFonts w:ascii="Calibri" w:hAnsi="Calibri" w:cs="Calibri"/>
          <w:color w:val="000000"/>
        </w:rPr>
        <w:t> </w:t>
      </w:r>
    </w:p>
    <w:p w14:paraId="363765DF" w14:textId="77777777" w:rsidR="00026725" w:rsidRDefault="00026725" w:rsidP="00026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As a result of information provided by the Applicant and additional analysis, staff finds that with the conditions outlined below, and with their ongoing commitment to meaningful community engagement and based on planning timelines that staff will approve, the Applicant has demonstrated that the Proposed Project has met Factor 6. </w:t>
      </w:r>
      <w:r>
        <w:rPr>
          <w:rStyle w:val="eop"/>
          <w:rFonts w:ascii="Calibri" w:hAnsi="Calibri" w:cs="Calibri"/>
          <w:color w:val="000000"/>
        </w:rPr>
        <w:t> </w:t>
      </w:r>
    </w:p>
    <w:p w14:paraId="5C707AAC" w14:textId="77777777" w:rsidR="003A7B86" w:rsidRDefault="003A7B86" w:rsidP="008917DC">
      <w:pPr>
        <w:pStyle w:val="Heading1"/>
        <w:ind w:left="0"/>
        <w:rPr>
          <w:rFonts w:asciiTheme="minorHAnsi" w:hAnsiTheme="minorHAnsi"/>
          <w:color w:val="1F497D" w:themeColor="text2"/>
        </w:rPr>
      </w:pPr>
    </w:p>
    <w:p w14:paraId="6FCE2007" w14:textId="009893B9" w:rsidR="00341112" w:rsidRDefault="00341112" w:rsidP="008917DC">
      <w:pPr>
        <w:pStyle w:val="Heading1"/>
        <w:ind w:left="0"/>
        <w:rPr>
          <w:rFonts w:asciiTheme="minorHAnsi" w:hAnsiTheme="minorHAnsi"/>
          <w:color w:val="1F497D" w:themeColor="text2"/>
        </w:rPr>
      </w:pPr>
      <w:bookmarkStart w:id="34" w:name="_Toc190780595"/>
      <w:r>
        <w:rPr>
          <w:rFonts w:asciiTheme="minorHAnsi" w:hAnsiTheme="minorHAnsi"/>
          <w:color w:val="1F497D" w:themeColor="text2"/>
        </w:rPr>
        <w:t>Public Comments on the Application</w:t>
      </w:r>
      <w:bookmarkEnd w:id="34"/>
    </w:p>
    <w:p w14:paraId="7CE21AFE" w14:textId="77777777" w:rsidR="005D7B06" w:rsidRPr="005D7B06" w:rsidRDefault="005D7B06" w:rsidP="005D7B06">
      <w:r w:rsidRPr="005D7B06">
        <w:t xml:space="preserve">Any person, and any Ten Taxpayer group, may provide written or oral comment at any time during the first 30 days following the Filing Date of an Application, or during the first ten days after a public hearing. </w:t>
      </w:r>
    </w:p>
    <w:p w14:paraId="70BAB42E" w14:textId="77777777" w:rsidR="005D7B06" w:rsidRPr="005D7B06" w:rsidRDefault="005D7B06" w:rsidP="005D7B06"/>
    <w:p w14:paraId="739BBEDB" w14:textId="77777777" w:rsidR="005D7B06" w:rsidRPr="005D7B06" w:rsidRDefault="005D7B06" w:rsidP="00BA2054">
      <w:pPr>
        <w:rPr>
          <w:b/>
          <w:u w:val="single"/>
        </w:rPr>
      </w:pPr>
      <w:r w:rsidRPr="005D7B06">
        <w:rPr>
          <w:b/>
          <w:u w:val="single"/>
        </w:rPr>
        <w:t>Public Hearing</w:t>
      </w:r>
    </w:p>
    <w:p w14:paraId="38F5C69A" w14:textId="4FF46007" w:rsidR="005D7B06" w:rsidRPr="005D7B06" w:rsidRDefault="005D7B06" w:rsidP="00BA2054">
      <w:r w:rsidRPr="005D7B06">
        <w:t xml:space="preserve">The Department held a virtual public hearing in connection with the Proposed Project on </w:t>
      </w:r>
      <w:r w:rsidR="00C15558">
        <w:t>April 17</w:t>
      </w:r>
      <w:r w:rsidRPr="005D7B06">
        <w:t>, 202</w:t>
      </w:r>
      <w:r>
        <w:t>4</w:t>
      </w:r>
      <w:r w:rsidRPr="005D7B06">
        <w:t xml:space="preserve">. A total of </w:t>
      </w:r>
      <w:r w:rsidR="00C15558">
        <w:t>2</w:t>
      </w:r>
      <w:r w:rsidR="004460CC">
        <w:t>6</w:t>
      </w:r>
      <w:r w:rsidRPr="005D7B06">
        <w:t xml:space="preserve"> people provided oral comments at the public hearing. Pursuant to the DoN regulation, the Department determines whether need exists for a Proposed Project, based upon whether the Applicant meets each of the relevant factors set out in those regulations. Oral comments provided at the public hearing for consideration in DoN’s review and analysis would be ones that address the Applicant’s ability to meet the requirements of each of the relevant factors. The transcript of the public hearing is available online on the DoN website. The names of those testifying at the hearing are listed in Appendix </w:t>
      </w:r>
      <w:r w:rsidR="009911E1">
        <w:t>I</w:t>
      </w:r>
      <w:r w:rsidRPr="005D7B06">
        <w:t>V, and a summary of comments is in Appendix VI.</w:t>
      </w:r>
    </w:p>
    <w:p w14:paraId="47D0E347" w14:textId="77777777" w:rsidR="005D7B06" w:rsidRPr="005D7B06" w:rsidRDefault="005D7B06" w:rsidP="00BA2054"/>
    <w:p w14:paraId="33ABF2C3" w14:textId="77777777" w:rsidR="005D7B06" w:rsidRPr="005D7B06" w:rsidRDefault="005D7B06" w:rsidP="00BA2054">
      <w:pPr>
        <w:rPr>
          <w:b/>
          <w:u w:val="single"/>
        </w:rPr>
      </w:pPr>
      <w:r w:rsidRPr="005D7B06">
        <w:rPr>
          <w:b/>
          <w:u w:val="single"/>
        </w:rPr>
        <w:t>Written Comment</w:t>
      </w:r>
    </w:p>
    <w:p w14:paraId="668CDFC1" w14:textId="031B0B18" w:rsidR="005D7B06" w:rsidRPr="005D7B06" w:rsidRDefault="005D7B06" w:rsidP="00BA2054">
      <w:r w:rsidRPr="005D7B06">
        <w:t xml:space="preserve">The Department received a total of </w:t>
      </w:r>
      <w:r w:rsidR="00C15558">
        <w:t>4</w:t>
      </w:r>
      <w:r w:rsidR="00D76744">
        <w:t>5</w:t>
      </w:r>
      <w:r w:rsidRPr="005D7B06">
        <w:t xml:space="preserve"> written comments. Pursuant to the DoN regulation, the Department determines whether need exists for a Proposed Project, based upon whether the Applicant meets each of the relevant factors set out in those regulations. Comments for consideration in </w:t>
      </w:r>
      <w:r w:rsidR="00D22277">
        <w:t>DoN’s</w:t>
      </w:r>
      <w:r w:rsidRPr="005D7B06">
        <w:t xml:space="preserve"> review and analysis would be ones that address the Applicant’s ability to meet the requirements of each of the relevant factors. The names of those submitting written comments are listed below in Appendix </w:t>
      </w:r>
      <w:r w:rsidR="001A54D3">
        <w:t>V</w:t>
      </w:r>
      <w:r w:rsidRPr="005D7B06">
        <w:t xml:space="preserve"> and a summary of the written comments is provided below in Appendix </w:t>
      </w:r>
      <w:r w:rsidR="00D13FAA">
        <w:t>VI</w:t>
      </w:r>
      <w:r w:rsidRPr="005D7B06">
        <w:t>. The full text of written comments is available online on the DoN website.</w:t>
      </w:r>
    </w:p>
    <w:p w14:paraId="4570E2CD" w14:textId="77777777" w:rsidR="005D7B06" w:rsidRPr="005D7B06" w:rsidRDefault="005D7B06" w:rsidP="00BA2054">
      <w:pPr>
        <w:rPr>
          <w:b/>
          <w:u w:val="single"/>
        </w:rPr>
      </w:pPr>
    </w:p>
    <w:p w14:paraId="16B9BDB3" w14:textId="77777777" w:rsidR="005D7B06" w:rsidRPr="005D7B06" w:rsidRDefault="005D7B06" w:rsidP="00BA2054">
      <w:pPr>
        <w:rPr>
          <w:b/>
          <w:u w:val="single"/>
        </w:rPr>
      </w:pPr>
      <w:r w:rsidRPr="005D7B06">
        <w:rPr>
          <w:b/>
          <w:u w:val="single"/>
        </w:rPr>
        <w:lastRenderedPageBreak/>
        <w:t>Ten Taxpayer Groups (TTGs)</w:t>
      </w:r>
    </w:p>
    <w:p w14:paraId="6EAF2CBA" w14:textId="77777777" w:rsidR="005D7B06" w:rsidRPr="005D7B06" w:rsidRDefault="005D7B06" w:rsidP="00BA2054">
      <w:pPr>
        <w:rPr>
          <w:b/>
          <w:u w:val="single"/>
        </w:rPr>
      </w:pPr>
      <w:r w:rsidRPr="005D7B06">
        <w:t xml:space="preserve">Pursuant to the DoN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5153DE52" w14:textId="77777777" w:rsidR="005D7B06" w:rsidRPr="005D7B06" w:rsidRDefault="005D7B06" w:rsidP="00BA2054">
      <w:pPr>
        <w:rPr>
          <w:b/>
          <w:u w:val="single"/>
        </w:rPr>
      </w:pPr>
    </w:p>
    <w:p w14:paraId="42C90B65" w14:textId="6791CE78" w:rsidR="00341112" w:rsidRDefault="006C56ED" w:rsidP="00BA2054">
      <w:r>
        <w:t>Six</w:t>
      </w:r>
      <w:r w:rsidR="005D7B06" w:rsidRPr="005D7B06">
        <w:t xml:space="preserve"> Ten taxpayer groups (TTGs) registered in connection with the Proposed Project. Registration information for each TTG is available on the DoN website. The names of the TTGs and their participation in the review process can be found in Appendix </w:t>
      </w:r>
      <w:r w:rsidR="00012284">
        <w:t>VII</w:t>
      </w:r>
      <w:r w:rsidR="005D7B06" w:rsidRPr="005D7B06">
        <w:t>. Additional information including full text of comments is available on the DoN website.</w:t>
      </w:r>
    </w:p>
    <w:p w14:paraId="1B4C7C1A" w14:textId="77777777" w:rsidR="00C4540E" w:rsidRDefault="00C4540E" w:rsidP="00BA2054"/>
    <w:p w14:paraId="5DD29CEB" w14:textId="473A2445" w:rsidR="00B447F3" w:rsidRPr="008917DC" w:rsidRDefault="00A4110F" w:rsidP="00BA2054">
      <w:pPr>
        <w:pStyle w:val="Heading1"/>
        <w:ind w:left="0"/>
        <w:rPr>
          <w:rFonts w:asciiTheme="minorHAnsi" w:hAnsiTheme="minorHAnsi"/>
          <w:color w:val="1F497D" w:themeColor="text2"/>
        </w:rPr>
      </w:pPr>
      <w:bookmarkStart w:id="35" w:name="_Toc190780596"/>
      <w:r w:rsidRPr="008917DC">
        <w:rPr>
          <w:rFonts w:asciiTheme="minorHAnsi" w:hAnsiTheme="minorHAnsi"/>
          <w:color w:val="1F497D" w:themeColor="text2"/>
        </w:rPr>
        <w:t>Findings and Recommendations</w:t>
      </w:r>
      <w:bookmarkEnd w:id="35"/>
    </w:p>
    <w:p w14:paraId="73DAD46F" w14:textId="2FC809F3" w:rsidR="00B447F3" w:rsidRDefault="00A4110F" w:rsidP="00BA2054">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C3F23BC" w14:textId="77777777" w:rsidR="00574DC6" w:rsidRPr="003436F0" w:rsidRDefault="00574DC6" w:rsidP="00BA2054">
      <w:pPr>
        <w:pStyle w:val="BodyText"/>
        <w:ind w:right="226"/>
        <w:rPr>
          <w:rFonts w:asciiTheme="minorHAnsi" w:hAnsiTheme="minorHAnsi"/>
        </w:rPr>
      </w:pPr>
    </w:p>
    <w:p w14:paraId="0CD23462" w14:textId="4A66A9FB" w:rsidR="00B447F3" w:rsidRPr="003436F0" w:rsidRDefault="00A4110F" w:rsidP="00BA2054">
      <w:pPr>
        <w:pStyle w:val="Heading1"/>
        <w:ind w:left="0"/>
        <w:rPr>
          <w:rFonts w:asciiTheme="minorHAnsi" w:hAnsiTheme="minorHAnsi"/>
        </w:rPr>
      </w:pPr>
      <w:bookmarkStart w:id="36" w:name="Other_Conditions"/>
      <w:bookmarkStart w:id="37" w:name="_Toc190780597"/>
      <w:bookmarkEnd w:id="36"/>
      <w:r w:rsidRPr="003436F0">
        <w:rPr>
          <w:rFonts w:asciiTheme="minorHAnsi" w:hAnsiTheme="minorHAnsi"/>
          <w:color w:val="42558C"/>
        </w:rPr>
        <w:t>Other Conditions</w:t>
      </w:r>
      <w:bookmarkEnd w:id="37"/>
    </w:p>
    <w:p w14:paraId="1267DFAD" w14:textId="134F08F4" w:rsidR="002D4546" w:rsidRDefault="002D4546" w:rsidP="00BA2054">
      <w:pPr>
        <w:rPr>
          <w:rFonts w:asciiTheme="minorHAnsi" w:hAnsiTheme="minorHAnsi"/>
        </w:rPr>
      </w:pPr>
    </w:p>
    <w:p w14:paraId="25A53860" w14:textId="77777777" w:rsidR="00315A26" w:rsidRDefault="00315A26" w:rsidP="00F91720">
      <w:pPr>
        <w:pStyle w:val="paragraph"/>
        <w:numPr>
          <w:ilvl w:val="1"/>
          <w:numId w:val="35"/>
        </w:numPr>
        <w:spacing w:before="0" w:beforeAutospacing="0" w:after="0" w:afterAutospacing="0"/>
        <w:ind w:left="720"/>
        <w:textAlignment w:val="baseline"/>
        <w:rPr>
          <w:rFonts w:ascii="Calibri" w:hAnsi="Calibri" w:cs="Calibri"/>
        </w:rPr>
      </w:pPr>
      <w:r>
        <w:rPr>
          <w:rStyle w:val="normaltextrun"/>
          <w:rFonts w:ascii="Calibri" w:hAnsi="Calibri" w:cs="Calibri"/>
          <w:color w:val="000000"/>
        </w:rPr>
        <w:t>Of the total required CHI contribution of $83,785,000.</w:t>
      </w:r>
      <w:r>
        <w:rPr>
          <w:rStyle w:val="eop"/>
          <w:rFonts w:ascii="Calibri" w:hAnsi="Calibri" w:cs="Calibri"/>
          <w:color w:val="000000"/>
        </w:rPr>
        <w:t> </w:t>
      </w:r>
    </w:p>
    <w:p w14:paraId="4E707B2A" w14:textId="77777777" w:rsidR="00315A26" w:rsidRDefault="00315A26" w:rsidP="00F91720">
      <w:pPr>
        <w:pStyle w:val="paragraph"/>
        <w:numPr>
          <w:ilvl w:val="0"/>
          <w:numId w:val="37"/>
        </w:numPr>
        <w:spacing w:before="0" w:beforeAutospacing="0" w:after="0" w:afterAutospacing="0"/>
        <w:ind w:firstLine="0"/>
        <w:textAlignment w:val="baseline"/>
        <w:rPr>
          <w:rFonts w:ascii="Calibri" w:hAnsi="Calibri" w:cs="Calibri"/>
        </w:rPr>
      </w:pPr>
      <w:r>
        <w:rPr>
          <w:rStyle w:val="normaltextrun"/>
          <w:rFonts w:ascii="Calibri" w:hAnsi="Calibri" w:cs="Calibri"/>
          <w:color w:val="000000"/>
        </w:rPr>
        <w:t>$20,527,325 will be directed to the CHI Statewide Initiative.</w:t>
      </w:r>
      <w:r>
        <w:rPr>
          <w:rStyle w:val="eop"/>
          <w:rFonts w:ascii="Calibri" w:hAnsi="Calibri" w:cs="Calibri"/>
          <w:color w:val="000000"/>
        </w:rPr>
        <w:t> </w:t>
      </w:r>
    </w:p>
    <w:p w14:paraId="4C31CE41" w14:textId="77777777" w:rsidR="00315A26" w:rsidRDefault="00315A26" w:rsidP="00F91720">
      <w:pPr>
        <w:pStyle w:val="paragraph"/>
        <w:numPr>
          <w:ilvl w:val="0"/>
          <w:numId w:val="38"/>
        </w:numPr>
        <w:spacing w:before="0" w:beforeAutospacing="0" w:after="0" w:afterAutospacing="0"/>
        <w:ind w:firstLine="0"/>
        <w:textAlignment w:val="baseline"/>
        <w:rPr>
          <w:rFonts w:ascii="Calibri" w:hAnsi="Calibri" w:cs="Calibri"/>
        </w:rPr>
      </w:pPr>
      <w:r>
        <w:rPr>
          <w:rStyle w:val="normaltextrun"/>
          <w:rFonts w:ascii="Calibri" w:hAnsi="Calibri" w:cs="Calibri"/>
          <w:color w:val="000000"/>
        </w:rPr>
        <w:t>$61,581,975 will be dedicated to local approaches to the DoN Health Priorities.  </w:t>
      </w:r>
      <w:r>
        <w:rPr>
          <w:rStyle w:val="eop"/>
          <w:rFonts w:ascii="Calibri" w:hAnsi="Calibri" w:cs="Calibri"/>
          <w:color w:val="000000"/>
        </w:rPr>
        <w:t> </w:t>
      </w:r>
    </w:p>
    <w:p w14:paraId="2DC25ED8" w14:textId="77777777" w:rsidR="00315A26" w:rsidRDefault="00315A26" w:rsidP="00F91720">
      <w:pPr>
        <w:pStyle w:val="paragraph"/>
        <w:numPr>
          <w:ilvl w:val="0"/>
          <w:numId w:val="39"/>
        </w:numPr>
        <w:spacing w:before="0" w:beforeAutospacing="0" w:after="0" w:afterAutospacing="0"/>
        <w:ind w:firstLine="0"/>
        <w:textAlignment w:val="baseline"/>
        <w:rPr>
          <w:rFonts w:ascii="Calibri" w:hAnsi="Calibri" w:cs="Calibri"/>
        </w:rPr>
      </w:pPr>
      <w:r>
        <w:rPr>
          <w:rStyle w:val="normaltextrun"/>
          <w:rFonts w:ascii="Calibri" w:hAnsi="Calibri" w:cs="Calibri"/>
          <w:color w:val="000000"/>
        </w:rPr>
        <w:t>$1,675,700 will be designated as the administrative fee. </w:t>
      </w:r>
      <w:r>
        <w:rPr>
          <w:rStyle w:val="eop"/>
          <w:rFonts w:ascii="Calibri" w:hAnsi="Calibri" w:cs="Calibri"/>
          <w:color w:val="000000"/>
        </w:rPr>
        <w:t> </w:t>
      </w:r>
    </w:p>
    <w:p w14:paraId="14BD4609" w14:textId="77777777" w:rsidR="00315A26" w:rsidRDefault="00315A26" w:rsidP="00315A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3C347846" w14:textId="77777777" w:rsidR="00315A26" w:rsidRDefault="00315A26" w:rsidP="00F91720">
      <w:pPr>
        <w:pStyle w:val="paragraph"/>
        <w:numPr>
          <w:ilvl w:val="0"/>
          <w:numId w:val="40"/>
        </w:numPr>
        <w:spacing w:before="0" w:beforeAutospacing="0" w:after="0" w:afterAutospacing="0"/>
        <w:ind w:left="360" w:firstLine="0"/>
        <w:textAlignment w:val="baseline"/>
        <w:rPr>
          <w:rFonts w:ascii="Calibri" w:hAnsi="Calibri" w:cs="Calibri"/>
        </w:rPr>
      </w:pPr>
      <w:r>
        <w:rPr>
          <w:rStyle w:val="normaltextrun"/>
          <w:rFonts w:ascii="Calibri" w:hAnsi="Calibri" w:cs="Calibri"/>
          <w:color w:val="000000"/>
        </w:rPr>
        <w:t xml:space="preserve">To comply with the Holder’s obligation to contribute to the CHI Statewide Initiative, the </w:t>
      </w:r>
      <w:r>
        <w:rPr>
          <w:rStyle w:val="normaltextrun"/>
          <w:rFonts w:ascii="Calibri" w:hAnsi="Calibri" w:cs="Calibri"/>
        </w:rPr>
        <w:t xml:space="preserve">Holder must submit a check for $20,527,325 to Health Resources in Action (the fiscal agent for the CHI Statewide Initiative) </w:t>
      </w:r>
      <w:r>
        <w:rPr>
          <w:rStyle w:val="normaltextrun"/>
          <w:rFonts w:ascii="Calibri" w:hAnsi="Calibri" w:cs="Calibri"/>
          <w:b/>
          <w:bCs/>
        </w:rPr>
        <w:t>within 30 days</w:t>
      </w:r>
      <w:r>
        <w:rPr>
          <w:rStyle w:val="normaltextrun"/>
          <w:rFonts w:ascii="Calibri" w:hAnsi="Calibri" w:cs="Calibri"/>
        </w:rPr>
        <w:t xml:space="preserve"> from the date of the Notice of Approval.  </w:t>
      </w:r>
      <w:r>
        <w:rPr>
          <w:rStyle w:val="eop"/>
          <w:rFonts w:ascii="Calibri" w:hAnsi="Calibri" w:cs="Calibri"/>
        </w:rPr>
        <w:t> </w:t>
      </w:r>
    </w:p>
    <w:p w14:paraId="43F6E754" w14:textId="77777777" w:rsidR="00315A26" w:rsidRDefault="00315A26" w:rsidP="00F91720">
      <w:pPr>
        <w:pStyle w:val="paragraph"/>
        <w:numPr>
          <w:ilvl w:val="0"/>
          <w:numId w:val="41"/>
        </w:numPr>
        <w:spacing w:before="0" w:beforeAutospacing="0" w:after="0" w:afterAutospacing="0"/>
        <w:ind w:firstLine="0"/>
        <w:textAlignment w:val="baseline"/>
        <w:rPr>
          <w:rFonts w:ascii="Calibri" w:hAnsi="Calibri" w:cs="Calibri"/>
        </w:rPr>
      </w:pPr>
      <w:r>
        <w:rPr>
          <w:rStyle w:val="normaltextrun"/>
          <w:rFonts w:ascii="Calibri" w:hAnsi="Calibri" w:cs="Calibri"/>
        </w:rPr>
        <w:t>Payments should be made out to:</w:t>
      </w:r>
      <w:r>
        <w:rPr>
          <w:rStyle w:val="eop"/>
          <w:rFonts w:ascii="Calibri" w:hAnsi="Calibri" w:cs="Calibri"/>
        </w:rPr>
        <w:t> </w:t>
      </w:r>
    </w:p>
    <w:p w14:paraId="72154972" w14:textId="77777777" w:rsidR="00315A26" w:rsidRDefault="00315A26" w:rsidP="00315A2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rPr>
        <w:t>Health Resources in Action, Inc. (HRiA) </w:t>
      </w:r>
      <w:r>
        <w:rPr>
          <w:rStyle w:val="eop"/>
          <w:rFonts w:ascii="Calibri" w:hAnsi="Calibri" w:cs="Calibri"/>
        </w:rPr>
        <w:t> </w:t>
      </w:r>
    </w:p>
    <w:p w14:paraId="35AF82A4" w14:textId="77777777" w:rsidR="00315A26" w:rsidRDefault="00315A26" w:rsidP="00315A2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rPr>
        <w:t>2 Boylston Street, 4th Floor </w:t>
      </w:r>
      <w:r>
        <w:rPr>
          <w:rStyle w:val="eop"/>
          <w:rFonts w:ascii="Calibri" w:hAnsi="Calibri" w:cs="Calibri"/>
        </w:rPr>
        <w:t> </w:t>
      </w:r>
    </w:p>
    <w:p w14:paraId="29339A88" w14:textId="77777777" w:rsidR="00315A26" w:rsidRDefault="00315A26" w:rsidP="00315A2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rPr>
        <w:t>Boston, MA 02116 </w:t>
      </w:r>
      <w:r>
        <w:rPr>
          <w:rStyle w:val="eop"/>
          <w:rFonts w:ascii="Calibri" w:hAnsi="Calibri" w:cs="Calibri"/>
        </w:rPr>
        <w:t> </w:t>
      </w:r>
    </w:p>
    <w:p w14:paraId="3BBC1BCA" w14:textId="77777777" w:rsidR="00315A26" w:rsidRDefault="00315A26" w:rsidP="00315A2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rPr>
        <w:t>Attn: MACHHAF c/o Bora Toro </w:t>
      </w:r>
      <w:r>
        <w:rPr>
          <w:rStyle w:val="eop"/>
          <w:rFonts w:ascii="Calibri" w:hAnsi="Calibri" w:cs="Calibri"/>
        </w:rPr>
        <w:t> </w:t>
      </w:r>
    </w:p>
    <w:p w14:paraId="3A82D9B1" w14:textId="77777777" w:rsidR="00315A26" w:rsidRDefault="00315A26" w:rsidP="00315A26">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rPr>
        <w:t>DoN project #: DFCI-23040915-HE</w:t>
      </w:r>
      <w:r>
        <w:rPr>
          <w:rStyle w:val="eop"/>
          <w:rFonts w:ascii="Calibri" w:hAnsi="Calibri" w:cs="Calibri"/>
        </w:rPr>
        <w:t> </w:t>
      </w:r>
    </w:p>
    <w:p w14:paraId="48E635D0" w14:textId="77777777" w:rsidR="00315A26" w:rsidRDefault="00315A26" w:rsidP="00315A2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2AB5696" w14:textId="77777777" w:rsidR="00315A26" w:rsidRPr="00E01635" w:rsidRDefault="00315A26" w:rsidP="00F91720">
      <w:pPr>
        <w:pStyle w:val="paragraph"/>
        <w:numPr>
          <w:ilvl w:val="0"/>
          <w:numId w:val="42"/>
        </w:numPr>
        <w:spacing w:before="0" w:beforeAutospacing="0" w:after="0" w:afterAutospacing="0"/>
        <w:ind w:firstLine="0"/>
        <w:textAlignment w:val="baseline"/>
        <w:rPr>
          <w:rStyle w:val="normaltextrun"/>
          <w:rFonts w:ascii="Calibri" w:hAnsi="Calibri" w:cs="Calibri"/>
        </w:rPr>
      </w:pPr>
      <w:r>
        <w:rPr>
          <w:rStyle w:val="normaltextrun"/>
          <w:rFonts w:ascii="Calibri" w:hAnsi="Calibri" w:cs="Calibri"/>
        </w:rPr>
        <w:t>Please send a PDF image of the check or</w:t>
      </w:r>
      <w:r>
        <w:rPr>
          <w:rStyle w:val="normaltextrun"/>
          <w:rFonts w:ascii="Calibri" w:hAnsi="Calibri" w:cs="Calibri"/>
          <w:b/>
          <w:bCs/>
        </w:rPr>
        <w:t xml:space="preserve"> confirmation of payment</w:t>
      </w:r>
      <w:r>
        <w:rPr>
          <w:rStyle w:val="normaltextrun"/>
          <w:rFonts w:ascii="Calibri" w:hAnsi="Calibri" w:cs="Calibri"/>
        </w:rPr>
        <w:t xml:space="preserve"> to</w:t>
      </w:r>
      <w:r>
        <w:rPr>
          <w:rStyle w:val="normaltextrun"/>
          <w:rFonts w:ascii="Calibri" w:hAnsi="Calibri" w:cs="Calibri"/>
          <w:color w:val="000000"/>
        </w:rPr>
        <w:t xml:space="preserve"> </w:t>
      </w:r>
    </w:p>
    <w:p w14:paraId="42259328" w14:textId="77777777" w:rsidR="00315A26" w:rsidRDefault="00315A26" w:rsidP="00315A26">
      <w:pPr>
        <w:pStyle w:val="paragraph"/>
        <w:spacing w:before="0" w:beforeAutospacing="0" w:after="0" w:afterAutospacing="0"/>
        <w:ind w:left="720" w:firstLine="720"/>
        <w:textAlignment w:val="baseline"/>
        <w:rPr>
          <w:rFonts w:ascii="Calibri" w:hAnsi="Calibri" w:cs="Calibri"/>
        </w:rPr>
      </w:pPr>
      <w:r>
        <w:rPr>
          <w:rStyle w:val="normaltextrun"/>
          <w:rFonts w:ascii="Calibri" w:hAnsi="Calibri" w:cs="Calibri"/>
          <w:color w:val="0000FF"/>
          <w:u w:val="single"/>
        </w:rPr>
        <w:t>DONCHI@Mass.gov</w:t>
      </w:r>
      <w:r>
        <w:rPr>
          <w:rStyle w:val="normaltextrun"/>
          <w:rFonts w:ascii="Calibri" w:hAnsi="Calibri" w:cs="Calibri"/>
          <w:color w:val="000000"/>
        </w:rPr>
        <w:t xml:space="preserve"> and </w:t>
      </w:r>
      <w:hyperlink r:id="rId18" w:tgtFrame="_blank" w:history="1">
        <w:r>
          <w:rPr>
            <w:rStyle w:val="normaltextrun"/>
            <w:rFonts w:ascii="Calibri" w:hAnsi="Calibri" w:cs="Calibri"/>
            <w:color w:val="0000FF"/>
            <w:u w:val="single"/>
            <w:lang w:val="fr-FR"/>
          </w:rPr>
          <w:t>dongrants@hria.org</w:t>
        </w:r>
      </w:hyperlink>
      <w:r>
        <w:rPr>
          <w:rStyle w:val="eop"/>
          <w:rFonts w:ascii="Calibri" w:hAnsi="Calibri" w:cs="Calibri"/>
          <w:color w:val="0000FF"/>
        </w:rPr>
        <w:t> </w:t>
      </w:r>
    </w:p>
    <w:p w14:paraId="368B3721" w14:textId="77777777" w:rsidR="00315A26" w:rsidRDefault="00315A26" w:rsidP="00315A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15CEBF6A" w14:textId="77777777" w:rsidR="00315A26" w:rsidRDefault="00315A26" w:rsidP="00315A26">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color w:val="000000"/>
        </w:rPr>
        <w:t xml:space="preserve">If you should have any questions or concerns regarding the payment, please contact the CHI team at </w:t>
      </w:r>
      <w:hyperlink r:id="rId19" w:tgtFrame="_blank" w:history="1">
        <w:r>
          <w:rPr>
            <w:rStyle w:val="normaltextrun"/>
            <w:rFonts w:ascii="Calibri" w:hAnsi="Calibri" w:cs="Calibri"/>
            <w:color w:val="0000FF"/>
            <w:u w:val="single"/>
          </w:rPr>
          <w:t>DONCHI@Mass.gov</w:t>
        </w:r>
      </w:hyperlink>
      <w:r>
        <w:rPr>
          <w:rStyle w:val="normaltextrun"/>
          <w:rFonts w:ascii="Calibri" w:hAnsi="Calibri" w:cs="Calibri"/>
          <w:color w:val="000000"/>
        </w:rPr>
        <w:t>.</w:t>
      </w:r>
      <w:r>
        <w:rPr>
          <w:rStyle w:val="eop"/>
          <w:rFonts w:ascii="Calibri" w:hAnsi="Calibri" w:cs="Calibri"/>
          <w:color w:val="000000"/>
        </w:rPr>
        <w:t> </w:t>
      </w:r>
    </w:p>
    <w:p w14:paraId="3791F17E" w14:textId="77777777" w:rsidR="00315A26" w:rsidRPr="00E01635" w:rsidRDefault="00315A26" w:rsidP="00315A26">
      <w:pPr>
        <w:rPr>
          <w:rFonts w:asciiTheme="minorHAnsi" w:hAnsiTheme="minorHAnsi"/>
        </w:rPr>
      </w:pPr>
    </w:p>
    <w:p w14:paraId="0F7FFCAF" w14:textId="77777777" w:rsidR="002118CA" w:rsidRPr="002118CA" w:rsidRDefault="002118CA" w:rsidP="002118CA">
      <w:pPr>
        <w:numPr>
          <w:ilvl w:val="0"/>
          <w:numId w:val="40"/>
        </w:numPr>
        <w:rPr>
          <w:rFonts w:asciiTheme="minorHAnsi" w:hAnsiTheme="minorHAnsi"/>
        </w:rPr>
      </w:pPr>
      <w:r w:rsidRPr="002118CA">
        <w:rPr>
          <w:rFonts w:asciiTheme="minorHAnsi" w:hAnsiTheme="minorHAnsi"/>
        </w:rPr>
        <w:t xml:space="preserve">To demonstrate that the Proposed Project is advancing health equity and increasing access </w:t>
      </w:r>
      <w:r w:rsidRPr="002118CA">
        <w:rPr>
          <w:rFonts w:asciiTheme="minorHAnsi" w:hAnsiTheme="minorHAnsi"/>
        </w:rPr>
        <w:lastRenderedPageBreak/>
        <w:t>across the Holder’s services, the Holder will track and report on its efforts to (1) identify barriers to cancer care, including but not limited to patients in the Holder’s Patient Panel insured by or through MassHealth, (2) implement evidence-based programs conducted in early detection, screening, and cancer prevention and education through existing and new partnerships with community health centers, community-based organizations, and government entities, including strengthening patient access to primary care settings, and (3) report on its efforts to address identified barriers to care and expand access to care, including measurable metrics.</w:t>
      </w:r>
    </w:p>
    <w:p w14:paraId="3C0D78C0" w14:textId="77777777" w:rsidR="002118CA" w:rsidRPr="002118CA" w:rsidRDefault="002118CA" w:rsidP="002118CA">
      <w:pPr>
        <w:rPr>
          <w:rFonts w:asciiTheme="minorHAnsi" w:hAnsiTheme="minorHAnsi"/>
        </w:rPr>
      </w:pPr>
    </w:p>
    <w:p w14:paraId="6BDE39E9" w14:textId="77777777" w:rsidR="002118CA" w:rsidRPr="002118CA" w:rsidRDefault="002118CA" w:rsidP="002118CA">
      <w:pPr>
        <w:numPr>
          <w:ilvl w:val="0"/>
          <w:numId w:val="40"/>
        </w:numPr>
        <w:rPr>
          <w:rFonts w:asciiTheme="minorHAnsi" w:hAnsiTheme="minorHAnsi"/>
        </w:rPr>
      </w:pPr>
      <w:r w:rsidRPr="002118CA">
        <w:rPr>
          <w:rFonts w:asciiTheme="minorHAnsi" w:hAnsiTheme="minorHAnsi"/>
        </w:rPr>
        <w:t>If, during the pendency of the DoN, the Department determines that the MassHealth payer mix of the Holder has materially decreased,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to demonstrate measurable progress resulting from its efforts to increase its MassHealth payer mix.</w:t>
      </w:r>
    </w:p>
    <w:p w14:paraId="47608985" w14:textId="77777777" w:rsidR="002118CA" w:rsidRPr="002118CA" w:rsidRDefault="002118CA" w:rsidP="002118CA">
      <w:pPr>
        <w:rPr>
          <w:rFonts w:asciiTheme="minorHAnsi" w:hAnsiTheme="minorHAnsi"/>
        </w:rPr>
      </w:pPr>
    </w:p>
    <w:p w14:paraId="0A4D0431" w14:textId="77777777" w:rsidR="005C1D20" w:rsidRPr="005C1D20" w:rsidRDefault="005C1D20" w:rsidP="005C1D20">
      <w:pPr>
        <w:numPr>
          <w:ilvl w:val="0"/>
          <w:numId w:val="61"/>
        </w:numPr>
        <w:rPr>
          <w:rFonts w:asciiTheme="minorHAnsi" w:hAnsiTheme="minorHAnsi"/>
        </w:rPr>
      </w:pPr>
      <w:r w:rsidRPr="005C1D20">
        <w:rPr>
          <w:rFonts w:asciiTheme="minorHAnsi" w:hAnsiTheme="minorHAnsi"/>
        </w:rPr>
        <w:t>For each full fiscal year, during the Reporting Period the Holder shall report the following metrics to the Department annually for the Project: </w:t>
      </w:r>
    </w:p>
    <w:p w14:paraId="47A693CF" w14:textId="77777777" w:rsidR="005C1D20" w:rsidRPr="005C1D20" w:rsidRDefault="005C1D20" w:rsidP="005C1D20">
      <w:pPr>
        <w:numPr>
          <w:ilvl w:val="0"/>
          <w:numId w:val="62"/>
        </w:numPr>
        <w:tabs>
          <w:tab w:val="num" w:pos="720"/>
        </w:tabs>
        <w:rPr>
          <w:rFonts w:asciiTheme="minorHAnsi" w:hAnsiTheme="minorHAnsi"/>
        </w:rPr>
      </w:pPr>
      <w:r w:rsidRPr="005C1D20">
        <w:rPr>
          <w:rFonts w:asciiTheme="minorHAnsi" w:hAnsiTheme="minorHAnsi"/>
        </w:rPr>
        <w:t>Total Inpatient Revenue </w:t>
      </w:r>
    </w:p>
    <w:p w14:paraId="5C813507" w14:textId="77777777" w:rsidR="005C1D20" w:rsidRPr="005C1D20" w:rsidRDefault="005C1D20" w:rsidP="005C1D20">
      <w:pPr>
        <w:numPr>
          <w:ilvl w:val="0"/>
          <w:numId w:val="63"/>
        </w:numPr>
        <w:tabs>
          <w:tab w:val="num" w:pos="720"/>
        </w:tabs>
        <w:rPr>
          <w:rFonts w:asciiTheme="minorHAnsi" w:hAnsiTheme="minorHAnsi"/>
        </w:rPr>
      </w:pPr>
      <w:r w:rsidRPr="005C1D20">
        <w:rPr>
          <w:rFonts w:asciiTheme="minorHAnsi" w:hAnsiTheme="minorHAnsi"/>
        </w:rPr>
        <w:t>Total Inpatient Pharmaceutical Revenue </w:t>
      </w:r>
    </w:p>
    <w:p w14:paraId="63DC3CA9" w14:textId="77777777" w:rsidR="005C1D20" w:rsidRPr="005C1D20" w:rsidRDefault="005C1D20" w:rsidP="005C1D20">
      <w:pPr>
        <w:numPr>
          <w:ilvl w:val="0"/>
          <w:numId w:val="64"/>
        </w:numPr>
        <w:tabs>
          <w:tab w:val="num" w:pos="720"/>
        </w:tabs>
        <w:rPr>
          <w:rFonts w:asciiTheme="minorHAnsi" w:hAnsiTheme="minorHAnsi"/>
        </w:rPr>
      </w:pPr>
      <w:r w:rsidRPr="005C1D20">
        <w:rPr>
          <w:rFonts w:asciiTheme="minorHAnsi" w:hAnsiTheme="minorHAnsi"/>
        </w:rPr>
        <w:t>Total Inpatient Operating Expenses </w:t>
      </w:r>
    </w:p>
    <w:p w14:paraId="1310078C" w14:textId="77777777" w:rsidR="005C1D20" w:rsidRPr="005C1D20" w:rsidRDefault="005C1D20" w:rsidP="005C1D20">
      <w:pPr>
        <w:numPr>
          <w:ilvl w:val="0"/>
          <w:numId w:val="65"/>
        </w:numPr>
        <w:tabs>
          <w:tab w:val="num" w:pos="720"/>
        </w:tabs>
        <w:rPr>
          <w:rFonts w:asciiTheme="minorHAnsi" w:hAnsiTheme="minorHAnsi"/>
        </w:rPr>
      </w:pPr>
      <w:r w:rsidRPr="005C1D20">
        <w:rPr>
          <w:rFonts w:asciiTheme="minorHAnsi" w:hAnsiTheme="minorHAnsi"/>
        </w:rPr>
        <w:t>Total Inpatient Pharmaceutical Expenses </w:t>
      </w:r>
    </w:p>
    <w:p w14:paraId="68FE4BC4" w14:textId="77777777" w:rsidR="005C1D20" w:rsidRPr="005C1D20" w:rsidRDefault="005C1D20" w:rsidP="005C1D20">
      <w:pPr>
        <w:numPr>
          <w:ilvl w:val="0"/>
          <w:numId w:val="66"/>
        </w:numPr>
        <w:tabs>
          <w:tab w:val="num" w:pos="720"/>
        </w:tabs>
        <w:rPr>
          <w:rFonts w:asciiTheme="minorHAnsi" w:hAnsiTheme="minorHAnsi"/>
        </w:rPr>
      </w:pPr>
      <w:r w:rsidRPr="005C1D20">
        <w:rPr>
          <w:rFonts w:asciiTheme="minorHAnsi" w:hAnsiTheme="minorHAnsi"/>
        </w:rPr>
        <w:t>Total Inpatient Discharges </w:t>
      </w:r>
    </w:p>
    <w:p w14:paraId="7EAD8A19" w14:textId="77777777" w:rsidR="005C1D20" w:rsidRPr="005C1D20" w:rsidRDefault="005C1D20" w:rsidP="005C1D20">
      <w:pPr>
        <w:numPr>
          <w:ilvl w:val="0"/>
          <w:numId w:val="67"/>
        </w:numPr>
        <w:tabs>
          <w:tab w:val="num" w:pos="720"/>
        </w:tabs>
        <w:rPr>
          <w:rFonts w:asciiTheme="minorHAnsi" w:hAnsiTheme="minorHAnsi"/>
        </w:rPr>
      </w:pPr>
      <w:r w:rsidRPr="005C1D20">
        <w:rPr>
          <w:rFonts w:asciiTheme="minorHAnsi" w:hAnsiTheme="minorHAnsi"/>
        </w:rPr>
        <w:t>Inpatient Case Mix Index </w:t>
      </w:r>
    </w:p>
    <w:p w14:paraId="6297D080" w14:textId="77777777" w:rsidR="005C1D20" w:rsidRPr="005C1D20" w:rsidRDefault="005C1D20" w:rsidP="005C1D20">
      <w:pPr>
        <w:rPr>
          <w:rFonts w:asciiTheme="minorHAnsi" w:hAnsiTheme="minorHAnsi"/>
        </w:rPr>
      </w:pPr>
      <w:r w:rsidRPr="005C1D20">
        <w:rPr>
          <w:rFonts w:asciiTheme="minorHAnsi" w:hAnsiTheme="minorHAnsi"/>
        </w:rPr>
        <w:t> </w:t>
      </w:r>
    </w:p>
    <w:p w14:paraId="75269C3B" w14:textId="77777777" w:rsidR="005C1D20" w:rsidRPr="005C1D20" w:rsidRDefault="005C1D20" w:rsidP="00D91E16">
      <w:pPr>
        <w:ind w:left="720"/>
        <w:rPr>
          <w:rFonts w:asciiTheme="minorHAnsi" w:hAnsiTheme="minorHAnsi"/>
        </w:rPr>
      </w:pPr>
      <w:r w:rsidRPr="005C1D20">
        <w:rPr>
          <w:rFonts w:asciiTheme="minorHAnsi" w:hAnsiTheme="minorHAnsi"/>
        </w:rPr>
        <w:t>The DoN Program shall use the data provided to calculate, for each applicable year, the Holder’s Annual Cost Per Inpatient without Pharmaceutical Expense as follows: </w:t>
      </w:r>
    </w:p>
    <w:p w14:paraId="65448C8D" w14:textId="77777777" w:rsidR="005C1D20" w:rsidRPr="005C1D20" w:rsidRDefault="005C1D20" w:rsidP="005C1D20">
      <w:pPr>
        <w:rPr>
          <w:rFonts w:asciiTheme="minorHAnsi" w:hAnsiTheme="minorHAnsi"/>
        </w:rPr>
      </w:pPr>
      <w:r w:rsidRPr="005C1D20">
        <w:rPr>
          <w:rFonts w:asciiTheme="minorHAnsi" w:hAnsiTheme="minorHAnsi"/>
        </w:rPr>
        <w:t> </w:t>
      </w:r>
    </w:p>
    <w:p w14:paraId="11D0E6A6" w14:textId="77777777" w:rsidR="005C1D20" w:rsidRPr="005C1D20" w:rsidRDefault="005C1D20" w:rsidP="005C1D20">
      <w:pPr>
        <w:numPr>
          <w:ilvl w:val="0"/>
          <w:numId w:val="68"/>
        </w:numPr>
        <w:rPr>
          <w:rFonts w:asciiTheme="minorHAnsi" w:hAnsiTheme="minorHAnsi"/>
        </w:rPr>
      </w:pPr>
      <w:r w:rsidRPr="005C1D20">
        <w:rPr>
          <w:rFonts w:asciiTheme="minorHAnsi" w:hAnsiTheme="minorHAnsi"/>
        </w:rPr>
        <w:t xml:space="preserve">The Holder’s  “Annual Revenue per Inpatient without Pharmaceutical Revenue” as follows: (i) Total Inpatient Revenue </w:t>
      </w:r>
      <w:r w:rsidRPr="005C1D20">
        <w:rPr>
          <w:rFonts w:asciiTheme="minorHAnsi" w:hAnsiTheme="minorHAnsi"/>
          <w:i/>
          <w:iCs/>
        </w:rPr>
        <w:t>minus</w:t>
      </w:r>
      <w:r w:rsidRPr="005C1D20">
        <w:rPr>
          <w:rFonts w:asciiTheme="minorHAnsi" w:hAnsiTheme="minorHAnsi"/>
        </w:rPr>
        <w:t xml:space="preserve"> Inpatient Pharmaceutical Revenue </w:t>
      </w:r>
      <w:r w:rsidRPr="005C1D20">
        <w:rPr>
          <w:rFonts w:asciiTheme="minorHAnsi" w:hAnsiTheme="minorHAnsi"/>
          <w:i/>
          <w:iCs/>
        </w:rPr>
        <w:t xml:space="preserve">divided by </w:t>
      </w:r>
      <w:r w:rsidRPr="005C1D20">
        <w:rPr>
          <w:rFonts w:asciiTheme="minorHAnsi" w:hAnsiTheme="minorHAnsi"/>
        </w:rPr>
        <w:t xml:space="preserve">(ii) the product of Total Inpatient Discharges </w:t>
      </w:r>
      <w:r w:rsidRPr="005C1D20">
        <w:rPr>
          <w:rFonts w:asciiTheme="minorHAnsi" w:hAnsiTheme="minorHAnsi"/>
          <w:i/>
          <w:iCs/>
        </w:rPr>
        <w:t>multiplied by</w:t>
      </w:r>
      <w:r w:rsidRPr="005C1D20">
        <w:rPr>
          <w:rFonts w:asciiTheme="minorHAnsi" w:hAnsiTheme="minorHAnsi"/>
        </w:rPr>
        <w:t xml:space="preserve"> the Holder’s Inpatient Case Mix Index.   </w:t>
      </w:r>
    </w:p>
    <w:p w14:paraId="162D3796" w14:textId="77777777" w:rsidR="005C1D20" w:rsidRPr="005C1D20" w:rsidRDefault="005C1D20" w:rsidP="005C1D20">
      <w:pPr>
        <w:rPr>
          <w:rFonts w:asciiTheme="minorHAnsi" w:hAnsiTheme="minorHAnsi"/>
        </w:rPr>
      </w:pPr>
      <w:r w:rsidRPr="005C1D20">
        <w:rPr>
          <w:rFonts w:asciiTheme="minorHAnsi" w:hAnsiTheme="minorHAnsi"/>
        </w:rPr>
        <w:t> </w:t>
      </w:r>
    </w:p>
    <w:p w14:paraId="5FBA41B1" w14:textId="77777777" w:rsidR="005C1D20" w:rsidRPr="005C1D20" w:rsidRDefault="005C1D20" w:rsidP="005C1D20">
      <w:pPr>
        <w:numPr>
          <w:ilvl w:val="0"/>
          <w:numId w:val="69"/>
        </w:numPr>
        <w:rPr>
          <w:rFonts w:asciiTheme="minorHAnsi" w:hAnsiTheme="minorHAnsi"/>
        </w:rPr>
      </w:pPr>
      <w:r w:rsidRPr="005C1D20">
        <w:rPr>
          <w:rFonts w:asciiTheme="minorHAnsi" w:hAnsiTheme="minorHAnsi"/>
        </w:rPr>
        <w:t xml:space="preserve">The Holder’s “Annual Inpatient Operating Income without Pharmaceutical Revenue or Expense as follows: (i) Total Inpatient Revenue </w:t>
      </w:r>
      <w:r w:rsidRPr="005C1D20">
        <w:rPr>
          <w:rFonts w:asciiTheme="minorHAnsi" w:hAnsiTheme="minorHAnsi"/>
          <w:i/>
          <w:iCs/>
        </w:rPr>
        <w:t xml:space="preserve">minus </w:t>
      </w:r>
      <w:r w:rsidRPr="005C1D20">
        <w:rPr>
          <w:rFonts w:asciiTheme="minorHAnsi" w:hAnsiTheme="minorHAnsi"/>
        </w:rPr>
        <w:t xml:space="preserve">Inpatient Pharmaceutical Revenue </w:t>
      </w:r>
      <w:r w:rsidRPr="005C1D20">
        <w:rPr>
          <w:rFonts w:asciiTheme="minorHAnsi" w:hAnsiTheme="minorHAnsi"/>
          <w:i/>
          <w:iCs/>
        </w:rPr>
        <w:t xml:space="preserve">minus </w:t>
      </w:r>
      <w:r w:rsidRPr="005C1D20">
        <w:rPr>
          <w:rFonts w:asciiTheme="minorHAnsi" w:hAnsiTheme="minorHAnsi"/>
        </w:rPr>
        <w:t xml:space="preserve">Inpatient Operating Expenses </w:t>
      </w:r>
      <w:r w:rsidRPr="005C1D20">
        <w:rPr>
          <w:rFonts w:asciiTheme="minorHAnsi" w:hAnsiTheme="minorHAnsi"/>
          <w:i/>
          <w:iCs/>
        </w:rPr>
        <w:t xml:space="preserve">plus </w:t>
      </w:r>
      <w:r w:rsidRPr="005C1D20">
        <w:rPr>
          <w:rFonts w:asciiTheme="minorHAnsi" w:hAnsiTheme="minorHAnsi"/>
        </w:rPr>
        <w:t xml:space="preserve">Inpatient Pharmaceutical Expenses, </w:t>
      </w:r>
      <w:r w:rsidRPr="005C1D20">
        <w:rPr>
          <w:rFonts w:asciiTheme="minorHAnsi" w:hAnsiTheme="minorHAnsi"/>
          <w:i/>
          <w:iCs/>
        </w:rPr>
        <w:t xml:space="preserve">divided by </w:t>
      </w:r>
      <w:r w:rsidRPr="005C1D20">
        <w:rPr>
          <w:rFonts w:asciiTheme="minorHAnsi" w:hAnsiTheme="minorHAnsi"/>
        </w:rPr>
        <w:t>(ii) the Holder’s Inpatient Case Mix Index. </w:t>
      </w:r>
    </w:p>
    <w:p w14:paraId="07771918" w14:textId="77777777" w:rsidR="005C1D20" w:rsidRPr="005C1D20" w:rsidRDefault="005C1D20" w:rsidP="005C1D20">
      <w:pPr>
        <w:rPr>
          <w:rFonts w:asciiTheme="minorHAnsi" w:hAnsiTheme="minorHAnsi"/>
        </w:rPr>
      </w:pPr>
      <w:r w:rsidRPr="005C1D20">
        <w:rPr>
          <w:rFonts w:asciiTheme="minorHAnsi" w:hAnsiTheme="minorHAnsi"/>
        </w:rPr>
        <w:t> </w:t>
      </w:r>
    </w:p>
    <w:p w14:paraId="7F0A4F82" w14:textId="77777777" w:rsidR="005C1D20" w:rsidRPr="005C1D20" w:rsidRDefault="005C1D20" w:rsidP="005C1D20">
      <w:pPr>
        <w:rPr>
          <w:rFonts w:asciiTheme="minorHAnsi" w:hAnsiTheme="minorHAnsi"/>
        </w:rPr>
      </w:pPr>
      <w:r w:rsidRPr="005C1D20">
        <w:rPr>
          <w:rFonts w:asciiTheme="minorHAnsi" w:hAnsiTheme="minorHAnsi"/>
        </w:rPr>
        <w:t>The DoN Program will compare the percentage growth, if any, in Annual Revenue per Inpatient without Pharmaceutical Revenue, as calculated, year over year (the “Annual Growth Percentage”) against the health care Cost Growth Benchmark (CGB) established under M.G.L. c. 6D, §9 for such year. </w:t>
      </w:r>
    </w:p>
    <w:p w14:paraId="49992B5B" w14:textId="77777777" w:rsidR="005C1D20" w:rsidRPr="005C1D20" w:rsidRDefault="005C1D20" w:rsidP="005C1D20">
      <w:pPr>
        <w:rPr>
          <w:rFonts w:asciiTheme="minorHAnsi" w:hAnsiTheme="minorHAnsi"/>
        </w:rPr>
      </w:pPr>
      <w:r w:rsidRPr="005C1D20">
        <w:rPr>
          <w:rFonts w:asciiTheme="minorHAnsi" w:hAnsiTheme="minorHAnsi"/>
        </w:rPr>
        <w:lastRenderedPageBreak/>
        <w:t> </w:t>
      </w:r>
    </w:p>
    <w:p w14:paraId="14212917" w14:textId="4EE47465" w:rsidR="005C1D20" w:rsidRPr="005C1D20" w:rsidRDefault="005C1D20" w:rsidP="005C1D20">
      <w:pPr>
        <w:rPr>
          <w:rFonts w:asciiTheme="minorHAnsi" w:hAnsiTheme="minorHAnsi"/>
        </w:rPr>
      </w:pPr>
      <w:r w:rsidRPr="005C1D20">
        <w:rPr>
          <w:rFonts w:asciiTheme="minorHAnsi" w:hAnsiTheme="minorHAnsi"/>
        </w:rPr>
        <w:t>If the DoN program determines that the Holder’s Annual Growth Percentage, calculated as outlined above, exceeds the CGB, the Holder shall provide the Department with an explanation for the increase above the CGB to allow the Public Health Council to determine whether the Holder must make equity investments as described below. The Public Health Counsel shall consider whether the increase is a result of the Holder’s implementation of innovative cancer treatment or the result of increases in costs that are outside the control of the Holder.  </w:t>
      </w:r>
    </w:p>
    <w:p w14:paraId="57320177" w14:textId="77777777" w:rsidR="005C1D20" w:rsidRPr="005C1D20" w:rsidRDefault="005C1D20" w:rsidP="005C1D20">
      <w:pPr>
        <w:rPr>
          <w:rFonts w:asciiTheme="minorHAnsi" w:hAnsiTheme="minorHAnsi"/>
        </w:rPr>
      </w:pPr>
      <w:r w:rsidRPr="005C1D20">
        <w:rPr>
          <w:rFonts w:asciiTheme="minorHAnsi" w:hAnsiTheme="minorHAnsi"/>
        </w:rPr>
        <w:t> </w:t>
      </w:r>
    </w:p>
    <w:p w14:paraId="23A79AC8" w14:textId="376506BF" w:rsidR="005C1D20" w:rsidRPr="005C1D20" w:rsidRDefault="005C1D20" w:rsidP="005C1D20">
      <w:pPr>
        <w:rPr>
          <w:rFonts w:asciiTheme="minorHAnsi" w:hAnsiTheme="minorHAnsi"/>
        </w:rPr>
      </w:pPr>
      <w:r w:rsidRPr="005C1D20">
        <w:rPr>
          <w:rFonts w:asciiTheme="minorHAnsi" w:hAnsiTheme="minorHAnsi"/>
        </w:rPr>
        <w:t xml:space="preserve">If the Public Health Council determines the increase is not attributable to implementation of innovative treatment and/or forces outside of the Holder’s control, the Holder shall develop a plan, as agreed to by the Department, to make equity investments in a manner that is consistent with the health equity and access efforts articulated in Condition 3. The investments required shall not exceed an amount equal to the product of: (a) the Annual Inpatient Operating Income without Pharmaceutical Revenue or Expense </w:t>
      </w:r>
      <w:r w:rsidRPr="005C1D20">
        <w:rPr>
          <w:rFonts w:asciiTheme="minorHAnsi" w:hAnsiTheme="minorHAnsi"/>
          <w:i/>
          <w:iCs/>
        </w:rPr>
        <w:t xml:space="preserve">multiplied by </w:t>
      </w:r>
      <w:r w:rsidRPr="005C1D20">
        <w:rPr>
          <w:rFonts w:asciiTheme="minorHAnsi" w:hAnsiTheme="minorHAnsi"/>
        </w:rPr>
        <w:t xml:space="preserve">(b) the Annual Growth Percentage </w:t>
      </w:r>
      <w:r w:rsidRPr="005C1D20">
        <w:rPr>
          <w:rFonts w:asciiTheme="minorHAnsi" w:hAnsiTheme="minorHAnsi"/>
          <w:i/>
          <w:iCs/>
        </w:rPr>
        <w:t xml:space="preserve">minus </w:t>
      </w:r>
      <w:r w:rsidRPr="005C1D20">
        <w:rPr>
          <w:rFonts w:asciiTheme="minorHAnsi" w:hAnsiTheme="minorHAnsi"/>
        </w:rPr>
        <w:t>the CGB. For the avoidance of doubt, in no event shall the amount of required investments be less than zero or greater than the Holder’s Annual Inpatient Operating Income without Pharmaceutical Revenue or Expense for the applicable year. The plan shall be submitted no later than six months after such time as the Department notifies the Holder that such a plan is required.  </w:t>
      </w:r>
    </w:p>
    <w:p w14:paraId="6FE9B069" w14:textId="77777777" w:rsidR="005C1D20" w:rsidRPr="005C1D20" w:rsidRDefault="005C1D20" w:rsidP="005C1D20">
      <w:pPr>
        <w:rPr>
          <w:rFonts w:asciiTheme="minorHAnsi" w:hAnsiTheme="minorHAnsi"/>
        </w:rPr>
      </w:pPr>
      <w:r w:rsidRPr="005C1D20">
        <w:rPr>
          <w:rFonts w:asciiTheme="minorHAnsi" w:hAnsiTheme="minorHAnsi"/>
        </w:rPr>
        <w:t> </w:t>
      </w:r>
    </w:p>
    <w:p w14:paraId="7321B077" w14:textId="77777777" w:rsidR="005C1D20" w:rsidRPr="005C1D20" w:rsidRDefault="005C1D20" w:rsidP="005C1D20">
      <w:pPr>
        <w:rPr>
          <w:rFonts w:asciiTheme="minorHAnsi" w:hAnsiTheme="minorHAnsi"/>
        </w:rPr>
      </w:pPr>
      <w:r w:rsidRPr="005C1D20">
        <w:rPr>
          <w:rFonts w:asciiTheme="minorHAnsi" w:hAnsiTheme="minorHAnsi"/>
        </w:rPr>
        <w:t>If, at any point during the reporting period, the DoN program identifies an increase in Annual Growth Percentage that is below the benchmark but substantial enough to raise concerns regarding cost containment, the Department reserves the right to require the Holder to explain the reasons for that increase to the Public Health Counsel; however, any increases that fall below the benchmark shall not trigger investment by the Holder as described above.  </w:t>
      </w:r>
    </w:p>
    <w:p w14:paraId="494D3D64" w14:textId="77777777" w:rsidR="002118CA" w:rsidRPr="002118CA" w:rsidRDefault="002118CA" w:rsidP="002118CA">
      <w:pPr>
        <w:rPr>
          <w:rFonts w:asciiTheme="minorHAnsi" w:hAnsiTheme="minorHAnsi"/>
        </w:rPr>
      </w:pPr>
    </w:p>
    <w:p w14:paraId="333910ED" w14:textId="068717E8" w:rsidR="002118CA" w:rsidRPr="00B4243D" w:rsidRDefault="002118CA" w:rsidP="00B4243D">
      <w:pPr>
        <w:pStyle w:val="ListParagraph"/>
        <w:numPr>
          <w:ilvl w:val="0"/>
          <w:numId w:val="61"/>
        </w:numPr>
        <w:rPr>
          <w:rFonts w:asciiTheme="minorHAnsi" w:hAnsiTheme="minorHAnsi"/>
        </w:rPr>
      </w:pPr>
      <w:r w:rsidRPr="00B4243D">
        <w:rPr>
          <w:rFonts w:asciiTheme="minorHAnsi" w:hAnsiTheme="minorHAnsi"/>
        </w:rPr>
        <w:t>Other requirements in terms of the form, frequency and content of the reporting may be set out as contemplated in 105 CMR 100.310(12) and this Notice of DoN, and this information shall be updated annually in accordance with the Regulation.</w:t>
      </w:r>
    </w:p>
    <w:p w14:paraId="1550A489" w14:textId="5BB3303A" w:rsidR="00677964" w:rsidRDefault="00677964">
      <w:pPr>
        <w:rPr>
          <w:rFonts w:asciiTheme="minorHAnsi" w:hAnsiTheme="minorHAnsi"/>
        </w:rPr>
      </w:pPr>
    </w:p>
    <w:p w14:paraId="3D00BC4F" w14:textId="4486E0E1" w:rsidR="00230E0C" w:rsidRDefault="00230E0C">
      <w:pPr>
        <w:rPr>
          <w:rFonts w:asciiTheme="minorHAnsi" w:hAnsiTheme="minorHAnsi"/>
        </w:rPr>
      </w:pPr>
      <w:r>
        <w:rPr>
          <w:rFonts w:asciiTheme="minorHAnsi" w:hAnsiTheme="minorHAnsi"/>
        </w:rPr>
        <w:br w:type="page"/>
      </w:r>
    </w:p>
    <w:p w14:paraId="056DF09B" w14:textId="77777777" w:rsidR="000D4244" w:rsidRDefault="000D4244" w:rsidP="003B2CD4">
      <w:pPr>
        <w:pStyle w:val="ListParagraph"/>
        <w:ind w:left="720" w:firstLine="0"/>
        <w:rPr>
          <w:rFonts w:asciiTheme="minorHAnsi" w:hAnsiTheme="minorHAnsi"/>
        </w:rPr>
      </w:pPr>
    </w:p>
    <w:p w14:paraId="69517C1C" w14:textId="4E6F708A" w:rsidR="00A02CF5" w:rsidRPr="00EA08F1" w:rsidRDefault="00A02CF5" w:rsidP="00BA2054">
      <w:pPr>
        <w:pStyle w:val="Heading1"/>
        <w:ind w:left="0"/>
        <w:rPr>
          <w:color w:val="1F497D" w:themeColor="text2"/>
        </w:rPr>
      </w:pPr>
      <w:bookmarkStart w:id="38" w:name="_Toc190780598"/>
      <w:r w:rsidRPr="00EA08F1">
        <w:rPr>
          <w:color w:val="1F497D" w:themeColor="text2"/>
        </w:rPr>
        <w:t>APPENDIX I</w:t>
      </w:r>
      <w:r w:rsidR="002F743B">
        <w:rPr>
          <w:color w:val="1F497D" w:themeColor="text2"/>
        </w:rPr>
        <w:t>:</w:t>
      </w:r>
      <w:r w:rsidRPr="00EA08F1">
        <w:rPr>
          <w:color w:val="1F497D" w:themeColor="text2"/>
        </w:rPr>
        <w:t xml:space="preserve"> Measures</w:t>
      </w:r>
      <w:bookmarkEnd w:id="38"/>
    </w:p>
    <w:p w14:paraId="411CC226" w14:textId="77777777" w:rsidR="00A02CF5" w:rsidRDefault="00A02CF5" w:rsidP="00BA2054">
      <w:pPr>
        <w:rPr>
          <w:rFonts w:asciiTheme="minorHAnsi" w:hAnsiTheme="minorHAnsi"/>
        </w:rPr>
      </w:pPr>
    </w:p>
    <w:p w14:paraId="49443FC6" w14:textId="3E758B1E" w:rsidR="00A02CF5" w:rsidRDefault="003A30C3" w:rsidP="00BA2054">
      <w:pPr>
        <w:rPr>
          <w:rFonts w:asciiTheme="minorHAnsi" w:hAnsiTheme="minorHAnsi"/>
        </w:rPr>
      </w:pPr>
      <w:r w:rsidRPr="003A30C3">
        <w:rPr>
          <w:rFonts w:asciiTheme="minorHAnsi" w:hAnsiTheme="minorHAnsi"/>
        </w:rPr>
        <w:t>Below is a list of measures to assess the impact of the Proposed Project. The Applicant will report this information to the Department’s DoN Program staff as part of its annual report required by 105 CMR 100.310(A)(12) following implementation of the Proposed Project. For all measures, the Applicant will provide to the program a baseline upon implementation of each project component, along with updated projections, which the program will use for comparison with the annual data submitted. Reporting will include a description of numerators and denominators.</w:t>
      </w:r>
    </w:p>
    <w:p w14:paraId="71383ADB" w14:textId="77777777" w:rsidR="00490A53" w:rsidRDefault="00490A53" w:rsidP="00BA2054">
      <w:pPr>
        <w:rPr>
          <w:rFonts w:asciiTheme="minorHAnsi" w:hAnsiTheme="minorHAnsi"/>
        </w:rPr>
      </w:pPr>
    </w:p>
    <w:p w14:paraId="34B90105" w14:textId="45D9E28D" w:rsidR="00490A53" w:rsidRDefault="00490A53" w:rsidP="00BA2054">
      <w:pPr>
        <w:rPr>
          <w:rFonts w:asciiTheme="minorHAnsi" w:hAnsiTheme="minorHAnsi"/>
        </w:rPr>
      </w:pPr>
      <w:r w:rsidRPr="00490A53">
        <w:rPr>
          <w:rFonts w:asciiTheme="minorHAnsi" w:hAnsiTheme="minorHAnsi"/>
          <w:lang w:bidi="en-US"/>
        </w:rPr>
        <w:t>The Annual Reports must include, but are not limited to, the following:</w:t>
      </w:r>
    </w:p>
    <w:p w14:paraId="4242ECB2" w14:textId="77777777" w:rsidR="003A30C3" w:rsidRDefault="003A30C3" w:rsidP="00BA2054">
      <w:pPr>
        <w:rPr>
          <w:rFonts w:asciiTheme="minorHAnsi" w:hAnsiTheme="minorHAnsi"/>
        </w:rPr>
      </w:pPr>
    </w:p>
    <w:p w14:paraId="0B7B18F2" w14:textId="35113CF7" w:rsidR="00F36056" w:rsidRPr="009079DC" w:rsidRDefault="006D3CAC" w:rsidP="00F91720">
      <w:pPr>
        <w:numPr>
          <w:ilvl w:val="0"/>
          <w:numId w:val="3"/>
        </w:numPr>
        <w:rPr>
          <w:rFonts w:cs="Calibri"/>
          <w:szCs w:val="24"/>
        </w:rPr>
      </w:pPr>
      <w:r>
        <w:rPr>
          <w:rFonts w:cs="Calibri"/>
          <w:szCs w:val="24"/>
        </w:rPr>
        <w:t xml:space="preserve">Access: </w:t>
      </w:r>
      <w:r w:rsidR="00F36056" w:rsidRPr="009079DC">
        <w:rPr>
          <w:rFonts w:cs="Calibri"/>
          <w:szCs w:val="24"/>
        </w:rPr>
        <w:t>The proportion (per 1,000 patients) of patients travelling from the New England region that are able to obtain the Applicant’s inpatient cancer care services</w:t>
      </w:r>
      <w:r w:rsidR="00F36056">
        <w:rPr>
          <w:rFonts w:cs="Calibri"/>
          <w:szCs w:val="24"/>
        </w:rPr>
        <w:t xml:space="preserve"> stratified by patient race, ethnicity, and language. </w:t>
      </w:r>
    </w:p>
    <w:p w14:paraId="0C78C187" w14:textId="77777777" w:rsidR="00F36056" w:rsidRPr="009079DC" w:rsidRDefault="00F36056" w:rsidP="00F36056">
      <w:pPr>
        <w:ind w:left="720"/>
        <w:rPr>
          <w:rFonts w:cs="Calibri"/>
          <w:szCs w:val="24"/>
        </w:rPr>
      </w:pPr>
    </w:p>
    <w:p w14:paraId="0FA501B5" w14:textId="01F3A983" w:rsidR="00F36056" w:rsidRPr="009079DC" w:rsidRDefault="00F36056" w:rsidP="00F91720">
      <w:pPr>
        <w:numPr>
          <w:ilvl w:val="0"/>
          <w:numId w:val="3"/>
        </w:numPr>
        <w:rPr>
          <w:rFonts w:cs="Calibri"/>
          <w:szCs w:val="24"/>
        </w:rPr>
      </w:pPr>
      <w:r w:rsidRPr="009079DC">
        <w:rPr>
          <w:rFonts w:cs="Calibri"/>
          <w:szCs w:val="24"/>
          <w:u w:val="single"/>
        </w:rPr>
        <w:t xml:space="preserve">Patient </w:t>
      </w:r>
      <w:r w:rsidR="00EB7C74">
        <w:rPr>
          <w:rFonts w:cs="Calibri"/>
          <w:szCs w:val="24"/>
          <w:u w:val="single"/>
        </w:rPr>
        <w:t>Experience</w:t>
      </w:r>
      <w:r w:rsidRPr="009079DC">
        <w:rPr>
          <w:rFonts w:cs="Calibri"/>
          <w:szCs w:val="24"/>
        </w:rPr>
        <w:t xml:space="preserve">: Patients who are satisfied with care are more likely to seek additional treatment when necessary and tend to have better quality outcomes. The Applicant will review ratings of satisfaction with the care coordination of all inpatient medical oncology services via Press Ganey or an equivalent third-party firm. </w:t>
      </w:r>
    </w:p>
    <w:p w14:paraId="483F2FEE" w14:textId="77777777" w:rsidR="00F36056" w:rsidRPr="009079DC" w:rsidRDefault="00F36056" w:rsidP="00F91720">
      <w:pPr>
        <w:numPr>
          <w:ilvl w:val="1"/>
          <w:numId w:val="3"/>
        </w:numPr>
        <w:rPr>
          <w:rFonts w:cs="Calibri"/>
          <w:szCs w:val="24"/>
        </w:rPr>
      </w:pPr>
      <w:r w:rsidRPr="009079DC">
        <w:rPr>
          <w:rFonts w:cs="Calibri"/>
          <w:szCs w:val="24"/>
          <w:u w:val="single"/>
        </w:rPr>
        <w:t>Measure</w:t>
      </w:r>
      <w:r w:rsidRPr="009079DC">
        <w:rPr>
          <w:rFonts w:cs="Calibri"/>
          <w:szCs w:val="24"/>
        </w:rPr>
        <w:t xml:space="preserve">: To ensure a service-excellence approach, patient satisfaction surveys will be distributed to all patients at the </w:t>
      </w:r>
      <w:r>
        <w:rPr>
          <w:rFonts w:cs="Calibri"/>
          <w:szCs w:val="24"/>
        </w:rPr>
        <w:t>proposed hospital</w:t>
      </w:r>
      <w:r w:rsidRPr="009079DC">
        <w:rPr>
          <w:rFonts w:cs="Calibri"/>
          <w:szCs w:val="24"/>
        </w:rPr>
        <w:t xml:space="preserve"> with specific questions addressing (a) care coordination among doctors and caregivers; (b) satisfaction with care services; and (c) the likelihood of recommending services.</w:t>
      </w:r>
    </w:p>
    <w:p w14:paraId="3B1E99A0" w14:textId="77777777" w:rsidR="00F36056" w:rsidRPr="009079DC" w:rsidRDefault="00F36056" w:rsidP="00F91720">
      <w:pPr>
        <w:numPr>
          <w:ilvl w:val="1"/>
          <w:numId w:val="3"/>
        </w:numPr>
        <w:rPr>
          <w:rFonts w:cs="Calibri"/>
          <w:szCs w:val="24"/>
        </w:rPr>
      </w:pPr>
      <w:r w:rsidRPr="009079DC">
        <w:rPr>
          <w:rFonts w:cs="Calibri"/>
          <w:szCs w:val="24"/>
          <w:u w:val="single"/>
        </w:rPr>
        <w:t>Projections</w:t>
      </w:r>
      <w:r w:rsidRPr="009079DC">
        <w:rPr>
          <w:rFonts w:cs="Calibri"/>
          <w:szCs w:val="24"/>
        </w:rPr>
        <w:t xml:space="preserve">: </w:t>
      </w:r>
      <w:r>
        <w:rPr>
          <w:rFonts w:cs="Calibri"/>
          <w:szCs w:val="24"/>
        </w:rPr>
        <w:t>The</w:t>
      </w:r>
      <w:r w:rsidRPr="009079DC">
        <w:rPr>
          <w:rFonts w:cs="Calibri"/>
          <w:szCs w:val="24"/>
        </w:rPr>
        <w:t xml:space="preserve"> </w:t>
      </w:r>
      <w:r>
        <w:rPr>
          <w:rFonts w:cs="Calibri"/>
          <w:szCs w:val="24"/>
        </w:rPr>
        <w:t>Holder</w:t>
      </w:r>
      <w:r w:rsidRPr="009079DC">
        <w:rPr>
          <w:rFonts w:cs="Calibri"/>
          <w:szCs w:val="24"/>
        </w:rPr>
        <w:t xml:space="preserve"> will provide baseline measures and three years of projections at least one year prior to implementation of the Proposed Project.</w:t>
      </w:r>
    </w:p>
    <w:p w14:paraId="1FF852A3" w14:textId="1F4DB8C4" w:rsidR="00F36056" w:rsidRPr="00E80F8F" w:rsidRDefault="00F36056" w:rsidP="00F91720">
      <w:pPr>
        <w:numPr>
          <w:ilvl w:val="1"/>
          <w:numId w:val="3"/>
        </w:numPr>
        <w:rPr>
          <w:rFonts w:cs="Calibri"/>
          <w:szCs w:val="24"/>
        </w:rPr>
      </w:pPr>
      <w:r w:rsidRPr="009079DC">
        <w:rPr>
          <w:rFonts w:cs="Calibri"/>
          <w:szCs w:val="24"/>
          <w:u w:val="single"/>
        </w:rPr>
        <w:t>Monitoring</w:t>
      </w:r>
      <w:r w:rsidRPr="009079DC">
        <w:rPr>
          <w:rFonts w:cs="Calibri"/>
          <w:szCs w:val="24"/>
        </w:rPr>
        <w:t xml:space="preserve">: Any category receiving a less than exceptional rating (satisfactory level) </w:t>
      </w:r>
      <w:r w:rsidR="002C7E51" w:rsidRPr="002C7E51">
        <w:rPr>
          <w:rFonts w:cs="Calibri"/>
          <w:szCs w:val="24"/>
        </w:rPr>
        <w:t xml:space="preserve">by any subpopulation stratified by race, ethnicity or language </w:t>
      </w:r>
      <w:r w:rsidRPr="009079DC">
        <w:rPr>
          <w:rFonts w:cs="Calibri"/>
          <w:szCs w:val="24"/>
        </w:rPr>
        <w:t xml:space="preserve">will be evaluated and policy changes considered. These data will be evaluated on an annual basis by the </w:t>
      </w:r>
      <w:r>
        <w:rPr>
          <w:rFonts w:cs="Calibri"/>
          <w:szCs w:val="24"/>
        </w:rPr>
        <w:t xml:space="preserve">Holder’s </w:t>
      </w:r>
      <w:r w:rsidRPr="00E80F8F">
        <w:rPr>
          <w:rFonts w:cs="Calibri"/>
          <w:szCs w:val="24"/>
        </w:rPr>
        <w:t xml:space="preserve">performance improvement and quality staff. </w:t>
      </w:r>
    </w:p>
    <w:p w14:paraId="148703F2" w14:textId="77777777" w:rsidR="00F36056" w:rsidRDefault="00F36056" w:rsidP="00F36056">
      <w:pPr>
        <w:rPr>
          <w:rFonts w:cs="Calibri"/>
          <w:szCs w:val="24"/>
          <w:u w:val="single"/>
        </w:rPr>
      </w:pPr>
    </w:p>
    <w:p w14:paraId="1AAF0E64" w14:textId="6BE72902" w:rsidR="00F36056" w:rsidRPr="006E3E9D" w:rsidRDefault="00F36056" w:rsidP="00F36056">
      <w:pPr>
        <w:ind w:left="720"/>
        <w:rPr>
          <w:rFonts w:cs="Calibri"/>
          <w:szCs w:val="24"/>
        </w:rPr>
      </w:pPr>
      <w:r>
        <w:rPr>
          <w:rFonts w:cs="Calibri"/>
          <w:szCs w:val="24"/>
        </w:rPr>
        <w:t>The Holder shall report on policy changes instituted as a result of the Holder’s evaluation of any category receiving a less than exceptional rating</w:t>
      </w:r>
      <w:r w:rsidR="00DB77DF" w:rsidRPr="00DB77DF">
        <w:rPr>
          <w:rFonts w:cs="Calibri"/>
          <w:szCs w:val="24"/>
        </w:rPr>
        <w:t xml:space="preserve"> by any subpopulation</w:t>
      </w:r>
      <w:r>
        <w:rPr>
          <w:rFonts w:cs="Calibri"/>
          <w:szCs w:val="24"/>
        </w:rPr>
        <w:t xml:space="preserve">. </w:t>
      </w:r>
    </w:p>
    <w:p w14:paraId="48C7E400" w14:textId="77777777" w:rsidR="00F36056" w:rsidRPr="009079DC" w:rsidRDefault="00F36056" w:rsidP="00F36056">
      <w:pPr>
        <w:ind w:left="1440"/>
        <w:rPr>
          <w:rFonts w:cs="Calibri"/>
          <w:szCs w:val="24"/>
        </w:rPr>
      </w:pPr>
    </w:p>
    <w:p w14:paraId="3782AD64" w14:textId="41709088" w:rsidR="00F36056" w:rsidRPr="009079DC" w:rsidRDefault="0016150E" w:rsidP="00F91720">
      <w:pPr>
        <w:pStyle w:val="ListParagraph"/>
        <w:numPr>
          <w:ilvl w:val="0"/>
          <w:numId w:val="3"/>
        </w:numPr>
        <w:rPr>
          <w:rFonts w:cs="Calibri"/>
          <w:szCs w:val="24"/>
        </w:rPr>
      </w:pPr>
      <w:r>
        <w:rPr>
          <w:rFonts w:cs="Calibri"/>
          <w:szCs w:val="24"/>
        </w:rPr>
        <w:t xml:space="preserve">Radiation Therapy: </w:t>
      </w:r>
      <w:r w:rsidR="00F36056" w:rsidRPr="009079DC">
        <w:rPr>
          <w:rFonts w:cs="Calibri"/>
          <w:szCs w:val="24"/>
        </w:rPr>
        <w:t>The number of patients who obtain radiation therapy at the new hospital</w:t>
      </w:r>
      <w:r w:rsidR="00F36056">
        <w:rPr>
          <w:rFonts w:cs="Calibri"/>
          <w:szCs w:val="24"/>
        </w:rPr>
        <w:t xml:space="preserve"> stratified by patient race, ethnicity, and language. </w:t>
      </w:r>
    </w:p>
    <w:p w14:paraId="2B42A38E" w14:textId="77777777" w:rsidR="00F36056" w:rsidRPr="009079DC" w:rsidRDefault="00F36056" w:rsidP="00F36056">
      <w:pPr>
        <w:pStyle w:val="ListParagraph"/>
        <w:rPr>
          <w:rFonts w:cs="Calibri"/>
          <w:szCs w:val="24"/>
        </w:rPr>
      </w:pPr>
    </w:p>
    <w:p w14:paraId="36894A57" w14:textId="77777777" w:rsidR="00F36056" w:rsidRPr="009079DC" w:rsidRDefault="00F36056" w:rsidP="00F91720">
      <w:pPr>
        <w:pStyle w:val="ListParagraph"/>
        <w:numPr>
          <w:ilvl w:val="0"/>
          <w:numId w:val="3"/>
        </w:numPr>
        <w:rPr>
          <w:rFonts w:cs="Calibri"/>
          <w:szCs w:val="24"/>
        </w:rPr>
      </w:pPr>
      <w:r w:rsidRPr="009079DC">
        <w:rPr>
          <w:rFonts w:cs="Calibri"/>
          <w:bCs/>
          <w:szCs w:val="24"/>
        </w:rPr>
        <w:t xml:space="preserve">The </w:t>
      </w:r>
      <w:r>
        <w:rPr>
          <w:rFonts w:cs="Calibri"/>
          <w:bCs/>
          <w:szCs w:val="24"/>
        </w:rPr>
        <w:t>Holder</w:t>
      </w:r>
      <w:r w:rsidRPr="009079DC">
        <w:rPr>
          <w:rFonts w:cs="Calibri"/>
          <w:bCs/>
          <w:szCs w:val="24"/>
        </w:rPr>
        <w:t xml:space="preserve"> will report on the following measures</w:t>
      </w:r>
      <w:r w:rsidRPr="009079DC">
        <w:rPr>
          <w:rStyle w:val="FootnoteReference"/>
          <w:rFonts w:cs="Calibri"/>
          <w:bCs/>
          <w:szCs w:val="24"/>
        </w:rPr>
        <w:footnoteReference w:id="115"/>
      </w:r>
      <w:r>
        <w:rPr>
          <w:rFonts w:cs="Calibri"/>
          <w:bCs/>
          <w:szCs w:val="24"/>
        </w:rPr>
        <w:t xml:space="preserve"> stratified by patient race, ethnicity, and language</w:t>
      </w:r>
      <w:r w:rsidRPr="009079DC">
        <w:rPr>
          <w:rFonts w:cs="Calibri"/>
          <w:bCs/>
          <w:szCs w:val="24"/>
        </w:rPr>
        <w:t xml:space="preserve">: </w:t>
      </w:r>
    </w:p>
    <w:p w14:paraId="4BF5B795" w14:textId="77777777" w:rsidR="00F36056" w:rsidRPr="009079DC" w:rsidRDefault="00F36056" w:rsidP="00F91720">
      <w:pPr>
        <w:pStyle w:val="ListParagraph"/>
        <w:numPr>
          <w:ilvl w:val="1"/>
          <w:numId w:val="3"/>
        </w:numPr>
        <w:rPr>
          <w:rFonts w:cs="Calibri"/>
          <w:bCs/>
          <w:szCs w:val="24"/>
        </w:rPr>
      </w:pPr>
      <w:r w:rsidRPr="009079DC">
        <w:rPr>
          <w:rFonts w:cs="Calibri"/>
          <w:bCs/>
          <w:szCs w:val="24"/>
        </w:rPr>
        <w:t xml:space="preserve">Standardized infection ratios for Central Line-Associated Bloodstream Infections </w:t>
      </w:r>
      <w:r w:rsidRPr="009079DC">
        <w:rPr>
          <w:rFonts w:cs="Calibri"/>
          <w:bCs/>
          <w:szCs w:val="24"/>
        </w:rPr>
        <w:lastRenderedPageBreak/>
        <w:t xml:space="preserve">(CLABSI), </w:t>
      </w:r>
    </w:p>
    <w:p w14:paraId="2C90B003" w14:textId="77777777" w:rsidR="00F36056" w:rsidRPr="009079DC" w:rsidRDefault="00F36056" w:rsidP="00F91720">
      <w:pPr>
        <w:pStyle w:val="ListParagraph"/>
        <w:numPr>
          <w:ilvl w:val="1"/>
          <w:numId w:val="3"/>
        </w:numPr>
        <w:rPr>
          <w:rFonts w:cs="Calibri"/>
          <w:bCs/>
          <w:szCs w:val="24"/>
        </w:rPr>
      </w:pPr>
      <w:r w:rsidRPr="009079DC">
        <w:rPr>
          <w:rFonts w:cs="Calibri"/>
          <w:bCs/>
          <w:szCs w:val="24"/>
        </w:rPr>
        <w:t xml:space="preserve">Catheter-Associated Urinary Tract Infections (CAUTI), </w:t>
      </w:r>
    </w:p>
    <w:p w14:paraId="45BD379C" w14:textId="77777777" w:rsidR="00F36056" w:rsidRPr="009079DC" w:rsidRDefault="00F36056" w:rsidP="00F91720">
      <w:pPr>
        <w:pStyle w:val="ListParagraph"/>
        <w:numPr>
          <w:ilvl w:val="1"/>
          <w:numId w:val="3"/>
        </w:numPr>
        <w:rPr>
          <w:rFonts w:cs="Calibri"/>
          <w:bCs/>
          <w:szCs w:val="24"/>
        </w:rPr>
      </w:pPr>
      <w:r w:rsidRPr="009079DC">
        <w:rPr>
          <w:rFonts w:cs="Calibri"/>
          <w:bCs/>
          <w:szCs w:val="24"/>
        </w:rPr>
        <w:t xml:space="preserve">Methicillin-resistant </w:t>
      </w:r>
      <w:r w:rsidRPr="009079DC">
        <w:rPr>
          <w:rFonts w:cs="Calibri"/>
          <w:bCs/>
          <w:i/>
          <w:iCs/>
          <w:szCs w:val="24"/>
        </w:rPr>
        <w:t>Staphylococcus aureus</w:t>
      </w:r>
      <w:r w:rsidRPr="009079DC">
        <w:rPr>
          <w:rFonts w:cs="Calibri"/>
          <w:bCs/>
          <w:szCs w:val="24"/>
        </w:rPr>
        <w:t xml:space="preserve"> infections (MRSA),</w:t>
      </w:r>
    </w:p>
    <w:p w14:paraId="070B3152" w14:textId="77777777" w:rsidR="00F36056" w:rsidRPr="009079DC" w:rsidRDefault="00F36056" w:rsidP="00F91720">
      <w:pPr>
        <w:pStyle w:val="ListParagraph"/>
        <w:numPr>
          <w:ilvl w:val="1"/>
          <w:numId w:val="3"/>
        </w:numPr>
        <w:rPr>
          <w:rFonts w:cs="Calibri"/>
          <w:bCs/>
          <w:szCs w:val="24"/>
        </w:rPr>
      </w:pPr>
      <w:r w:rsidRPr="009079DC">
        <w:rPr>
          <w:rFonts w:cs="Calibri"/>
          <w:bCs/>
          <w:i/>
          <w:iCs/>
          <w:szCs w:val="24"/>
        </w:rPr>
        <w:t>Clostridioides difficile</w:t>
      </w:r>
      <w:r w:rsidRPr="009079DC">
        <w:rPr>
          <w:rFonts w:cs="Calibri"/>
          <w:bCs/>
          <w:szCs w:val="24"/>
        </w:rPr>
        <w:t xml:space="preserve"> infections (CDI),</w:t>
      </w:r>
    </w:p>
    <w:p w14:paraId="536FBB81" w14:textId="77777777" w:rsidR="00F36056" w:rsidRPr="009079DC" w:rsidRDefault="00F36056" w:rsidP="00F91720">
      <w:pPr>
        <w:pStyle w:val="BodyText"/>
        <w:numPr>
          <w:ilvl w:val="1"/>
          <w:numId w:val="3"/>
        </w:numPr>
        <w:rPr>
          <w:rFonts w:cs="Calibri"/>
        </w:rPr>
      </w:pPr>
      <w:r w:rsidRPr="009079DC">
        <w:rPr>
          <w:rFonts w:cs="Calibri"/>
          <w:bCs/>
        </w:rPr>
        <w:t xml:space="preserve">30-day Unplanned Readmissions for cancer patients, </w:t>
      </w:r>
    </w:p>
    <w:p w14:paraId="00791DDB" w14:textId="1DBB5AFF" w:rsidR="00F36056" w:rsidRPr="009079DC" w:rsidRDefault="00F36056" w:rsidP="00F91720">
      <w:pPr>
        <w:pStyle w:val="BodyText"/>
        <w:numPr>
          <w:ilvl w:val="1"/>
          <w:numId w:val="3"/>
        </w:numPr>
        <w:rPr>
          <w:rFonts w:cs="Calibri"/>
        </w:rPr>
      </w:pPr>
      <w:r w:rsidRPr="009079DC">
        <w:rPr>
          <w:rFonts w:cs="Calibri"/>
          <w:bCs/>
        </w:rPr>
        <w:t xml:space="preserve">Admissions and Emergency Department Visits for Patients Receiving Outpatient Chemotherapy, </w:t>
      </w:r>
    </w:p>
    <w:p w14:paraId="417B13CE" w14:textId="6C158AF8" w:rsidR="00F36056" w:rsidRPr="009079DC" w:rsidRDefault="00F36056" w:rsidP="00F91720">
      <w:pPr>
        <w:pStyle w:val="BodyText"/>
        <w:numPr>
          <w:ilvl w:val="1"/>
          <w:numId w:val="3"/>
        </w:numPr>
        <w:rPr>
          <w:rFonts w:cs="Calibri"/>
        </w:rPr>
      </w:pPr>
      <w:r w:rsidRPr="009079DC">
        <w:rPr>
          <w:rFonts w:cs="Calibri"/>
          <w:bCs/>
        </w:rPr>
        <w:t xml:space="preserve">The Proportion of Patients Who Died of Cancer and Received Chemotherapy in the Last 14 days of Life, and </w:t>
      </w:r>
    </w:p>
    <w:p w14:paraId="29B396FC" w14:textId="66580165" w:rsidR="00F36056" w:rsidRPr="009079DC" w:rsidRDefault="00F36056" w:rsidP="00F91720">
      <w:pPr>
        <w:pStyle w:val="BodyText"/>
        <w:numPr>
          <w:ilvl w:val="1"/>
          <w:numId w:val="3"/>
        </w:numPr>
        <w:rPr>
          <w:rFonts w:cs="Calibri"/>
        </w:rPr>
      </w:pPr>
      <w:r w:rsidRPr="009079DC">
        <w:rPr>
          <w:rFonts w:cs="Calibri"/>
          <w:bCs/>
        </w:rPr>
        <w:t xml:space="preserve">The Proportion of Patients Who Died of Cancer Not Admitted to Hospice. </w:t>
      </w:r>
    </w:p>
    <w:p w14:paraId="69B41BFC" w14:textId="77777777" w:rsidR="00F36056" w:rsidRPr="009079DC" w:rsidRDefault="00F36056" w:rsidP="00F36056">
      <w:pPr>
        <w:pStyle w:val="ListParagraph"/>
        <w:rPr>
          <w:rFonts w:cs="Calibri"/>
          <w:bCs/>
          <w:szCs w:val="24"/>
        </w:rPr>
      </w:pPr>
    </w:p>
    <w:p w14:paraId="3DA2759A" w14:textId="77777777" w:rsidR="00F36056" w:rsidRPr="009079DC" w:rsidRDefault="00F36056" w:rsidP="00F91720">
      <w:pPr>
        <w:pStyle w:val="BodyText"/>
        <w:numPr>
          <w:ilvl w:val="0"/>
          <w:numId w:val="3"/>
        </w:numPr>
        <w:rPr>
          <w:rFonts w:cs="Calibri"/>
        </w:rPr>
      </w:pPr>
      <w:r w:rsidRPr="009079DC">
        <w:rPr>
          <w:rFonts w:cs="Calibri"/>
          <w:bCs/>
        </w:rPr>
        <w:t xml:space="preserve">The Holder will report on the following </w:t>
      </w:r>
      <w:r>
        <w:rPr>
          <w:rFonts w:cs="Calibri"/>
          <w:bCs/>
        </w:rPr>
        <w:t>c</w:t>
      </w:r>
      <w:r w:rsidRPr="009079DC">
        <w:rPr>
          <w:rFonts w:cs="Calibri"/>
          <w:bCs/>
        </w:rPr>
        <w:t>ommunity-focused Patient Navigator Program metrics:</w:t>
      </w:r>
    </w:p>
    <w:p w14:paraId="1C8673BB" w14:textId="43F72191" w:rsidR="00F36056" w:rsidRPr="009079DC" w:rsidRDefault="005E1ACE" w:rsidP="00F91720">
      <w:pPr>
        <w:pStyle w:val="BodyText"/>
        <w:numPr>
          <w:ilvl w:val="1"/>
          <w:numId w:val="3"/>
        </w:numPr>
        <w:rPr>
          <w:rFonts w:cs="Calibri"/>
        </w:rPr>
      </w:pPr>
      <w:r>
        <w:rPr>
          <w:rFonts w:cs="Calibri"/>
        </w:rPr>
        <w:t>B</w:t>
      </w:r>
      <w:r w:rsidR="00F36056" w:rsidRPr="009079DC">
        <w:rPr>
          <w:rFonts w:cs="Calibri"/>
        </w:rPr>
        <w:t>arriers to care identified</w:t>
      </w:r>
      <w:r w:rsidR="00130F46">
        <w:rPr>
          <w:rFonts w:cs="Calibri"/>
        </w:rPr>
        <w:t>.</w:t>
      </w:r>
      <w:r w:rsidR="00F36056" w:rsidRPr="009079DC">
        <w:rPr>
          <w:rFonts w:cs="Calibri"/>
        </w:rPr>
        <w:t xml:space="preserve"> </w:t>
      </w:r>
    </w:p>
    <w:p w14:paraId="6D129E27" w14:textId="09CEB274" w:rsidR="00F36056" w:rsidRPr="009079DC" w:rsidRDefault="005E1ACE" w:rsidP="00F91720">
      <w:pPr>
        <w:pStyle w:val="BodyText"/>
        <w:numPr>
          <w:ilvl w:val="1"/>
          <w:numId w:val="3"/>
        </w:numPr>
        <w:rPr>
          <w:rFonts w:cs="Calibri"/>
        </w:rPr>
      </w:pPr>
      <w:r>
        <w:rPr>
          <w:rFonts w:cs="Calibri"/>
        </w:rPr>
        <w:t>B</w:t>
      </w:r>
      <w:r w:rsidR="00F36056" w:rsidRPr="009079DC">
        <w:rPr>
          <w:rFonts w:cs="Calibri"/>
        </w:rPr>
        <w:t>arriers to care addressed</w:t>
      </w:r>
      <w:r w:rsidR="00130F46">
        <w:rPr>
          <w:rFonts w:cs="Calibri"/>
        </w:rPr>
        <w:t>.</w:t>
      </w:r>
    </w:p>
    <w:p w14:paraId="7E4A3A78" w14:textId="59A0C89B" w:rsidR="00F36056" w:rsidRPr="009079DC" w:rsidRDefault="005E1ACE" w:rsidP="00F91720">
      <w:pPr>
        <w:pStyle w:val="BodyText"/>
        <w:numPr>
          <w:ilvl w:val="1"/>
          <w:numId w:val="3"/>
        </w:numPr>
        <w:rPr>
          <w:rFonts w:cs="Calibri"/>
        </w:rPr>
      </w:pPr>
      <w:r>
        <w:rPr>
          <w:rFonts w:cs="Calibri"/>
        </w:rPr>
        <w:t>P</w:t>
      </w:r>
      <w:r w:rsidR="00F36056" w:rsidRPr="009079DC">
        <w:rPr>
          <w:rFonts w:cs="Calibri"/>
        </w:rPr>
        <w:t>sychosocial oncology referral rate.</w:t>
      </w:r>
    </w:p>
    <w:p w14:paraId="00B21AFD" w14:textId="77777777" w:rsidR="00F36056" w:rsidRPr="009079DC" w:rsidRDefault="00F36056" w:rsidP="00F36056">
      <w:pPr>
        <w:pStyle w:val="BodyText"/>
        <w:ind w:left="720"/>
        <w:rPr>
          <w:rFonts w:cs="Calibri"/>
        </w:rPr>
      </w:pPr>
      <w:r w:rsidRPr="009079DC">
        <w:rPr>
          <w:rFonts w:cs="Calibri"/>
        </w:rPr>
        <w:t xml:space="preserve"> </w:t>
      </w:r>
    </w:p>
    <w:p w14:paraId="4BC20618" w14:textId="77777777" w:rsidR="00F36056" w:rsidRPr="009079DC" w:rsidRDefault="00F36056" w:rsidP="00F91720">
      <w:pPr>
        <w:numPr>
          <w:ilvl w:val="0"/>
          <w:numId w:val="3"/>
        </w:numPr>
        <w:rPr>
          <w:rFonts w:cs="Calibri"/>
          <w:szCs w:val="24"/>
        </w:rPr>
      </w:pPr>
      <w:r w:rsidRPr="009079DC">
        <w:rPr>
          <w:rFonts w:cs="Calibri"/>
          <w:bCs/>
          <w:szCs w:val="24"/>
        </w:rPr>
        <w:t>The Holder will report on the following</w:t>
      </w:r>
      <w:r w:rsidRPr="009079DC">
        <w:rPr>
          <w:rFonts w:cs="Calibri"/>
          <w:szCs w:val="24"/>
        </w:rPr>
        <w:t xml:space="preserve"> health equity metrics:</w:t>
      </w:r>
    </w:p>
    <w:p w14:paraId="6D70AAAC" w14:textId="206648CF" w:rsidR="00F36056" w:rsidRPr="009079DC" w:rsidRDefault="00130F46" w:rsidP="00F91720">
      <w:pPr>
        <w:numPr>
          <w:ilvl w:val="1"/>
          <w:numId w:val="3"/>
        </w:numPr>
        <w:rPr>
          <w:rFonts w:cs="Calibri"/>
          <w:szCs w:val="24"/>
        </w:rPr>
      </w:pPr>
      <w:r>
        <w:rPr>
          <w:rFonts w:cs="Calibri"/>
          <w:szCs w:val="24"/>
        </w:rPr>
        <w:t>N</w:t>
      </w:r>
      <w:r w:rsidR="00F36056" w:rsidRPr="009079DC">
        <w:rPr>
          <w:rFonts w:cs="Calibri"/>
          <w:szCs w:val="24"/>
        </w:rPr>
        <w:t>umber of cancer screenings conducted with community partners for patients in Dana-Farber’s priority neighborhoods</w:t>
      </w:r>
      <w:r>
        <w:rPr>
          <w:rFonts w:cs="Calibri"/>
          <w:szCs w:val="24"/>
        </w:rPr>
        <w:t>.</w:t>
      </w:r>
    </w:p>
    <w:p w14:paraId="165079A1" w14:textId="2F38BF0D" w:rsidR="00F36056" w:rsidRPr="009079DC" w:rsidRDefault="00130F46" w:rsidP="00F91720">
      <w:pPr>
        <w:numPr>
          <w:ilvl w:val="1"/>
          <w:numId w:val="3"/>
        </w:numPr>
        <w:rPr>
          <w:rFonts w:cs="Calibri"/>
          <w:szCs w:val="24"/>
        </w:rPr>
      </w:pPr>
      <w:r>
        <w:rPr>
          <w:rFonts w:cs="Calibri"/>
          <w:szCs w:val="24"/>
        </w:rPr>
        <w:t>T</w:t>
      </w:r>
      <w:r w:rsidR="00F36056" w:rsidRPr="009079DC">
        <w:rPr>
          <w:rFonts w:cs="Calibri"/>
          <w:szCs w:val="24"/>
        </w:rPr>
        <w:t xml:space="preserve">ime to </w:t>
      </w:r>
      <w:r w:rsidR="001C7D23">
        <w:rPr>
          <w:rFonts w:cs="Calibri"/>
          <w:szCs w:val="24"/>
        </w:rPr>
        <w:t>i</w:t>
      </w:r>
      <w:r w:rsidR="00F36056" w:rsidRPr="009079DC">
        <w:rPr>
          <w:rFonts w:cs="Calibri"/>
          <w:szCs w:val="24"/>
        </w:rPr>
        <w:t>nitiation for treatment for patients coming from community partners</w:t>
      </w:r>
      <w:r>
        <w:rPr>
          <w:rFonts w:cs="Calibri"/>
          <w:szCs w:val="24"/>
        </w:rPr>
        <w:t>.</w:t>
      </w:r>
      <w:r w:rsidR="00F36056" w:rsidRPr="009079DC">
        <w:rPr>
          <w:rFonts w:cs="Calibri"/>
          <w:szCs w:val="24"/>
        </w:rPr>
        <w:t xml:space="preserve"> </w:t>
      </w:r>
    </w:p>
    <w:p w14:paraId="2856D3C1" w14:textId="2F063136" w:rsidR="00F36056" w:rsidRPr="009079DC" w:rsidRDefault="00130F46" w:rsidP="00F91720">
      <w:pPr>
        <w:numPr>
          <w:ilvl w:val="1"/>
          <w:numId w:val="3"/>
        </w:numPr>
        <w:rPr>
          <w:rFonts w:cs="Calibri"/>
          <w:szCs w:val="24"/>
        </w:rPr>
      </w:pPr>
      <w:r>
        <w:rPr>
          <w:rFonts w:cs="Calibri"/>
          <w:szCs w:val="24"/>
        </w:rPr>
        <w:t>T</w:t>
      </w:r>
      <w:r w:rsidR="00F36056" w:rsidRPr="009079DC">
        <w:rPr>
          <w:rFonts w:cs="Calibri"/>
          <w:szCs w:val="24"/>
        </w:rPr>
        <w:t xml:space="preserve">ime from when a </w:t>
      </w:r>
      <w:r w:rsidR="00F36056">
        <w:rPr>
          <w:rFonts w:cs="Calibri"/>
          <w:szCs w:val="24"/>
        </w:rPr>
        <w:t>p</w:t>
      </w:r>
      <w:r w:rsidR="00F36056" w:rsidRPr="009079DC">
        <w:rPr>
          <w:rFonts w:cs="Calibri"/>
          <w:szCs w:val="24"/>
        </w:rPr>
        <w:t xml:space="preserve">atient </w:t>
      </w:r>
      <w:r w:rsidR="00F36056">
        <w:rPr>
          <w:rFonts w:cs="Calibri"/>
          <w:szCs w:val="24"/>
        </w:rPr>
        <w:t>p</w:t>
      </w:r>
      <w:r w:rsidR="00F36056" w:rsidRPr="009079DC">
        <w:rPr>
          <w:rFonts w:cs="Calibri"/>
          <w:szCs w:val="24"/>
        </w:rPr>
        <w:t xml:space="preserve">resents at a community partner to the development of a care plan.  </w:t>
      </w:r>
    </w:p>
    <w:p w14:paraId="26066AC8" w14:textId="77777777" w:rsidR="00F36056" w:rsidRPr="009079DC" w:rsidRDefault="00F36056" w:rsidP="00F36056">
      <w:pPr>
        <w:pStyle w:val="ListParagraph"/>
        <w:rPr>
          <w:rFonts w:cs="Calibri"/>
          <w:szCs w:val="24"/>
        </w:rPr>
      </w:pPr>
    </w:p>
    <w:p w14:paraId="5F3B4210" w14:textId="3A384946" w:rsidR="00F36056" w:rsidRPr="009079DC" w:rsidRDefault="00F36056" w:rsidP="00F91720">
      <w:pPr>
        <w:numPr>
          <w:ilvl w:val="0"/>
          <w:numId w:val="3"/>
        </w:numPr>
        <w:rPr>
          <w:rFonts w:cs="Calibri"/>
          <w:szCs w:val="24"/>
        </w:rPr>
      </w:pPr>
      <w:r>
        <w:rPr>
          <w:rFonts w:cs="Calibri"/>
          <w:szCs w:val="24"/>
        </w:rPr>
        <w:t>The Holder will report a</w:t>
      </w:r>
      <w:r w:rsidRPr="009079DC">
        <w:rPr>
          <w:rFonts w:cs="Calibri"/>
          <w:szCs w:val="24"/>
        </w:rPr>
        <w:t>nnual</w:t>
      </w:r>
      <w:r>
        <w:rPr>
          <w:rFonts w:cs="Calibri"/>
          <w:szCs w:val="24"/>
        </w:rPr>
        <w:t>ly on</w:t>
      </w:r>
      <w:r w:rsidRPr="009079DC">
        <w:rPr>
          <w:rFonts w:cs="Calibri"/>
          <w:szCs w:val="24"/>
        </w:rPr>
        <w:t xml:space="preserve"> </w:t>
      </w:r>
      <w:r>
        <w:rPr>
          <w:rFonts w:cs="Calibri"/>
          <w:szCs w:val="24"/>
        </w:rPr>
        <w:t xml:space="preserve">oncology </w:t>
      </w:r>
      <w:r w:rsidRPr="009079DC">
        <w:rPr>
          <w:rFonts w:cs="Calibri"/>
          <w:szCs w:val="24"/>
        </w:rPr>
        <w:t xml:space="preserve">discharges stratified by </w:t>
      </w:r>
      <w:r>
        <w:rPr>
          <w:rFonts w:cs="Calibri"/>
          <w:szCs w:val="24"/>
        </w:rPr>
        <w:t xml:space="preserve">patient </w:t>
      </w:r>
      <w:r w:rsidRPr="009079DC">
        <w:rPr>
          <w:rFonts w:cs="Calibri"/>
          <w:szCs w:val="24"/>
        </w:rPr>
        <w:t>race</w:t>
      </w:r>
      <w:r>
        <w:rPr>
          <w:rFonts w:cs="Calibri"/>
          <w:szCs w:val="24"/>
        </w:rPr>
        <w:t xml:space="preserve">, </w:t>
      </w:r>
      <w:r w:rsidRPr="009079DC">
        <w:rPr>
          <w:rFonts w:cs="Calibri"/>
          <w:szCs w:val="24"/>
        </w:rPr>
        <w:t>ethnicity,</w:t>
      </w:r>
      <w:r>
        <w:rPr>
          <w:rFonts w:cs="Calibri"/>
          <w:szCs w:val="24"/>
        </w:rPr>
        <w:t xml:space="preserve"> language,</w:t>
      </w:r>
      <w:r w:rsidRPr="009079DC">
        <w:rPr>
          <w:rFonts w:cs="Calibri"/>
          <w:szCs w:val="24"/>
        </w:rPr>
        <w:t xml:space="preserve"> payor mix, and zip code</w:t>
      </w:r>
      <w:r w:rsidR="004477EF">
        <w:rPr>
          <w:rFonts w:cs="Calibri"/>
          <w:szCs w:val="24"/>
        </w:rPr>
        <w:t xml:space="preserve"> of residence</w:t>
      </w:r>
      <w:r w:rsidRPr="009079DC">
        <w:rPr>
          <w:rFonts w:cs="Calibri"/>
          <w:szCs w:val="24"/>
        </w:rPr>
        <w:t>.</w:t>
      </w:r>
    </w:p>
    <w:p w14:paraId="7F623D9F" w14:textId="77777777" w:rsidR="00F36056" w:rsidRPr="009079DC" w:rsidRDefault="00F36056" w:rsidP="00F36056">
      <w:pPr>
        <w:pStyle w:val="ListParagraph"/>
        <w:rPr>
          <w:rFonts w:cs="Calibri"/>
          <w:szCs w:val="24"/>
        </w:rPr>
      </w:pPr>
    </w:p>
    <w:p w14:paraId="76E2E67C" w14:textId="77777777" w:rsidR="00F36056" w:rsidRPr="009079DC" w:rsidRDefault="00F36056" w:rsidP="00F91720">
      <w:pPr>
        <w:numPr>
          <w:ilvl w:val="0"/>
          <w:numId w:val="3"/>
        </w:numPr>
        <w:rPr>
          <w:rFonts w:cs="Calibri"/>
          <w:szCs w:val="24"/>
        </w:rPr>
      </w:pPr>
      <w:r>
        <w:rPr>
          <w:rFonts w:cs="Calibri"/>
          <w:szCs w:val="24"/>
        </w:rPr>
        <w:t>The Holder will provide an a</w:t>
      </w:r>
      <w:r w:rsidRPr="009079DC">
        <w:rPr>
          <w:rFonts w:cs="Calibri"/>
          <w:szCs w:val="24"/>
        </w:rPr>
        <w:t xml:space="preserve">nnual progress update on the expansion of patient navigation services across the Holder’s sites, and in community health centers and community networks.  </w:t>
      </w:r>
    </w:p>
    <w:p w14:paraId="79B10846" w14:textId="77777777" w:rsidR="00F36056" w:rsidRPr="009079DC" w:rsidRDefault="00F36056" w:rsidP="00F36056">
      <w:pPr>
        <w:pStyle w:val="ListParagraph"/>
        <w:rPr>
          <w:rFonts w:cs="Calibri"/>
          <w:szCs w:val="24"/>
        </w:rPr>
      </w:pPr>
    </w:p>
    <w:p w14:paraId="72E56C9D" w14:textId="69786086" w:rsidR="00F36056" w:rsidRPr="009079DC" w:rsidRDefault="00F36056" w:rsidP="00F91720">
      <w:pPr>
        <w:numPr>
          <w:ilvl w:val="0"/>
          <w:numId w:val="3"/>
        </w:numPr>
        <w:rPr>
          <w:rFonts w:cs="Calibri"/>
        </w:rPr>
      </w:pPr>
      <w:r w:rsidRPr="3F9B679E">
        <w:rPr>
          <w:rFonts w:cs="Calibri"/>
        </w:rPr>
        <w:t xml:space="preserve">The Holder will report on the source of oncology admissions, including percentage of oncology admissions from </w:t>
      </w:r>
      <w:r w:rsidR="372F7DAE" w:rsidRPr="3F9B679E">
        <w:rPr>
          <w:rFonts w:cs="Calibri"/>
        </w:rPr>
        <w:t>an</w:t>
      </w:r>
      <w:r w:rsidRPr="3F9B679E">
        <w:rPr>
          <w:rFonts w:cs="Calibri"/>
        </w:rPr>
        <w:t xml:space="preserve"> ED. </w:t>
      </w:r>
    </w:p>
    <w:p w14:paraId="6684B333" w14:textId="77777777" w:rsidR="00F36056" w:rsidRPr="009079DC" w:rsidRDefault="00F36056" w:rsidP="00F36056">
      <w:pPr>
        <w:pStyle w:val="ListParagraph"/>
        <w:rPr>
          <w:rFonts w:cs="Calibri"/>
          <w:szCs w:val="24"/>
        </w:rPr>
      </w:pPr>
    </w:p>
    <w:p w14:paraId="030F124B" w14:textId="1D8A0567" w:rsidR="00F36056" w:rsidRDefault="00F36056" w:rsidP="00F91720">
      <w:pPr>
        <w:numPr>
          <w:ilvl w:val="0"/>
          <w:numId w:val="3"/>
        </w:numPr>
        <w:rPr>
          <w:rFonts w:cs="Calibri"/>
        </w:rPr>
      </w:pPr>
      <w:r w:rsidRPr="0E888497">
        <w:rPr>
          <w:rFonts w:cs="Calibri"/>
        </w:rPr>
        <w:t xml:space="preserve">The Holder will report annually on the number of transfers accepted, on the number of transfers </w:t>
      </w:r>
      <w:r w:rsidR="00F33E49">
        <w:rPr>
          <w:rFonts w:cs="Calibri"/>
        </w:rPr>
        <w:t xml:space="preserve">delayed </w:t>
      </w:r>
      <w:r w:rsidR="00B562B7">
        <w:rPr>
          <w:rFonts w:cs="Calibri"/>
        </w:rPr>
        <w:t xml:space="preserve">due to lack of inpatient capacity, and on </w:t>
      </w:r>
      <w:r w:rsidR="00BC61B0">
        <w:rPr>
          <w:rFonts w:cs="Calibri"/>
        </w:rPr>
        <w:t xml:space="preserve">the </w:t>
      </w:r>
      <w:r w:rsidR="00F33E49">
        <w:rPr>
          <w:rFonts w:cs="Calibri"/>
        </w:rPr>
        <w:t>number of transfers</w:t>
      </w:r>
      <w:r w:rsidRPr="0E888497">
        <w:rPr>
          <w:rFonts w:cs="Calibri"/>
        </w:rPr>
        <w:t xml:space="preserve"> denied admission due to lack of inpatient capacity. </w:t>
      </w:r>
    </w:p>
    <w:p w14:paraId="743D85BC" w14:textId="77777777" w:rsidR="00F36056" w:rsidRDefault="00F36056" w:rsidP="00F36056">
      <w:pPr>
        <w:pStyle w:val="ListParagraph"/>
        <w:rPr>
          <w:rFonts w:cs="Calibri"/>
          <w:szCs w:val="24"/>
        </w:rPr>
      </w:pPr>
    </w:p>
    <w:p w14:paraId="59C16708" w14:textId="43DEE470" w:rsidR="002A679E" w:rsidRPr="00435653" w:rsidRDefault="00712F0D" w:rsidP="00F91720">
      <w:pPr>
        <w:numPr>
          <w:ilvl w:val="0"/>
          <w:numId w:val="3"/>
        </w:numPr>
        <w:rPr>
          <w:rFonts w:cs="Calibri"/>
        </w:rPr>
      </w:pPr>
      <w:r w:rsidRPr="00712F0D">
        <w:rPr>
          <w:rFonts w:cs="Calibri"/>
        </w:rPr>
        <w:t xml:space="preserve">The Holder will report annually on the top five most frequently identified needs through </w:t>
      </w:r>
      <w:r w:rsidR="00130F46">
        <w:rPr>
          <w:rFonts w:cs="Calibri"/>
        </w:rPr>
        <w:t>HRSN</w:t>
      </w:r>
      <w:r w:rsidRPr="00712F0D">
        <w:rPr>
          <w:rFonts w:cs="Calibri"/>
        </w:rPr>
        <w:t xml:space="preserve"> screening</w:t>
      </w:r>
      <w:r w:rsidR="006F5EC2">
        <w:rPr>
          <w:rFonts w:cs="Calibri"/>
        </w:rPr>
        <w:t xml:space="preserve"> and the processes in place to </w:t>
      </w:r>
      <w:r w:rsidR="00FD7295">
        <w:rPr>
          <w:rFonts w:cs="Calibri"/>
        </w:rPr>
        <w:t>respond to</w:t>
      </w:r>
      <w:r w:rsidR="006F5EC2">
        <w:rPr>
          <w:rFonts w:cs="Calibri"/>
        </w:rPr>
        <w:t xml:space="preserve"> a positive screen</w:t>
      </w:r>
      <w:r w:rsidR="00CD408E" w:rsidRPr="6AEA2725">
        <w:rPr>
          <w:rFonts w:cs="Calibri"/>
        </w:rPr>
        <w:t>.</w:t>
      </w:r>
      <w:r w:rsidRPr="00712F0D">
        <w:rPr>
          <w:rFonts w:cs="Calibri"/>
        </w:rPr>
        <w:t xml:space="preserve"> </w:t>
      </w:r>
      <w:r w:rsidR="00CD408E" w:rsidRPr="6AEA2725">
        <w:rPr>
          <w:rFonts w:cs="Calibri"/>
        </w:rPr>
        <w:t xml:space="preserve">The Holder will report on the </w:t>
      </w:r>
      <w:r w:rsidR="002A679E" w:rsidRPr="6AEA2725">
        <w:rPr>
          <w:rFonts w:cs="Calibri"/>
        </w:rPr>
        <w:t xml:space="preserve">following measures </w:t>
      </w:r>
      <w:r w:rsidRPr="00712F0D">
        <w:rPr>
          <w:rFonts w:cs="Calibri"/>
        </w:rPr>
        <w:t xml:space="preserve">stratified by </w:t>
      </w:r>
      <w:r w:rsidR="00AC2FB1" w:rsidRPr="6AEA2725">
        <w:rPr>
          <w:rFonts w:cs="Calibri"/>
        </w:rPr>
        <w:t xml:space="preserve">patient </w:t>
      </w:r>
      <w:r w:rsidRPr="00712F0D">
        <w:rPr>
          <w:rFonts w:cs="Calibri"/>
        </w:rPr>
        <w:t>race, ethnicity, and language</w:t>
      </w:r>
      <w:r w:rsidR="002A679E" w:rsidRPr="6AEA2725">
        <w:rPr>
          <w:rFonts w:cs="Calibri"/>
        </w:rPr>
        <w:t>:</w:t>
      </w:r>
    </w:p>
    <w:p w14:paraId="249A97E1" w14:textId="75CCCF7A" w:rsidR="002A679E" w:rsidRDefault="005E1ACE" w:rsidP="00F91720">
      <w:pPr>
        <w:numPr>
          <w:ilvl w:val="1"/>
          <w:numId w:val="3"/>
        </w:numPr>
        <w:rPr>
          <w:rFonts w:cs="Calibri"/>
          <w:szCs w:val="24"/>
        </w:rPr>
      </w:pPr>
      <w:r>
        <w:rPr>
          <w:rFonts w:cs="Calibri"/>
          <w:szCs w:val="24"/>
        </w:rPr>
        <w:t>N</w:t>
      </w:r>
      <w:r w:rsidR="00430C95">
        <w:rPr>
          <w:rFonts w:cs="Calibri"/>
          <w:szCs w:val="24"/>
        </w:rPr>
        <w:t>umber of patients screened</w:t>
      </w:r>
      <w:r w:rsidR="00130F46">
        <w:rPr>
          <w:rFonts w:cs="Calibri"/>
          <w:szCs w:val="24"/>
        </w:rPr>
        <w:t>.</w:t>
      </w:r>
    </w:p>
    <w:p w14:paraId="660AC707" w14:textId="3E3CD083" w:rsidR="00430C95" w:rsidRPr="00712F0D" w:rsidRDefault="005E1ACE" w:rsidP="00F91720">
      <w:pPr>
        <w:numPr>
          <w:ilvl w:val="1"/>
          <w:numId w:val="3"/>
        </w:numPr>
        <w:rPr>
          <w:rFonts w:cs="Calibri"/>
          <w:szCs w:val="24"/>
        </w:rPr>
      </w:pPr>
      <w:r>
        <w:rPr>
          <w:rFonts w:cs="Calibri"/>
          <w:szCs w:val="24"/>
        </w:rPr>
        <w:lastRenderedPageBreak/>
        <w:t>N</w:t>
      </w:r>
      <w:r w:rsidR="00435653" w:rsidRPr="00435653">
        <w:rPr>
          <w:rFonts w:cs="Calibri"/>
          <w:szCs w:val="24"/>
        </w:rPr>
        <w:t xml:space="preserve">umber of patients screened with identified </w:t>
      </w:r>
      <w:r w:rsidR="00F1216C">
        <w:rPr>
          <w:rFonts w:cs="Calibri"/>
          <w:szCs w:val="24"/>
        </w:rPr>
        <w:t>HRSNs</w:t>
      </w:r>
      <w:r w:rsidR="00130F46">
        <w:rPr>
          <w:rFonts w:cs="Calibri"/>
          <w:szCs w:val="24"/>
        </w:rPr>
        <w:t>.</w:t>
      </w:r>
    </w:p>
    <w:p w14:paraId="5B55765A" w14:textId="77777777" w:rsidR="00F36056" w:rsidRDefault="00F36056" w:rsidP="00F36056">
      <w:pPr>
        <w:pStyle w:val="ListParagraph"/>
        <w:rPr>
          <w:rFonts w:cs="Calibri"/>
          <w:szCs w:val="24"/>
        </w:rPr>
      </w:pPr>
    </w:p>
    <w:p w14:paraId="3906AB65" w14:textId="0E07C182" w:rsidR="00F36056" w:rsidRPr="00F36056" w:rsidRDefault="00F36056" w:rsidP="00F91720">
      <w:pPr>
        <w:numPr>
          <w:ilvl w:val="0"/>
          <w:numId w:val="3"/>
        </w:numPr>
        <w:rPr>
          <w:rFonts w:cs="Calibri"/>
          <w:szCs w:val="24"/>
        </w:rPr>
      </w:pPr>
      <w:r>
        <w:rPr>
          <w:rFonts w:cs="Calibri"/>
          <w:szCs w:val="24"/>
        </w:rPr>
        <w:t xml:space="preserve">The Holder will report annually on the following screening measures stratified by </w:t>
      </w:r>
      <w:r w:rsidR="00AC2FB1">
        <w:rPr>
          <w:rFonts w:cs="Calibri"/>
          <w:szCs w:val="24"/>
        </w:rPr>
        <w:t xml:space="preserve">patient </w:t>
      </w:r>
      <w:r>
        <w:rPr>
          <w:rFonts w:cs="Calibri"/>
          <w:szCs w:val="24"/>
        </w:rPr>
        <w:t>race, ethnicity, and language</w:t>
      </w:r>
      <w:r w:rsidR="00686814">
        <w:rPr>
          <w:rFonts w:cs="Calibri"/>
          <w:szCs w:val="24"/>
        </w:rPr>
        <w:t xml:space="preserve"> for cervical cancer and breast cancer screening, and by patient race, ethnicity, language, and gender for colorectal cancer screening</w:t>
      </w:r>
      <w:r>
        <w:rPr>
          <w:rFonts w:cs="Calibri"/>
          <w:szCs w:val="24"/>
        </w:rPr>
        <w:t>:</w:t>
      </w:r>
    </w:p>
    <w:p w14:paraId="4FEA0533" w14:textId="3E180ECD" w:rsidR="00F36056" w:rsidRPr="00B82079" w:rsidRDefault="005E1ACE" w:rsidP="00F91720">
      <w:pPr>
        <w:numPr>
          <w:ilvl w:val="1"/>
          <w:numId w:val="3"/>
        </w:numPr>
        <w:rPr>
          <w:rFonts w:cs="Calibri"/>
          <w:szCs w:val="24"/>
        </w:rPr>
      </w:pPr>
      <w:r>
        <w:rPr>
          <w:rFonts w:cs="Calibri"/>
          <w:szCs w:val="24"/>
        </w:rPr>
        <w:t>C</w:t>
      </w:r>
      <w:r w:rsidR="00F36056" w:rsidRPr="00B82079">
        <w:rPr>
          <w:rFonts w:cs="Calibri"/>
          <w:szCs w:val="24"/>
        </w:rPr>
        <w:t>ervical cancer screening</w:t>
      </w:r>
      <w:r w:rsidR="00F36056">
        <w:rPr>
          <w:rFonts w:cs="Calibri"/>
          <w:szCs w:val="24"/>
        </w:rPr>
        <w:t>: ages 21 to 64,</w:t>
      </w:r>
    </w:p>
    <w:p w14:paraId="5FD6689E" w14:textId="3BFCA6D0" w:rsidR="00F36056" w:rsidRPr="00B82079" w:rsidRDefault="005E1ACE" w:rsidP="00F91720">
      <w:pPr>
        <w:numPr>
          <w:ilvl w:val="1"/>
          <w:numId w:val="3"/>
        </w:numPr>
        <w:rPr>
          <w:rFonts w:cs="Calibri"/>
          <w:szCs w:val="24"/>
        </w:rPr>
      </w:pPr>
      <w:r>
        <w:rPr>
          <w:rFonts w:cs="Calibri"/>
          <w:szCs w:val="24"/>
        </w:rPr>
        <w:t>C</w:t>
      </w:r>
      <w:r w:rsidR="00F36056" w:rsidRPr="00B82079">
        <w:rPr>
          <w:rFonts w:cs="Calibri"/>
          <w:szCs w:val="24"/>
        </w:rPr>
        <w:t>olorectal cancer screening</w:t>
      </w:r>
      <w:r w:rsidR="00F36056">
        <w:rPr>
          <w:rFonts w:cs="Calibri"/>
          <w:szCs w:val="24"/>
        </w:rPr>
        <w:t xml:space="preserve">: ages 45-74, and </w:t>
      </w:r>
    </w:p>
    <w:p w14:paraId="68C796BF" w14:textId="66985952" w:rsidR="00E452FA" w:rsidRPr="00E452FA" w:rsidRDefault="005E1ACE" w:rsidP="00F91720">
      <w:pPr>
        <w:numPr>
          <w:ilvl w:val="1"/>
          <w:numId w:val="3"/>
        </w:numPr>
        <w:rPr>
          <w:rFonts w:cs="Calibri"/>
          <w:szCs w:val="24"/>
        </w:rPr>
      </w:pPr>
      <w:r>
        <w:rPr>
          <w:rFonts w:cs="Calibri"/>
          <w:szCs w:val="24"/>
        </w:rPr>
        <w:t>B</w:t>
      </w:r>
      <w:r w:rsidR="00F36056" w:rsidRPr="00B82079">
        <w:rPr>
          <w:rFonts w:cs="Calibri"/>
          <w:szCs w:val="24"/>
        </w:rPr>
        <w:t>reast cancer screening</w:t>
      </w:r>
      <w:r w:rsidR="00F36056">
        <w:rPr>
          <w:rFonts w:cs="Calibri"/>
          <w:szCs w:val="24"/>
        </w:rPr>
        <w:t>: Ages 50-74</w:t>
      </w:r>
    </w:p>
    <w:p w14:paraId="3729972B" w14:textId="2C51EAD1" w:rsidR="00FB48B6" w:rsidRDefault="00FB48B6" w:rsidP="00BA2054">
      <w:pPr>
        <w:rPr>
          <w:b/>
          <w:bCs/>
          <w:sz w:val="28"/>
          <w:szCs w:val="28"/>
        </w:rPr>
      </w:pPr>
    </w:p>
    <w:p w14:paraId="34A9F318" w14:textId="33DABF8E" w:rsidR="00A3733B" w:rsidRPr="00A3733B" w:rsidRDefault="00F00E22" w:rsidP="00F91720">
      <w:pPr>
        <w:pStyle w:val="ListParagraph"/>
        <w:numPr>
          <w:ilvl w:val="0"/>
          <w:numId w:val="3"/>
        </w:numPr>
        <w:rPr>
          <w:szCs w:val="24"/>
        </w:rPr>
      </w:pPr>
      <w:r>
        <w:rPr>
          <w:szCs w:val="24"/>
        </w:rPr>
        <w:t>Dana-Farber Cancer Institute Mammography Van:</w:t>
      </w:r>
    </w:p>
    <w:p w14:paraId="740458F1" w14:textId="1D170F70" w:rsidR="00F00E22" w:rsidRDefault="00F00E22" w:rsidP="00F91720">
      <w:pPr>
        <w:pStyle w:val="ListParagraph"/>
        <w:numPr>
          <w:ilvl w:val="1"/>
          <w:numId w:val="3"/>
        </w:numPr>
        <w:rPr>
          <w:szCs w:val="24"/>
        </w:rPr>
      </w:pPr>
      <w:r>
        <w:rPr>
          <w:szCs w:val="24"/>
        </w:rPr>
        <w:t>N</w:t>
      </w:r>
      <w:r w:rsidRPr="00F00E22">
        <w:rPr>
          <w:szCs w:val="24"/>
        </w:rPr>
        <w:t xml:space="preserve">umber of mobile </w:t>
      </w:r>
      <w:r w:rsidR="00D500C7">
        <w:rPr>
          <w:szCs w:val="24"/>
        </w:rPr>
        <w:t xml:space="preserve">mammography </w:t>
      </w:r>
      <w:r w:rsidRPr="00F00E22">
        <w:rPr>
          <w:szCs w:val="24"/>
        </w:rPr>
        <w:t>van deployments</w:t>
      </w:r>
      <w:r w:rsidR="00EA0E6C">
        <w:rPr>
          <w:szCs w:val="24"/>
        </w:rPr>
        <w:t>.</w:t>
      </w:r>
      <w:r w:rsidRPr="00F00E22">
        <w:rPr>
          <w:szCs w:val="24"/>
        </w:rPr>
        <w:t xml:space="preserve"> </w:t>
      </w:r>
    </w:p>
    <w:p w14:paraId="719D6D2A" w14:textId="6EC114A1" w:rsidR="00EA7DCF" w:rsidRDefault="00F00E22" w:rsidP="00F91720">
      <w:pPr>
        <w:pStyle w:val="ListParagraph"/>
        <w:numPr>
          <w:ilvl w:val="1"/>
          <w:numId w:val="3"/>
        </w:numPr>
        <w:rPr>
          <w:szCs w:val="24"/>
        </w:rPr>
      </w:pPr>
      <w:r>
        <w:rPr>
          <w:szCs w:val="24"/>
        </w:rPr>
        <w:t>N</w:t>
      </w:r>
      <w:r w:rsidRPr="00F00E22">
        <w:rPr>
          <w:szCs w:val="24"/>
        </w:rPr>
        <w:t>umber of screen</w:t>
      </w:r>
      <w:r w:rsidR="00A02F53">
        <w:rPr>
          <w:szCs w:val="24"/>
        </w:rPr>
        <w:t>ings</w:t>
      </w:r>
      <w:r w:rsidRPr="00F00E22">
        <w:rPr>
          <w:szCs w:val="24"/>
        </w:rPr>
        <w:t xml:space="preserve"> completed</w:t>
      </w:r>
      <w:r w:rsidR="00EA0E6C">
        <w:rPr>
          <w:szCs w:val="24"/>
        </w:rPr>
        <w:t>.</w:t>
      </w:r>
    </w:p>
    <w:p w14:paraId="60C977F8" w14:textId="43D253F4" w:rsidR="00960924" w:rsidRDefault="00960924" w:rsidP="00F91720">
      <w:pPr>
        <w:pStyle w:val="ListParagraph"/>
        <w:numPr>
          <w:ilvl w:val="1"/>
          <w:numId w:val="3"/>
        </w:numPr>
        <w:rPr>
          <w:szCs w:val="24"/>
        </w:rPr>
      </w:pPr>
      <w:r>
        <w:rPr>
          <w:szCs w:val="24"/>
        </w:rPr>
        <w:t>Number of patients screened.</w:t>
      </w:r>
    </w:p>
    <w:p w14:paraId="617904FB" w14:textId="72969668" w:rsidR="00EA3A1B" w:rsidRPr="001668BA" w:rsidRDefault="00EA3A1B" w:rsidP="00BA2054">
      <w:pPr>
        <w:rPr>
          <w:b/>
          <w:szCs w:val="24"/>
        </w:rPr>
      </w:pPr>
    </w:p>
    <w:p w14:paraId="62392320" w14:textId="4983B2B6" w:rsidR="00EA3A1B" w:rsidRPr="00F1216C" w:rsidRDefault="00EA3A1B" w:rsidP="001668BA">
      <w:pPr>
        <w:ind w:left="1080"/>
      </w:pPr>
    </w:p>
    <w:p w14:paraId="7D062CE1" w14:textId="77777777" w:rsidR="00EA3A1B" w:rsidRDefault="00EA3A1B" w:rsidP="00BA2054">
      <w:pPr>
        <w:rPr>
          <w:b/>
          <w:bCs/>
          <w:sz w:val="28"/>
          <w:szCs w:val="28"/>
        </w:rPr>
      </w:pPr>
    </w:p>
    <w:p w14:paraId="733E1D9C" w14:textId="77777777" w:rsidR="00EA3A1B" w:rsidRDefault="00EA3A1B" w:rsidP="00BA2054">
      <w:pPr>
        <w:rPr>
          <w:b/>
          <w:bCs/>
          <w:sz w:val="28"/>
          <w:szCs w:val="28"/>
        </w:rPr>
      </w:pPr>
    </w:p>
    <w:p w14:paraId="3843DDA7" w14:textId="77777777" w:rsidR="00FB48B6" w:rsidRDefault="00FB48B6" w:rsidP="00BA2054">
      <w:pPr>
        <w:rPr>
          <w:b/>
          <w:bCs/>
          <w:sz w:val="28"/>
          <w:szCs w:val="28"/>
        </w:rPr>
      </w:pPr>
    </w:p>
    <w:p w14:paraId="41383609" w14:textId="77777777" w:rsidR="00FB48B6" w:rsidRDefault="00FB48B6" w:rsidP="00BA2054">
      <w:pPr>
        <w:rPr>
          <w:b/>
          <w:bCs/>
          <w:sz w:val="28"/>
          <w:szCs w:val="28"/>
        </w:rPr>
      </w:pPr>
    </w:p>
    <w:p w14:paraId="0C3E94A7" w14:textId="77777777" w:rsidR="00FB48B6" w:rsidRDefault="00FB48B6" w:rsidP="00BA2054">
      <w:pPr>
        <w:rPr>
          <w:b/>
          <w:bCs/>
          <w:sz w:val="28"/>
          <w:szCs w:val="28"/>
        </w:rPr>
      </w:pPr>
    </w:p>
    <w:p w14:paraId="51107D59" w14:textId="309B0DEF" w:rsidR="0053555A" w:rsidRDefault="0053555A" w:rsidP="00BA2054">
      <w:pPr>
        <w:rPr>
          <w:b/>
          <w:bCs/>
          <w:sz w:val="28"/>
          <w:szCs w:val="28"/>
        </w:rPr>
      </w:pPr>
      <w:r>
        <w:rPr>
          <w:b/>
          <w:bCs/>
          <w:sz w:val="28"/>
          <w:szCs w:val="28"/>
        </w:rPr>
        <w:br w:type="page"/>
      </w:r>
    </w:p>
    <w:p w14:paraId="1A4C3838" w14:textId="5E4EFDB6" w:rsidR="00424278" w:rsidRDefault="00424278" w:rsidP="00ED2691">
      <w:pPr>
        <w:pStyle w:val="Heading1"/>
        <w:ind w:left="0"/>
        <w:rPr>
          <w:color w:val="1F497D" w:themeColor="text2"/>
        </w:rPr>
      </w:pPr>
      <w:bookmarkStart w:id="39" w:name="_Toc190780599"/>
      <w:r w:rsidRPr="003B2CD4">
        <w:rPr>
          <w:color w:val="1F497D" w:themeColor="text2"/>
        </w:rPr>
        <w:lastRenderedPageBreak/>
        <w:t>Appendix</w:t>
      </w:r>
      <w:r w:rsidR="00ED2691">
        <w:rPr>
          <w:color w:val="1F497D" w:themeColor="text2"/>
        </w:rPr>
        <w:t xml:space="preserve"> </w:t>
      </w:r>
      <w:r w:rsidR="008727D2">
        <w:rPr>
          <w:color w:val="1F497D" w:themeColor="text2"/>
        </w:rPr>
        <w:t>II:</w:t>
      </w:r>
      <w:r w:rsidRPr="003B2CD4">
        <w:rPr>
          <w:color w:val="1F497D" w:themeColor="text2"/>
        </w:rPr>
        <w:t xml:space="preserve"> </w:t>
      </w:r>
      <w:r w:rsidR="000D5DA1">
        <w:rPr>
          <w:color w:val="1F497D" w:themeColor="text2"/>
        </w:rPr>
        <w:t>O</w:t>
      </w:r>
      <w:r w:rsidRPr="003B2CD4">
        <w:rPr>
          <w:color w:val="1F497D" w:themeColor="text2"/>
        </w:rPr>
        <w:t>ccupancy rates for Massachusetts AMCs</w:t>
      </w:r>
      <w:r w:rsidR="00731403">
        <w:rPr>
          <w:color w:val="1F497D" w:themeColor="text2"/>
        </w:rPr>
        <w:t>, Jan 2022 to</w:t>
      </w:r>
      <w:r w:rsidR="002721FC">
        <w:rPr>
          <w:color w:val="1F497D" w:themeColor="text2"/>
        </w:rPr>
        <w:t xml:space="preserve"> August 2024</w:t>
      </w:r>
      <w:bookmarkEnd w:id="39"/>
      <w:r w:rsidR="002721FC">
        <w:rPr>
          <w:color w:val="1F497D" w:themeColor="text2"/>
        </w:rPr>
        <w:t xml:space="preserve"> </w:t>
      </w:r>
    </w:p>
    <w:p w14:paraId="43A0609B" w14:textId="77777777" w:rsidR="00FF2615" w:rsidRDefault="00FF2615" w:rsidP="00ED2691">
      <w:pPr>
        <w:pStyle w:val="Heading1"/>
        <w:ind w:left="0"/>
        <w:rPr>
          <w:color w:val="1F497D" w:themeColor="text2"/>
        </w:rPr>
        <w:sectPr w:rsidR="00FF2615">
          <w:endnotePr>
            <w:numFmt w:val="lowerLetter"/>
          </w:endnotePr>
          <w:pgSz w:w="12240" w:h="15840"/>
          <w:pgMar w:top="1140" w:right="1200" w:bottom="1240" w:left="1220" w:header="0" w:footer="1058" w:gutter="0"/>
          <w:cols w:space="720"/>
        </w:sectPr>
      </w:pPr>
    </w:p>
    <w:p w14:paraId="5EE8531E" w14:textId="77777777" w:rsidR="00F85000" w:rsidRPr="003B2CD4" w:rsidRDefault="00F85000" w:rsidP="003B2CD4">
      <w:pPr>
        <w:pStyle w:val="Heading1"/>
        <w:ind w:left="0"/>
        <w:rPr>
          <w:color w:val="1F497D" w:themeColor="text2"/>
        </w:rPr>
      </w:pPr>
    </w:p>
    <w:p w14:paraId="2A08CD83" w14:textId="56669F68" w:rsidR="00ED2691" w:rsidRDefault="00A90372" w:rsidP="00FB64A4">
      <w:pPr>
        <w:rPr>
          <w:color w:val="1F497D" w:themeColor="text2"/>
        </w:rPr>
      </w:pPr>
      <w:r>
        <w:rPr>
          <w:noProof/>
        </w:rPr>
        <w:drawing>
          <wp:inline distT="0" distB="0" distL="0" distR="0" wp14:anchorId="70E9B05F" wp14:editId="7374ABE7">
            <wp:extent cx="3401888" cy="2468880"/>
            <wp:effectExtent l="0" t="0" r="8255" b="7620"/>
            <wp:docPr id="2050611194" name="Chart 1" descr="BMC Occupancy Rate (M/S) line graph">
              <a:extLst xmlns:a="http://schemas.openxmlformats.org/drawingml/2006/main">
                <a:ext uri="{FF2B5EF4-FFF2-40B4-BE49-F238E27FC236}">
                  <a16:creationId xmlns:a16="http://schemas.microsoft.com/office/drawing/2014/main" id="{7D42F5D9-8C0E-DDE3-1D1F-81BE62DD78F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912E3">
        <w:rPr>
          <w:noProof/>
        </w:rPr>
        <w:drawing>
          <wp:inline distT="0" distB="0" distL="0" distR="0" wp14:anchorId="39FE42A8" wp14:editId="67A8C2AA">
            <wp:extent cx="3401846" cy="2468880"/>
            <wp:effectExtent l="0" t="0" r="8255" b="7620"/>
            <wp:docPr id="1592114487" name="Chart 1" descr="BMC Occupancy Rate (ICU) line graph">
              <a:extLst xmlns:a="http://schemas.openxmlformats.org/drawingml/2006/main">
                <a:ext uri="{FF2B5EF4-FFF2-40B4-BE49-F238E27FC236}">
                  <a16:creationId xmlns:a16="http://schemas.microsoft.com/office/drawing/2014/main" id="{93F1A06A-C567-7667-9D3D-F4956210F92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9886DBE" w14:textId="0EE55939" w:rsidR="00824609" w:rsidRDefault="00824609" w:rsidP="00FB64A4">
      <w:pPr>
        <w:rPr>
          <w:color w:val="1F497D" w:themeColor="text2"/>
        </w:rPr>
      </w:pPr>
    </w:p>
    <w:p w14:paraId="5C331345" w14:textId="0CBA9A00" w:rsidR="00F85000" w:rsidRDefault="00DB7618" w:rsidP="00241D1A">
      <w:pPr>
        <w:rPr>
          <w:b/>
          <w:bCs/>
          <w:color w:val="1F497D" w:themeColor="text2"/>
          <w:sz w:val="28"/>
          <w:szCs w:val="28"/>
        </w:rPr>
      </w:pPr>
      <w:r>
        <w:rPr>
          <w:noProof/>
        </w:rPr>
        <w:drawing>
          <wp:inline distT="0" distB="0" distL="0" distR="0" wp14:anchorId="7F83F50A" wp14:editId="669F98C1">
            <wp:extent cx="3401846" cy="2468880"/>
            <wp:effectExtent l="0" t="0" r="8255" b="7620"/>
            <wp:docPr id="139345771" name="Chart 1" descr="BIDMC Occupancy Rate (M/S) line graph">
              <a:extLst xmlns:a="http://schemas.openxmlformats.org/drawingml/2006/main">
                <a:ext uri="{FF2B5EF4-FFF2-40B4-BE49-F238E27FC236}">
                  <a16:creationId xmlns:a16="http://schemas.microsoft.com/office/drawing/2014/main" id="{CABFD25F-EC46-E3E7-4FD0-A14DB7FF9B8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D72F4D">
        <w:rPr>
          <w:noProof/>
        </w:rPr>
        <w:drawing>
          <wp:inline distT="0" distB="0" distL="0" distR="0" wp14:anchorId="6DB2A21A" wp14:editId="2C032586">
            <wp:extent cx="3401846" cy="2468880"/>
            <wp:effectExtent l="0" t="0" r="8255" b="7620"/>
            <wp:docPr id="960002475" name="Chart 1" descr="BIDMC Occupancy Rate (ICU) line graph">
              <a:extLst xmlns:a="http://schemas.openxmlformats.org/drawingml/2006/main">
                <a:ext uri="{FF2B5EF4-FFF2-40B4-BE49-F238E27FC236}">
                  <a16:creationId xmlns:a16="http://schemas.microsoft.com/office/drawing/2014/main" id="{70BD9E26-2DEB-C5D6-6D38-6D813809A201}"/>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307B2B" w14:textId="77777777" w:rsidR="00E75AE3" w:rsidRDefault="00E75AE3" w:rsidP="00241D1A">
      <w:pPr>
        <w:rPr>
          <w:b/>
          <w:bCs/>
          <w:color w:val="1F497D" w:themeColor="text2"/>
          <w:sz w:val="28"/>
          <w:szCs w:val="28"/>
        </w:rPr>
      </w:pPr>
    </w:p>
    <w:p w14:paraId="22B871E5" w14:textId="77777777" w:rsidR="00E75AE3" w:rsidRDefault="00E75AE3" w:rsidP="00241D1A">
      <w:pPr>
        <w:rPr>
          <w:b/>
          <w:bCs/>
          <w:color w:val="1F497D" w:themeColor="text2"/>
          <w:sz w:val="28"/>
          <w:szCs w:val="28"/>
        </w:rPr>
      </w:pPr>
    </w:p>
    <w:p w14:paraId="6D9FEC51" w14:textId="611ACAD3" w:rsidR="000D5DA1" w:rsidRDefault="00D02B1F" w:rsidP="00241D1A">
      <w:pPr>
        <w:rPr>
          <w:b/>
          <w:bCs/>
          <w:color w:val="1F497D" w:themeColor="text2"/>
          <w:sz w:val="28"/>
          <w:szCs w:val="28"/>
        </w:rPr>
      </w:pPr>
      <w:r>
        <w:rPr>
          <w:noProof/>
        </w:rPr>
        <w:lastRenderedPageBreak/>
        <w:drawing>
          <wp:inline distT="0" distB="0" distL="0" distR="0" wp14:anchorId="2798E452" wp14:editId="0DABEBE9">
            <wp:extent cx="3401846" cy="2468880"/>
            <wp:effectExtent l="0" t="0" r="8255" b="7620"/>
            <wp:docPr id="249409877" name="Chart 1" descr="BWH Occupancy Rate (M/S) line graph">
              <a:extLst xmlns:a="http://schemas.openxmlformats.org/drawingml/2006/main">
                <a:ext uri="{FF2B5EF4-FFF2-40B4-BE49-F238E27FC236}">
                  <a16:creationId xmlns:a16="http://schemas.microsoft.com/office/drawing/2014/main" id="{4D75C76B-0B0F-1641-01E9-693B6388AD4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6C3587">
        <w:rPr>
          <w:noProof/>
        </w:rPr>
        <w:drawing>
          <wp:inline distT="0" distB="0" distL="0" distR="0" wp14:anchorId="5BE3EB93" wp14:editId="0ED721B5">
            <wp:extent cx="3401846" cy="2468880"/>
            <wp:effectExtent l="0" t="0" r="8255" b="7620"/>
            <wp:docPr id="115325348" name="Chart 1" descr="BWH Occupancy Rate (ICU) line graph">
              <a:extLst xmlns:a="http://schemas.openxmlformats.org/drawingml/2006/main">
                <a:ext uri="{FF2B5EF4-FFF2-40B4-BE49-F238E27FC236}">
                  <a16:creationId xmlns:a16="http://schemas.microsoft.com/office/drawing/2014/main" id="{48851639-9A2B-AF5E-92A0-6FC4CE42974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6BFFDA6" w14:textId="77777777" w:rsidR="00E75AE3" w:rsidRDefault="00E75AE3" w:rsidP="00241D1A">
      <w:pPr>
        <w:rPr>
          <w:b/>
          <w:bCs/>
          <w:color w:val="1F497D" w:themeColor="text2"/>
          <w:sz w:val="28"/>
          <w:szCs w:val="28"/>
        </w:rPr>
      </w:pPr>
    </w:p>
    <w:p w14:paraId="2C8C7B9C" w14:textId="302B3EE0" w:rsidR="00E75AE3" w:rsidRDefault="00F81025" w:rsidP="00241D1A">
      <w:pPr>
        <w:rPr>
          <w:b/>
          <w:bCs/>
          <w:color w:val="1F497D" w:themeColor="text2"/>
          <w:sz w:val="28"/>
          <w:szCs w:val="28"/>
        </w:rPr>
      </w:pPr>
      <w:r>
        <w:rPr>
          <w:noProof/>
        </w:rPr>
        <w:drawing>
          <wp:inline distT="0" distB="0" distL="0" distR="0" wp14:anchorId="4444B9CD" wp14:editId="0A27A2F3">
            <wp:extent cx="3401846" cy="2468880"/>
            <wp:effectExtent l="0" t="0" r="8255" b="7620"/>
            <wp:docPr id="1866912093" name="Chart 1" descr="MGH Occupancy Rate (M/S) line graph">
              <a:extLst xmlns:a="http://schemas.openxmlformats.org/drawingml/2006/main">
                <a:ext uri="{FF2B5EF4-FFF2-40B4-BE49-F238E27FC236}">
                  <a16:creationId xmlns:a16="http://schemas.microsoft.com/office/drawing/2014/main" id="{51E786D7-31AC-905D-1CFC-BFC89ED0DD1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FD3FC2">
        <w:rPr>
          <w:noProof/>
        </w:rPr>
        <w:drawing>
          <wp:inline distT="0" distB="0" distL="0" distR="0" wp14:anchorId="0617DC3D" wp14:editId="7C4B7C8F">
            <wp:extent cx="3401846" cy="2468880"/>
            <wp:effectExtent l="0" t="0" r="8255" b="7620"/>
            <wp:docPr id="629156554" name="Chart 1" descr="MGH Occupancy Rate (ICU) line graph">
              <a:extLst xmlns:a="http://schemas.openxmlformats.org/drawingml/2006/main">
                <a:ext uri="{FF2B5EF4-FFF2-40B4-BE49-F238E27FC236}">
                  <a16:creationId xmlns:a16="http://schemas.microsoft.com/office/drawing/2014/main" id="{269BBF9A-67F1-F29A-B4C0-E345370C92C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DC5041" w14:textId="77777777" w:rsidR="00373D76" w:rsidRDefault="00373D76" w:rsidP="00241D1A">
      <w:pPr>
        <w:rPr>
          <w:b/>
          <w:bCs/>
          <w:color w:val="1F497D" w:themeColor="text2"/>
          <w:sz w:val="28"/>
          <w:szCs w:val="28"/>
        </w:rPr>
      </w:pPr>
    </w:p>
    <w:p w14:paraId="70A13729" w14:textId="1B01481C" w:rsidR="00373D76" w:rsidRDefault="00047F4D" w:rsidP="00241D1A">
      <w:pPr>
        <w:rPr>
          <w:b/>
          <w:bCs/>
          <w:color w:val="1F497D" w:themeColor="text2"/>
          <w:sz w:val="28"/>
          <w:szCs w:val="28"/>
        </w:rPr>
      </w:pPr>
      <w:r>
        <w:rPr>
          <w:noProof/>
        </w:rPr>
        <w:drawing>
          <wp:inline distT="0" distB="0" distL="0" distR="0" wp14:anchorId="02F00A8D" wp14:editId="1E29FEF2">
            <wp:extent cx="3401846" cy="2468880"/>
            <wp:effectExtent l="0" t="0" r="8255" b="7620"/>
            <wp:docPr id="655484782" name="Chart 1" descr="TMC Occupancy Rate (M/S) line graph">
              <a:extLst xmlns:a="http://schemas.openxmlformats.org/drawingml/2006/main">
                <a:ext uri="{FF2B5EF4-FFF2-40B4-BE49-F238E27FC236}">
                  <a16:creationId xmlns:a16="http://schemas.microsoft.com/office/drawing/2014/main" id="{25895FAB-D832-2107-E007-297B28E0836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1B3FF0">
        <w:rPr>
          <w:noProof/>
        </w:rPr>
        <w:drawing>
          <wp:inline distT="0" distB="0" distL="0" distR="0" wp14:anchorId="1B380F60" wp14:editId="75669075">
            <wp:extent cx="3401846" cy="2468880"/>
            <wp:effectExtent l="0" t="0" r="8255" b="7620"/>
            <wp:docPr id="471047614" name="Chart 1" descr="TMC Occupancy Rate (ICU) line graph">
              <a:extLst xmlns:a="http://schemas.openxmlformats.org/drawingml/2006/main">
                <a:ext uri="{FF2B5EF4-FFF2-40B4-BE49-F238E27FC236}">
                  <a16:creationId xmlns:a16="http://schemas.microsoft.com/office/drawing/2014/main" id="{3337B946-90FB-CE0E-3787-06FA266CA86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0BF813F" w14:textId="77777777" w:rsidR="00F95AC0" w:rsidRDefault="00F95AC0" w:rsidP="00241D1A">
      <w:pPr>
        <w:rPr>
          <w:b/>
          <w:bCs/>
          <w:color w:val="1F497D" w:themeColor="text2"/>
          <w:sz w:val="28"/>
          <w:szCs w:val="28"/>
        </w:rPr>
      </w:pPr>
    </w:p>
    <w:p w14:paraId="36097FAC" w14:textId="10439487" w:rsidR="00F95AC0" w:rsidRDefault="006941B1" w:rsidP="00241D1A">
      <w:pPr>
        <w:rPr>
          <w:b/>
          <w:bCs/>
          <w:color w:val="1F497D" w:themeColor="text2"/>
          <w:sz w:val="28"/>
          <w:szCs w:val="28"/>
        </w:rPr>
      </w:pPr>
      <w:r>
        <w:rPr>
          <w:noProof/>
        </w:rPr>
        <w:lastRenderedPageBreak/>
        <w:drawing>
          <wp:inline distT="0" distB="0" distL="0" distR="0" wp14:anchorId="6063B5FC" wp14:editId="78999A11">
            <wp:extent cx="3401846" cy="2468880"/>
            <wp:effectExtent l="0" t="0" r="8255" b="7620"/>
            <wp:docPr id="1945443850" name="Chart 1" descr="UMass MEM Occupancy Rate (M/S) line graph">
              <a:extLst xmlns:a="http://schemas.openxmlformats.org/drawingml/2006/main">
                <a:ext uri="{FF2B5EF4-FFF2-40B4-BE49-F238E27FC236}">
                  <a16:creationId xmlns:a16="http://schemas.microsoft.com/office/drawing/2014/main" id="{E1B9507C-F141-FC45-2589-FCC4E3285F6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813EEA">
        <w:rPr>
          <w:noProof/>
        </w:rPr>
        <w:drawing>
          <wp:inline distT="0" distB="0" distL="0" distR="0" wp14:anchorId="0BA5C315" wp14:editId="4ED65A85">
            <wp:extent cx="3401846" cy="2468880"/>
            <wp:effectExtent l="0" t="0" r="8255" b="7620"/>
            <wp:docPr id="1723576204" name="Chart 1" descr="UMass MEM Occupancy Rate (ICU) line graph">
              <a:extLst xmlns:a="http://schemas.openxmlformats.org/drawingml/2006/main">
                <a:ext uri="{FF2B5EF4-FFF2-40B4-BE49-F238E27FC236}">
                  <a16:creationId xmlns:a16="http://schemas.microsoft.com/office/drawing/2014/main" id="{E6530AD3-85ED-F558-B292-21140BF2187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8AB9DBF" w14:textId="77777777" w:rsidR="00D10EC7" w:rsidRDefault="00D10EC7" w:rsidP="00241D1A">
      <w:pPr>
        <w:rPr>
          <w:b/>
          <w:bCs/>
          <w:color w:val="1F497D" w:themeColor="text2"/>
          <w:sz w:val="28"/>
          <w:szCs w:val="28"/>
        </w:rPr>
      </w:pPr>
    </w:p>
    <w:p w14:paraId="517B4A83" w14:textId="6C7693DC" w:rsidR="00D10EC7" w:rsidRDefault="00FC59D3" w:rsidP="00241D1A">
      <w:pPr>
        <w:rPr>
          <w:b/>
          <w:bCs/>
          <w:color w:val="1F497D" w:themeColor="text2"/>
          <w:sz w:val="28"/>
          <w:szCs w:val="28"/>
        </w:rPr>
      </w:pPr>
      <w:r>
        <w:rPr>
          <w:noProof/>
        </w:rPr>
        <w:drawing>
          <wp:inline distT="0" distB="0" distL="0" distR="0" wp14:anchorId="34C92F71" wp14:editId="616EDCB8">
            <wp:extent cx="3401846" cy="2468880"/>
            <wp:effectExtent l="0" t="0" r="8255" b="7620"/>
            <wp:docPr id="358964526" name="Chart 1" descr="UMass Univ Campus Occupancy Rate (M/S) line graph">
              <a:extLst xmlns:a="http://schemas.openxmlformats.org/drawingml/2006/main">
                <a:ext uri="{FF2B5EF4-FFF2-40B4-BE49-F238E27FC236}">
                  <a16:creationId xmlns:a16="http://schemas.microsoft.com/office/drawing/2014/main" id="{B184660C-7985-5884-219B-8C388D6FE1B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4D7487">
        <w:rPr>
          <w:noProof/>
        </w:rPr>
        <w:drawing>
          <wp:inline distT="0" distB="0" distL="0" distR="0" wp14:anchorId="1C134FD7" wp14:editId="7940361C">
            <wp:extent cx="3401846" cy="2468880"/>
            <wp:effectExtent l="0" t="0" r="8255" b="7620"/>
            <wp:docPr id="504920485" name="Chart 1" descr="UMass Univ Campus Occupancy Rate (ICU) line graph">
              <a:extLst xmlns:a="http://schemas.openxmlformats.org/drawingml/2006/main">
                <a:ext uri="{FF2B5EF4-FFF2-40B4-BE49-F238E27FC236}">
                  <a16:creationId xmlns:a16="http://schemas.microsoft.com/office/drawing/2014/main" id="{2832EE55-4E91-4A8B-A074-F250A3DF280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F7909FF" w14:textId="77777777" w:rsidR="00CC2B91" w:rsidRDefault="00CC2B91" w:rsidP="00241D1A">
      <w:pPr>
        <w:rPr>
          <w:b/>
          <w:bCs/>
          <w:color w:val="1F497D" w:themeColor="text2"/>
          <w:sz w:val="28"/>
          <w:szCs w:val="28"/>
        </w:rPr>
      </w:pPr>
    </w:p>
    <w:p w14:paraId="49D94721" w14:textId="77777777" w:rsidR="00CC2B91" w:rsidRDefault="00CC2B91" w:rsidP="003B2CD4">
      <w:pPr>
        <w:rPr>
          <w:b/>
          <w:bCs/>
          <w:color w:val="1F497D" w:themeColor="text2"/>
          <w:sz w:val="28"/>
          <w:szCs w:val="28"/>
        </w:rPr>
      </w:pPr>
    </w:p>
    <w:p w14:paraId="32DC6FEF" w14:textId="0E2C134F" w:rsidR="00E339CB" w:rsidRDefault="00E339CB" w:rsidP="003B2CD4">
      <w:pPr>
        <w:rPr>
          <w:b/>
          <w:bCs/>
          <w:color w:val="1F497D" w:themeColor="text2"/>
          <w:sz w:val="28"/>
          <w:szCs w:val="28"/>
        </w:rPr>
      </w:pPr>
    </w:p>
    <w:p w14:paraId="71A9A74F" w14:textId="10D34462" w:rsidR="00E339CB" w:rsidRDefault="00E339CB" w:rsidP="003B2CD4">
      <w:pPr>
        <w:rPr>
          <w:b/>
          <w:bCs/>
          <w:color w:val="1F497D" w:themeColor="text2"/>
          <w:sz w:val="28"/>
          <w:szCs w:val="28"/>
        </w:rPr>
      </w:pPr>
    </w:p>
    <w:p w14:paraId="309890D6" w14:textId="77777777" w:rsidR="00E339CB" w:rsidRDefault="00E339CB" w:rsidP="00E339CB">
      <w:pPr>
        <w:jc w:val="center"/>
        <w:rPr>
          <w:b/>
          <w:bCs/>
          <w:color w:val="1F497D" w:themeColor="text2"/>
          <w:sz w:val="28"/>
          <w:szCs w:val="28"/>
        </w:rPr>
      </w:pPr>
    </w:p>
    <w:p w14:paraId="58219AF7" w14:textId="77777777" w:rsidR="003D25BE" w:rsidRDefault="003D25BE" w:rsidP="00E339CB">
      <w:pPr>
        <w:jc w:val="center"/>
        <w:rPr>
          <w:b/>
          <w:bCs/>
          <w:color w:val="1F497D" w:themeColor="text2"/>
          <w:sz w:val="28"/>
          <w:szCs w:val="28"/>
        </w:rPr>
        <w:sectPr w:rsidR="003D25BE" w:rsidSect="003B2CD4">
          <w:endnotePr>
            <w:numFmt w:val="lowerLetter"/>
          </w:endnotePr>
          <w:type w:val="continuous"/>
          <w:pgSz w:w="12240" w:h="15840"/>
          <w:pgMar w:top="720" w:right="720" w:bottom="720" w:left="720" w:header="0" w:footer="1051" w:gutter="0"/>
          <w:cols w:space="720"/>
        </w:sectPr>
      </w:pPr>
    </w:p>
    <w:p w14:paraId="6CD19CE3" w14:textId="5473D328" w:rsidR="00A02CF5" w:rsidRPr="00EA08F1" w:rsidRDefault="00A02CF5" w:rsidP="00A02CF5">
      <w:pPr>
        <w:pStyle w:val="Heading1"/>
        <w:ind w:left="0"/>
        <w:rPr>
          <w:color w:val="1F497D" w:themeColor="text2"/>
        </w:rPr>
      </w:pPr>
      <w:bookmarkStart w:id="40" w:name="_Toc190780600"/>
      <w:r w:rsidRPr="00EA08F1">
        <w:rPr>
          <w:color w:val="1F497D" w:themeColor="text2"/>
        </w:rPr>
        <w:lastRenderedPageBreak/>
        <w:t>APPENDIX</w:t>
      </w:r>
      <w:r w:rsidR="002F743B">
        <w:rPr>
          <w:color w:val="1F497D" w:themeColor="text2"/>
        </w:rPr>
        <w:t xml:space="preserve"> III:</w:t>
      </w:r>
      <w:r w:rsidRPr="00EA08F1">
        <w:rPr>
          <w:color w:val="1F497D" w:themeColor="text2"/>
        </w:rPr>
        <w:t xml:space="preserve"> </w:t>
      </w:r>
      <w:r w:rsidR="00211F6F" w:rsidRPr="00EA08F1">
        <w:rPr>
          <w:color w:val="1F497D" w:themeColor="text2"/>
        </w:rPr>
        <w:t>Definitions</w:t>
      </w:r>
      <w:bookmarkEnd w:id="40"/>
      <w:r w:rsidRPr="00EA08F1">
        <w:rPr>
          <w:color w:val="1F497D" w:themeColor="text2"/>
        </w:rPr>
        <w:t xml:space="preserve"> </w:t>
      </w:r>
    </w:p>
    <w:tbl>
      <w:tblPr>
        <w:tblStyle w:val="TableGrid"/>
        <w:tblW w:w="0" w:type="auto"/>
        <w:tblLook w:val="04A0" w:firstRow="1" w:lastRow="0" w:firstColumn="1" w:lastColumn="0" w:noHBand="0" w:noVBand="1"/>
      </w:tblPr>
      <w:tblGrid>
        <w:gridCol w:w="9810"/>
      </w:tblGrid>
      <w:tr w:rsidR="00BC5BA5" w:rsidRPr="00BB48CF" w14:paraId="615B8638" w14:textId="77777777" w:rsidTr="00DD0091">
        <w:tc>
          <w:tcPr>
            <w:tcW w:w="0" w:type="auto"/>
          </w:tcPr>
          <w:p w14:paraId="50FE73F6" w14:textId="77777777" w:rsidR="00B96832" w:rsidRPr="00BB48CF" w:rsidRDefault="00B96832">
            <w:pPr>
              <w:rPr>
                <w:rFonts w:asciiTheme="minorHAnsi" w:hAnsiTheme="minorHAnsi"/>
                <w:szCs w:val="24"/>
              </w:rPr>
            </w:pPr>
            <w:r w:rsidRPr="00F86DC9">
              <w:rPr>
                <w:rFonts w:asciiTheme="minorHAnsi" w:hAnsiTheme="minorHAnsi"/>
                <w:b/>
                <w:bCs/>
                <w:szCs w:val="24"/>
              </w:rPr>
              <w:t>Computer Tomography (CT) Scan</w:t>
            </w:r>
            <w:r w:rsidRPr="00F86DC9">
              <w:rPr>
                <w:rFonts w:asciiTheme="minorHAnsi" w:hAnsiTheme="minorHAnsi"/>
                <w:b/>
                <w:szCs w:val="24"/>
                <w:vertAlign w:val="superscript"/>
              </w:rPr>
              <w:endnoteReference w:id="61"/>
            </w:r>
            <w:r w:rsidRPr="00F86DC9">
              <w:rPr>
                <w:rFonts w:asciiTheme="minorHAnsi" w:hAnsiTheme="minorHAnsi"/>
                <w:b/>
                <w:szCs w:val="24"/>
                <w:vertAlign w:val="superscript"/>
              </w:rPr>
              <w:t>,</w:t>
            </w:r>
            <w:r w:rsidRPr="00F86DC9">
              <w:rPr>
                <w:rStyle w:val="EndnoteReference"/>
                <w:rFonts w:asciiTheme="minorHAnsi" w:hAnsiTheme="minorHAnsi"/>
                <w:b/>
                <w:szCs w:val="24"/>
              </w:rPr>
              <w:endnoteReference w:id="62"/>
            </w:r>
          </w:p>
          <w:p w14:paraId="319796BF" w14:textId="61428BEA" w:rsidR="00DD0091" w:rsidRPr="00BB48CF" w:rsidRDefault="00DD0091">
            <w:pPr>
              <w:rPr>
                <w:rFonts w:asciiTheme="minorHAnsi" w:hAnsiTheme="minorHAnsi"/>
                <w:szCs w:val="24"/>
              </w:rPr>
            </w:pPr>
            <w:r w:rsidRPr="00BB48CF">
              <w:rPr>
                <w:rFonts w:asciiTheme="minorHAnsi" w:hAnsiTheme="minorHAnsi"/>
                <w:bCs/>
                <w:szCs w:val="24"/>
              </w:rPr>
              <w:t xml:space="preserve">Uses radiation (x-rays) to create detailed images of </w:t>
            </w:r>
            <w:r w:rsidR="006315F0" w:rsidRPr="00BB48CF">
              <w:rPr>
                <w:rFonts w:asciiTheme="minorHAnsi" w:hAnsiTheme="minorHAnsi"/>
                <w:bCs/>
                <w:szCs w:val="24"/>
              </w:rPr>
              <w:t>structures</w:t>
            </w:r>
            <w:r w:rsidRPr="00BB48CF">
              <w:rPr>
                <w:rFonts w:asciiTheme="minorHAnsi" w:hAnsiTheme="minorHAnsi"/>
                <w:bCs/>
                <w:szCs w:val="24"/>
              </w:rPr>
              <w:t xml:space="preserve"> inside of the body</w:t>
            </w:r>
            <w:r w:rsidR="006315F0" w:rsidRPr="00BB48CF">
              <w:rPr>
                <w:rFonts w:asciiTheme="minorHAnsi" w:hAnsiTheme="minorHAnsi"/>
                <w:bCs/>
                <w:szCs w:val="24"/>
              </w:rPr>
              <w:t>, including organs, blood vessels, and bones.</w:t>
            </w:r>
            <w:r w:rsidRPr="00BB48CF">
              <w:rPr>
                <w:rFonts w:asciiTheme="minorHAnsi" w:hAnsiTheme="minorHAnsi"/>
                <w:bCs/>
                <w:szCs w:val="24"/>
              </w:rPr>
              <w:t xml:space="preserve"> CT scans, show a slice or cross-section of the body, and therefore provide clearer images of bones, organs, and soft tissues, than an X-ray. CT scans are used to detect cancer and to indicate the shape, size, and location of tumors. Successive CT scans help doctors determine how well </w:t>
            </w:r>
            <w:r w:rsidR="00E10C01">
              <w:rPr>
                <w:rFonts w:asciiTheme="minorHAnsi" w:hAnsiTheme="minorHAnsi"/>
                <w:bCs/>
                <w:szCs w:val="24"/>
              </w:rPr>
              <w:t xml:space="preserve">patients with </w:t>
            </w:r>
            <w:r w:rsidRPr="00BB48CF">
              <w:rPr>
                <w:rFonts w:asciiTheme="minorHAnsi" w:hAnsiTheme="minorHAnsi"/>
                <w:bCs/>
                <w:szCs w:val="24"/>
              </w:rPr>
              <w:t>cancer are responding to treatment.</w:t>
            </w:r>
          </w:p>
        </w:tc>
      </w:tr>
      <w:tr w:rsidR="00BC5BA5" w:rsidRPr="00BB48CF" w14:paraId="61C41CBF" w14:textId="77777777" w:rsidTr="00DD0091">
        <w:tc>
          <w:tcPr>
            <w:tcW w:w="0" w:type="auto"/>
          </w:tcPr>
          <w:p w14:paraId="5111426F" w14:textId="77777777" w:rsidR="00B96832" w:rsidRPr="00BB48CF" w:rsidRDefault="00B96832">
            <w:pPr>
              <w:rPr>
                <w:rFonts w:asciiTheme="minorHAnsi" w:hAnsiTheme="minorHAnsi"/>
                <w:szCs w:val="24"/>
              </w:rPr>
            </w:pPr>
            <w:r w:rsidRPr="00F86DC9">
              <w:rPr>
                <w:rFonts w:asciiTheme="minorHAnsi" w:hAnsiTheme="minorHAnsi"/>
                <w:b/>
                <w:bCs/>
                <w:szCs w:val="24"/>
              </w:rPr>
              <w:t>Magnetic Resonance Imaging (MRI)</w:t>
            </w:r>
            <w:r w:rsidRPr="00BB48CF">
              <w:rPr>
                <w:rFonts w:asciiTheme="minorHAnsi" w:hAnsiTheme="minorHAnsi"/>
                <w:bCs/>
                <w:szCs w:val="24"/>
                <w:vertAlign w:val="superscript"/>
              </w:rPr>
              <w:t xml:space="preserve"> </w:t>
            </w:r>
            <w:r w:rsidRPr="00F86DC9">
              <w:rPr>
                <w:rFonts w:asciiTheme="minorHAnsi" w:hAnsiTheme="minorHAnsi"/>
                <w:b/>
                <w:szCs w:val="24"/>
                <w:vertAlign w:val="superscript"/>
              </w:rPr>
              <w:endnoteReference w:id="63"/>
            </w:r>
          </w:p>
          <w:p w14:paraId="33B9DEE2" w14:textId="50DD3399" w:rsidR="00DD0091" w:rsidRPr="00BB48CF" w:rsidRDefault="00DD0091">
            <w:pPr>
              <w:rPr>
                <w:rFonts w:asciiTheme="minorHAnsi" w:hAnsiTheme="minorHAnsi"/>
                <w:szCs w:val="24"/>
              </w:rPr>
            </w:pPr>
            <w:r w:rsidRPr="00BB48CF">
              <w:rPr>
                <w:rFonts w:asciiTheme="minorHAnsi" w:hAnsiTheme="minorHAnsi"/>
                <w:bCs/>
                <w:szCs w:val="24"/>
              </w:rPr>
              <w:t xml:space="preserve">Uses strong magnets, and not radiation, to create cross-sectional pictures of the inside of the body. MRI scans are used to detect cancer and to determine how significantly a particular cancer may have spread within the body. MRI can help doctors plan cancer treatment </w:t>
            </w:r>
          </w:p>
        </w:tc>
      </w:tr>
      <w:tr w:rsidR="00BC5BA5" w:rsidRPr="00BB48CF" w14:paraId="35A92900" w14:textId="77777777" w:rsidTr="00DD0091">
        <w:tc>
          <w:tcPr>
            <w:tcW w:w="0" w:type="auto"/>
          </w:tcPr>
          <w:p w14:paraId="6FB36115" w14:textId="77777777" w:rsidR="00B96832" w:rsidRPr="00F86DC9" w:rsidRDefault="00B96832">
            <w:pPr>
              <w:rPr>
                <w:rFonts w:asciiTheme="minorHAnsi" w:hAnsiTheme="minorHAnsi"/>
                <w:b/>
                <w:bCs/>
                <w:szCs w:val="24"/>
              </w:rPr>
            </w:pPr>
            <w:r w:rsidRPr="00F86DC9">
              <w:rPr>
                <w:rFonts w:asciiTheme="minorHAnsi" w:hAnsiTheme="minorHAnsi"/>
                <w:b/>
                <w:bCs/>
                <w:szCs w:val="24"/>
              </w:rPr>
              <w:t>Positron emission tomography–computed tomography (PET-CT)</w:t>
            </w:r>
            <w:r w:rsidRPr="00F86DC9">
              <w:rPr>
                <w:rFonts w:asciiTheme="minorHAnsi" w:hAnsiTheme="minorHAnsi"/>
                <w:b/>
                <w:bCs/>
                <w:szCs w:val="24"/>
                <w:vertAlign w:val="superscript"/>
              </w:rPr>
              <w:endnoteReference w:id="64"/>
            </w:r>
            <w:r w:rsidRPr="00F86DC9">
              <w:rPr>
                <w:rFonts w:asciiTheme="minorHAnsi" w:hAnsiTheme="minorHAnsi"/>
                <w:b/>
                <w:bCs/>
                <w:szCs w:val="24"/>
                <w:vertAlign w:val="superscript"/>
              </w:rPr>
              <w:t>,</w:t>
            </w:r>
            <w:r w:rsidRPr="00F86DC9">
              <w:rPr>
                <w:rStyle w:val="EndnoteReference"/>
                <w:rFonts w:asciiTheme="minorHAnsi" w:hAnsiTheme="minorHAnsi"/>
                <w:b/>
                <w:bCs/>
                <w:szCs w:val="24"/>
              </w:rPr>
              <w:endnoteReference w:id="65"/>
            </w:r>
          </w:p>
          <w:p w14:paraId="5D9C77E1" w14:textId="3A732DDE" w:rsidR="00DD0091" w:rsidRPr="00BB48CF" w:rsidRDefault="006315F0">
            <w:pPr>
              <w:rPr>
                <w:rFonts w:asciiTheme="minorHAnsi" w:hAnsiTheme="minorHAnsi"/>
                <w:szCs w:val="24"/>
              </w:rPr>
            </w:pPr>
            <w:r w:rsidRPr="00BB48CF">
              <w:rPr>
                <w:rFonts w:asciiTheme="minorHAnsi" w:hAnsiTheme="minorHAnsi"/>
                <w:szCs w:val="24"/>
              </w:rPr>
              <w:t xml:space="preserve">Combines functionality of PET and CT to locate abnormal metabolic activity and may provide more accurate diagnoses than when the two scans are performed separately. </w:t>
            </w:r>
            <w:r w:rsidR="00DD0091" w:rsidRPr="00BB48CF">
              <w:rPr>
                <w:rFonts w:asciiTheme="minorHAnsi" w:hAnsiTheme="minorHAnsi"/>
                <w:szCs w:val="24"/>
              </w:rPr>
              <w:t>Unlike MRIs or CT scans, which show anatomic detail, PET-CT images biochemical or physiologic irregularities. Therefore, PET-CT offers substantial advantages over anatomic imaging modalities in oncologic imaging and can often distinguish between benign and malignant lesions when CT and MRI cannot.</w:t>
            </w:r>
            <w:r w:rsidRPr="00BB48CF">
              <w:rPr>
                <w:rFonts w:asciiTheme="minorHAnsi" w:hAnsiTheme="minorHAnsi"/>
                <w:szCs w:val="24"/>
              </w:rPr>
              <w:t xml:space="preserve"> </w:t>
            </w:r>
          </w:p>
        </w:tc>
      </w:tr>
      <w:tr w:rsidR="00BC5BA5" w:rsidRPr="00BB48CF" w14:paraId="36399D8B" w14:textId="77777777" w:rsidTr="00DD0091">
        <w:tc>
          <w:tcPr>
            <w:tcW w:w="0" w:type="auto"/>
          </w:tcPr>
          <w:p w14:paraId="63593AB4" w14:textId="77777777" w:rsidR="00B96832" w:rsidRPr="00F86DC9" w:rsidRDefault="00B96832">
            <w:pPr>
              <w:rPr>
                <w:rFonts w:asciiTheme="minorHAnsi" w:hAnsiTheme="minorHAnsi"/>
                <w:b/>
                <w:bCs/>
                <w:szCs w:val="24"/>
              </w:rPr>
            </w:pPr>
            <w:r w:rsidRPr="00F86DC9">
              <w:rPr>
                <w:rFonts w:asciiTheme="minorHAnsi" w:hAnsiTheme="minorHAnsi"/>
                <w:b/>
                <w:bCs/>
                <w:szCs w:val="24"/>
              </w:rPr>
              <w:t>CT simulator</w:t>
            </w:r>
            <w:r w:rsidRPr="00F86DC9">
              <w:rPr>
                <w:rFonts w:asciiTheme="minorHAnsi" w:hAnsiTheme="minorHAnsi"/>
                <w:b/>
                <w:bCs/>
                <w:szCs w:val="24"/>
                <w:vertAlign w:val="superscript"/>
              </w:rPr>
              <w:endnoteReference w:id="66"/>
            </w:r>
            <w:r w:rsidRPr="00F86DC9">
              <w:rPr>
                <w:rFonts w:asciiTheme="minorHAnsi" w:hAnsiTheme="minorHAnsi"/>
                <w:b/>
                <w:bCs/>
                <w:szCs w:val="24"/>
                <w:vertAlign w:val="superscript"/>
              </w:rPr>
              <w:t>,</w:t>
            </w:r>
            <w:r w:rsidRPr="00F86DC9">
              <w:rPr>
                <w:rStyle w:val="EndnoteReference"/>
                <w:rFonts w:asciiTheme="minorHAnsi" w:hAnsiTheme="minorHAnsi"/>
                <w:b/>
                <w:bCs/>
                <w:szCs w:val="24"/>
              </w:rPr>
              <w:endnoteReference w:id="67"/>
            </w:r>
          </w:p>
          <w:p w14:paraId="649D5E02" w14:textId="05B3F20B" w:rsidR="00DD0091" w:rsidRPr="00BB48CF" w:rsidRDefault="00073425">
            <w:pPr>
              <w:rPr>
                <w:rFonts w:asciiTheme="minorHAnsi" w:hAnsiTheme="minorHAnsi"/>
                <w:szCs w:val="24"/>
              </w:rPr>
            </w:pPr>
            <w:r w:rsidRPr="00BB48CF">
              <w:rPr>
                <w:rFonts w:asciiTheme="minorHAnsi" w:hAnsiTheme="minorHAnsi"/>
                <w:bCs/>
                <w:szCs w:val="24"/>
              </w:rPr>
              <w:t>A CT simulation procedure is performed before radiation therapy treatment to determine the size, location and shape of a tumor which allows doctors to create custom treatment plan</w:t>
            </w:r>
            <w:r w:rsidR="00146C89">
              <w:rPr>
                <w:rFonts w:asciiTheme="minorHAnsi" w:hAnsiTheme="minorHAnsi"/>
                <w:bCs/>
                <w:szCs w:val="24"/>
              </w:rPr>
              <w:t>s</w:t>
            </w:r>
            <w:r w:rsidRPr="00BB48CF">
              <w:rPr>
                <w:rFonts w:asciiTheme="minorHAnsi" w:hAnsiTheme="minorHAnsi"/>
                <w:bCs/>
                <w:szCs w:val="24"/>
              </w:rPr>
              <w:t xml:space="preserve"> for patients. CT simulator is a CT scanner equipped to take images of the tumor to help that process. </w:t>
            </w:r>
            <w:r w:rsidR="00DD0091" w:rsidRPr="00BB48CF">
              <w:rPr>
                <w:rFonts w:asciiTheme="minorHAnsi" w:hAnsiTheme="minorHAnsi"/>
                <w:bCs/>
                <w:szCs w:val="24"/>
              </w:rPr>
              <w:t>CT simulator machines are equipped with much of the same technology as a CT machine, but they also include multi-image display and treatment planning technology that allow doctors to create custom treatment plans for patients and are also used to investigate causes of symptoms, complications of the disease, and its treatment.</w:t>
            </w:r>
            <w:r w:rsidR="006315F0" w:rsidRPr="00BB48CF">
              <w:rPr>
                <w:rFonts w:asciiTheme="minorHAnsi" w:hAnsiTheme="minorHAnsi"/>
                <w:bCs/>
                <w:szCs w:val="24"/>
              </w:rPr>
              <w:t xml:space="preserve"> </w:t>
            </w:r>
          </w:p>
        </w:tc>
      </w:tr>
      <w:tr w:rsidR="00BC5BA5" w:rsidRPr="00BB48CF" w14:paraId="25A05773" w14:textId="77777777" w:rsidTr="00DD0091">
        <w:tc>
          <w:tcPr>
            <w:tcW w:w="0" w:type="auto"/>
          </w:tcPr>
          <w:p w14:paraId="6F3FE137" w14:textId="77777777" w:rsidR="00B96832" w:rsidRPr="00F86DC9" w:rsidRDefault="00B96832">
            <w:pPr>
              <w:rPr>
                <w:rFonts w:asciiTheme="minorHAnsi" w:hAnsiTheme="minorHAnsi"/>
                <w:b/>
                <w:bCs/>
                <w:szCs w:val="24"/>
              </w:rPr>
            </w:pPr>
            <w:bookmarkStart w:id="41" w:name="Attachment_1:_Required_Measures_for_Annu"/>
            <w:bookmarkEnd w:id="41"/>
            <w:r w:rsidRPr="00F86DC9">
              <w:rPr>
                <w:rFonts w:asciiTheme="minorHAnsi" w:hAnsiTheme="minorHAnsi"/>
                <w:b/>
                <w:bCs/>
                <w:szCs w:val="24"/>
              </w:rPr>
              <w:t>Linear Accelerator (LINAC)</w:t>
            </w:r>
            <w:r w:rsidRPr="00F86DC9">
              <w:rPr>
                <w:rFonts w:asciiTheme="minorHAnsi" w:hAnsiTheme="minorHAnsi"/>
                <w:b/>
                <w:bCs/>
                <w:szCs w:val="24"/>
                <w:vertAlign w:val="superscript"/>
              </w:rPr>
              <w:t xml:space="preserve"> </w:t>
            </w:r>
            <w:r w:rsidRPr="00F86DC9">
              <w:rPr>
                <w:rFonts w:asciiTheme="minorHAnsi" w:hAnsiTheme="minorHAnsi"/>
                <w:b/>
                <w:bCs/>
                <w:szCs w:val="24"/>
                <w:vertAlign w:val="superscript"/>
              </w:rPr>
              <w:endnoteReference w:id="68"/>
            </w:r>
            <w:r w:rsidRPr="00F86DC9">
              <w:rPr>
                <w:rFonts w:asciiTheme="minorHAnsi" w:hAnsiTheme="minorHAnsi"/>
                <w:b/>
                <w:bCs/>
                <w:szCs w:val="24"/>
                <w:vertAlign w:val="superscript"/>
              </w:rPr>
              <w:t>,</w:t>
            </w:r>
            <w:r w:rsidRPr="00F86DC9">
              <w:rPr>
                <w:rStyle w:val="EndnoteReference"/>
                <w:rFonts w:asciiTheme="minorHAnsi" w:hAnsiTheme="minorHAnsi"/>
                <w:b/>
                <w:bCs/>
                <w:szCs w:val="24"/>
              </w:rPr>
              <w:endnoteReference w:id="69"/>
            </w:r>
            <w:r w:rsidRPr="00F86DC9">
              <w:rPr>
                <w:rFonts w:asciiTheme="minorHAnsi" w:hAnsiTheme="minorHAnsi"/>
                <w:b/>
                <w:bCs/>
                <w:szCs w:val="24"/>
                <w:vertAlign w:val="superscript"/>
              </w:rPr>
              <w:t>,</w:t>
            </w:r>
            <w:r w:rsidRPr="00F86DC9">
              <w:rPr>
                <w:rStyle w:val="EndnoteReference"/>
                <w:rFonts w:asciiTheme="minorHAnsi" w:hAnsiTheme="minorHAnsi"/>
                <w:b/>
                <w:bCs/>
                <w:szCs w:val="24"/>
              </w:rPr>
              <w:endnoteReference w:id="70"/>
            </w:r>
          </w:p>
          <w:p w14:paraId="2A6407B0" w14:textId="79AFFB12" w:rsidR="00DD0091" w:rsidRPr="00BB48CF" w:rsidRDefault="00DD0091">
            <w:pPr>
              <w:rPr>
                <w:rFonts w:asciiTheme="minorHAnsi" w:hAnsiTheme="minorHAnsi"/>
                <w:szCs w:val="24"/>
              </w:rPr>
            </w:pPr>
            <w:r w:rsidRPr="00BB48CF">
              <w:rPr>
                <w:rFonts w:asciiTheme="minorHAnsi" w:hAnsiTheme="minorHAnsi"/>
                <w:szCs w:val="24"/>
              </w:rPr>
              <w:t xml:space="preserve">LINACs are machines used to deliver external beam radiation treatments to </w:t>
            </w:r>
            <w:r w:rsidR="00E10C01">
              <w:rPr>
                <w:rFonts w:asciiTheme="minorHAnsi" w:hAnsiTheme="minorHAnsi"/>
                <w:szCs w:val="24"/>
              </w:rPr>
              <w:t xml:space="preserve">patients with </w:t>
            </w:r>
            <w:r w:rsidRPr="00BB48CF">
              <w:rPr>
                <w:rFonts w:asciiTheme="minorHAnsi" w:hAnsiTheme="minorHAnsi"/>
                <w:szCs w:val="24"/>
              </w:rPr>
              <w:t>cancer to treat malignant tumors</w:t>
            </w:r>
            <w:r w:rsidR="007951E6" w:rsidRPr="00BB48CF">
              <w:rPr>
                <w:rFonts w:asciiTheme="minorHAnsi" w:hAnsiTheme="minorHAnsi"/>
                <w:szCs w:val="24"/>
              </w:rPr>
              <w:t xml:space="preserve"> </w:t>
            </w:r>
            <w:r w:rsidRPr="00BB48CF">
              <w:rPr>
                <w:rFonts w:asciiTheme="minorHAnsi" w:hAnsiTheme="minorHAnsi"/>
                <w:szCs w:val="24"/>
              </w:rPr>
              <w:t>in a targeted fashion through the delivery of high doses of x-rays or electrons.</w:t>
            </w:r>
            <w:r w:rsidR="007951E6" w:rsidRPr="00BB48CF">
              <w:rPr>
                <w:rFonts w:asciiTheme="minorHAnsi" w:hAnsiTheme="minorHAnsi"/>
                <w:szCs w:val="24"/>
              </w:rPr>
              <w:t xml:space="preserve"> </w:t>
            </w:r>
            <w:r w:rsidR="00BC5BA5" w:rsidRPr="00BB48CF">
              <w:rPr>
                <w:rFonts w:asciiTheme="minorHAnsi" w:hAnsiTheme="minorHAnsi"/>
                <w:szCs w:val="24"/>
              </w:rPr>
              <w:t xml:space="preserve">The machine focuses the radiation beam to the exact location to conform to a tumor’s shape and destroy cancer cells while minimizing the impact on normal tissue. </w:t>
            </w:r>
            <w:r w:rsidR="007951E6" w:rsidRPr="00BB48CF">
              <w:rPr>
                <w:rFonts w:asciiTheme="minorHAnsi" w:hAnsiTheme="minorHAnsi"/>
                <w:szCs w:val="24"/>
              </w:rPr>
              <w:t xml:space="preserve">External beam radiation is the most common type of radiation therapy used for cancer treatment. </w:t>
            </w:r>
          </w:p>
        </w:tc>
      </w:tr>
    </w:tbl>
    <w:p w14:paraId="270129A3" w14:textId="5DD0CE36" w:rsidR="00F47396" w:rsidRDefault="00F47396">
      <w:pPr>
        <w:rPr>
          <w:rFonts w:asciiTheme="minorHAnsi" w:hAnsiTheme="minorHAnsi"/>
          <w:b/>
          <w:bCs/>
          <w:color w:val="1F497D" w:themeColor="text2"/>
          <w:sz w:val="28"/>
          <w:szCs w:val="28"/>
        </w:rPr>
      </w:pPr>
    </w:p>
    <w:p w14:paraId="19C311A0" w14:textId="77777777" w:rsidR="00C84E81" w:rsidRDefault="00C84E81" w:rsidP="008031A2">
      <w:pPr>
        <w:pStyle w:val="Heading1"/>
        <w:ind w:left="0"/>
        <w:rPr>
          <w:color w:val="1F497D" w:themeColor="text2"/>
        </w:rPr>
      </w:pPr>
    </w:p>
    <w:p w14:paraId="54EB825A" w14:textId="77777777" w:rsidR="00C84E81" w:rsidRDefault="00C84E81" w:rsidP="008031A2">
      <w:pPr>
        <w:pStyle w:val="Heading1"/>
        <w:ind w:left="0"/>
        <w:rPr>
          <w:color w:val="1F497D" w:themeColor="text2"/>
        </w:rPr>
      </w:pPr>
    </w:p>
    <w:p w14:paraId="3B87EDDB" w14:textId="77777777" w:rsidR="00CA223C" w:rsidRDefault="00CA223C" w:rsidP="008031A2">
      <w:pPr>
        <w:pStyle w:val="Heading1"/>
        <w:ind w:left="0"/>
        <w:rPr>
          <w:color w:val="1F497D" w:themeColor="text2"/>
        </w:rPr>
      </w:pPr>
    </w:p>
    <w:p w14:paraId="2A7A093D" w14:textId="77777777" w:rsidR="00CA223C" w:rsidRDefault="00CA223C" w:rsidP="008031A2">
      <w:pPr>
        <w:pStyle w:val="Heading1"/>
        <w:ind w:left="0"/>
        <w:rPr>
          <w:color w:val="1F497D" w:themeColor="text2"/>
        </w:rPr>
      </w:pPr>
    </w:p>
    <w:p w14:paraId="5F428806" w14:textId="77777777" w:rsidR="00CA223C" w:rsidRDefault="00CA223C" w:rsidP="008031A2">
      <w:pPr>
        <w:pStyle w:val="Heading1"/>
        <w:ind w:left="0"/>
        <w:rPr>
          <w:color w:val="1F497D" w:themeColor="text2"/>
        </w:rPr>
      </w:pPr>
    </w:p>
    <w:p w14:paraId="5DC91B9D" w14:textId="77777777" w:rsidR="00CA223C" w:rsidRDefault="00CA223C" w:rsidP="008031A2">
      <w:pPr>
        <w:pStyle w:val="Heading1"/>
        <w:ind w:left="0"/>
        <w:rPr>
          <w:color w:val="1F497D" w:themeColor="text2"/>
        </w:rPr>
      </w:pPr>
    </w:p>
    <w:p w14:paraId="1F7A4A8A" w14:textId="77777777" w:rsidR="00CA223C" w:rsidRDefault="00CA223C" w:rsidP="008031A2">
      <w:pPr>
        <w:pStyle w:val="Heading1"/>
        <w:ind w:left="0"/>
        <w:rPr>
          <w:color w:val="1F497D" w:themeColor="text2"/>
        </w:rPr>
      </w:pPr>
    </w:p>
    <w:p w14:paraId="65CFAFA6" w14:textId="77777777" w:rsidR="00C84E81" w:rsidRDefault="00C84E81" w:rsidP="008031A2">
      <w:pPr>
        <w:pStyle w:val="Heading1"/>
        <w:ind w:left="0"/>
        <w:rPr>
          <w:color w:val="1F497D" w:themeColor="text2"/>
        </w:rPr>
      </w:pPr>
    </w:p>
    <w:p w14:paraId="08ACDF15" w14:textId="6C37C682" w:rsidR="00CA62C7" w:rsidRPr="008031A2" w:rsidRDefault="00E81F1F" w:rsidP="008031A2">
      <w:pPr>
        <w:pStyle w:val="Heading1"/>
        <w:ind w:left="0"/>
        <w:rPr>
          <w:color w:val="1F497D" w:themeColor="text2"/>
        </w:rPr>
      </w:pPr>
      <w:bookmarkStart w:id="42" w:name="_Toc190780601"/>
      <w:r w:rsidRPr="008031A2">
        <w:rPr>
          <w:color w:val="1F497D" w:themeColor="text2"/>
        </w:rPr>
        <w:lastRenderedPageBreak/>
        <w:t xml:space="preserve">Appendix </w:t>
      </w:r>
      <w:r w:rsidR="003851C1">
        <w:rPr>
          <w:color w:val="1F497D" w:themeColor="text2"/>
        </w:rPr>
        <w:t>I</w:t>
      </w:r>
      <w:r w:rsidRPr="008031A2">
        <w:rPr>
          <w:color w:val="1F497D" w:themeColor="text2"/>
        </w:rPr>
        <w:t>V</w:t>
      </w:r>
      <w:r w:rsidR="00EB7426" w:rsidRPr="008031A2">
        <w:rPr>
          <w:color w:val="1F497D" w:themeColor="text2"/>
        </w:rPr>
        <w:t>: Speakers at the Public Hearing</w:t>
      </w:r>
      <w:bookmarkEnd w:id="42"/>
    </w:p>
    <w:p w14:paraId="006890C9" w14:textId="77777777" w:rsidR="00761D5B" w:rsidRDefault="00761D5B">
      <w:pPr>
        <w:rPr>
          <w:rFonts w:asciiTheme="minorHAnsi" w:hAnsiTheme="minorHAnsi"/>
          <w:b/>
          <w:bCs/>
          <w:color w:val="1F497D" w:themeColor="text2"/>
          <w:sz w:val="28"/>
          <w:szCs w:val="28"/>
        </w:rPr>
      </w:pPr>
    </w:p>
    <w:tbl>
      <w:tblPr>
        <w:tblStyle w:val="TableGrid"/>
        <w:tblW w:w="0" w:type="auto"/>
        <w:tblLook w:val="04A0" w:firstRow="1" w:lastRow="0" w:firstColumn="1" w:lastColumn="0" w:noHBand="0" w:noVBand="1"/>
      </w:tblPr>
      <w:tblGrid>
        <w:gridCol w:w="2886"/>
        <w:gridCol w:w="6924"/>
      </w:tblGrid>
      <w:tr w:rsidR="00761D5B" w:rsidRPr="000E67FA" w14:paraId="3DF75275" w14:textId="77777777" w:rsidTr="005066DC">
        <w:trPr>
          <w:cantSplit/>
          <w:tblHeader/>
        </w:trPr>
        <w:tc>
          <w:tcPr>
            <w:tcW w:w="0" w:type="auto"/>
            <w:shd w:val="clear" w:color="auto" w:fill="DBE5F1" w:themeFill="accent1" w:themeFillTint="33"/>
          </w:tcPr>
          <w:p w14:paraId="4A7D5F2B" w14:textId="77777777" w:rsidR="00761D5B" w:rsidRPr="000E67FA" w:rsidRDefault="00761D5B">
            <w:pPr>
              <w:jc w:val="center"/>
              <w:rPr>
                <w:b/>
                <w:bCs/>
              </w:rPr>
            </w:pPr>
            <w:r w:rsidRPr="000E67FA">
              <w:rPr>
                <w:b/>
                <w:bCs/>
              </w:rPr>
              <w:t>Name</w:t>
            </w:r>
          </w:p>
        </w:tc>
        <w:tc>
          <w:tcPr>
            <w:tcW w:w="0" w:type="auto"/>
            <w:shd w:val="clear" w:color="auto" w:fill="DBE5F1" w:themeFill="accent1" w:themeFillTint="33"/>
          </w:tcPr>
          <w:p w14:paraId="46B8E35D" w14:textId="77777777" w:rsidR="00761D5B" w:rsidRPr="000E67FA" w:rsidRDefault="00761D5B">
            <w:pPr>
              <w:jc w:val="center"/>
              <w:rPr>
                <w:b/>
                <w:bCs/>
              </w:rPr>
            </w:pPr>
            <w:r w:rsidRPr="000E67FA">
              <w:rPr>
                <w:b/>
                <w:bCs/>
              </w:rPr>
              <w:t>Affiliation</w:t>
            </w:r>
          </w:p>
        </w:tc>
      </w:tr>
      <w:tr w:rsidR="00761D5B" w14:paraId="1DE4FCA2" w14:textId="77777777" w:rsidTr="005066DC">
        <w:trPr>
          <w:cantSplit/>
        </w:trPr>
        <w:tc>
          <w:tcPr>
            <w:tcW w:w="0" w:type="auto"/>
          </w:tcPr>
          <w:p w14:paraId="0B510EFD" w14:textId="1C5F3435" w:rsidR="00761D5B" w:rsidRDefault="00761D5B">
            <w:r>
              <w:t>Laurie Glimcher, MD</w:t>
            </w:r>
          </w:p>
        </w:tc>
        <w:tc>
          <w:tcPr>
            <w:tcW w:w="0" w:type="auto"/>
          </w:tcPr>
          <w:p w14:paraId="2A8A7CDD" w14:textId="2A34C1BF" w:rsidR="00761D5B" w:rsidRDefault="00761D5B">
            <w:r>
              <w:t>President and CEO</w:t>
            </w:r>
            <w:r w:rsidR="00C30EB6">
              <w:t xml:space="preserve"> Emerita (2016-2024)</w:t>
            </w:r>
            <w:r>
              <w:t xml:space="preserve">, Dana-Farber Cancer Institute </w:t>
            </w:r>
          </w:p>
        </w:tc>
      </w:tr>
      <w:tr w:rsidR="00761D5B" w14:paraId="0B38156B" w14:textId="77777777" w:rsidTr="005066DC">
        <w:trPr>
          <w:cantSplit/>
        </w:trPr>
        <w:tc>
          <w:tcPr>
            <w:tcW w:w="0" w:type="auto"/>
          </w:tcPr>
          <w:p w14:paraId="736FFC05" w14:textId="02B5A7E8" w:rsidR="00761D5B" w:rsidRDefault="00761D5B">
            <w:r>
              <w:t>Ann-Margaret Ferrante</w:t>
            </w:r>
          </w:p>
        </w:tc>
        <w:tc>
          <w:tcPr>
            <w:tcW w:w="0" w:type="auto"/>
          </w:tcPr>
          <w:p w14:paraId="2A244BCC" w14:textId="49B1310A" w:rsidR="00761D5B" w:rsidRDefault="00227640">
            <w:r w:rsidRPr="00227640">
              <w:t>Massachusetts State Representative</w:t>
            </w:r>
            <w:r w:rsidR="00875A73">
              <w:t xml:space="preserve">, </w:t>
            </w:r>
            <w:r w:rsidR="00761D5B">
              <w:t>5</w:t>
            </w:r>
            <w:r w:rsidR="00761D5B" w:rsidRPr="006909E0">
              <w:rPr>
                <w:vertAlign w:val="superscript"/>
              </w:rPr>
              <w:t>th</w:t>
            </w:r>
            <w:r w:rsidR="00761D5B">
              <w:t xml:space="preserve"> </w:t>
            </w:r>
            <w:r w:rsidR="00B97926">
              <w:t>Essex</w:t>
            </w:r>
            <w:r w:rsidR="007829C3">
              <w:t xml:space="preserve"> District </w:t>
            </w:r>
          </w:p>
          <w:p w14:paraId="288484B2" w14:textId="77777777" w:rsidR="00D07559" w:rsidRDefault="00B97926">
            <w:r w:rsidRPr="00B97926">
              <w:t xml:space="preserve">Vice Chair, House Committee on Ways and Means </w:t>
            </w:r>
          </w:p>
          <w:p w14:paraId="41D1084C" w14:textId="189F0B63" w:rsidR="00761D5B" w:rsidRDefault="00761D5B">
            <w:r>
              <w:t xml:space="preserve">Dana-Farber Cancer Institute </w:t>
            </w:r>
            <w:r w:rsidR="009E331B">
              <w:t xml:space="preserve">Patient </w:t>
            </w:r>
          </w:p>
        </w:tc>
      </w:tr>
      <w:tr w:rsidR="00761D5B" w14:paraId="05A82920" w14:textId="77777777" w:rsidTr="005066DC">
        <w:trPr>
          <w:cantSplit/>
        </w:trPr>
        <w:tc>
          <w:tcPr>
            <w:tcW w:w="0" w:type="auto"/>
          </w:tcPr>
          <w:p w14:paraId="19805691" w14:textId="3450E7C0" w:rsidR="00761D5B" w:rsidRDefault="00761D5B">
            <w:r>
              <w:t>Chynah Tyler</w:t>
            </w:r>
          </w:p>
        </w:tc>
        <w:tc>
          <w:tcPr>
            <w:tcW w:w="0" w:type="auto"/>
          </w:tcPr>
          <w:p w14:paraId="6B85C374" w14:textId="171FBC30" w:rsidR="00761D5B" w:rsidRDefault="00227640">
            <w:r w:rsidRPr="00227640">
              <w:t>Massachusetts State Representative</w:t>
            </w:r>
            <w:r w:rsidR="00875A73">
              <w:t xml:space="preserve">, </w:t>
            </w:r>
            <w:r w:rsidR="00761D5B">
              <w:t>7</w:t>
            </w:r>
            <w:r w:rsidR="00761D5B" w:rsidRPr="006909E0">
              <w:rPr>
                <w:vertAlign w:val="superscript"/>
              </w:rPr>
              <w:t>th</w:t>
            </w:r>
            <w:r w:rsidR="00761D5B">
              <w:t xml:space="preserve"> Suffolk</w:t>
            </w:r>
            <w:r w:rsidR="00CD53DD">
              <w:t xml:space="preserve"> District</w:t>
            </w:r>
          </w:p>
        </w:tc>
      </w:tr>
      <w:tr w:rsidR="00761D5B" w14:paraId="281D04C3" w14:textId="77777777" w:rsidTr="005066DC">
        <w:trPr>
          <w:cantSplit/>
        </w:trPr>
        <w:tc>
          <w:tcPr>
            <w:tcW w:w="0" w:type="auto"/>
          </w:tcPr>
          <w:p w14:paraId="5E2AE541" w14:textId="72CF4A64" w:rsidR="00761D5B" w:rsidRDefault="00761D5B">
            <w:r>
              <w:t>Frank A. Moran</w:t>
            </w:r>
          </w:p>
        </w:tc>
        <w:tc>
          <w:tcPr>
            <w:tcW w:w="0" w:type="auto"/>
          </w:tcPr>
          <w:p w14:paraId="2EA9DC76" w14:textId="7FD98EA7" w:rsidR="00761D5B" w:rsidRDefault="00227640">
            <w:r w:rsidRPr="00227640">
              <w:t>Massachusetts State Representative</w:t>
            </w:r>
            <w:r w:rsidR="00875A73">
              <w:t xml:space="preserve">, </w:t>
            </w:r>
            <w:r w:rsidR="00761D5B">
              <w:t>17</w:t>
            </w:r>
            <w:r w:rsidR="00761D5B" w:rsidRPr="006909E0">
              <w:rPr>
                <w:vertAlign w:val="superscript"/>
              </w:rPr>
              <w:t>th</w:t>
            </w:r>
            <w:r w:rsidR="00761D5B">
              <w:t xml:space="preserve"> Essex</w:t>
            </w:r>
            <w:r w:rsidR="007829C3">
              <w:t xml:space="preserve"> District</w:t>
            </w:r>
          </w:p>
          <w:p w14:paraId="457B5948" w14:textId="0F7177C4" w:rsidR="00761D5B" w:rsidRDefault="00761D5B">
            <w:r>
              <w:t xml:space="preserve">Dana-Farber Cancer Institute </w:t>
            </w:r>
            <w:r w:rsidR="0061417A">
              <w:t xml:space="preserve">Patient </w:t>
            </w:r>
          </w:p>
        </w:tc>
      </w:tr>
      <w:tr w:rsidR="00761D5B" w14:paraId="069F9953" w14:textId="77777777" w:rsidTr="005066DC">
        <w:trPr>
          <w:cantSplit/>
        </w:trPr>
        <w:tc>
          <w:tcPr>
            <w:tcW w:w="0" w:type="auto"/>
          </w:tcPr>
          <w:p w14:paraId="753F8090" w14:textId="725E9C0F" w:rsidR="00761D5B" w:rsidRDefault="00761D5B">
            <w:r>
              <w:t xml:space="preserve">William </w:t>
            </w:r>
            <w:r w:rsidR="002D7556">
              <w:t xml:space="preserve">C. </w:t>
            </w:r>
            <w:r>
              <w:t>Hahn, MD, PhD</w:t>
            </w:r>
          </w:p>
        </w:tc>
        <w:tc>
          <w:tcPr>
            <w:tcW w:w="0" w:type="auto"/>
          </w:tcPr>
          <w:p w14:paraId="2034048F" w14:textId="77777777" w:rsidR="00761D5B" w:rsidRDefault="00761D5B">
            <w:r>
              <w:t xml:space="preserve">Chief Operating Officer, </w:t>
            </w:r>
            <w:r w:rsidRPr="00D83064">
              <w:t>Dana-Farber Cancer Institute</w:t>
            </w:r>
          </w:p>
        </w:tc>
      </w:tr>
      <w:tr w:rsidR="00761D5B" w14:paraId="22B0EE0D" w14:textId="77777777" w:rsidTr="005066DC">
        <w:trPr>
          <w:cantSplit/>
        </w:trPr>
        <w:tc>
          <w:tcPr>
            <w:tcW w:w="0" w:type="auto"/>
          </w:tcPr>
          <w:p w14:paraId="33C9C18C" w14:textId="77777777" w:rsidR="00761D5B" w:rsidRDefault="00761D5B">
            <w:r>
              <w:t>Doug Fox</w:t>
            </w:r>
          </w:p>
          <w:p w14:paraId="5E12DAC5" w14:textId="77777777" w:rsidR="00761D5B" w:rsidRDefault="00761D5B"/>
        </w:tc>
        <w:tc>
          <w:tcPr>
            <w:tcW w:w="0" w:type="auto"/>
          </w:tcPr>
          <w:p w14:paraId="145F9947" w14:textId="32532C74" w:rsidR="00761D5B" w:rsidRDefault="00761D5B">
            <w:r>
              <w:t>Resident</w:t>
            </w:r>
            <w:r w:rsidR="00937188">
              <w:t xml:space="preserve"> of </w:t>
            </w:r>
            <w:r>
              <w:t>Needham</w:t>
            </w:r>
            <w:r w:rsidR="00937188">
              <w:t>,</w:t>
            </w:r>
            <w:r>
              <w:t xml:space="preserve"> MA</w:t>
            </w:r>
          </w:p>
          <w:p w14:paraId="3287E6E0" w14:textId="59A42ABB" w:rsidR="00761D5B" w:rsidRDefault="00761D5B">
            <w:r>
              <w:t xml:space="preserve">Cancer Survivor, </w:t>
            </w:r>
            <w:r w:rsidRPr="00D83064">
              <w:t>Dana-Farber Cancer Institute</w:t>
            </w:r>
            <w:r>
              <w:t xml:space="preserve"> </w:t>
            </w:r>
            <w:r w:rsidR="0026709C">
              <w:t>P</w:t>
            </w:r>
            <w:r>
              <w:t xml:space="preserve">atient </w:t>
            </w:r>
          </w:p>
        </w:tc>
      </w:tr>
      <w:tr w:rsidR="00761D5B" w14:paraId="0417379B" w14:textId="77777777" w:rsidTr="005066DC">
        <w:trPr>
          <w:cantSplit/>
        </w:trPr>
        <w:tc>
          <w:tcPr>
            <w:tcW w:w="0" w:type="auto"/>
          </w:tcPr>
          <w:p w14:paraId="573F6376" w14:textId="3699F632" w:rsidR="00761D5B" w:rsidRDefault="00761D5B">
            <w:r>
              <w:t xml:space="preserve">Magnolia Contreras, </w:t>
            </w:r>
            <w:r w:rsidRPr="00A24DC7">
              <w:t>MSW, MBA</w:t>
            </w:r>
          </w:p>
        </w:tc>
        <w:tc>
          <w:tcPr>
            <w:tcW w:w="0" w:type="auto"/>
          </w:tcPr>
          <w:p w14:paraId="35D78B9F" w14:textId="77777777" w:rsidR="00761D5B" w:rsidRDefault="00761D5B">
            <w:r>
              <w:t xml:space="preserve">Vice-President of Community Health, </w:t>
            </w:r>
            <w:r w:rsidRPr="00D83064">
              <w:t>Dana-Farber Cancer Institute</w:t>
            </w:r>
          </w:p>
          <w:p w14:paraId="29141FDD" w14:textId="77777777" w:rsidR="00761D5B" w:rsidRDefault="00761D5B">
            <w:r>
              <w:t xml:space="preserve">Breast Cancer Survivor </w:t>
            </w:r>
          </w:p>
        </w:tc>
      </w:tr>
      <w:tr w:rsidR="00761D5B" w14:paraId="10F2871D" w14:textId="77777777" w:rsidTr="005066DC">
        <w:trPr>
          <w:cantSplit/>
        </w:trPr>
        <w:tc>
          <w:tcPr>
            <w:tcW w:w="0" w:type="auto"/>
          </w:tcPr>
          <w:p w14:paraId="312FA9B2" w14:textId="48B3E826" w:rsidR="00761D5B" w:rsidRDefault="00761D5B">
            <w:r>
              <w:t xml:space="preserve">Joseph </w:t>
            </w:r>
            <w:r w:rsidR="00B92906">
              <w:t xml:space="preserve">D. </w:t>
            </w:r>
            <w:r>
              <w:t>Feaster</w:t>
            </w:r>
            <w:r w:rsidR="00B92906">
              <w:t xml:space="preserve"> Jr., Esq</w:t>
            </w:r>
            <w:r w:rsidR="006B4FBB">
              <w:t>.</w:t>
            </w:r>
            <w:r w:rsidR="00E26E9B">
              <w:t>det</w:t>
            </w:r>
          </w:p>
        </w:tc>
        <w:tc>
          <w:tcPr>
            <w:tcW w:w="0" w:type="auto"/>
          </w:tcPr>
          <w:p w14:paraId="0C8DE97C" w14:textId="77777777" w:rsidR="00761D5B" w:rsidRDefault="00761D5B">
            <w:r>
              <w:t>Former Chairman of the Board of Urban League of Eastern MA</w:t>
            </w:r>
          </w:p>
          <w:p w14:paraId="585638E4" w14:textId="35DA7119" w:rsidR="0088449F" w:rsidRDefault="0088449F">
            <w:r>
              <w:t>Resident of Stoughton, MA</w:t>
            </w:r>
          </w:p>
          <w:p w14:paraId="3B42E907" w14:textId="77777777" w:rsidR="00761D5B" w:rsidRDefault="00761D5B">
            <w:r>
              <w:t xml:space="preserve">Cancer Survivor </w:t>
            </w:r>
          </w:p>
        </w:tc>
      </w:tr>
      <w:tr w:rsidR="00761D5B" w14:paraId="435B59D4" w14:textId="77777777" w:rsidTr="005066DC">
        <w:trPr>
          <w:cantSplit/>
        </w:trPr>
        <w:tc>
          <w:tcPr>
            <w:tcW w:w="0" w:type="auto"/>
          </w:tcPr>
          <w:p w14:paraId="0F9BC30E" w14:textId="77777777" w:rsidR="00761D5B" w:rsidRDefault="00761D5B">
            <w:r>
              <w:t>Barry Nelson</w:t>
            </w:r>
          </w:p>
          <w:p w14:paraId="6596A8F4" w14:textId="77777777" w:rsidR="00761D5B" w:rsidRDefault="00761D5B"/>
        </w:tc>
        <w:tc>
          <w:tcPr>
            <w:tcW w:w="0" w:type="auto"/>
          </w:tcPr>
          <w:p w14:paraId="5FDC93AC" w14:textId="6C98E043" w:rsidR="00761D5B" w:rsidRDefault="00937188">
            <w:r>
              <w:t>Resident of Boston, MA</w:t>
            </w:r>
          </w:p>
          <w:p w14:paraId="2C1A1111" w14:textId="77777777" w:rsidR="00761D5B" w:rsidRDefault="00761D5B">
            <w:r>
              <w:t>Lung Cancer Survivor</w:t>
            </w:r>
          </w:p>
          <w:p w14:paraId="7F0D7C02" w14:textId="77777777" w:rsidR="00761D5B" w:rsidRDefault="00761D5B">
            <w:r w:rsidRPr="00D83064">
              <w:t>Dana-Farber Cancer Institute</w:t>
            </w:r>
            <w:r>
              <w:t xml:space="preserve"> Patient </w:t>
            </w:r>
          </w:p>
        </w:tc>
      </w:tr>
      <w:tr w:rsidR="00761D5B" w14:paraId="61055C3F" w14:textId="77777777" w:rsidTr="005066DC">
        <w:trPr>
          <w:cantSplit/>
        </w:trPr>
        <w:tc>
          <w:tcPr>
            <w:tcW w:w="0" w:type="auto"/>
          </w:tcPr>
          <w:p w14:paraId="0E741493" w14:textId="76D53986" w:rsidR="00761D5B" w:rsidRDefault="00761D5B">
            <w:r>
              <w:t>Brian Doherty</w:t>
            </w:r>
          </w:p>
        </w:tc>
        <w:tc>
          <w:tcPr>
            <w:tcW w:w="0" w:type="auto"/>
          </w:tcPr>
          <w:p w14:paraId="164613A3" w14:textId="77777777" w:rsidR="00761D5B" w:rsidRDefault="00761D5B">
            <w:r>
              <w:t>Greater Boston Building Trades Unions</w:t>
            </w:r>
          </w:p>
          <w:p w14:paraId="196C0B97" w14:textId="72AC9055" w:rsidR="00761D5B" w:rsidRDefault="00761D5B">
            <w:r>
              <w:t>Resident</w:t>
            </w:r>
            <w:r w:rsidR="00937188">
              <w:t xml:space="preserve"> of</w:t>
            </w:r>
            <w:r>
              <w:t xml:space="preserve"> Dorchester</w:t>
            </w:r>
            <w:r w:rsidR="00937188">
              <w:t>,</w:t>
            </w:r>
            <w:r>
              <w:t xml:space="preserve"> MA</w:t>
            </w:r>
          </w:p>
        </w:tc>
      </w:tr>
      <w:tr w:rsidR="00761D5B" w14:paraId="78CBA08F" w14:textId="77777777" w:rsidTr="005066DC">
        <w:trPr>
          <w:cantSplit/>
        </w:trPr>
        <w:tc>
          <w:tcPr>
            <w:tcW w:w="0" w:type="auto"/>
          </w:tcPr>
          <w:p w14:paraId="17EA8C64" w14:textId="1B8DC072" w:rsidR="00761D5B" w:rsidRDefault="00761D5B">
            <w:r>
              <w:t xml:space="preserve">Michael Burns </w:t>
            </w:r>
          </w:p>
        </w:tc>
        <w:tc>
          <w:tcPr>
            <w:tcW w:w="0" w:type="auto"/>
          </w:tcPr>
          <w:p w14:paraId="1E345FC0" w14:textId="77777777" w:rsidR="007B4D70" w:rsidRDefault="00761D5B">
            <w:r>
              <w:t>Representative of Greater Boston Building Trades Unions</w:t>
            </w:r>
          </w:p>
          <w:p w14:paraId="1C18A701" w14:textId="78FD63D9" w:rsidR="00761D5B" w:rsidRDefault="007B4D70">
            <w:r>
              <w:t>Resident of Boston, MA</w:t>
            </w:r>
            <w:r w:rsidR="00761D5B">
              <w:t xml:space="preserve"> </w:t>
            </w:r>
          </w:p>
        </w:tc>
      </w:tr>
      <w:tr w:rsidR="00761D5B" w14:paraId="0F526A65" w14:textId="77777777" w:rsidTr="005066DC">
        <w:trPr>
          <w:cantSplit/>
        </w:trPr>
        <w:tc>
          <w:tcPr>
            <w:tcW w:w="0" w:type="auto"/>
          </w:tcPr>
          <w:p w14:paraId="1FE0A03B" w14:textId="1F0BA0B6" w:rsidR="00761D5B" w:rsidRDefault="00324BC6">
            <w:r w:rsidRPr="00324BC6">
              <w:t>Sonny Doucette</w:t>
            </w:r>
          </w:p>
        </w:tc>
        <w:tc>
          <w:tcPr>
            <w:tcW w:w="0" w:type="auto"/>
          </w:tcPr>
          <w:p w14:paraId="7DD04F00" w14:textId="3A7300BC" w:rsidR="001F7FE1" w:rsidRDefault="001F7FE1">
            <w:r w:rsidRPr="001F7FE1">
              <w:t>Resident of Sandown, NH</w:t>
            </w:r>
          </w:p>
          <w:p w14:paraId="2C42876F" w14:textId="6B06B431" w:rsidR="0026709C" w:rsidRDefault="00761D5B">
            <w:r w:rsidRPr="00D83064">
              <w:t>Dana-Farber Cancer Institute</w:t>
            </w:r>
            <w:r>
              <w:t xml:space="preserve"> </w:t>
            </w:r>
            <w:r w:rsidR="009E331B">
              <w:t>P</w:t>
            </w:r>
            <w:r>
              <w:t>atient</w:t>
            </w:r>
          </w:p>
        </w:tc>
      </w:tr>
      <w:tr w:rsidR="00761D5B" w14:paraId="172D92D1" w14:textId="77777777" w:rsidTr="005066DC">
        <w:trPr>
          <w:cantSplit/>
        </w:trPr>
        <w:tc>
          <w:tcPr>
            <w:tcW w:w="0" w:type="auto"/>
          </w:tcPr>
          <w:p w14:paraId="0C21D8D7" w14:textId="77777777" w:rsidR="00761D5B" w:rsidRDefault="00761D5B">
            <w:r>
              <w:t xml:space="preserve">Anne Gross, </w:t>
            </w:r>
            <w:r w:rsidRPr="00D23728">
              <w:t>PhD, RN, NEA-BC, FAAN</w:t>
            </w:r>
          </w:p>
        </w:tc>
        <w:tc>
          <w:tcPr>
            <w:tcW w:w="0" w:type="auto"/>
          </w:tcPr>
          <w:p w14:paraId="09886190" w14:textId="2FB6A916" w:rsidR="00761D5B" w:rsidRDefault="00761D5B">
            <w:r>
              <w:t>TTG Member</w:t>
            </w:r>
            <w:r w:rsidR="0026709C">
              <w:t>,</w:t>
            </w:r>
            <w:r>
              <w:t xml:space="preserve"> Clinicians of </w:t>
            </w:r>
            <w:r w:rsidRPr="00D83064">
              <w:t>Dana-Farber Cancer Institute</w:t>
            </w:r>
          </w:p>
          <w:p w14:paraId="5013804B" w14:textId="679F98F1" w:rsidR="00761D5B" w:rsidRDefault="00B51840">
            <w:r w:rsidRPr="00B51840">
              <w:t>Senior Vice President, Patient Care Services and Chief Nursing Officer</w:t>
            </w:r>
            <w:r>
              <w:t xml:space="preserve">, Dana-Farber Cancer Institute </w:t>
            </w:r>
          </w:p>
        </w:tc>
      </w:tr>
      <w:tr w:rsidR="00761D5B" w14:paraId="2CCFDB98" w14:textId="77777777" w:rsidTr="005066DC">
        <w:trPr>
          <w:cantSplit/>
        </w:trPr>
        <w:tc>
          <w:tcPr>
            <w:tcW w:w="0" w:type="auto"/>
          </w:tcPr>
          <w:p w14:paraId="4AE7D761" w14:textId="77777777" w:rsidR="00761D5B" w:rsidRDefault="00761D5B">
            <w:r>
              <w:t>Chuck Stravin</w:t>
            </w:r>
          </w:p>
          <w:p w14:paraId="3B3E8379" w14:textId="77777777" w:rsidR="00761D5B" w:rsidRDefault="00761D5B"/>
        </w:tc>
        <w:tc>
          <w:tcPr>
            <w:tcW w:w="0" w:type="auto"/>
          </w:tcPr>
          <w:p w14:paraId="68468DA0" w14:textId="77777777" w:rsidR="00761D5B" w:rsidRDefault="00761D5B">
            <w:r>
              <w:t>Resident, Quincy MA</w:t>
            </w:r>
          </w:p>
          <w:p w14:paraId="18D7E098" w14:textId="19CE5433" w:rsidR="00761D5B" w:rsidRDefault="00761D5B">
            <w:r w:rsidRPr="00B83532">
              <w:t xml:space="preserve">Dana-Farber Cancer Institute </w:t>
            </w:r>
            <w:r w:rsidR="009E331B">
              <w:t>P</w:t>
            </w:r>
            <w:r w:rsidRPr="00B83532">
              <w:t>atient</w:t>
            </w:r>
          </w:p>
        </w:tc>
      </w:tr>
      <w:tr w:rsidR="00761D5B" w14:paraId="59615382" w14:textId="77777777" w:rsidTr="005066DC">
        <w:trPr>
          <w:cantSplit/>
        </w:trPr>
        <w:tc>
          <w:tcPr>
            <w:tcW w:w="0" w:type="auto"/>
          </w:tcPr>
          <w:p w14:paraId="3D282EC9" w14:textId="77777777" w:rsidR="00761D5B" w:rsidRDefault="00761D5B">
            <w:r w:rsidRPr="005174D6">
              <w:t>Cha</w:t>
            </w:r>
            <w:r>
              <w:t>ton</w:t>
            </w:r>
            <w:r w:rsidRPr="005174D6">
              <w:t xml:space="preserve"> Green </w:t>
            </w:r>
          </w:p>
        </w:tc>
        <w:tc>
          <w:tcPr>
            <w:tcW w:w="0" w:type="auto"/>
          </w:tcPr>
          <w:p w14:paraId="67963662" w14:textId="3B117ABA" w:rsidR="00761D5B" w:rsidRDefault="00761D5B">
            <w:r w:rsidRPr="005174D6">
              <w:t>Greater Boston Building Trade</w:t>
            </w:r>
            <w:r w:rsidR="00E11D46">
              <w:t>s</w:t>
            </w:r>
            <w:r w:rsidRPr="005174D6">
              <w:t xml:space="preserve"> Unions </w:t>
            </w:r>
          </w:p>
          <w:p w14:paraId="4997A352" w14:textId="6BF72BF3" w:rsidR="00520F80" w:rsidRDefault="00520F80">
            <w:r>
              <w:t>Resident of Roxbury, MA</w:t>
            </w:r>
          </w:p>
        </w:tc>
      </w:tr>
      <w:tr w:rsidR="00761D5B" w14:paraId="2943057C" w14:textId="77777777" w:rsidTr="005066DC">
        <w:trPr>
          <w:cantSplit/>
        </w:trPr>
        <w:tc>
          <w:tcPr>
            <w:tcW w:w="0" w:type="auto"/>
          </w:tcPr>
          <w:p w14:paraId="05CD9073" w14:textId="77777777" w:rsidR="00761D5B" w:rsidRDefault="00761D5B">
            <w:r>
              <w:t xml:space="preserve">Christopher Lathan, </w:t>
            </w:r>
            <w:r w:rsidRPr="002609A9">
              <w:t>MD, MS, MPH</w:t>
            </w:r>
          </w:p>
        </w:tc>
        <w:tc>
          <w:tcPr>
            <w:tcW w:w="0" w:type="auto"/>
          </w:tcPr>
          <w:p w14:paraId="3A2B46AC" w14:textId="77777777" w:rsidR="00761D5B" w:rsidRDefault="00761D5B">
            <w:r w:rsidRPr="00012CBB">
              <w:t>Chief Clinical Access and Equity Officer</w:t>
            </w:r>
            <w:r>
              <w:t xml:space="preserve">, </w:t>
            </w:r>
            <w:r w:rsidRPr="002A48ED">
              <w:t xml:space="preserve">Dana-Farber Cancer Institute </w:t>
            </w:r>
          </w:p>
        </w:tc>
      </w:tr>
      <w:tr w:rsidR="00761D5B" w14:paraId="3F3C54E3" w14:textId="77777777" w:rsidTr="005066DC">
        <w:trPr>
          <w:cantSplit/>
        </w:trPr>
        <w:tc>
          <w:tcPr>
            <w:tcW w:w="0" w:type="auto"/>
          </w:tcPr>
          <w:p w14:paraId="34E9634C" w14:textId="5A5391F0" w:rsidR="00761D5B" w:rsidRDefault="00761D5B">
            <w:r>
              <w:t xml:space="preserve">Craig </w:t>
            </w:r>
            <w:r w:rsidR="005A5CE4">
              <w:t xml:space="preserve">A. </w:t>
            </w:r>
            <w:r>
              <w:t xml:space="preserve">Bunnell, </w:t>
            </w:r>
            <w:r w:rsidRPr="009C5CF8">
              <w:t>MD, MPH, MBA</w:t>
            </w:r>
          </w:p>
        </w:tc>
        <w:tc>
          <w:tcPr>
            <w:tcW w:w="0" w:type="auto"/>
          </w:tcPr>
          <w:p w14:paraId="78931FEA" w14:textId="77777777" w:rsidR="00761D5B" w:rsidRDefault="00761D5B">
            <w:r>
              <w:t xml:space="preserve">Chief Medical Officer, Dana-Farber Cancer Institute </w:t>
            </w:r>
          </w:p>
        </w:tc>
      </w:tr>
      <w:tr w:rsidR="00761D5B" w14:paraId="78EBE2FB" w14:textId="77777777" w:rsidTr="005066DC">
        <w:trPr>
          <w:cantSplit/>
        </w:trPr>
        <w:tc>
          <w:tcPr>
            <w:tcW w:w="0" w:type="auto"/>
          </w:tcPr>
          <w:p w14:paraId="4922424A" w14:textId="77777777" w:rsidR="00761D5B" w:rsidRDefault="00761D5B">
            <w:r>
              <w:t>Peter Healy</w:t>
            </w:r>
          </w:p>
          <w:p w14:paraId="4255E27B" w14:textId="77777777" w:rsidR="00761D5B" w:rsidRDefault="00761D5B"/>
        </w:tc>
        <w:tc>
          <w:tcPr>
            <w:tcW w:w="0" w:type="auto"/>
          </w:tcPr>
          <w:p w14:paraId="3459ED28" w14:textId="77777777" w:rsidR="00761D5B" w:rsidRDefault="00761D5B">
            <w:r>
              <w:t>President, Beth Israel Deaconess Medical Center</w:t>
            </w:r>
          </w:p>
        </w:tc>
      </w:tr>
      <w:tr w:rsidR="00761D5B" w14:paraId="7C84A065" w14:textId="77777777" w:rsidTr="005066DC">
        <w:trPr>
          <w:cantSplit/>
        </w:trPr>
        <w:tc>
          <w:tcPr>
            <w:tcW w:w="0" w:type="auto"/>
          </w:tcPr>
          <w:p w14:paraId="3459C89B" w14:textId="77777777" w:rsidR="00761D5B" w:rsidRDefault="00761D5B">
            <w:r>
              <w:lastRenderedPageBreak/>
              <w:t>Alexa Kimball, MD, MPH</w:t>
            </w:r>
          </w:p>
          <w:p w14:paraId="7371C343" w14:textId="77777777" w:rsidR="00761D5B" w:rsidRDefault="00761D5B"/>
        </w:tc>
        <w:tc>
          <w:tcPr>
            <w:tcW w:w="0" w:type="auto"/>
          </w:tcPr>
          <w:p w14:paraId="6E5CE330" w14:textId="77777777" w:rsidR="00761D5B" w:rsidRDefault="00761D5B">
            <w:r w:rsidRPr="006514FB">
              <w:t>CEO and President of Harvard Medical Faculty Physicians at Beth Israel Deaconess Medical Center</w:t>
            </w:r>
          </w:p>
        </w:tc>
      </w:tr>
      <w:tr w:rsidR="00761D5B" w14:paraId="4178ECB2" w14:textId="77777777" w:rsidTr="005066DC">
        <w:trPr>
          <w:cantSplit/>
        </w:trPr>
        <w:tc>
          <w:tcPr>
            <w:tcW w:w="0" w:type="auto"/>
          </w:tcPr>
          <w:p w14:paraId="1B2F7A43" w14:textId="394ABC75" w:rsidR="00761D5B" w:rsidRDefault="00761D5B">
            <w:r>
              <w:t>Samatha Taylor, MHA</w:t>
            </w:r>
          </w:p>
        </w:tc>
        <w:tc>
          <w:tcPr>
            <w:tcW w:w="0" w:type="auto"/>
          </w:tcPr>
          <w:p w14:paraId="07722819" w14:textId="4C9B02F6" w:rsidR="00761D5B" w:rsidRDefault="00761D5B">
            <w:r>
              <w:t xml:space="preserve">Executive Director, Bowdoin Street Health Center </w:t>
            </w:r>
          </w:p>
        </w:tc>
      </w:tr>
      <w:tr w:rsidR="00761D5B" w14:paraId="7700E2E1" w14:textId="77777777" w:rsidTr="005066DC">
        <w:trPr>
          <w:cantSplit/>
        </w:trPr>
        <w:tc>
          <w:tcPr>
            <w:tcW w:w="0" w:type="auto"/>
          </w:tcPr>
          <w:p w14:paraId="571D498C" w14:textId="500119E4" w:rsidR="00761D5B" w:rsidRDefault="00761D5B">
            <w:r w:rsidRPr="003A111D">
              <w:t xml:space="preserve">Rahsaan </w:t>
            </w:r>
            <w:r w:rsidR="00C044CD">
              <w:t xml:space="preserve">D. </w:t>
            </w:r>
            <w:r w:rsidRPr="003A111D">
              <w:t xml:space="preserve">Hall </w:t>
            </w:r>
          </w:p>
        </w:tc>
        <w:tc>
          <w:tcPr>
            <w:tcW w:w="0" w:type="auto"/>
          </w:tcPr>
          <w:p w14:paraId="199B5462" w14:textId="71CD655D" w:rsidR="00761D5B" w:rsidRDefault="00761D5B">
            <w:r w:rsidRPr="00713678">
              <w:t>President &amp; CEO</w:t>
            </w:r>
            <w:r w:rsidR="00E852CE">
              <w:t>,</w:t>
            </w:r>
            <w:r>
              <w:t xml:space="preserve"> Urban League of Eastern Massachusetts </w:t>
            </w:r>
          </w:p>
        </w:tc>
      </w:tr>
      <w:tr w:rsidR="00761D5B" w14:paraId="0A899375" w14:textId="77777777" w:rsidTr="005066DC">
        <w:trPr>
          <w:cantSplit/>
        </w:trPr>
        <w:tc>
          <w:tcPr>
            <w:tcW w:w="0" w:type="auto"/>
          </w:tcPr>
          <w:p w14:paraId="780CC32D" w14:textId="634D64B7" w:rsidR="00761D5B" w:rsidRDefault="00761D5B">
            <w:r>
              <w:t>Elizabeth Brown</w:t>
            </w:r>
            <w:r w:rsidR="00871F00">
              <w:t>e</w:t>
            </w:r>
            <w:r w:rsidR="00891508">
              <w:t>, MBA</w:t>
            </w:r>
            <w:r>
              <w:t xml:space="preserve"> </w:t>
            </w:r>
          </w:p>
        </w:tc>
        <w:tc>
          <w:tcPr>
            <w:tcW w:w="0" w:type="auto"/>
          </w:tcPr>
          <w:p w14:paraId="1CA895DA" w14:textId="5D1D96E4" w:rsidR="00761D5B" w:rsidRDefault="00761D5B">
            <w:r>
              <w:t xml:space="preserve">CEO, Charles River Community Health </w:t>
            </w:r>
            <w:r w:rsidR="00A9166A">
              <w:t>(through December 31, 2024)</w:t>
            </w:r>
          </w:p>
        </w:tc>
      </w:tr>
      <w:tr w:rsidR="00761D5B" w14:paraId="3CBE68D2" w14:textId="77777777" w:rsidTr="005066DC">
        <w:trPr>
          <w:cantSplit/>
        </w:trPr>
        <w:tc>
          <w:tcPr>
            <w:tcW w:w="0" w:type="auto"/>
          </w:tcPr>
          <w:p w14:paraId="74FCFA0E" w14:textId="77777777" w:rsidR="00761D5B" w:rsidRDefault="00761D5B">
            <w:r>
              <w:t>Karen Howley LaCamera</w:t>
            </w:r>
          </w:p>
          <w:p w14:paraId="2811CF7E" w14:textId="77777777" w:rsidR="00761D5B" w:rsidRDefault="00761D5B"/>
        </w:tc>
        <w:tc>
          <w:tcPr>
            <w:tcW w:w="0" w:type="auto"/>
          </w:tcPr>
          <w:p w14:paraId="4E51D789" w14:textId="7FE0B271" w:rsidR="00761D5B" w:rsidRDefault="00761D5B">
            <w:r>
              <w:t>Resident</w:t>
            </w:r>
            <w:r w:rsidR="00937188">
              <w:t xml:space="preserve"> of </w:t>
            </w:r>
            <w:r>
              <w:t>Sudbury</w:t>
            </w:r>
            <w:r w:rsidR="00937188">
              <w:t>,</w:t>
            </w:r>
            <w:r>
              <w:t xml:space="preserve"> MA </w:t>
            </w:r>
          </w:p>
          <w:p w14:paraId="34C6768A" w14:textId="223ACCB4" w:rsidR="00761D5B" w:rsidRDefault="00761D5B">
            <w:r>
              <w:t xml:space="preserve">Dana-Farber Cancer Institute </w:t>
            </w:r>
            <w:r w:rsidR="009E331B">
              <w:t>Patient</w:t>
            </w:r>
          </w:p>
        </w:tc>
      </w:tr>
      <w:tr w:rsidR="00761D5B" w14:paraId="22359103" w14:textId="77777777" w:rsidTr="005066DC">
        <w:trPr>
          <w:cantSplit/>
        </w:trPr>
        <w:tc>
          <w:tcPr>
            <w:tcW w:w="0" w:type="auto"/>
          </w:tcPr>
          <w:p w14:paraId="6FC80E36" w14:textId="77777777" w:rsidR="00761D5B" w:rsidRDefault="00761D5B">
            <w:r>
              <w:t>Patrick Mulkerrin</w:t>
            </w:r>
          </w:p>
          <w:p w14:paraId="7B1EA93D" w14:textId="77777777" w:rsidR="00761D5B" w:rsidRDefault="00761D5B"/>
        </w:tc>
        <w:tc>
          <w:tcPr>
            <w:tcW w:w="0" w:type="auto"/>
          </w:tcPr>
          <w:p w14:paraId="510DDADD" w14:textId="6FB7EE6F" w:rsidR="00DF0832" w:rsidRDefault="00761D5B">
            <w:r>
              <w:t xml:space="preserve">Business Agent with Plumbers </w:t>
            </w:r>
            <w:r w:rsidR="003A2A37">
              <w:t>and gasfitters</w:t>
            </w:r>
            <w:r>
              <w:t xml:space="preserve"> Local 12</w:t>
            </w:r>
          </w:p>
          <w:p w14:paraId="624F95E0" w14:textId="446425E0" w:rsidR="00761D5B" w:rsidRDefault="00761D5B">
            <w:r>
              <w:t xml:space="preserve">President of Quincy and South Shore Building Trades Council </w:t>
            </w:r>
          </w:p>
        </w:tc>
      </w:tr>
      <w:tr w:rsidR="00761D5B" w14:paraId="66F20991" w14:textId="77777777" w:rsidTr="005066DC">
        <w:trPr>
          <w:cantSplit/>
        </w:trPr>
        <w:tc>
          <w:tcPr>
            <w:tcW w:w="0" w:type="auto"/>
          </w:tcPr>
          <w:p w14:paraId="7C07B80E" w14:textId="77777777" w:rsidR="00761D5B" w:rsidRDefault="00761D5B">
            <w:r>
              <w:t>Jenny Dahlstein</w:t>
            </w:r>
          </w:p>
          <w:p w14:paraId="4F2CFDBA" w14:textId="77777777" w:rsidR="00761D5B" w:rsidRDefault="00761D5B"/>
        </w:tc>
        <w:tc>
          <w:tcPr>
            <w:tcW w:w="0" w:type="auto"/>
          </w:tcPr>
          <w:p w14:paraId="0C0EA02A" w14:textId="77777777" w:rsidR="00761D5B" w:rsidRDefault="00761D5B">
            <w:r>
              <w:t>TTG Member, Patient and Family Advocates of Dana-Farber Cancer Institute</w:t>
            </w:r>
          </w:p>
          <w:p w14:paraId="28232BB3" w14:textId="39E548F3" w:rsidR="00761D5B" w:rsidRDefault="00761D5B">
            <w:r>
              <w:t>Dana-Farber Cancer Institute</w:t>
            </w:r>
            <w:r w:rsidR="009E331B">
              <w:t xml:space="preserve"> Patient </w:t>
            </w:r>
          </w:p>
          <w:p w14:paraId="68502D98" w14:textId="77777777" w:rsidR="00761D5B" w:rsidRDefault="00761D5B">
            <w:r>
              <w:t xml:space="preserve">Member of Dana-Farber’s Adult Patient and Family Advisory Council </w:t>
            </w:r>
          </w:p>
        </w:tc>
      </w:tr>
      <w:tr w:rsidR="00761D5B" w14:paraId="383303AF" w14:textId="77777777" w:rsidTr="005066DC">
        <w:trPr>
          <w:cantSplit/>
        </w:trPr>
        <w:tc>
          <w:tcPr>
            <w:tcW w:w="0" w:type="auto"/>
          </w:tcPr>
          <w:p w14:paraId="5D54AFDD" w14:textId="3612DB47" w:rsidR="00761D5B" w:rsidRDefault="00761D5B">
            <w:r>
              <w:t>Desalia Gomes</w:t>
            </w:r>
          </w:p>
        </w:tc>
        <w:tc>
          <w:tcPr>
            <w:tcW w:w="0" w:type="auto"/>
          </w:tcPr>
          <w:p w14:paraId="30C70B54" w14:textId="77777777" w:rsidR="00761D5B" w:rsidRDefault="00761D5B">
            <w:r>
              <w:t xml:space="preserve">Boston Trade Union </w:t>
            </w:r>
          </w:p>
          <w:p w14:paraId="2EE59287" w14:textId="2664462D" w:rsidR="00EF485E" w:rsidRDefault="00EF485E">
            <w:r>
              <w:t>Resident</w:t>
            </w:r>
            <w:r w:rsidR="00937188">
              <w:t xml:space="preserve"> of</w:t>
            </w:r>
            <w:r>
              <w:t xml:space="preserve"> Dorchester</w:t>
            </w:r>
            <w:r w:rsidR="00937188">
              <w:t>, MA</w:t>
            </w:r>
            <w:r>
              <w:t xml:space="preserve"> </w:t>
            </w:r>
          </w:p>
        </w:tc>
      </w:tr>
    </w:tbl>
    <w:p w14:paraId="7E26E5F3" w14:textId="4CF57A7B" w:rsidR="00EB7426" w:rsidRDefault="00EB7426">
      <w:pPr>
        <w:rPr>
          <w:rFonts w:asciiTheme="minorHAnsi" w:hAnsiTheme="minorHAnsi"/>
          <w:b/>
          <w:bCs/>
          <w:color w:val="1F497D" w:themeColor="text2"/>
          <w:sz w:val="28"/>
          <w:szCs w:val="28"/>
        </w:rPr>
      </w:pPr>
      <w:r>
        <w:rPr>
          <w:rFonts w:asciiTheme="minorHAnsi" w:hAnsiTheme="minorHAnsi"/>
          <w:b/>
          <w:bCs/>
          <w:color w:val="1F497D" w:themeColor="text2"/>
          <w:sz w:val="28"/>
          <w:szCs w:val="28"/>
        </w:rPr>
        <w:br w:type="page"/>
      </w:r>
    </w:p>
    <w:p w14:paraId="715B0490" w14:textId="73D9A399" w:rsidR="00EB7426" w:rsidRPr="008031A2" w:rsidRDefault="00EB7426" w:rsidP="008031A2">
      <w:pPr>
        <w:pStyle w:val="Heading1"/>
        <w:ind w:left="0"/>
        <w:rPr>
          <w:color w:val="1F497D" w:themeColor="text2"/>
        </w:rPr>
      </w:pPr>
      <w:bookmarkStart w:id="43" w:name="_Toc190780602"/>
      <w:r w:rsidRPr="008031A2">
        <w:rPr>
          <w:color w:val="1F497D" w:themeColor="text2"/>
        </w:rPr>
        <w:lastRenderedPageBreak/>
        <w:t xml:space="preserve">Appendix </w:t>
      </w:r>
      <w:r w:rsidR="00572733">
        <w:rPr>
          <w:color w:val="1F497D" w:themeColor="text2"/>
        </w:rPr>
        <w:t>V</w:t>
      </w:r>
      <w:r w:rsidRPr="008031A2">
        <w:rPr>
          <w:color w:val="1F497D" w:themeColor="text2"/>
        </w:rPr>
        <w:t xml:space="preserve">: </w:t>
      </w:r>
      <w:r w:rsidR="003273A1" w:rsidRPr="008031A2">
        <w:rPr>
          <w:color w:val="1F497D" w:themeColor="text2"/>
        </w:rPr>
        <w:t>Written Commenters</w:t>
      </w:r>
      <w:bookmarkEnd w:id="43"/>
    </w:p>
    <w:p w14:paraId="08DCE688" w14:textId="77777777" w:rsidR="00761D5B" w:rsidRDefault="00761D5B">
      <w:pPr>
        <w:rPr>
          <w:rFonts w:asciiTheme="minorHAnsi" w:hAnsiTheme="minorHAnsi"/>
          <w:b/>
          <w:bCs/>
          <w:color w:val="1F497D" w:themeColor="text2"/>
          <w:sz w:val="28"/>
          <w:szCs w:val="28"/>
        </w:rPr>
      </w:pPr>
    </w:p>
    <w:tbl>
      <w:tblPr>
        <w:tblStyle w:val="TableGrid"/>
        <w:tblW w:w="0" w:type="auto"/>
        <w:tblLook w:val="04A0" w:firstRow="1" w:lastRow="0" w:firstColumn="1" w:lastColumn="0" w:noHBand="0" w:noVBand="1"/>
      </w:tblPr>
      <w:tblGrid>
        <w:gridCol w:w="2425"/>
        <w:gridCol w:w="7385"/>
      </w:tblGrid>
      <w:tr w:rsidR="00C85940" w:rsidRPr="000E67FA" w14:paraId="21529C0E" w14:textId="77777777" w:rsidTr="005066DC">
        <w:trPr>
          <w:cantSplit/>
          <w:tblHeader/>
        </w:trPr>
        <w:tc>
          <w:tcPr>
            <w:tcW w:w="2425" w:type="dxa"/>
            <w:shd w:val="clear" w:color="auto" w:fill="DBE5F1" w:themeFill="accent1" w:themeFillTint="33"/>
          </w:tcPr>
          <w:p w14:paraId="67951C42" w14:textId="77777777" w:rsidR="00761D5B" w:rsidRPr="000E67FA" w:rsidRDefault="00761D5B">
            <w:pPr>
              <w:jc w:val="center"/>
              <w:rPr>
                <w:b/>
                <w:bCs/>
              </w:rPr>
            </w:pPr>
            <w:r w:rsidRPr="000E67FA">
              <w:rPr>
                <w:b/>
                <w:bCs/>
              </w:rPr>
              <w:t>Name</w:t>
            </w:r>
          </w:p>
        </w:tc>
        <w:tc>
          <w:tcPr>
            <w:tcW w:w="7385" w:type="dxa"/>
            <w:shd w:val="clear" w:color="auto" w:fill="DBE5F1" w:themeFill="accent1" w:themeFillTint="33"/>
          </w:tcPr>
          <w:p w14:paraId="5E69F115" w14:textId="77777777" w:rsidR="00761D5B" w:rsidRPr="000E67FA" w:rsidRDefault="00761D5B">
            <w:pPr>
              <w:jc w:val="center"/>
              <w:rPr>
                <w:b/>
                <w:bCs/>
              </w:rPr>
            </w:pPr>
            <w:r w:rsidRPr="000E67FA">
              <w:rPr>
                <w:b/>
                <w:bCs/>
              </w:rPr>
              <w:t>Affiliation</w:t>
            </w:r>
          </w:p>
        </w:tc>
      </w:tr>
      <w:tr w:rsidR="00C85940" w14:paraId="0F70E433" w14:textId="77777777" w:rsidTr="005066DC">
        <w:trPr>
          <w:cantSplit/>
        </w:trPr>
        <w:tc>
          <w:tcPr>
            <w:tcW w:w="2425" w:type="dxa"/>
          </w:tcPr>
          <w:p w14:paraId="79398E5D" w14:textId="10873BDE" w:rsidR="00761D5B" w:rsidRDefault="00B047F8">
            <w:r>
              <w:t>Kevin B. Churchwell, MD</w:t>
            </w:r>
          </w:p>
        </w:tc>
        <w:tc>
          <w:tcPr>
            <w:tcW w:w="7385" w:type="dxa"/>
          </w:tcPr>
          <w:p w14:paraId="3017785A" w14:textId="0D92B0DE" w:rsidR="00761D5B" w:rsidRDefault="00B047F8">
            <w:r>
              <w:t>President and Chief Executive Officer, Boston Children’s Hospital</w:t>
            </w:r>
          </w:p>
        </w:tc>
      </w:tr>
      <w:tr w:rsidR="00216468" w14:paraId="141FAC1F" w14:textId="77777777" w:rsidTr="005066DC">
        <w:trPr>
          <w:cantSplit/>
        </w:trPr>
        <w:tc>
          <w:tcPr>
            <w:tcW w:w="2425" w:type="dxa"/>
          </w:tcPr>
          <w:p w14:paraId="3D7DA5A0" w14:textId="0AF42B00" w:rsidR="00761D5B" w:rsidRDefault="00216468">
            <w:r>
              <w:t>Austin Sarat</w:t>
            </w:r>
          </w:p>
        </w:tc>
        <w:tc>
          <w:tcPr>
            <w:tcW w:w="7385" w:type="dxa"/>
          </w:tcPr>
          <w:p w14:paraId="22B26FCB" w14:textId="732B1952" w:rsidR="003730FD" w:rsidRDefault="003730FD">
            <w:r>
              <w:t xml:space="preserve">Member, </w:t>
            </w:r>
            <w:r w:rsidR="00E818AA" w:rsidRPr="00E818AA">
              <w:t>Patients and Family Advocates of Dana-Farber Cancer Institute</w:t>
            </w:r>
            <w:r w:rsidR="00E818AA">
              <w:t xml:space="preserve"> TTG</w:t>
            </w:r>
          </w:p>
          <w:p w14:paraId="1847C365" w14:textId="1AD61A0F" w:rsidR="00761D5B" w:rsidRDefault="00216468">
            <w:r>
              <w:t xml:space="preserve">William Nelson Cromwell Professor of Jurisprudence and Political Science, Amherst College </w:t>
            </w:r>
          </w:p>
        </w:tc>
      </w:tr>
      <w:tr w:rsidR="00216468" w14:paraId="6A0AFADF" w14:textId="77777777" w:rsidTr="005066DC">
        <w:trPr>
          <w:cantSplit/>
        </w:trPr>
        <w:tc>
          <w:tcPr>
            <w:tcW w:w="2425" w:type="dxa"/>
          </w:tcPr>
          <w:p w14:paraId="43F6CCC0" w14:textId="13133B13" w:rsidR="009D50BE" w:rsidRDefault="001470EF">
            <w:r>
              <w:t>Frederica M. Williams</w:t>
            </w:r>
          </w:p>
        </w:tc>
        <w:tc>
          <w:tcPr>
            <w:tcW w:w="7385" w:type="dxa"/>
          </w:tcPr>
          <w:p w14:paraId="6E19ACE7" w14:textId="797485A4" w:rsidR="008D5406" w:rsidRDefault="007741A8">
            <w:r>
              <w:t>President &amp; CEO, Whittier Street Health Center</w:t>
            </w:r>
          </w:p>
        </w:tc>
      </w:tr>
      <w:tr w:rsidR="00216468" w14:paraId="6F929A74" w14:textId="77777777" w:rsidTr="005066DC">
        <w:trPr>
          <w:cantSplit/>
        </w:trPr>
        <w:tc>
          <w:tcPr>
            <w:tcW w:w="2425" w:type="dxa"/>
          </w:tcPr>
          <w:p w14:paraId="0D982570" w14:textId="1C7E4892" w:rsidR="009D50BE" w:rsidRDefault="00423DD4">
            <w:r>
              <w:t>Anita M. Rodriguez</w:t>
            </w:r>
          </w:p>
        </w:tc>
        <w:tc>
          <w:tcPr>
            <w:tcW w:w="7385" w:type="dxa"/>
          </w:tcPr>
          <w:p w14:paraId="6741D13A" w14:textId="6C8963A2" w:rsidR="00F30ECF" w:rsidRDefault="00680F5C" w:rsidP="00F30ECF">
            <w:r>
              <w:t>Member</w:t>
            </w:r>
            <w:r w:rsidR="003455DB">
              <w:t>,</w:t>
            </w:r>
            <w:r>
              <w:t xml:space="preserve"> </w:t>
            </w:r>
            <w:r w:rsidR="00F30ECF">
              <w:t>Patients and Family Advocates of Dana-Farber Cancer</w:t>
            </w:r>
          </w:p>
          <w:p w14:paraId="6171B43D" w14:textId="2C69243E" w:rsidR="00680F5C" w:rsidRDefault="00F30ECF" w:rsidP="00F30ECF">
            <w:r>
              <w:t>Institute TTG</w:t>
            </w:r>
          </w:p>
          <w:p w14:paraId="20E0EA8B" w14:textId="7B8CBE69" w:rsidR="009D50BE" w:rsidRDefault="00423DD4">
            <w:r>
              <w:t>Primary Caretaker for former patient of DFCI and Educational Consultant</w:t>
            </w:r>
          </w:p>
        </w:tc>
      </w:tr>
      <w:tr w:rsidR="00216468" w14:paraId="0410AC5A" w14:textId="77777777" w:rsidTr="005066DC">
        <w:trPr>
          <w:cantSplit/>
        </w:trPr>
        <w:tc>
          <w:tcPr>
            <w:tcW w:w="2425" w:type="dxa"/>
          </w:tcPr>
          <w:p w14:paraId="39AA21D0" w14:textId="762DC944" w:rsidR="009D50BE" w:rsidRDefault="00AF6282">
            <w:r>
              <w:t>Robert Sachs</w:t>
            </w:r>
          </w:p>
        </w:tc>
        <w:tc>
          <w:tcPr>
            <w:tcW w:w="7385" w:type="dxa"/>
          </w:tcPr>
          <w:p w14:paraId="37079787" w14:textId="05E8B85B" w:rsidR="00A44F03" w:rsidRDefault="00A44F03" w:rsidP="00A44F03">
            <w:r>
              <w:t>Trustee of the Dana-Farber Cancer Institute</w:t>
            </w:r>
          </w:p>
          <w:p w14:paraId="51A1046F" w14:textId="794A6B69" w:rsidR="009D50BE" w:rsidRDefault="005644C6">
            <w:r>
              <w:t>Cancer Survivor</w:t>
            </w:r>
          </w:p>
          <w:p w14:paraId="4EE00AF1" w14:textId="6A4BCED3" w:rsidR="00A44F03" w:rsidRDefault="005644C6">
            <w:r>
              <w:t xml:space="preserve">Dana-Farber Cancer Institute </w:t>
            </w:r>
            <w:r w:rsidR="009E331B">
              <w:t xml:space="preserve">Patient </w:t>
            </w:r>
          </w:p>
        </w:tc>
      </w:tr>
      <w:tr w:rsidR="00216468" w14:paraId="046785EB" w14:textId="77777777" w:rsidTr="005066DC">
        <w:trPr>
          <w:cantSplit/>
        </w:trPr>
        <w:tc>
          <w:tcPr>
            <w:tcW w:w="2425" w:type="dxa"/>
          </w:tcPr>
          <w:p w14:paraId="422D9DDA" w14:textId="4F748EB7" w:rsidR="009D50BE" w:rsidRDefault="00AC152A">
            <w:r>
              <w:t>Steven Eichberg</w:t>
            </w:r>
          </w:p>
        </w:tc>
        <w:tc>
          <w:tcPr>
            <w:tcW w:w="7385" w:type="dxa"/>
          </w:tcPr>
          <w:p w14:paraId="0F1A8F56" w14:textId="1820CCBF" w:rsidR="00AC152A" w:rsidRDefault="00AC152A" w:rsidP="00AC152A">
            <w:r>
              <w:t>Member</w:t>
            </w:r>
            <w:r w:rsidR="00BC0F42">
              <w:t>,</w:t>
            </w:r>
            <w:r>
              <w:t xml:space="preserve"> Patients and Family Advocates of Dana-Farber Cancer</w:t>
            </w:r>
          </w:p>
          <w:p w14:paraId="52143DB8" w14:textId="77777777" w:rsidR="009D50BE" w:rsidRDefault="00AC152A" w:rsidP="00AC152A">
            <w:r>
              <w:t>Institute TTG</w:t>
            </w:r>
          </w:p>
          <w:p w14:paraId="6B0D9DB1" w14:textId="3C620B7E" w:rsidR="005857F3" w:rsidRDefault="005857F3" w:rsidP="00AC152A">
            <w:r>
              <w:t xml:space="preserve">Dana-Farber Cancer Institute </w:t>
            </w:r>
            <w:r w:rsidR="009E331B">
              <w:t xml:space="preserve">Patient </w:t>
            </w:r>
          </w:p>
        </w:tc>
      </w:tr>
      <w:tr w:rsidR="00216468" w14:paraId="1CCBEEC7" w14:textId="77777777" w:rsidTr="005066DC">
        <w:trPr>
          <w:cantSplit/>
        </w:trPr>
        <w:tc>
          <w:tcPr>
            <w:tcW w:w="2425" w:type="dxa"/>
          </w:tcPr>
          <w:p w14:paraId="6FC1210E" w14:textId="1DF7D950" w:rsidR="009D50BE" w:rsidRDefault="00E70A58">
            <w:r>
              <w:t>Eric W. Dickson, MD, MHCM, FACEP</w:t>
            </w:r>
          </w:p>
        </w:tc>
        <w:tc>
          <w:tcPr>
            <w:tcW w:w="7385" w:type="dxa"/>
          </w:tcPr>
          <w:p w14:paraId="5F1DFEFC" w14:textId="78E2835E" w:rsidR="009D50BE" w:rsidRDefault="00E70A58">
            <w:r>
              <w:t>President and CEO, UMass Memorial Health</w:t>
            </w:r>
          </w:p>
        </w:tc>
      </w:tr>
      <w:tr w:rsidR="00216468" w14:paraId="6E1BE56F" w14:textId="77777777" w:rsidTr="005066DC">
        <w:trPr>
          <w:cantSplit/>
        </w:trPr>
        <w:tc>
          <w:tcPr>
            <w:tcW w:w="2425" w:type="dxa"/>
          </w:tcPr>
          <w:p w14:paraId="33B6A35B" w14:textId="40C664A8" w:rsidR="009D50BE" w:rsidRDefault="00F05F5D">
            <w:r>
              <w:t>Allan &amp; Deborah Osborne</w:t>
            </w:r>
          </w:p>
        </w:tc>
        <w:tc>
          <w:tcPr>
            <w:tcW w:w="7385" w:type="dxa"/>
          </w:tcPr>
          <w:p w14:paraId="00A5A79D" w14:textId="182CAA71" w:rsidR="009D50BE" w:rsidRDefault="00F31942">
            <w:r>
              <w:t xml:space="preserve">Dana-Farber Cancer Institute Patient and Care Partner </w:t>
            </w:r>
          </w:p>
        </w:tc>
      </w:tr>
      <w:tr w:rsidR="00216468" w14:paraId="4293EFCE" w14:textId="77777777" w:rsidTr="005066DC">
        <w:trPr>
          <w:cantSplit/>
        </w:trPr>
        <w:tc>
          <w:tcPr>
            <w:tcW w:w="2425" w:type="dxa"/>
          </w:tcPr>
          <w:p w14:paraId="15714AEA" w14:textId="72803E75" w:rsidR="009D50BE" w:rsidRDefault="00467757">
            <w:r>
              <w:t>Shelly Plumb</w:t>
            </w:r>
          </w:p>
        </w:tc>
        <w:tc>
          <w:tcPr>
            <w:tcW w:w="7385" w:type="dxa"/>
          </w:tcPr>
          <w:p w14:paraId="6BC500C7" w14:textId="77777777" w:rsidR="009D50BE" w:rsidRDefault="00C85940" w:rsidP="00C85940">
            <w:r>
              <w:t>TTG Representative, Patients and Family Advocates of Dana-Farber Cancer Institute</w:t>
            </w:r>
          </w:p>
          <w:p w14:paraId="2B24AF19" w14:textId="77777777" w:rsidR="00D25D8B" w:rsidRDefault="00D25D8B" w:rsidP="00C85940">
            <w:r w:rsidRPr="00D25D8B">
              <w:t>Colon Cancer Patient</w:t>
            </w:r>
          </w:p>
          <w:p w14:paraId="3653A955" w14:textId="353ED868" w:rsidR="003B3182" w:rsidRDefault="00D25D8B" w:rsidP="00C85940">
            <w:r w:rsidRPr="00D25D8B">
              <w:t>Volunteer</w:t>
            </w:r>
            <w:r>
              <w:t xml:space="preserve">, </w:t>
            </w:r>
            <w:r w:rsidRPr="00D25D8B">
              <w:t>Dana Farber Patient and Advisory Council member</w:t>
            </w:r>
          </w:p>
        </w:tc>
      </w:tr>
      <w:tr w:rsidR="00216468" w14:paraId="04C3903A" w14:textId="77777777" w:rsidTr="005066DC">
        <w:trPr>
          <w:cantSplit/>
        </w:trPr>
        <w:tc>
          <w:tcPr>
            <w:tcW w:w="2425" w:type="dxa"/>
          </w:tcPr>
          <w:p w14:paraId="4BFB15F4" w14:textId="26658E59" w:rsidR="009D50BE" w:rsidRDefault="00816E3F">
            <w:r>
              <w:t>Elizabeth Browne</w:t>
            </w:r>
          </w:p>
        </w:tc>
        <w:tc>
          <w:tcPr>
            <w:tcW w:w="7385" w:type="dxa"/>
          </w:tcPr>
          <w:p w14:paraId="7A86143E" w14:textId="6FA8ACE5" w:rsidR="009D50BE" w:rsidRDefault="00816E3F">
            <w:r>
              <w:t xml:space="preserve">Chief Executive Officer, </w:t>
            </w:r>
            <w:r w:rsidR="007706DF">
              <w:t>Charles River Community Health</w:t>
            </w:r>
          </w:p>
        </w:tc>
      </w:tr>
      <w:tr w:rsidR="00216468" w14:paraId="4E41C0B2" w14:textId="77777777" w:rsidTr="005066DC">
        <w:trPr>
          <w:cantSplit/>
        </w:trPr>
        <w:tc>
          <w:tcPr>
            <w:tcW w:w="2425" w:type="dxa"/>
          </w:tcPr>
          <w:p w14:paraId="410B032E" w14:textId="2E02B0D8" w:rsidR="009D50BE" w:rsidRDefault="007706DF">
            <w:r>
              <w:t>Jenny Dahlstein</w:t>
            </w:r>
          </w:p>
        </w:tc>
        <w:tc>
          <w:tcPr>
            <w:tcW w:w="7385" w:type="dxa"/>
          </w:tcPr>
          <w:p w14:paraId="6BF14626" w14:textId="77777777" w:rsidR="009D50BE" w:rsidRDefault="007706DF">
            <w:r>
              <w:t xml:space="preserve">Volunteer, </w:t>
            </w:r>
            <w:r w:rsidR="001372E7">
              <w:t>Dana-Farber Cancer Institute,</w:t>
            </w:r>
            <w:r>
              <w:t xml:space="preserve"> Adult Patient and Family Advisory Council (PFAC)</w:t>
            </w:r>
          </w:p>
          <w:p w14:paraId="5E85CE21" w14:textId="63B2BA90" w:rsidR="00CA1596" w:rsidRDefault="00D95163">
            <w:r>
              <w:t xml:space="preserve">Member, </w:t>
            </w:r>
            <w:r w:rsidRPr="00D95163">
              <w:t>Patients and Family Advocates of Dana-Farber Cancer Institute</w:t>
            </w:r>
            <w:r>
              <w:t xml:space="preserve"> TTG</w:t>
            </w:r>
          </w:p>
        </w:tc>
      </w:tr>
      <w:tr w:rsidR="00216468" w14:paraId="59A223B9" w14:textId="77777777" w:rsidTr="005066DC">
        <w:trPr>
          <w:cantSplit/>
        </w:trPr>
        <w:tc>
          <w:tcPr>
            <w:tcW w:w="2425" w:type="dxa"/>
          </w:tcPr>
          <w:p w14:paraId="44701848" w14:textId="0E501950" w:rsidR="009D50BE" w:rsidRDefault="00AB3B33">
            <w:r>
              <w:t>Rameen Beroukhim, MD, PhD</w:t>
            </w:r>
          </w:p>
        </w:tc>
        <w:tc>
          <w:tcPr>
            <w:tcW w:w="7385" w:type="dxa"/>
          </w:tcPr>
          <w:p w14:paraId="6FD353AD" w14:textId="302A554E" w:rsidR="009D50BE" w:rsidRDefault="003A2327">
            <w:r>
              <w:t>Resident</w:t>
            </w:r>
            <w:r w:rsidR="00937188">
              <w:t xml:space="preserve"> of</w:t>
            </w:r>
            <w:r>
              <w:t xml:space="preserve"> Brookline</w:t>
            </w:r>
            <w:r w:rsidR="00937188">
              <w:t>, MA</w:t>
            </w:r>
            <w:r>
              <w:t xml:space="preserve"> </w:t>
            </w:r>
          </w:p>
          <w:p w14:paraId="1B6054CE" w14:textId="106BC0AE" w:rsidR="003A2327" w:rsidRDefault="003A2327">
            <w:r>
              <w:t>Provider and Researcher, Dana-Farber Cancer Institute</w:t>
            </w:r>
          </w:p>
        </w:tc>
      </w:tr>
      <w:tr w:rsidR="00216468" w14:paraId="7AAE2551" w14:textId="77777777" w:rsidTr="005066DC">
        <w:trPr>
          <w:cantSplit/>
        </w:trPr>
        <w:tc>
          <w:tcPr>
            <w:tcW w:w="2425" w:type="dxa"/>
          </w:tcPr>
          <w:p w14:paraId="2A123F76" w14:textId="3D5129CF" w:rsidR="009D50BE" w:rsidRDefault="00ED31E2">
            <w:r>
              <w:t>Mary-Ellen Taplin, MD</w:t>
            </w:r>
          </w:p>
        </w:tc>
        <w:tc>
          <w:tcPr>
            <w:tcW w:w="7385" w:type="dxa"/>
          </w:tcPr>
          <w:p w14:paraId="0D0CB7B2" w14:textId="1B33B9E5" w:rsidR="009D50BE" w:rsidRDefault="00ED31E2">
            <w:r>
              <w:t>Resident</w:t>
            </w:r>
            <w:r w:rsidR="00937188">
              <w:t xml:space="preserve"> of </w:t>
            </w:r>
            <w:r>
              <w:t>Boston</w:t>
            </w:r>
            <w:r w:rsidR="00937188">
              <w:t>, MA</w:t>
            </w:r>
          </w:p>
          <w:p w14:paraId="19194D10" w14:textId="3058F571" w:rsidR="00ED31E2" w:rsidRDefault="00ED31E2">
            <w:r>
              <w:t>Medical Oncologist, Dana-Farber Cancer Institute</w:t>
            </w:r>
          </w:p>
        </w:tc>
      </w:tr>
      <w:tr w:rsidR="00216468" w14:paraId="53B39DBF" w14:textId="77777777" w:rsidTr="005066DC">
        <w:trPr>
          <w:cantSplit/>
        </w:trPr>
        <w:tc>
          <w:tcPr>
            <w:tcW w:w="2425" w:type="dxa"/>
          </w:tcPr>
          <w:p w14:paraId="0A92FA8D" w14:textId="73B55344" w:rsidR="009D50BE" w:rsidRDefault="00456CEA">
            <w:r>
              <w:t>James A. Tulsky, MD</w:t>
            </w:r>
          </w:p>
        </w:tc>
        <w:tc>
          <w:tcPr>
            <w:tcW w:w="7385" w:type="dxa"/>
          </w:tcPr>
          <w:p w14:paraId="1F1C1BA8" w14:textId="615B8C48" w:rsidR="00823AA6" w:rsidRDefault="0084078E">
            <w:r w:rsidRPr="0084078E">
              <w:t>Poorvu Jaffe Chair, Department of Psychosocial Oncology and Palliative Care</w:t>
            </w:r>
            <w:r w:rsidR="00D536FD">
              <w:t>, Dana-Farber Cancer Institute</w:t>
            </w:r>
          </w:p>
          <w:p w14:paraId="43A2B2D6" w14:textId="453BB85A" w:rsidR="009D50BE" w:rsidRDefault="0084078E">
            <w:r w:rsidRPr="0084078E">
              <w:t>Chief, Division of Palliative Medicine, Brigham and Women’s Hospital Professor of Medicine, Harvard Medical School</w:t>
            </w:r>
          </w:p>
        </w:tc>
      </w:tr>
      <w:tr w:rsidR="00216468" w14:paraId="104758C0" w14:textId="77777777" w:rsidTr="005066DC">
        <w:trPr>
          <w:cantSplit/>
        </w:trPr>
        <w:tc>
          <w:tcPr>
            <w:tcW w:w="2425" w:type="dxa"/>
          </w:tcPr>
          <w:p w14:paraId="72D8B59C" w14:textId="58F46FAA" w:rsidR="009D50BE" w:rsidRDefault="005D0166">
            <w:r>
              <w:lastRenderedPageBreak/>
              <w:t>Karen</w:t>
            </w:r>
            <w:r w:rsidR="008D52D8">
              <w:t xml:space="preserve"> F.</w:t>
            </w:r>
            <w:r>
              <w:t xml:space="preserve"> Howley La Camera</w:t>
            </w:r>
          </w:p>
        </w:tc>
        <w:tc>
          <w:tcPr>
            <w:tcW w:w="7385" w:type="dxa"/>
          </w:tcPr>
          <w:p w14:paraId="432CA185" w14:textId="77777777" w:rsidR="009D50BE" w:rsidRDefault="00830CB4">
            <w:r>
              <w:t xml:space="preserve">Resident, Sudbury MA </w:t>
            </w:r>
          </w:p>
          <w:p w14:paraId="7EBC138F" w14:textId="01A96AD2" w:rsidR="00830CB4" w:rsidRDefault="00830CB4">
            <w:r>
              <w:t xml:space="preserve">Dana-Farber </w:t>
            </w:r>
            <w:r w:rsidR="00862CBD">
              <w:t xml:space="preserve">Cancer Institute </w:t>
            </w:r>
            <w:r>
              <w:t xml:space="preserve">Patient </w:t>
            </w:r>
          </w:p>
        </w:tc>
      </w:tr>
      <w:tr w:rsidR="00216468" w14:paraId="333DD0FD" w14:textId="77777777" w:rsidTr="005066DC">
        <w:trPr>
          <w:cantSplit/>
        </w:trPr>
        <w:tc>
          <w:tcPr>
            <w:tcW w:w="2425" w:type="dxa"/>
          </w:tcPr>
          <w:p w14:paraId="71D2D0FC" w14:textId="143D3F10" w:rsidR="009D50BE" w:rsidRDefault="00B219D6">
            <w:r>
              <w:t>Michael A. Curry, Esq</w:t>
            </w:r>
          </w:p>
        </w:tc>
        <w:tc>
          <w:tcPr>
            <w:tcW w:w="7385" w:type="dxa"/>
          </w:tcPr>
          <w:p w14:paraId="3FA83674" w14:textId="74120D9B" w:rsidR="009D50BE" w:rsidRDefault="00B219D6">
            <w:r>
              <w:t xml:space="preserve">President &amp; CEO, </w:t>
            </w:r>
            <w:r w:rsidR="00FA2E02">
              <w:t>Massachusetts League of Community Health Centers</w:t>
            </w:r>
          </w:p>
        </w:tc>
      </w:tr>
      <w:tr w:rsidR="00216468" w14:paraId="2D5DB99B" w14:textId="77777777" w:rsidTr="005066DC">
        <w:trPr>
          <w:cantSplit/>
        </w:trPr>
        <w:tc>
          <w:tcPr>
            <w:tcW w:w="2425" w:type="dxa"/>
          </w:tcPr>
          <w:p w14:paraId="0AC9FD2D" w14:textId="6B2862A4" w:rsidR="009D50BE" w:rsidRDefault="00A21784">
            <w:r>
              <w:t>Faith Simon</w:t>
            </w:r>
          </w:p>
        </w:tc>
        <w:tc>
          <w:tcPr>
            <w:tcW w:w="7385" w:type="dxa"/>
          </w:tcPr>
          <w:p w14:paraId="02024D57" w14:textId="3E68471D" w:rsidR="009D50BE" w:rsidRDefault="00A21784">
            <w:r>
              <w:t>Resident</w:t>
            </w:r>
            <w:r w:rsidR="002D457A">
              <w:t xml:space="preserve"> of Weymouth, MA </w:t>
            </w:r>
          </w:p>
        </w:tc>
      </w:tr>
      <w:tr w:rsidR="00216468" w14:paraId="73ABD330" w14:textId="77777777" w:rsidTr="005066DC">
        <w:trPr>
          <w:cantSplit/>
        </w:trPr>
        <w:tc>
          <w:tcPr>
            <w:tcW w:w="2425" w:type="dxa"/>
          </w:tcPr>
          <w:p w14:paraId="1D0663EA" w14:textId="57AD82CA" w:rsidR="009D50BE" w:rsidRDefault="00E40099">
            <w:r>
              <w:t>Nick Collins</w:t>
            </w:r>
          </w:p>
        </w:tc>
        <w:tc>
          <w:tcPr>
            <w:tcW w:w="7385" w:type="dxa"/>
          </w:tcPr>
          <w:p w14:paraId="1933CF7E" w14:textId="1D943343" w:rsidR="009D50BE" w:rsidRDefault="002D7BC2">
            <w:r>
              <w:t xml:space="preserve">Massachusetts </w:t>
            </w:r>
            <w:r w:rsidR="00E40099">
              <w:t>State Senator</w:t>
            </w:r>
            <w:r w:rsidR="00167AC1">
              <w:t xml:space="preserve">, </w:t>
            </w:r>
            <w:r w:rsidR="00385C4A">
              <w:t>First Suffolk</w:t>
            </w:r>
            <w:r w:rsidR="00167AC1">
              <w:t xml:space="preserve"> District</w:t>
            </w:r>
          </w:p>
        </w:tc>
      </w:tr>
      <w:tr w:rsidR="00216468" w14:paraId="40458098" w14:textId="77777777" w:rsidTr="005066DC">
        <w:trPr>
          <w:cantSplit/>
        </w:trPr>
        <w:tc>
          <w:tcPr>
            <w:tcW w:w="2425" w:type="dxa"/>
          </w:tcPr>
          <w:p w14:paraId="3B3FE274" w14:textId="737D57DF" w:rsidR="009D50BE" w:rsidRDefault="00937188">
            <w:r w:rsidRPr="00937188">
              <w:t>Brittany Flaherty</w:t>
            </w:r>
          </w:p>
        </w:tc>
        <w:tc>
          <w:tcPr>
            <w:tcW w:w="7385" w:type="dxa"/>
          </w:tcPr>
          <w:p w14:paraId="4224413B" w14:textId="77777777" w:rsidR="009D50BE" w:rsidRDefault="00937188">
            <w:r>
              <w:t>Resident of South Hamilton, MA</w:t>
            </w:r>
          </w:p>
          <w:p w14:paraId="115E90E2" w14:textId="77777777" w:rsidR="00D973A4" w:rsidRDefault="00D973A4">
            <w:r>
              <w:t>Dana-Farber Cancer Institute Employee</w:t>
            </w:r>
          </w:p>
          <w:p w14:paraId="1CDF5ED3" w14:textId="4E3BA8D0" w:rsidR="00D973A4" w:rsidRDefault="00D973A4">
            <w:r>
              <w:t>Former Dana-Farber Cancer Institute Patient</w:t>
            </w:r>
          </w:p>
        </w:tc>
      </w:tr>
      <w:tr w:rsidR="00EF309C" w14:paraId="2E717432" w14:textId="77777777" w:rsidTr="005066DC">
        <w:trPr>
          <w:cantSplit/>
        </w:trPr>
        <w:tc>
          <w:tcPr>
            <w:tcW w:w="2425" w:type="dxa"/>
          </w:tcPr>
          <w:p w14:paraId="32E70D47" w14:textId="7C62E9A3" w:rsidR="00EF309C" w:rsidRPr="00937188" w:rsidRDefault="00EF309C">
            <w:r>
              <w:t>Mike Rush</w:t>
            </w:r>
          </w:p>
        </w:tc>
        <w:tc>
          <w:tcPr>
            <w:tcW w:w="7385" w:type="dxa"/>
          </w:tcPr>
          <w:p w14:paraId="64F537FB" w14:textId="7384EA6A" w:rsidR="00EF309C" w:rsidRDefault="00EF309C">
            <w:r>
              <w:t>Massachusetts State Senator</w:t>
            </w:r>
            <w:r w:rsidR="005708E9">
              <w:t>, Norfolk and Suffolk District</w:t>
            </w:r>
          </w:p>
        </w:tc>
      </w:tr>
      <w:tr w:rsidR="0031260E" w14:paraId="4AA341C5" w14:textId="77777777" w:rsidTr="005066DC">
        <w:trPr>
          <w:cantSplit/>
        </w:trPr>
        <w:tc>
          <w:tcPr>
            <w:tcW w:w="2425" w:type="dxa"/>
          </w:tcPr>
          <w:p w14:paraId="3A3827E7" w14:textId="7EA57F25" w:rsidR="0031260E" w:rsidRDefault="0031260E">
            <w:r w:rsidRPr="0031260E">
              <w:t>Frank A. Moran</w:t>
            </w:r>
            <w:r w:rsidRPr="0031260E">
              <w:tab/>
            </w:r>
          </w:p>
        </w:tc>
        <w:tc>
          <w:tcPr>
            <w:tcW w:w="7385" w:type="dxa"/>
          </w:tcPr>
          <w:p w14:paraId="6DB30376" w14:textId="2DEEDA99" w:rsidR="0031260E" w:rsidRDefault="00227640" w:rsidP="0031260E">
            <w:r>
              <w:t xml:space="preserve">Massachusetts State Representative </w:t>
            </w:r>
            <w:r w:rsidR="00875A73">
              <w:t xml:space="preserve">, </w:t>
            </w:r>
            <w:r w:rsidR="0031260E">
              <w:t>17th Essex</w:t>
            </w:r>
            <w:r w:rsidR="00CB27A4">
              <w:t xml:space="preserve"> District</w:t>
            </w:r>
          </w:p>
          <w:p w14:paraId="42EF9CF2" w14:textId="0A2FABEE" w:rsidR="00847B34" w:rsidRDefault="00847B34" w:rsidP="0031260E">
            <w:r>
              <w:t>Second Assistant Majority Leader</w:t>
            </w:r>
          </w:p>
          <w:p w14:paraId="175FA0A9" w14:textId="0798BB49" w:rsidR="0031260E" w:rsidRDefault="0031260E" w:rsidP="0031260E">
            <w:r>
              <w:t>Dana-Farber Cancer Institute Patient</w:t>
            </w:r>
          </w:p>
        </w:tc>
      </w:tr>
      <w:tr w:rsidR="001F05ED" w14:paraId="67105CDE" w14:textId="77777777" w:rsidTr="005066DC">
        <w:trPr>
          <w:cantSplit/>
        </w:trPr>
        <w:tc>
          <w:tcPr>
            <w:tcW w:w="2425" w:type="dxa"/>
          </w:tcPr>
          <w:p w14:paraId="08661D2A" w14:textId="0332F1D3" w:rsidR="00AB4E00" w:rsidRDefault="00AB4E00">
            <w:bookmarkStart w:id="44" w:name="_Hlk167970161"/>
            <w:r>
              <w:t xml:space="preserve">Joint </w:t>
            </w:r>
            <w:r w:rsidR="000E54F1">
              <w:t>Letter</w:t>
            </w:r>
            <w:r>
              <w:t>:</w:t>
            </w:r>
          </w:p>
          <w:p w14:paraId="52207558" w14:textId="61BC1B09" w:rsidR="001F05ED" w:rsidRDefault="001F05ED">
            <w:r w:rsidRPr="001F05ED">
              <w:t>Chynah Tyler</w:t>
            </w:r>
          </w:p>
          <w:p w14:paraId="3D1F3F1F" w14:textId="77777777" w:rsidR="007318BB" w:rsidRDefault="007318BB">
            <w:r w:rsidRPr="007318BB">
              <w:t>David Biele</w:t>
            </w:r>
          </w:p>
          <w:p w14:paraId="30346F23" w14:textId="77777777" w:rsidR="007318BB" w:rsidRDefault="00C63A36">
            <w:r w:rsidRPr="00C63A36">
              <w:t>Rob Consalvo</w:t>
            </w:r>
          </w:p>
          <w:p w14:paraId="26085D99" w14:textId="77777777" w:rsidR="00BE4458" w:rsidRDefault="00BE4458">
            <w:r w:rsidRPr="00BE4458">
              <w:t>Brandy Fluker Oakley</w:t>
            </w:r>
          </w:p>
          <w:p w14:paraId="2670F7E5" w14:textId="77777777" w:rsidR="00AB4E00" w:rsidRDefault="00AB4E00">
            <w:r w:rsidRPr="00AB4E00">
              <w:t>Kevin Honan</w:t>
            </w:r>
          </w:p>
          <w:p w14:paraId="68F639FE" w14:textId="77777777" w:rsidR="00AB4E00" w:rsidRDefault="00E630B8">
            <w:r w:rsidRPr="00E630B8">
              <w:t>Jay D. Livingstone</w:t>
            </w:r>
          </w:p>
          <w:p w14:paraId="6ED39059" w14:textId="77777777" w:rsidR="00E630B8" w:rsidRDefault="00E630B8">
            <w:r w:rsidRPr="00E630B8">
              <w:t>William MacGregor</w:t>
            </w:r>
          </w:p>
          <w:p w14:paraId="3C87C94A" w14:textId="77777777" w:rsidR="006B09C6" w:rsidRDefault="006B09C6">
            <w:r w:rsidRPr="006B09C6">
              <w:t>Daniel Ryan</w:t>
            </w:r>
          </w:p>
          <w:p w14:paraId="49F99693" w14:textId="60CAB593" w:rsidR="006B09C6" w:rsidRPr="0031260E" w:rsidRDefault="00CD558E">
            <w:r w:rsidRPr="00CD558E">
              <w:t>Christopher J. Worrell</w:t>
            </w:r>
          </w:p>
        </w:tc>
        <w:tc>
          <w:tcPr>
            <w:tcW w:w="7385" w:type="dxa"/>
          </w:tcPr>
          <w:p w14:paraId="61EB3A9F" w14:textId="77777777" w:rsidR="00AB4E00" w:rsidRDefault="00AB4E00" w:rsidP="0031260E"/>
          <w:p w14:paraId="5AC84A57" w14:textId="1834E272" w:rsidR="001F05ED" w:rsidRDefault="001F05ED" w:rsidP="0031260E">
            <w:r>
              <w:t xml:space="preserve">Massachusetts State Representative, </w:t>
            </w:r>
            <w:r w:rsidR="007318BB" w:rsidRPr="007318BB">
              <w:t>7th Suffolk District</w:t>
            </w:r>
          </w:p>
          <w:p w14:paraId="0C769F5D" w14:textId="7103710C" w:rsidR="007318BB" w:rsidRDefault="007318BB" w:rsidP="007318BB">
            <w:r>
              <w:t>Massachusetts State Representative</w:t>
            </w:r>
            <w:r w:rsidR="00875A73">
              <w:t>,</w:t>
            </w:r>
            <w:r>
              <w:t xml:space="preserve"> 4th Suffolk District</w:t>
            </w:r>
          </w:p>
          <w:p w14:paraId="726A3ED8" w14:textId="306425CD" w:rsidR="00BE4458" w:rsidRDefault="00BE4458" w:rsidP="00BE4458">
            <w:r>
              <w:t xml:space="preserve">Massachusetts State Representative, </w:t>
            </w:r>
            <w:r w:rsidR="00957166">
              <w:t>1</w:t>
            </w:r>
            <w:r>
              <w:t>4th Suffolk District</w:t>
            </w:r>
          </w:p>
          <w:p w14:paraId="236ABF8E" w14:textId="77777777" w:rsidR="00AB4E00" w:rsidRDefault="00AB4E00" w:rsidP="00AB4E00">
            <w:r>
              <w:t>Massachusetts State Representative, 12th Suffolk District</w:t>
            </w:r>
          </w:p>
          <w:p w14:paraId="6581A91D" w14:textId="02F3E59B" w:rsidR="00AB4E00" w:rsidRDefault="00AB4E00" w:rsidP="00AB4E00">
            <w:r>
              <w:t>Massachusetts State Representative, 17th Suffolk District</w:t>
            </w:r>
          </w:p>
          <w:p w14:paraId="5654EBD5" w14:textId="13B7B208" w:rsidR="00E630B8" w:rsidRDefault="00E630B8" w:rsidP="00E630B8">
            <w:r>
              <w:t>Massachusetts State Representative, 8th Suffolk District</w:t>
            </w:r>
          </w:p>
          <w:p w14:paraId="6A36403F" w14:textId="1292B013" w:rsidR="00E630B8" w:rsidRDefault="00E630B8" w:rsidP="006B09C6">
            <w:r>
              <w:t xml:space="preserve">Massachusetts </w:t>
            </w:r>
            <w:r w:rsidR="006B09C6">
              <w:t>State Representative, 10th Suffolk District</w:t>
            </w:r>
          </w:p>
          <w:p w14:paraId="56F96A4C" w14:textId="77777777" w:rsidR="00AB4E00" w:rsidRDefault="006B09C6" w:rsidP="006B09C6">
            <w:r>
              <w:t>Massachusetts State Representative, 2nd Suffolk District</w:t>
            </w:r>
          </w:p>
          <w:p w14:paraId="07126098" w14:textId="4E9B6B42" w:rsidR="00CD558E" w:rsidRDefault="00CD558E" w:rsidP="00CD558E">
            <w:r>
              <w:t>Massachusetts  State Representative, 5th Suffolk District</w:t>
            </w:r>
          </w:p>
        </w:tc>
      </w:tr>
      <w:bookmarkEnd w:id="44"/>
      <w:tr w:rsidR="009E5C20" w14:paraId="018C07C7" w14:textId="77777777" w:rsidTr="005066DC">
        <w:trPr>
          <w:cantSplit/>
        </w:trPr>
        <w:tc>
          <w:tcPr>
            <w:tcW w:w="2425" w:type="dxa"/>
          </w:tcPr>
          <w:p w14:paraId="5A51D04A" w14:textId="24EFD123" w:rsidR="009E5C20" w:rsidRDefault="009E5C20">
            <w:r>
              <w:t>Beth Hanlon</w:t>
            </w:r>
          </w:p>
        </w:tc>
        <w:tc>
          <w:tcPr>
            <w:tcW w:w="7385" w:type="dxa"/>
          </w:tcPr>
          <w:p w14:paraId="0FB08286" w14:textId="75920F8E" w:rsidR="009E5C20" w:rsidRDefault="009E5C20" w:rsidP="0031260E">
            <w:r>
              <w:t>Resident of Milton, MA</w:t>
            </w:r>
          </w:p>
        </w:tc>
      </w:tr>
      <w:tr w:rsidR="00C00E22" w14:paraId="38F6CB7F" w14:textId="77777777" w:rsidTr="005066DC">
        <w:trPr>
          <w:cantSplit/>
        </w:trPr>
        <w:tc>
          <w:tcPr>
            <w:tcW w:w="2425" w:type="dxa"/>
          </w:tcPr>
          <w:p w14:paraId="382C546A" w14:textId="235C5EDF" w:rsidR="00C00E22" w:rsidRDefault="002617B4">
            <w:r w:rsidRPr="002617B4">
              <w:t>Naomi Lenane</w:t>
            </w:r>
          </w:p>
        </w:tc>
        <w:tc>
          <w:tcPr>
            <w:tcW w:w="7385" w:type="dxa"/>
          </w:tcPr>
          <w:p w14:paraId="6EDA5116" w14:textId="77777777" w:rsidR="00C00E22" w:rsidRDefault="00C00E22" w:rsidP="0031260E">
            <w:r>
              <w:t>R</w:t>
            </w:r>
            <w:r w:rsidRPr="00C00E22">
              <w:t xml:space="preserve">esident of Raynham, </w:t>
            </w:r>
            <w:r>
              <w:t>MA</w:t>
            </w:r>
          </w:p>
          <w:p w14:paraId="17AF3E54" w14:textId="7C950E2C" w:rsidR="00920BDC" w:rsidRDefault="00920BDC" w:rsidP="0031260E">
            <w:r w:rsidRPr="00920BDC">
              <w:t>Chief Information Officer, Dana-Farber Cancer Institute</w:t>
            </w:r>
          </w:p>
        </w:tc>
      </w:tr>
      <w:tr w:rsidR="004371C9" w14:paraId="524DDD80" w14:textId="77777777" w:rsidTr="005066DC">
        <w:trPr>
          <w:cantSplit/>
        </w:trPr>
        <w:tc>
          <w:tcPr>
            <w:tcW w:w="2425" w:type="dxa"/>
          </w:tcPr>
          <w:p w14:paraId="67A31A0D" w14:textId="593AD35A" w:rsidR="004371C9" w:rsidRPr="002617B4" w:rsidRDefault="00A44626">
            <w:r w:rsidRPr="00A44626">
              <w:t>Russ Russell</w:t>
            </w:r>
          </w:p>
        </w:tc>
        <w:tc>
          <w:tcPr>
            <w:tcW w:w="7385" w:type="dxa"/>
          </w:tcPr>
          <w:p w14:paraId="5DEA676C" w14:textId="77777777" w:rsidR="004371C9" w:rsidRDefault="00A44626" w:rsidP="0031260E">
            <w:r>
              <w:t>Resident of Brookline, MA</w:t>
            </w:r>
          </w:p>
          <w:p w14:paraId="772B46F3" w14:textId="1A78C347" w:rsidR="00A44626" w:rsidRDefault="00A44626" w:rsidP="0031260E">
            <w:r>
              <w:t xml:space="preserve">Dana-Farber Cancer Institute </w:t>
            </w:r>
            <w:r w:rsidR="00A53215">
              <w:t>E</w:t>
            </w:r>
            <w:r>
              <w:t>mployee</w:t>
            </w:r>
          </w:p>
        </w:tc>
      </w:tr>
      <w:tr w:rsidR="00A53215" w14:paraId="1A2403EA" w14:textId="77777777" w:rsidTr="005066DC">
        <w:trPr>
          <w:cantSplit/>
        </w:trPr>
        <w:tc>
          <w:tcPr>
            <w:tcW w:w="2425" w:type="dxa"/>
          </w:tcPr>
          <w:p w14:paraId="49B416E0" w14:textId="07B648C0" w:rsidR="00A53215" w:rsidRPr="00A44626" w:rsidRDefault="00A53215">
            <w:r>
              <w:t>Karen Byers</w:t>
            </w:r>
            <w:r w:rsidR="00467231">
              <w:t xml:space="preserve">, </w:t>
            </w:r>
            <w:r w:rsidR="00467231" w:rsidRPr="00467231">
              <w:t>MS, RBP, CBSP</w:t>
            </w:r>
          </w:p>
        </w:tc>
        <w:tc>
          <w:tcPr>
            <w:tcW w:w="7385" w:type="dxa"/>
          </w:tcPr>
          <w:p w14:paraId="6028D8F2" w14:textId="77777777" w:rsidR="00A53215" w:rsidRDefault="00A53215" w:rsidP="0031260E">
            <w:r>
              <w:t>Resident of Newton, MA</w:t>
            </w:r>
          </w:p>
          <w:p w14:paraId="1CDE6060" w14:textId="458F79B2" w:rsidR="00A53215" w:rsidRDefault="00396686" w:rsidP="0031260E">
            <w:r>
              <w:t xml:space="preserve">Director of Biosafety, </w:t>
            </w:r>
            <w:r w:rsidR="00A53215">
              <w:t xml:space="preserve">Dana-Farber Cancer Institute </w:t>
            </w:r>
          </w:p>
        </w:tc>
      </w:tr>
      <w:tr w:rsidR="0096619A" w14:paraId="1CA04BF1" w14:textId="77777777" w:rsidTr="005066DC">
        <w:trPr>
          <w:cantSplit/>
        </w:trPr>
        <w:tc>
          <w:tcPr>
            <w:tcW w:w="2425" w:type="dxa"/>
          </w:tcPr>
          <w:p w14:paraId="5CB94C41" w14:textId="46374553" w:rsidR="0096619A" w:rsidRDefault="0096619A">
            <w:r w:rsidRPr="0096619A">
              <w:t xml:space="preserve">Margaret </w:t>
            </w:r>
            <w:r w:rsidR="00870B29">
              <w:t xml:space="preserve">T. </w:t>
            </w:r>
            <w:r w:rsidRPr="0096619A">
              <w:t>Powers</w:t>
            </w:r>
          </w:p>
        </w:tc>
        <w:tc>
          <w:tcPr>
            <w:tcW w:w="7385" w:type="dxa"/>
          </w:tcPr>
          <w:p w14:paraId="205A7F41" w14:textId="77777777" w:rsidR="0096619A" w:rsidRDefault="0096619A" w:rsidP="0031260E">
            <w:r>
              <w:t xml:space="preserve">Resident of Needham, MA </w:t>
            </w:r>
          </w:p>
          <w:p w14:paraId="4BAF3C12" w14:textId="54D4E26A" w:rsidR="00870B29" w:rsidRDefault="00870B29" w:rsidP="0031260E">
            <w:r w:rsidRPr="00870B29">
              <w:t>Manager of Stem Cell Donor Services</w:t>
            </w:r>
            <w:r>
              <w:t xml:space="preserve">, Dana-Farber Cancer Institute </w:t>
            </w:r>
          </w:p>
        </w:tc>
      </w:tr>
      <w:tr w:rsidR="00ED57E2" w14:paraId="7E5CC9FE" w14:textId="77777777" w:rsidTr="005066DC">
        <w:trPr>
          <w:cantSplit/>
        </w:trPr>
        <w:tc>
          <w:tcPr>
            <w:tcW w:w="2425" w:type="dxa"/>
          </w:tcPr>
          <w:p w14:paraId="7D0F374B" w14:textId="20E93E79" w:rsidR="00ED57E2" w:rsidRPr="0096619A" w:rsidRDefault="00EB762E" w:rsidP="00EB762E">
            <w:r w:rsidRPr="00EB762E">
              <w:t>Jeanine Rundquist DNP, RN, NEA-BC</w:t>
            </w:r>
          </w:p>
        </w:tc>
        <w:tc>
          <w:tcPr>
            <w:tcW w:w="7385" w:type="dxa"/>
          </w:tcPr>
          <w:p w14:paraId="25CF7AB5" w14:textId="4BE501CB" w:rsidR="00B72551" w:rsidRDefault="00B72551" w:rsidP="0031260E">
            <w:r>
              <w:t>Resident of Beverly, MA</w:t>
            </w:r>
          </w:p>
          <w:p w14:paraId="4BC92351" w14:textId="4FF930BC" w:rsidR="00ED57E2" w:rsidRDefault="00832956" w:rsidP="0031260E">
            <w:r w:rsidRPr="00832956">
              <w:t>Executive Director, Center for Clinical and Professional Development a</w:t>
            </w:r>
            <w:r w:rsidR="00AF062D">
              <w:t>t</w:t>
            </w:r>
            <w:r w:rsidRPr="00832956">
              <w:t xml:space="preserve"> Dana-Farber</w:t>
            </w:r>
            <w:r w:rsidR="00AF062D">
              <w:t xml:space="preserve"> Cancer Institute </w:t>
            </w:r>
          </w:p>
        </w:tc>
      </w:tr>
      <w:tr w:rsidR="006539E1" w14:paraId="539BEDD8" w14:textId="77777777" w:rsidTr="005066DC">
        <w:trPr>
          <w:cantSplit/>
        </w:trPr>
        <w:tc>
          <w:tcPr>
            <w:tcW w:w="2425" w:type="dxa"/>
          </w:tcPr>
          <w:p w14:paraId="4434B090" w14:textId="0C2C1AAC" w:rsidR="006539E1" w:rsidRPr="00EB762E" w:rsidRDefault="00D45EB3" w:rsidP="00EB762E">
            <w:r w:rsidRPr="00D45EB3">
              <w:t xml:space="preserve">Alice </w:t>
            </w:r>
            <w:r w:rsidR="00DA197E">
              <w:t xml:space="preserve">Hanlon </w:t>
            </w:r>
            <w:r w:rsidRPr="00D45EB3">
              <w:t>Peisch</w:t>
            </w:r>
          </w:p>
        </w:tc>
        <w:tc>
          <w:tcPr>
            <w:tcW w:w="7385" w:type="dxa"/>
          </w:tcPr>
          <w:p w14:paraId="2D91BEFD" w14:textId="6A0684F4" w:rsidR="00D45EB3" w:rsidRDefault="00167760" w:rsidP="00D45EB3">
            <w:r>
              <w:t xml:space="preserve">Massachusetts State </w:t>
            </w:r>
            <w:r w:rsidR="00D45EB3">
              <w:t xml:space="preserve">Representative </w:t>
            </w:r>
          </w:p>
          <w:p w14:paraId="27D92114" w14:textId="30863772" w:rsidR="00D45EB3" w:rsidRDefault="00D45EB3" w:rsidP="00D45EB3">
            <w:r>
              <w:t>14th Norfolk District</w:t>
            </w:r>
          </w:p>
          <w:p w14:paraId="6A7EE76C" w14:textId="77777777" w:rsidR="006539E1" w:rsidRDefault="00D45EB3" w:rsidP="00D45EB3">
            <w:r>
              <w:t>Assistant Majority Leader</w:t>
            </w:r>
          </w:p>
          <w:p w14:paraId="34664CC5" w14:textId="4044BE38" w:rsidR="006339AA" w:rsidRPr="00832956" w:rsidRDefault="006339AA" w:rsidP="00D45EB3">
            <w:r>
              <w:t xml:space="preserve">Dana-Farber Cancer Institute Patient </w:t>
            </w:r>
          </w:p>
        </w:tc>
      </w:tr>
      <w:tr w:rsidR="006339AA" w14:paraId="495E7C78" w14:textId="77777777" w:rsidTr="005066DC">
        <w:trPr>
          <w:cantSplit/>
        </w:trPr>
        <w:tc>
          <w:tcPr>
            <w:tcW w:w="2425" w:type="dxa"/>
          </w:tcPr>
          <w:p w14:paraId="138FE99D" w14:textId="2CEF8561" w:rsidR="006339AA" w:rsidRPr="00D45EB3" w:rsidRDefault="006756AA" w:rsidP="00EB762E">
            <w:r w:rsidRPr="006756AA">
              <w:t>Laurie H. Glimcher, M.D</w:t>
            </w:r>
          </w:p>
        </w:tc>
        <w:tc>
          <w:tcPr>
            <w:tcW w:w="7385" w:type="dxa"/>
          </w:tcPr>
          <w:p w14:paraId="1301DBEB" w14:textId="49B50B26" w:rsidR="006339AA" w:rsidRDefault="009963F9" w:rsidP="00D45EB3">
            <w:r w:rsidRPr="009963F9">
              <w:t>President and CEO Emerita (2016-2024), Dana-Farber Cancer Institute</w:t>
            </w:r>
          </w:p>
        </w:tc>
      </w:tr>
      <w:tr w:rsidR="00E44961" w14:paraId="4D209932" w14:textId="77777777" w:rsidTr="005066DC">
        <w:trPr>
          <w:cantSplit/>
        </w:trPr>
        <w:tc>
          <w:tcPr>
            <w:tcW w:w="2425" w:type="dxa"/>
          </w:tcPr>
          <w:p w14:paraId="646877FE" w14:textId="6A42E31D" w:rsidR="00E44961" w:rsidRPr="006756AA" w:rsidRDefault="008F1E52" w:rsidP="00EB762E">
            <w:r w:rsidRPr="008F1E52">
              <w:lastRenderedPageBreak/>
              <w:t>Ronald J. Mariano</w:t>
            </w:r>
          </w:p>
        </w:tc>
        <w:tc>
          <w:tcPr>
            <w:tcW w:w="7385" w:type="dxa"/>
          </w:tcPr>
          <w:p w14:paraId="53762D9F" w14:textId="77777777" w:rsidR="00E44961" w:rsidRDefault="008F1E52" w:rsidP="00D45EB3">
            <w:r w:rsidRPr="008F1E52">
              <w:t>Speaker of the House of Representatives</w:t>
            </w:r>
          </w:p>
          <w:p w14:paraId="16D038D2" w14:textId="760F530F" w:rsidR="008F1E52" w:rsidRPr="000D2B63" w:rsidRDefault="008F1E52" w:rsidP="00D45EB3">
            <w:r>
              <w:t>Massachusetts State Representative, 3</w:t>
            </w:r>
            <w:r w:rsidRPr="008F1E52">
              <w:rPr>
                <w:vertAlign w:val="superscript"/>
              </w:rPr>
              <w:t>rd</w:t>
            </w:r>
            <w:r>
              <w:t xml:space="preserve"> Norfolk District</w:t>
            </w:r>
          </w:p>
        </w:tc>
      </w:tr>
      <w:tr w:rsidR="0009396F" w14:paraId="1610A81D" w14:textId="77777777" w:rsidTr="005066DC">
        <w:trPr>
          <w:cantSplit/>
        </w:trPr>
        <w:tc>
          <w:tcPr>
            <w:tcW w:w="2425" w:type="dxa"/>
          </w:tcPr>
          <w:p w14:paraId="1E45BF2C" w14:textId="7E20779F" w:rsidR="0009396F" w:rsidRPr="008F1E52" w:rsidRDefault="0009396F" w:rsidP="00EB762E">
            <w:r w:rsidRPr="0009396F">
              <w:t>Heidi Conway</w:t>
            </w:r>
          </w:p>
        </w:tc>
        <w:tc>
          <w:tcPr>
            <w:tcW w:w="7385" w:type="dxa"/>
          </w:tcPr>
          <w:p w14:paraId="310F91F8" w14:textId="77777777" w:rsidR="0009396F" w:rsidRDefault="0009396F" w:rsidP="0009396F">
            <w:r>
              <w:t>Senior Vice President, Human Resources and Chief People Officer</w:t>
            </w:r>
          </w:p>
          <w:p w14:paraId="74C3C95B" w14:textId="3D5FAE03" w:rsidR="0009396F" w:rsidRPr="008F1E52" w:rsidRDefault="0009396F" w:rsidP="0009396F">
            <w:r>
              <w:t>Dana-Farber Cancer Institute</w:t>
            </w:r>
          </w:p>
        </w:tc>
      </w:tr>
      <w:tr w:rsidR="0013649E" w14:paraId="20F0BF24" w14:textId="77777777" w:rsidTr="005066DC">
        <w:trPr>
          <w:cantSplit/>
        </w:trPr>
        <w:tc>
          <w:tcPr>
            <w:tcW w:w="2425" w:type="dxa"/>
          </w:tcPr>
          <w:p w14:paraId="30A160C2" w14:textId="5464C34A" w:rsidR="0013649E" w:rsidRPr="0009396F" w:rsidRDefault="000401DC" w:rsidP="00EB762E">
            <w:r w:rsidRPr="000401DC">
              <w:t>Caesar Palladino Sodre</w:t>
            </w:r>
          </w:p>
        </w:tc>
        <w:tc>
          <w:tcPr>
            <w:tcW w:w="7385" w:type="dxa"/>
          </w:tcPr>
          <w:p w14:paraId="5331908E" w14:textId="77777777" w:rsidR="0013649E" w:rsidRDefault="000401DC" w:rsidP="0009396F">
            <w:r>
              <w:t xml:space="preserve">Resident of Natick, MA </w:t>
            </w:r>
          </w:p>
          <w:p w14:paraId="3A09B1A4" w14:textId="59ACC910" w:rsidR="00B82EBA" w:rsidRDefault="00B82EBA" w:rsidP="0009396F">
            <w:r>
              <w:t xml:space="preserve">Dana-Farber Cancer Institute Patient </w:t>
            </w:r>
          </w:p>
        </w:tc>
      </w:tr>
      <w:tr w:rsidR="00F36ADF" w14:paraId="3E549CBC" w14:textId="77777777" w:rsidTr="005066DC">
        <w:trPr>
          <w:cantSplit/>
        </w:trPr>
        <w:tc>
          <w:tcPr>
            <w:tcW w:w="2425" w:type="dxa"/>
          </w:tcPr>
          <w:p w14:paraId="2CE17CA4" w14:textId="41FED2EF" w:rsidR="00F36ADF" w:rsidRPr="000401DC" w:rsidRDefault="00F36ADF" w:rsidP="00F36ADF">
            <w:r w:rsidRPr="00406C81">
              <w:t>Ann-Margaret Ferrante</w:t>
            </w:r>
          </w:p>
        </w:tc>
        <w:tc>
          <w:tcPr>
            <w:tcW w:w="7385" w:type="dxa"/>
          </w:tcPr>
          <w:p w14:paraId="0C569161" w14:textId="47E31836" w:rsidR="00F36ADF" w:rsidRDefault="00F36ADF" w:rsidP="00F36ADF">
            <w:r w:rsidRPr="00406C81">
              <w:t xml:space="preserve">Massachusetts State Representative, 5th </w:t>
            </w:r>
            <w:r w:rsidR="00357AD3">
              <w:t xml:space="preserve">Essex District </w:t>
            </w:r>
          </w:p>
          <w:p w14:paraId="1C018F01" w14:textId="534A782D" w:rsidR="00F36ADF" w:rsidRDefault="00F36ADF" w:rsidP="00F36ADF">
            <w:r>
              <w:t>Vice Chair</w:t>
            </w:r>
            <w:r w:rsidR="00B97926">
              <w:t>, House Committee on</w:t>
            </w:r>
            <w:r>
              <w:t xml:space="preserve"> Ways and Means </w:t>
            </w:r>
          </w:p>
          <w:p w14:paraId="617771C6" w14:textId="02D7DFBA" w:rsidR="00F36ADF" w:rsidRDefault="00F36ADF" w:rsidP="00F36ADF">
            <w:r>
              <w:t>Dana-Farber Cancer Institute Patient</w:t>
            </w:r>
          </w:p>
        </w:tc>
      </w:tr>
      <w:tr w:rsidR="00CD0360" w14:paraId="7B725B39" w14:textId="77777777" w:rsidTr="005066DC">
        <w:trPr>
          <w:cantSplit/>
        </w:trPr>
        <w:tc>
          <w:tcPr>
            <w:tcW w:w="2425" w:type="dxa"/>
          </w:tcPr>
          <w:p w14:paraId="16BBCE2B" w14:textId="02C52D7D" w:rsidR="00CD0360" w:rsidRPr="00406C81" w:rsidRDefault="00344257" w:rsidP="00F36ADF">
            <w:r w:rsidRPr="00344257">
              <w:t>Craig A. Bunnell, MD, MPH, MBA</w:t>
            </w:r>
          </w:p>
        </w:tc>
        <w:tc>
          <w:tcPr>
            <w:tcW w:w="7385" w:type="dxa"/>
          </w:tcPr>
          <w:p w14:paraId="3DE0FDB8" w14:textId="47F9CE5F" w:rsidR="00CD0360" w:rsidRPr="00406C81" w:rsidRDefault="00344257" w:rsidP="00F36ADF">
            <w:r w:rsidRPr="00344257">
              <w:t>Chief Medical Officer for Dana-Farber Cancer Institute</w:t>
            </w:r>
          </w:p>
        </w:tc>
      </w:tr>
      <w:tr w:rsidR="00624989" w14:paraId="5A3C9DA4" w14:textId="77777777" w:rsidTr="005066DC">
        <w:trPr>
          <w:cantSplit/>
        </w:trPr>
        <w:tc>
          <w:tcPr>
            <w:tcW w:w="2425" w:type="dxa"/>
          </w:tcPr>
          <w:p w14:paraId="7A6E88A9" w14:textId="6E0C2603" w:rsidR="00624989" w:rsidRPr="00344257" w:rsidRDefault="00624989" w:rsidP="00F36ADF">
            <w:r w:rsidRPr="00624989">
              <w:t xml:space="preserve">Chuck </w:t>
            </w:r>
            <w:r w:rsidR="00D207DD">
              <w:t xml:space="preserve">J, </w:t>
            </w:r>
            <w:r w:rsidRPr="00624989">
              <w:t>Stravin</w:t>
            </w:r>
            <w:r w:rsidR="00D207DD">
              <w:t xml:space="preserve"> III</w:t>
            </w:r>
          </w:p>
        </w:tc>
        <w:tc>
          <w:tcPr>
            <w:tcW w:w="7385" w:type="dxa"/>
          </w:tcPr>
          <w:p w14:paraId="31BE88E1" w14:textId="77777777" w:rsidR="00624989" w:rsidRDefault="00624989" w:rsidP="00F36ADF">
            <w:r>
              <w:t>Resident of Quincy, MA</w:t>
            </w:r>
          </w:p>
          <w:p w14:paraId="7D7DB2AD" w14:textId="49AD5C26" w:rsidR="0048489E" w:rsidRPr="00344257" w:rsidRDefault="0048489E" w:rsidP="00F36ADF">
            <w:r>
              <w:t xml:space="preserve">Dana-Farber Cancer Institute Patient </w:t>
            </w:r>
          </w:p>
        </w:tc>
      </w:tr>
      <w:tr w:rsidR="00624E80" w14:paraId="1CBBB7FA" w14:textId="77777777" w:rsidTr="005066DC">
        <w:trPr>
          <w:cantSplit/>
        </w:trPr>
        <w:tc>
          <w:tcPr>
            <w:tcW w:w="2425" w:type="dxa"/>
          </w:tcPr>
          <w:p w14:paraId="51EB465A" w14:textId="3EE03A53" w:rsidR="00624E80" w:rsidRPr="00624989" w:rsidRDefault="00280B76" w:rsidP="00F36ADF">
            <w:r w:rsidRPr="00280B76">
              <w:t>Steven Koppel</w:t>
            </w:r>
          </w:p>
        </w:tc>
        <w:tc>
          <w:tcPr>
            <w:tcW w:w="7385" w:type="dxa"/>
          </w:tcPr>
          <w:p w14:paraId="76CCE9FA" w14:textId="77777777" w:rsidR="00624E80" w:rsidRDefault="00280B76" w:rsidP="00F36ADF">
            <w:r>
              <w:t xml:space="preserve">Resident of Brewster, MA </w:t>
            </w:r>
          </w:p>
          <w:p w14:paraId="49F6D0F9" w14:textId="5148DC96" w:rsidR="00E72D01" w:rsidRDefault="00E72D01" w:rsidP="00F36ADF">
            <w:r>
              <w:t>M</w:t>
            </w:r>
            <w:r w:rsidRPr="00E72D01">
              <w:t>ember</w:t>
            </w:r>
            <w:r>
              <w:t xml:space="preserve"> of the </w:t>
            </w:r>
            <w:r w:rsidRPr="00E72D01">
              <w:t xml:space="preserve">Dana-Farber </w:t>
            </w:r>
            <w:r>
              <w:t xml:space="preserve">Cancer Institute </w:t>
            </w:r>
            <w:r w:rsidRPr="00E72D01">
              <w:t>Board of Trustees</w:t>
            </w:r>
          </w:p>
        </w:tc>
      </w:tr>
      <w:tr w:rsidR="00661EB8" w14:paraId="562ECDF8" w14:textId="77777777" w:rsidTr="005066DC">
        <w:trPr>
          <w:cantSplit/>
        </w:trPr>
        <w:tc>
          <w:tcPr>
            <w:tcW w:w="2425" w:type="dxa"/>
          </w:tcPr>
          <w:p w14:paraId="2C7D3704" w14:textId="1750701E" w:rsidR="00661EB8" w:rsidRPr="00280B76" w:rsidRDefault="00661EB8" w:rsidP="00F36ADF">
            <w:r w:rsidRPr="00661EB8">
              <w:t xml:space="preserve">Michael </w:t>
            </w:r>
            <w:r w:rsidR="00197971">
              <w:t xml:space="preserve">L. </w:t>
            </w:r>
            <w:r w:rsidRPr="00661EB8">
              <w:t>Reney</w:t>
            </w:r>
          </w:p>
        </w:tc>
        <w:tc>
          <w:tcPr>
            <w:tcW w:w="7385" w:type="dxa"/>
          </w:tcPr>
          <w:p w14:paraId="079CA800" w14:textId="1775634E" w:rsidR="009F599D" w:rsidRDefault="009F599D" w:rsidP="00522D5B">
            <w:r>
              <w:t>Resident of the South End in Boston</w:t>
            </w:r>
            <w:r w:rsidR="007A0B4F">
              <w:t>, MA</w:t>
            </w:r>
          </w:p>
          <w:p w14:paraId="5AB4690C" w14:textId="7022F1A1" w:rsidR="00661EB8" w:rsidRDefault="00522D5B" w:rsidP="00522D5B">
            <w:r>
              <w:t>Executive Vice President, Chief Finance and Business Strategy Officer, Dana-Farber Cancer Institute</w:t>
            </w:r>
          </w:p>
        </w:tc>
      </w:tr>
      <w:tr w:rsidR="00F619AC" w14:paraId="7E979019" w14:textId="77777777" w:rsidTr="005066DC">
        <w:trPr>
          <w:cantSplit/>
        </w:trPr>
        <w:tc>
          <w:tcPr>
            <w:tcW w:w="2425" w:type="dxa"/>
          </w:tcPr>
          <w:p w14:paraId="1B918369" w14:textId="0C52BA27" w:rsidR="00F619AC" w:rsidRPr="00661EB8" w:rsidRDefault="008D10E9" w:rsidP="00F36ADF">
            <w:r w:rsidRPr="008D10E9">
              <w:t>David E. Avigan, MD</w:t>
            </w:r>
          </w:p>
        </w:tc>
        <w:tc>
          <w:tcPr>
            <w:tcW w:w="7385" w:type="dxa"/>
          </w:tcPr>
          <w:p w14:paraId="598D59AC" w14:textId="5E07FE22" w:rsidR="00721EB4" w:rsidRDefault="00721EB4" w:rsidP="00721EB4">
            <w:r>
              <w:t xml:space="preserve">Director of the </w:t>
            </w:r>
            <w:r w:rsidR="00303D17" w:rsidRPr="00303D17">
              <w:t>Beth Israel Deaconess Medical Center</w:t>
            </w:r>
            <w:r>
              <w:t xml:space="preserve"> Cancer Center</w:t>
            </w:r>
          </w:p>
          <w:p w14:paraId="386B11D3" w14:textId="1EB60DD4" w:rsidR="00F619AC" w:rsidRDefault="00721EB4" w:rsidP="00721EB4">
            <w:r>
              <w:t>Senior Vice President of Cancer Services at Beth Israel Lahey Health</w:t>
            </w:r>
          </w:p>
        </w:tc>
      </w:tr>
      <w:tr w:rsidR="00F95853" w14:paraId="7B845C7D" w14:textId="77777777" w:rsidTr="005066DC">
        <w:trPr>
          <w:cantSplit/>
        </w:trPr>
        <w:tc>
          <w:tcPr>
            <w:tcW w:w="2425" w:type="dxa"/>
          </w:tcPr>
          <w:p w14:paraId="56D23D90" w14:textId="7A1064C0" w:rsidR="00F95853" w:rsidRPr="008D10E9" w:rsidRDefault="00F95853" w:rsidP="00F36ADF">
            <w:r w:rsidRPr="00F95853">
              <w:t>Cheryl McCloud</w:t>
            </w:r>
          </w:p>
        </w:tc>
        <w:tc>
          <w:tcPr>
            <w:tcW w:w="7385" w:type="dxa"/>
          </w:tcPr>
          <w:p w14:paraId="14407F20" w14:textId="77777777" w:rsidR="00F95853" w:rsidRDefault="00F95853" w:rsidP="00721EB4">
            <w:r>
              <w:t>Resident of Boston, MA</w:t>
            </w:r>
          </w:p>
          <w:p w14:paraId="6E920806" w14:textId="77777777" w:rsidR="00563883" w:rsidRDefault="00563883" w:rsidP="00721EB4">
            <w:r>
              <w:t>Cancer Survivor</w:t>
            </w:r>
          </w:p>
          <w:p w14:paraId="5A90AE87" w14:textId="116F6B3D" w:rsidR="00563883" w:rsidRDefault="00563883" w:rsidP="00721EB4">
            <w:r>
              <w:t>C</w:t>
            </w:r>
            <w:r w:rsidRPr="00563883">
              <w:t xml:space="preserve">ommunity </w:t>
            </w:r>
            <w:r>
              <w:t>A</w:t>
            </w:r>
            <w:r w:rsidRPr="00563883">
              <w:t xml:space="preserve">mbassador </w:t>
            </w:r>
            <w:r>
              <w:t>V</w:t>
            </w:r>
            <w:r w:rsidRPr="00563883">
              <w:t>olunteer</w:t>
            </w:r>
          </w:p>
        </w:tc>
      </w:tr>
      <w:tr w:rsidR="003164B2" w14:paraId="0FC1AD72" w14:textId="77777777" w:rsidTr="005066DC">
        <w:trPr>
          <w:cantSplit/>
        </w:trPr>
        <w:tc>
          <w:tcPr>
            <w:tcW w:w="2425" w:type="dxa"/>
          </w:tcPr>
          <w:p w14:paraId="3E3774F0" w14:textId="1973C166" w:rsidR="003164B2" w:rsidRPr="00F95853" w:rsidRDefault="003164B2" w:rsidP="00F36ADF">
            <w:r w:rsidRPr="003164B2">
              <w:t>Joseph R. Betancourt, MD, MPH</w:t>
            </w:r>
          </w:p>
        </w:tc>
        <w:tc>
          <w:tcPr>
            <w:tcW w:w="7385" w:type="dxa"/>
          </w:tcPr>
          <w:p w14:paraId="71F1DAE0" w14:textId="5054861E" w:rsidR="007A0B4F" w:rsidRDefault="007A0B4F" w:rsidP="00721EB4">
            <w:r>
              <w:t>Resident of Cambridge, MA</w:t>
            </w:r>
          </w:p>
          <w:p w14:paraId="708DECC8" w14:textId="4FE21C19" w:rsidR="00862A68" w:rsidRDefault="00B826E5" w:rsidP="00721EB4">
            <w:r w:rsidRPr="00B826E5">
              <w:t>President, The Commonwealth Fund</w:t>
            </w:r>
          </w:p>
        </w:tc>
      </w:tr>
      <w:tr w:rsidR="00F35A19" w14:paraId="0DF8BEEC" w14:textId="77777777" w:rsidTr="005066DC">
        <w:trPr>
          <w:cantSplit/>
        </w:trPr>
        <w:tc>
          <w:tcPr>
            <w:tcW w:w="2425" w:type="dxa"/>
          </w:tcPr>
          <w:p w14:paraId="06F6D9E4" w14:textId="72AF8527" w:rsidR="00F35A19" w:rsidRPr="003164B2" w:rsidRDefault="00F35A19" w:rsidP="00F36ADF">
            <w:r w:rsidRPr="00F35A19">
              <w:t>Hannah Theodat, MSW, MBA</w:t>
            </w:r>
          </w:p>
        </w:tc>
        <w:tc>
          <w:tcPr>
            <w:tcW w:w="7385" w:type="dxa"/>
          </w:tcPr>
          <w:p w14:paraId="6B3FDAF6" w14:textId="3C64F265" w:rsidR="00CC350B" w:rsidRDefault="00CC350B" w:rsidP="00721EB4">
            <w:r>
              <w:t>Resident of Roslindale, MA</w:t>
            </w:r>
          </w:p>
          <w:p w14:paraId="4711B926" w14:textId="1AE200A8" w:rsidR="00A30255" w:rsidRPr="00B826E5" w:rsidRDefault="00A30255" w:rsidP="00721EB4">
            <w:r w:rsidRPr="00A30255">
              <w:t>Senior Director for the Department of Psychosocial Oncology and Palliative Care</w:t>
            </w:r>
            <w:r>
              <w:t xml:space="preserve">, </w:t>
            </w:r>
            <w:r w:rsidRPr="00A30255">
              <w:t>Dana-Farber</w:t>
            </w:r>
            <w:r>
              <w:t xml:space="preserve"> Cancer Institute </w:t>
            </w:r>
          </w:p>
        </w:tc>
      </w:tr>
      <w:tr w:rsidR="006F6E54" w14:paraId="5D732924" w14:textId="77777777" w:rsidTr="005066DC">
        <w:trPr>
          <w:cantSplit/>
        </w:trPr>
        <w:tc>
          <w:tcPr>
            <w:tcW w:w="2425" w:type="dxa"/>
          </w:tcPr>
          <w:p w14:paraId="6CC37BCA" w14:textId="6BCCD022" w:rsidR="006F6E54" w:rsidRPr="00487A0C" w:rsidRDefault="006F6E54" w:rsidP="00F36ADF">
            <w:r w:rsidRPr="006F6E54">
              <w:t>Maura Finnemore</w:t>
            </w:r>
          </w:p>
        </w:tc>
        <w:tc>
          <w:tcPr>
            <w:tcW w:w="7385" w:type="dxa"/>
          </w:tcPr>
          <w:p w14:paraId="05EC6316" w14:textId="1EF45FDA" w:rsidR="001206F3" w:rsidRDefault="001206F3" w:rsidP="00487A0C">
            <w:r>
              <w:t>Resident of Somerville, MA</w:t>
            </w:r>
          </w:p>
          <w:p w14:paraId="2270D39E" w14:textId="4801BE3F" w:rsidR="006F6E54" w:rsidRDefault="00811769" w:rsidP="00487A0C">
            <w:r w:rsidRPr="00811769">
              <w:t xml:space="preserve">Senior Director, Planning and Consulting, </w:t>
            </w:r>
            <w:r>
              <w:t>Dana-Farber Cancer Institute</w:t>
            </w:r>
          </w:p>
        </w:tc>
      </w:tr>
      <w:tr w:rsidR="00487A0C" w14:paraId="09E7B2E7" w14:textId="77777777" w:rsidTr="005066DC">
        <w:trPr>
          <w:cantSplit/>
        </w:trPr>
        <w:tc>
          <w:tcPr>
            <w:tcW w:w="2425" w:type="dxa"/>
          </w:tcPr>
          <w:p w14:paraId="0D7DB723" w14:textId="0BD36F3C" w:rsidR="00487A0C" w:rsidRPr="00F35A19" w:rsidRDefault="00487A0C" w:rsidP="00F36ADF">
            <w:r w:rsidRPr="00487A0C">
              <w:t>Dana Alas</w:t>
            </w:r>
          </w:p>
        </w:tc>
        <w:tc>
          <w:tcPr>
            <w:tcW w:w="7385" w:type="dxa"/>
          </w:tcPr>
          <w:p w14:paraId="0D005D5B" w14:textId="77777777" w:rsidR="00487A0C" w:rsidRDefault="00487A0C" w:rsidP="00487A0C">
            <w:r>
              <w:t>Vice President – BMC &amp; Community</w:t>
            </w:r>
          </w:p>
          <w:p w14:paraId="1782E700" w14:textId="77777777" w:rsidR="0040112D" w:rsidRDefault="00487A0C" w:rsidP="00487A0C">
            <w:r>
              <w:t>1199SEIU – MA Division</w:t>
            </w:r>
          </w:p>
          <w:p w14:paraId="2AE763AD" w14:textId="54D20126" w:rsidR="0040112D" w:rsidRPr="00A30255" w:rsidRDefault="0040112D" w:rsidP="00487A0C">
            <w:r w:rsidRPr="0040112D">
              <w:t>1199SEIU Ten Taxpayer Group</w:t>
            </w:r>
          </w:p>
        </w:tc>
      </w:tr>
    </w:tbl>
    <w:p w14:paraId="0B23B9E7" w14:textId="5866E93F" w:rsidR="003273A1" w:rsidRDefault="003273A1" w:rsidP="008031A2">
      <w:pPr>
        <w:pStyle w:val="Heading1"/>
        <w:ind w:left="0"/>
      </w:pPr>
      <w:r>
        <w:br w:type="page"/>
      </w:r>
      <w:bookmarkStart w:id="45" w:name="_Toc190780603"/>
      <w:r w:rsidRPr="008031A2">
        <w:rPr>
          <w:color w:val="1F497D" w:themeColor="text2"/>
        </w:rPr>
        <w:lastRenderedPageBreak/>
        <w:t xml:space="preserve">Appendix </w:t>
      </w:r>
      <w:r w:rsidR="009F7EDC">
        <w:rPr>
          <w:color w:val="1F497D" w:themeColor="text2"/>
        </w:rPr>
        <w:t>VI</w:t>
      </w:r>
      <w:r w:rsidRPr="008031A2">
        <w:rPr>
          <w:color w:val="1F497D" w:themeColor="text2"/>
        </w:rPr>
        <w:t xml:space="preserve">: </w:t>
      </w:r>
      <w:r w:rsidR="006344BF" w:rsidRPr="008031A2">
        <w:rPr>
          <w:color w:val="1F497D" w:themeColor="text2"/>
        </w:rPr>
        <w:t>Summary of Comments</w:t>
      </w:r>
      <w:bookmarkEnd w:id="45"/>
      <w:r w:rsidR="006344BF" w:rsidRPr="008031A2">
        <w:rPr>
          <w:color w:val="1F497D" w:themeColor="text2"/>
        </w:rPr>
        <w:t xml:space="preserve"> </w:t>
      </w:r>
    </w:p>
    <w:p w14:paraId="4C154D20" w14:textId="494250F3" w:rsid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Commenters include Dr. Laurie Glimcher, </w:t>
      </w:r>
      <w:r w:rsidRPr="001668BA">
        <w:rPr>
          <w:rFonts w:eastAsia="Aptos" w:cs="Calibri"/>
          <w:kern w:val="2"/>
          <w:szCs w:val="24"/>
          <w14:ligatures w14:val="standardContextual"/>
        </w:rPr>
        <w:t>President and CEO</w:t>
      </w:r>
      <w:r w:rsidRPr="005916FB">
        <w:rPr>
          <w:rFonts w:eastAsia="Aptos" w:cs="Calibri"/>
          <w:kern w:val="2"/>
          <w:szCs w:val="24"/>
          <w14:ligatures w14:val="standardContextual"/>
        </w:rPr>
        <w:t xml:space="preserve"> </w:t>
      </w:r>
      <w:r w:rsidR="00D15376">
        <w:rPr>
          <w:rFonts w:eastAsia="Aptos" w:cs="Calibri"/>
          <w:kern w:val="2"/>
          <w:szCs w:val="24"/>
          <w14:ligatures w14:val="standardContextual"/>
        </w:rPr>
        <w:t xml:space="preserve">Emerita of </w:t>
      </w:r>
      <w:r w:rsidRPr="005916FB">
        <w:rPr>
          <w:rFonts w:eastAsia="Aptos" w:cs="Calibri"/>
          <w:kern w:val="2"/>
          <w:szCs w:val="24"/>
          <w14:ligatures w14:val="standardContextual"/>
        </w:rPr>
        <w:t>Dana-Farber Cancer Institute, Elected Officials, Dana-Farber Cancer Institute Employees, the President of Beth Israel Deaconess Medical Center (BIDMC), Ten Taxpayer Groups (TTGs), the President and CEO of Harvard Medical Faculty Physicians (HMFP), Community Partners (e.g., Health Centers and Urban League of Eastern MA), Representatives of Trade Unions, and current and former Dana-Farber Cancer Institute Patients.</w:t>
      </w:r>
      <w:r w:rsidR="00932949">
        <w:rPr>
          <w:rFonts w:eastAsia="Aptos" w:cs="Calibri"/>
          <w:kern w:val="2"/>
          <w:szCs w:val="24"/>
          <w14:ligatures w14:val="standardContextual"/>
        </w:rPr>
        <w:t xml:space="preserve"> A transcript of the public hearing and all written comments submitted to the Department are available on the DoN website. </w:t>
      </w:r>
    </w:p>
    <w:p w14:paraId="25177073" w14:textId="77777777" w:rsidR="00814986" w:rsidRPr="005916FB" w:rsidRDefault="00814986" w:rsidP="00BA2054">
      <w:pPr>
        <w:widowControl/>
        <w:autoSpaceDE/>
        <w:autoSpaceDN/>
        <w:rPr>
          <w:rFonts w:eastAsia="Aptos" w:cs="Calibri"/>
          <w:kern w:val="2"/>
          <w:szCs w:val="24"/>
          <w14:ligatures w14:val="standardContextual"/>
        </w:rPr>
      </w:pPr>
    </w:p>
    <w:p w14:paraId="683C9CE3" w14:textId="77777777" w:rsidR="005916FB" w:rsidRPr="005916FB" w:rsidRDefault="005916FB" w:rsidP="00BA2054">
      <w:pPr>
        <w:widowControl/>
        <w:autoSpaceDE/>
        <w:autoSpaceDN/>
        <w:rPr>
          <w:rFonts w:eastAsia="Aptos" w:cs="Calibri"/>
          <w:b/>
          <w:bCs/>
          <w:kern w:val="2"/>
          <w:szCs w:val="24"/>
          <w14:ligatures w14:val="standardContextual"/>
        </w:rPr>
      </w:pPr>
      <w:r w:rsidRPr="005916FB">
        <w:rPr>
          <w:rFonts w:eastAsia="Aptos" w:cs="Calibri"/>
          <w:b/>
          <w:bCs/>
          <w:kern w:val="2"/>
          <w:szCs w:val="24"/>
          <w14:ligatures w14:val="standardContextual"/>
        </w:rPr>
        <w:t>Factor 1: a) Patient Panel Need</w:t>
      </w:r>
    </w:p>
    <w:p w14:paraId="785BAF9D" w14:textId="73139EC0" w:rsid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Commenters expressed need for a hospital dedicated to cancer care that will help the region keep pace with the alarming increase in cancer rates</w:t>
      </w:r>
      <w:r w:rsidR="00303626">
        <w:rPr>
          <w:rFonts w:eastAsia="Aptos" w:cs="Calibri"/>
          <w:kern w:val="2"/>
          <w:szCs w:val="24"/>
          <w14:ligatures w14:val="standardContextual"/>
        </w:rPr>
        <w:t>;</w:t>
      </w:r>
      <w:r w:rsidRPr="005916FB">
        <w:rPr>
          <w:rFonts w:eastAsia="Aptos" w:cs="Calibri"/>
          <w:kern w:val="2"/>
          <w:szCs w:val="24"/>
          <w14:ligatures w14:val="standardContextual"/>
        </w:rPr>
        <w:t xml:space="preserve"> increase timely access to inpatient cancer care</w:t>
      </w:r>
      <w:r w:rsidR="00303626">
        <w:rPr>
          <w:rFonts w:eastAsia="Aptos" w:cs="Calibri"/>
          <w:kern w:val="2"/>
          <w:szCs w:val="24"/>
          <w14:ligatures w14:val="standardContextual"/>
        </w:rPr>
        <w:t>;</w:t>
      </w:r>
      <w:r w:rsidRPr="005916FB">
        <w:rPr>
          <w:rFonts w:eastAsia="Aptos" w:cs="Calibri"/>
          <w:kern w:val="2"/>
          <w:szCs w:val="24"/>
          <w14:ligatures w14:val="standardContextual"/>
        </w:rPr>
        <w:t xml:space="preserve"> and  further Dana-Farber Cancer Institute’s</w:t>
      </w:r>
      <w:r w:rsidR="00D46F5B">
        <w:rPr>
          <w:rFonts w:eastAsia="Aptos" w:cs="Calibri"/>
          <w:kern w:val="2"/>
          <w:szCs w:val="24"/>
          <w14:ligatures w14:val="standardContextual"/>
        </w:rPr>
        <w:t xml:space="preserve"> </w:t>
      </w:r>
      <w:r w:rsidRPr="005916FB">
        <w:rPr>
          <w:rFonts w:eastAsia="Aptos" w:cs="Calibri"/>
          <w:kern w:val="2"/>
          <w:szCs w:val="24"/>
          <w14:ligatures w14:val="standardContextual"/>
        </w:rPr>
        <w:t xml:space="preserve">efforts in collaboration with BIDMC, to reduce cancer health disparities and advance health equity.  </w:t>
      </w:r>
    </w:p>
    <w:p w14:paraId="6AA8596C" w14:textId="77777777" w:rsidR="00146C89" w:rsidRPr="005916FB" w:rsidRDefault="00146C89" w:rsidP="00BA2054">
      <w:pPr>
        <w:widowControl/>
        <w:autoSpaceDE/>
        <w:autoSpaceDN/>
        <w:rPr>
          <w:rFonts w:eastAsia="Aptos" w:cs="Calibri"/>
          <w:kern w:val="2"/>
          <w:szCs w:val="24"/>
          <w14:ligatures w14:val="standardContextual"/>
        </w:rPr>
      </w:pPr>
    </w:p>
    <w:p w14:paraId="706D239A" w14:textId="77777777" w:rsidR="005916FB" w:rsidRPr="005916FB" w:rsidRDefault="005916FB" w:rsidP="00BA2054">
      <w:pPr>
        <w:widowControl/>
        <w:autoSpaceDE/>
        <w:autoSpaceDN/>
        <w:rPr>
          <w:rFonts w:eastAsia="Aptos" w:cs="Calibri"/>
          <w:i/>
          <w:iCs/>
          <w:kern w:val="2"/>
          <w:szCs w:val="24"/>
          <w14:ligatures w14:val="standardContextual"/>
        </w:rPr>
      </w:pPr>
      <w:r w:rsidRPr="005916FB">
        <w:rPr>
          <w:rFonts w:eastAsia="Aptos" w:cs="Calibri"/>
          <w:i/>
          <w:iCs/>
          <w:kern w:val="2"/>
          <w:szCs w:val="24"/>
          <w14:ligatures w14:val="standardContextual"/>
        </w:rPr>
        <w:t>Need to Address Rising Cancer Rates</w:t>
      </w:r>
    </w:p>
    <w:p w14:paraId="25FBB7AB"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Recent reporting from the Federal Centers for Disease Control and Prevention (CDC) noted that the number of cancer diagnoses will grow by 49% by 2050.</w:t>
      </w:r>
    </w:p>
    <w:p w14:paraId="44C1E42D"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Cancer is the second-leading cause of death in the United States with ~40% of Americans receiving a cancer diagnosis at some point in their lifetime.</w:t>
      </w:r>
    </w:p>
    <w:p w14:paraId="5D5B7002"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Two million Americans are diagnosed with cancer annually, over 600,000 Americans will die from cancer. Kidney cancer impacts 80,000 Americans per year. Only 12% of kidney cancer patients with metastatic disease at the time of diagnosis survive for five years or longer. </w:t>
      </w:r>
    </w:p>
    <w:p w14:paraId="17E4D884"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Every state in the nation will see double digit growth in cancer incidence and in Massachusetts cancer incidence is projected to be 28% higher this year than in 2020. </w:t>
      </w:r>
    </w:p>
    <w:p w14:paraId="415306FC"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Cancer incidence among patients over 45 are expected to increase even more than any other age group and older patients are more likely to experience side effects and complications from treatment that require an inpatient admission. </w:t>
      </w:r>
    </w:p>
    <w:p w14:paraId="293FD2E1" w14:textId="52BE22CF" w:rsid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The incidence of cancer is increasing, particularly in younger people. Cancer incidence in people younger than 50 is increasing at double the rate compared to those older than 50. Rates of young-onset colorectal cancer in particular have increased by 51% since 1994. </w:t>
      </w:r>
    </w:p>
    <w:p w14:paraId="7673BD5C" w14:textId="77777777" w:rsidR="00542962" w:rsidRPr="005916FB" w:rsidRDefault="00542962" w:rsidP="00BA2054">
      <w:pPr>
        <w:widowControl/>
        <w:autoSpaceDE/>
        <w:autoSpaceDN/>
        <w:ind w:left="720"/>
        <w:contextualSpacing/>
        <w:rPr>
          <w:rFonts w:eastAsia="Aptos" w:cs="Calibri"/>
          <w:kern w:val="2"/>
          <w:szCs w:val="24"/>
          <w14:ligatures w14:val="standardContextual"/>
        </w:rPr>
      </w:pPr>
    </w:p>
    <w:p w14:paraId="1089D9B5" w14:textId="77777777" w:rsidR="005916FB" w:rsidRPr="005916FB" w:rsidRDefault="005916FB" w:rsidP="00BA2054">
      <w:pPr>
        <w:widowControl/>
        <w:autoSpaceDE/>
        <w:autoSpaceDN/>
        <w:rPr>
          <w:rFonts w:eastAsia="Aptos" w:cs="Calibri"/>
          <w:i/>
          <w:iCs/>
          <w:kern w:val="2"/>
          <w:szCs w:val="24"/>
          <w14:ligatures w14:val="standardContextual"/>
        </w:rPr>
      </w:pPr>
      <w:r w:rsidRPr="005916FB">
        <w:rPr>
          <w:rFonts w:eastAsia="Aptos" w:cs="Calibri"/>
          <w:i/>
          <w:iCs/>
          <w:kern w:val="2"/>
          <w:szCs w:val="24"/>
          <w14:ligatures w14:val="standardContextual"/>
        </w:rPr>
        <w:t xml:space="preserve">Need to Address Health Disparities </w:t>
      </w:r>
    </w:p>
    <w:p w14:paraId="1371B1AC"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Healthcare disparities exist in cancer care just as they do in healthcare overall. </w:t>
      </w:r>
    </w:p>
    <w:p w14:paraId="0BB9E0D0"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Patients from underserved and marginalized communities face barriers in cancer services leading to deep health disparities. </w:t>
      </w:r>
    </w:p>
    <w:p w14:paraId="74F2506B"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Dana-Farber’s needs assessment reporting has shown a significant burden of cancer across all types and need to reduce cancer burden and disparities. </w:t>
      </w:r>
    </w:p>
    <w:p w14:paraId="0F04164E"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Persistent disparities of cancer screenings among communities of color is one factor that contributes to disproportionately worse health outcomes among Black, Hispanic and Asian residents in Boston. </w:t>
      </w:r>
    </w:p>
    <w:p w14:paraId="4522975F" w14:textId="796ECAAD" w:rsidR="00542962"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lastRenderedPageBreak/>
        <w:t>Cancer disparities related to screening, incidence, and mortality rates disproportionately impact communities of color, and Black patients in particular.</w:t>
      </w:r>
      <w:r w:rsidR="00D46F5B">
        <w:rPr>
          <w:rStyle w:val="FootnoteReference"/>
          <w:rFonts w:eastAsia="Aptos" w:cs="Calibri"/>
          <w:kern w:val="2"/>
          <w:szCs w:val="24"/>
          <w14:ligatures w14:val="standardContextual"/>
        </w:rPr>
        <w:footnoteReference w:id="116"/>
      </w:r>
      <w:r w:rsidRPr="005916FB">
        <w:rPr>
          <w:rFonts w:eastAsia="Aptos" w:cs="Calibri"/>
          <w:kern w:val="2"/>
          <w:szCs w:val="24"/>
          <w14:ligatures w14:val="standardContextual"/>
        </w:rPr>
        <w:t xml:space="preserve"> </w:t>
      </w:r>
    </w:p>
    <w:p w14:paraId="2AD86483" w14:textId="6BA8C88C" w:rsidR="005916FB" w:rsidRPr="005916FB" w:rsidRDefault="005916FB" w:rsidP="00BA2054">
      <w:pPr>
        <w:widowControl/>
        <w:autoSpaceDE/>
        <w:autoSpaceDN/>
        <w:ind w:left="720"/>
        <w:contextualSpacing/>
        <w:rPr>
          <w:rFonts w:eastAsia="Aptos" w:cs="Calibri"/>
          <w:kern w:val="2"/>
          <w:szCs w:val="24"/>
          <w14:ligatures w14:val="standardContextual"/>
        </w:rPr>
      </w:pPr>
      <w:r w:rsidRPr="005916FB">
        <w:rPr>
          <w:rFonts w:eastAsia="Aptos" w:cs="Calibri"/>
          <w:kern w:val="2"/>
          <w:szCs w:val="24"/>
          <w14:ligatures w14:val="standardContextual"/>
        </w:rPr>
        <w:t xml:space="preserve"> </w:t>
      </w:r>
    </w:p>
    <w:p w14:paraId="4A94B594" w14:textId="77777777" w:rsidR="005916FB" w:rsidRPr="005916FB" w:rsidRDefault="005916FB" w:rsidP="00BA2054">
      <w:pPr>
        <w:widowControl/>
        <w:autoSpaceDE/>
        <w:autoSpaceDN/>
        <w:rPr>
          <w:rFonts w:eastAsia="Aptos" w:cs="Calibri"/>
          <w:i/>
          <w:iCs/>
          <w:kern w:val="2"/>
          <w:szCs w:val="24"/>
          <w14:ligatures w14:val="standardContextual"/>
        </w:rPr>
      </w:pPr>
      <w:r w:rsidRPr="005916FB">
        <w:rPr>
          <w:rFonts w:eastAsia="Aptos" w:cs="Calibri"/>
          <w:i/>
          <w:iCs/>
          <w:kern w:val="2"/>
          <w:szCs w:val="24"/>
          <w14:ligatures w14:val="standardContextual"/>
        </w:rPr>
        <w:t xml:space="preserve">Need for Timely Care   </w:t>
      </w:r>
    </w:p>
    <w:p w14:paraId="4606CD40" w14:textId="102850D3"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Across Massachusetts </w:t>
      </w:r>
      <w:r w:rsidR="00146C89">
        <w:rPr>
          <w:rFonts w:eastAsia="Aptos" w:cs="Calibri"/>
          <w:kern w:val="2"/>
          <w:szCs w:val="24"/>
          <w14:ligatures w14:val="standardContextual"/>
        </w:rPr>
        <w:t>h</w:t>
      </w:r>
      <w:r w:rsidRPr="005916FB">
        <w:rPr>
          <w:rFonts w:eastAsia="Aptos" w:cs="Calibri"/>
          <w:kern w:val="2"/>
          <w:szCs w:val="24"/>
          <w14:ligatures w14:val="standardContextual"/>
        </w:rPr>
        <w:t>ospitals are experiencing critical capacity challenges and combined with the rising incidence of cancer, has created the need to increase access to cancer care in the state to meet the need of the Commonwealth’s patients</w:t>
      </w:r>
      <w:r w:rsidR="00CF4F7C">
        <w:rPr>
          <w:rFonts w:eastAsia="Aptos" w:cs="Calibri"/>
          <w:kern w:val="2"/>
          <w:szCs w:val="24"/>
          <w14:ligatures w14:val="standardContextual"/>
        </w:rPr>
        <w:t>.</w:t>
      </w:r>
    </w:p>
    <w:p w14:paraId="7A67655E" w14:textId="5AE86B82" w:rsidR="00542962"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Additional need for inpatient beds is seen in delays in admission, and patients boarding in the ED while waiting for a bed. EDs are overcrowded and treat a variety of conditions, which puts a patient with cancer </w:t>
      </w:r>
      <w:r w:rsidR="00D46F5B">
        <w:rPr>
          <w:rFonts w:eastAsia="Aptos" w:cs="Calibri"/>
          <w:kern w:val="2"/>
          <w:szCs w:val="24"/>
          <w14:ligatures w14:val="standardContextual"/>
        </w:rPr>
        <w:t xml:space="preserve">seeking care in the ED </w:t>
      </w:r>
      <w:r w:rsidRPr="005916FB">
        <w:rPr>
          <w:rFonts w:eastAsia="Aptos" w:cs="Calibri"/>
          <w:kern w:val="2"/>
          <w:szCs w:val="24"/>
          <w14:ligatures w14:val="standardContextual"/>
        </w:rPr>
        <w:t>at greater risk for infection.</w:t>
      </w:r>
    </w:p>
    <w:p w14:paraId="0DFCEBF7" w14:textId="521E95D8" w:rsidR="005916FB" w:rsidRPr="005916FB" w:rsidRDefault="005916FB" w:rsidP="00BA2054">
      <w:pPr>
        <w:widowControl/>
        <w:autoSpaceDE/>
        <w:autoSpaceDN/>
        <w:ind w:left="720"/>
        <w:contextualSpacing/>
        <w:rPr>
          <w:rFonts w:eastAsia="Aptos" w:cs="Calibri"/>
          <w:kern w:val="2"/>
          <w:szCs w:val="24"/>
          <w14:ligatures w14:val="standardContextual"/>
        </w:rPr>
      </w:pPr>
      <w:r w:rsidRPr="005916FB">
        <w:rPr>
          <w:rFonts w:eastAsia="Aptos" w:cs="Calibri"/>
          <w:kern w:val="2"/>
          <w:szCs w:val="24"/>
          <w14:ligatures w14:val="standardContextual"/>
        </w:rPr>
        <w:t xml:space="preserve"> </w:t>
      </w:r>
    </w:p>
    <w:p w14:paraId="3AF522CB" w14:textId="77777777" w:rsidR="005916FB" w:rsidRPr="005916FB" w:rsidRDefault="005916FB" w:rsidP="00BA2054">
      <w:pPr>
        <w:widowControl/>
        <w:autoSpaceDE/>
        <w:autoSpaceDN/>
        <w:rPr>
          <w:rFonts w:eastAsia="Aptos" w:cs="Calibri"/>
          <w:i/>
          <w:iCs/>
          <w:kern w:val="2"/>
          <w:szCs w:val="24"/>
          <w14:ligatures w14:val="standardContextual"/>
        </w:rPr>
      </w:pPr>
      <w:r w:rsidRPr="005916FB">
        <w:rPr>
          <w:rFonts w:eastAsia="Aptos" w:cs="Calibri"/>
          <w:i/>
          <w:iCs/>
          <w:kern w:val="2"/>
          <w:szCs w:val="24"/>
          <w14:ligatures w14:val="standardContextual"/>
        </w:rPr>
        <w:t xml:space="preserve">Need for More Inpatient Care </w:t>
      </w:r>
    </w:p>
    <w:p w14:paraId="6A13B4B3" w14:textId="77777777" w:rsidR="005916FB" w:rsidRP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Today in Dana-Farber’s inpatient setting, in collaboration with BWH, all patients are cared for by Dana-Farber doctors and Dana-Farber physician assistants, however not all of the beds patients are admitted to are staffed by oncology nurses. In the new cancer hospital, patients will be surrounded by a team of clinicians whose sole focus is cancer: specially trained oncology physicians, to specially trained oncology nurses, nutritionists, social workers, and pharmacists.</w:t>
      </w:r>
    </w:p>
    <w:p w14:paraId="07D35408" w14:textId="77777777" w:rsidR="00311E79" w:rsidRDefault="00B87B58" w:rsidP="00F91720">
      <w:pPr>
        <w:widowControl/>
        <w:numPr>
          <w:ilvl w:val="0"/>
          <w:numId w:val="18"/>
        </w:numPr>
        <w:autoSpaceDE/>
        <w:autoSpaceDN/>
        <w:contextualSpacing/>
        <w:rPr>
          <w:rFonts w:eastAsia="Aptos" w:cs="Calibri"/>
          <w:kern w:val="2"/>
          <w:szCs w:val="24"/>
          <w14:ligatures w14:val="standardContextual"/>
        </w:rPr>
      </w:pPr>
      <w:r>
        <w:rPr>
          <w:rFonts w:eastAsia="Aptos" w:cs="Calibri"/>
          <w:kern w:val="2"/>
          <w:szCs w:val="24"/>
          <w14:ligatures w14:val="standardContextual"/>
        </w:rPr>
        <w:t>C</w:t>
      </w:r>
      <w:r w:rsidR="005916FB" w:rsidRPr="005916FB">
        <w:rPr>
          <w:rFonts w:eastAsia="Aptos" w:cs="Calibri"/>
          <w:kern w:val="2"/>
          <w:szCs w:val="24"/>
          <w14:ligatures w14:val="standardContextual"/>
        </w:rPr>
        <w:t>ancer treatment has evolved and is now more sophisticated and complex. New cancer treatments, including many designed to target the most aggressive forms of cancer, such as CAR</w:t>
      </w:r>
      <w:r w:rsidR="00EB35D2">
        <w:rPr>
          <w:rFonts w:eastAsia="Aptos" w:cs="Calibri"/>
          <w:kern w:val="2"/>
          <w:szCs w:val="24"/>
          <w14:ligatures w14:val="standardContextual"/>
        </w:rPr>
        <w:t xml:space="preserve"> </w:t>
      </w:r>
      <w:r w:rsidR="005916FB" w:rsidRPr="005916FB">
        <w:rPr>
          <w:rFonts w:eastAsia="Aptos" w:cs="Calibri"/>
          <w:kern w:val="2"/>
          <w:szCs w:val="24"/>
          <w14:ligatures w14:val="standardContextual"/>
        </w:rPr>
        <w:t>T</w:t>
      </w:r>
      <w:r w:rsidR="00EB35D2">
        <w:rPr>
          <w:rFonts w:eastAsia="Aptos" w:cs="Calibri"/>
          <w:kern w:val="2"/>
          <w:szCs w:val="24"/>
          <w14:ligatures w14:val="standardContextual"/>
        </w:rPr>
        <w:t>-</w:t>
      </w:r>
      <w:r w:rsidR="005916FB" w:rsidRPr="005916FB">
        <w:rPr>
          <w:rFonts w:eastAsia="Aptos" w:cs="Calibri"/>
          <w:kern w:val="2"/>
          <w:szCs w:val="24"/>
          <w14:ligatures w14:val="standardContextual"/>
        </w:rPr>
        <w:t xml:space="preserve">cell therapy, require inpatient care. </w:t>
      </w:r>
    </w:p>
    <w:p w14:paraId="110818F6" w14:textId="49817E33" w:rsidR="005916FB" w:rsidRDefault="005916FB" w:rsidP="00F91720">
      <w:pPr>
        <w:widowControl/>
        <w:numPr>
          <w:ilvl w:val="0"/>
          <w:numId w:val="18"/>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Investment is needed in the care model and infrastructure to ensure patients with cancer have access to the most advanced care. The proposed facility is designed to help the region keep pace with new developments in cancer care. </w:t>
      </w:r>
    </w:p>
    <w:p w14:paraId="2BC04F5E" w14:textId="77777777" w:rsidR="00891067" w:rsidRDefault="00891067" w:rsidP="00891067">
      <w:pPr>
        <w:widowControl/>
        <w:autoSpaceDE/>
        <w:autoSpaceDN/>
        <w:contextualSpacing/>
        <w:rPr>
          <w:rFonts w:eastAsia="Aptos" w:cs="Calibri"/>
          <w:kern w:val="2"/>
          <w:szCs w:val="24"/>
          <w14:ligatures w14:val="standardContextual"/>
        </w:rPr>
      </w:pPr>
    </w:p>
    <w:p w14:paraId="30DA27AE" w14:textId="1F7C3E3D" w:rsidR="00891067" w:rsidRDefault="00891067" w:rsidP="00891067">
      <w:pPr>
        <w:widowControl/>
        <w:autoSpaceDE/>
        <w:autoSpaceDN/>
        <w:contextualSpacing/>
        <w:rPr>
          <w:rFonts w:eastAsia="Aptos" w:cs="Calibri"/>
          <w:kern w:val="2"/>
          <w:szCs w:val="24"/>
          <w14:ligatures w14:val="standardContextual"/>
        </w:rPr>
      </w:pPr>
      <w:r>
        <w:rPr>
          <w:rFonts w:eastAsia="Aptos" w:cs="Calibri"/>
          <w:kern w:val="2"/>
          <w:szCs w:val="24"/>
          <w14:ligatures w14:val="standardContextual"/>
        </w:rPr>
        <w:t xml:space="preserve">As noted above in Factor 1a, the Mass General Brigham TTG </w:t>
      </w:r>
      <w:r w:rsidR="00826821">
        <w:rPr>
          <w:rFonts w:eastAsia="Aptos" w:cs="Calibri"/>
          <w:kern w:val="2"/>
          <w:szCs w:val="24"/>
          <w14:ligatures w14:val="standardContextual"/>
        </w:rPr>
        <w:t>raised several issues</w:t>
      </w:r>
      <w:r>
        <w:rPr>
          <w:rFonts w:eastAsia="Aptos" w:cs="Calibri"/>
          <w:kern w:val="2"/>
          <w:szCs w:val="24"/>
          <w14:ligatures w14:val="standardContextual"/>
        </w:rPr>
        <w:t xml:space="preserve"> to the Department concerning the Applicant’s need argument, </w:t>
      </w:r>
      <w:r w:rsidR="00BF2359">
        <w:rPr>
          <w:rFonts w:eastAsia="Aptos" w:cs="Calibri"/>
          <w:kern w:val="2"/>
          <w:szCs w:val="24"/>
          <w14:ligatures w14:val="standardContextual"/>
        </w:rPr>
        <w:t xml:space="preserve">the Applicant’s </w:t>
      </w:r>
      <w:r>
        <w:rPr>
          <w:rFonts w:eastAsia="Aptos" w:cs="Calibri"/>
          <w:kern w:val="2"/>
          <w:szCs w:val="24"/>
          <w14:ligatures w14:val="standardContextual"/>
        </w:rPr>
        <w:t>establishment of its Patient Panel</w:t>
      </w:r>
      <w:r w:rsidR="00826821">
        <w:rPr>
          <w:rFonts w:eastAsia="Aptos" w:cs="Calibri"/>
          <w:kern w:val="2"/>
          <w:szCs w:val="24"/>
          <w14:ligatures w14:val="standardContextual"/>
        </w:rPr>
        <w:t xml:space="preserve">, and the Proposed Project’s consistency with the Commonwealth’s cost containment goals. </w:t>
      </w:r>
      <w:r>
        <w:rPr>
          <w:rFonts w:eastAsia="Aptos" w:cs="Calibri"/>
          <w:kern w:val="2"/>
          <w:szCs w:val="24"/>
          <w14:ligatures w14:val="standardContextual"/>
        </w:rPr>
        <w:t xml:space="preserve"> </w:t>
      </w:r>
    </w:p>
    <w:p w14:paraId="5A890EBD" w14:textId="77777777" w:rsidR="001E2A2C" w:rsidRDefault="001E2A2C" w:rsidP="00891067">
      <w:pPr>
        <w:widowControl/>
        <w:autoSpaceDE/>
        <w:autoSpaceDN/>
        <w:contextualSpacing/>
        <w:rPr>
          <w:rFonts w:eastAsia="Aptos" w:cs="Calibri"/>
          <w:kern w:val="2"/>
          <w:szCs w:val="24"/>
          <w14:ligatures w14:val="standardContextual"/>
        </w:rPr>
      </w:pPr>
    </w:p>
    <w:p w14:paraId="2523945F" w14:textId="348AA4CA" w:rsidR="001E2A2C" w:rsidRPr="001E2A2C" w:rsidRDefault="001E2A2C" w:rsidP="001E2A2C">
      <w:pPr>
        <w:widowControl/>
        <w:autoSpaceDE/>
        <w:autoSpaceDN/>
        <w:contextualSpacing/>
        <w:rPr>
          <w:rFonts w:eastAsia="Aptos" w:cs="Calibri"/>
          <w:kern w:val="2"/>
          <w:szCs w:val="24"/>
          <w14:ligatures w14:val="standardContextual"/>
        </w:rPr>
      </w:pPr>
      <w:r w:rsidRPr="001E2A2C">
        <w:rPr>
          <w:rFonts w:eastAsia="Aptos" w:cs="Calibri"/>
          <w:kern w:val="2"/>
          <w:szCs w:val="24"/>
          <w14:ligatures w14:val="standardContextual"/>
        </w:rPr>
        <w:t xml:space="preserve">As noted above in Factor 1a, the 1199SEIU TTG raised its concerns about the potential negative impact of the Proposed Project </w:t>
      </w:r>
      <w:r w:rsidR="00FC171A">
        <w:rPr>
          <w:rFonts w:eastAsia="Aptos" w:cs="Calibri"/>
          <w:kern w:val="2"/>
          <w:szCs w:val="24"/>
          <w14:ligatures w14:val="standardContextual"/>
        </w:rPr>
        <w:t xml:space="preserve">and its </w:t>
      </w:r>
      <w:r w:rsidRPr="001E2A2C">
        <w:rPr>
          <w:rFonts w:eastAsia="Aptos" w:cs="Calibri"/>
          <w:kern w:val="2"/>
          <w:szCs w:val="24"/>
          <w14:ligatures w14:val="standardContextual"/>
        </w:rPr>
        <w:t xml:space="preserve">potential to </w:t>
      </w:r>
      <w:r w:rsidR="00FC171A">
        <w:rPr>
          <w:rFonts w:eastAsia="Aptos" w:cs="Calibri"/>
          <w:kern w:val="2"/>
          <w:szCs w:val="24"/>
          <w14:ligatures w14:val="standardContextual"/>
        </w:rPr>
        <w:t>pull</w:t>
      </w:r>
      <w:r w:rsidRPr="001E2A2C">
        <w:rPr>
          <w:rFonts w:eastAsia="Aptos" w:cs="Calibri"/>
          <w:kern w:val="2"/>
          <w:szCs w:val="24"/>
          <w14:ligatures w14:val="standardContextual"/>
        </w:rPr>
        <w:t xml:space="preserve"> patients from safety net hospitals in the Boston area</w:t>
      </w:r>
      <w:r w:rsidR="00E651AF">
        <w:rPr>
          <w:rFonts w:eastAsia="Aptos" w:cs="Calibri"/>
          <w:kern w:val="2"/>
          <w:szCs w:val="24"/>
          <w14:ligatures w14:val="standardContextual"/>
        </w:rPr>
        <w:t xml:space="preserve">, which will then </w:t>
      </w:r>
      <w:r w:rsidRPr="001E2A2C">
        <w:rPr>
          <w:rFonts w:eastAsia="Aptos" w:cs="Calibri"/>
          <w:kern w:val="2"/>
          <w:szCs w:val="24"/>
          <w14:ligatures w14:val="standardContextual"/>
        </w:rPr>
        <w:t xml:space="preserve">threaten the survival of those hospitals. </w:t>
      </w:r>
    </w:p>
    <w:p w14:paraId="6C2BC7BE" w14:textId="77777777" w:rsidR="001E2A2C" w:rsidRPr="005916FB" w:rsidRDefault="001E2A2C" w:rsidP="003B2CD4">
      <w:pPr>
        <w:widowControl/>
        <w:autoSpaceDE/>
        <w:autoSpaceDN/>
        <w:contextualSpacing/>
        <w:rPr>
          <w:rFonts w:eastAsia="Aptos" w:cs="Calibri"/>
          <w:kern w:val="2"/>
          <w:szCs w:val="24"/>
          <w14:ligatures w14:val="standardContextual"/>
        </w:rPr>
      </w:pPr>
    </w:p>
    <w:p w14:paraId="7EB25859" w14:textId="77777777" w:rsidR="005916FB" w:rsidRPr="005916FB" w:rsidRDefault="005916FB" w:rsidP="00BA2054">
      <w:pPr>
        <w:widowControl/>
        <w:autoSpaceDE/>
        <w:autoSpaceDN/>
        <w:rPr>
          <w:rFonts w:eastAsia="Aptos" w:cs="Calibri"/>
          <w:b/>
          <w:bCs/>
          <w:kern w:val="2"/>
          <w:szCs w:val="24"/>
          <w14:ligatures w14:val="standardContextual"/>
        </w:rPr>
      </w:pPr>
    </w:p>
    <w:p w14:paraId="5B04E03D" w14:textId="77777777" w:rsidR="00690DCD" w:rsidRDefault="00690DCD" w:rsidP="00BA2054">
      <w:pPr>
        <w:widowControl/>
        <w:autoSpaceDE/>
        <w:autoSpaceDN/>
        <w:rPr>
          <w:rFonts w:eastAsia="Aptos" w:cs="Calibri"/>
          <w:b/>
          <w:bCs/>
          <w:kern w:val="2"/>
          <w:szCs w:val="24"/>
          <w14:ligatures w14:val="standardContextual"/>
        </w:rPr>
      </w:pPr>
    </w:p>
    <w:p w14:paraId="665C52E3" w14:textId="77777777" w:rsidR="00690DCD" w:rsidRDefault="00690DCD" w:rsidP="00BA2054">
      <w:pPr>
        <w:widowControl/>
        <w:autoSpaceDE/>
        <w:autoSpaceDN/>
        <w:rPr>
          <w:rFonts w:eastAsia="Aptos" w:cs="Calibri"/>
          <w:b/>
          <w:bCs/>
          <w:kern w:val="2"/>
          <w:szCs w:val="24"/>
          <w14:ligatures w14:val="standardContextual"/>
        </w:rPr>
      </w:pPr>
    </w:p>
    <w:p w14:paraId="6B848669" w14:textId="77777777" w:rsidR="00690DCD" w:rsidRPr="005916FB" w:rsidRDefault="00690DCD" w:rsidP="00BA2054">
      <w:pPr>
        <w:widowControl/>
        <w:autoSpaceDE/>
        <w:autoSpaceDN/>
        <w:rPr>
          <w:rFonts w:eastAsia="Aptos" w:cs="Calibri"/>
          <w:b/>
          <w:bCs/>
          <w:kern w:val="2"/>
          <w:szCs w:val="24"/>
          <w14:ligatures w14:val="standardContextual"/>
        </w:rPr>
      </w:pPr>
    </w:p>
    <w:p w14:paraId="1AF45D5F" w14:textId="77777777" w:rsidR="005916FB" w:rsidRDefault="005916FB" w:rsidP="00BA2054">
      <w:pPr>
        <w:widowControl/>
        <w:autoSpaceDE/>
        <w:autoSpaceDN/>
        <w:rPr>
          <w:rFonts w:eastAsia="Aptos" w:cs="Calibri"/>
          <w:b/>
          <w:bCs/>
          <w:kern w:val="2"/>
          <w:szCs w:val="24"/>
          <w14:ligatures w14:val="standardContextual"/>
        </w:rPr>
      </w:pPr>
      <w:r w:rsidRPr="005916FB">
        <w:rPr>
          <w:rFonts w:eastAsia="Aptos" w:cs="Calibri"/>
          <w:b/>
          <w:bCs/>
          <w:kern w:val="2"/>
          <w:szCs w:val="24"/>
          <w14:ligatures w14:val="standardContextual"/>
        </w:rPr>
        <w:lastRenderedPageBreak/>
        <w:t>Factor 1: b) Public Health Value, Improved Health Outcomes and Quality of Life; Assurances of Health Equity</w:t>
      </w:r>
    </w:p>
    <w:p w14:paraId="1C316104" w14:textId="77777777" w:rsidR="00B62C52" w:rsidRPr="005916FB" w:rsidRDefault="00B62C52" w:rsidP="00BA2054">
      <w:pPr>
        <w:widowControl/>
        <w:autoSpaceDE/>
        <w:autoSpaceDN/>
        <w:rPr>
          <w:rFonts w:eastAsia="Aptos" w:cs="Calibri"/>
          <w:b/>
          <w:bCs/>
          <w:kern w:val="2"/>
          <w:szCs w:val="24"/>
          <w14:ligatures w14:val="standardContextual"/>
        </w:rPr>
      </w:pPr>
    </w:p>
    <w:p w14:paraId="2BAED5E9" w14:textId="77777777" w:rsidR="005916FB" w:rsidRPr="005916FB" w:rsidRDefault="005916FB" w:rsidP="00BA2054">
      <w:pPr>
        <w:widowControl/>
        <w:autoSpaceDE/>
        <w:autoSpaceDN/>
        <w:rPr>
          <w:rFonts w:eastAsia="Aptos" w:cs="Calibri"/>
          <w:i/>
          <w:iCs/>
          <w:kern w:val="2"/>
          <w:szCs w:val="24"/>
          <w14:ligatures w14:val="standardContextual"/>
        </w:rPr>
      </w:pPr>
      <w:r w:rsidRPr="005916FB">
        <w:rPr>
          <w:rFonts w:eastAsia="Aptos" w:cs="Calibri"/>
          <w:i/>
          <w:iCs/>
          <w:kern w:val="2"/>
          <w:szCs w:val="24"/>
          <w14:ligatures w14:val="standardContextual"/>
        </w:rPr>
        <w:t>Health Outcomes</w:t>
      </w:r>
    </w:p>
    <w:p w14:paraId="6D5121A9" w14:textId="75B15A42" w:rsid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Commenters stated that DFCI is the only institution in the region focused exclusively on cancer research and cancer care and the only one equally balancing research and patient care</w:t>
      </w:r>
      <w:r w:rsidR="00777E65">
        <w:rPr>
          <w:rFonts w:eastAsia="Aptos" w:cs="Calibri"/>
          <w:kern w:val="2"/>
          <w:szCs w:val="24"/>
          <w14:ligatures w14:val="standardContextual"/>
        </w:rPr>
        <w:t>, and that the</w:t>
      </w:r>
      <w:r w:rsidRPr="005916FB">
        <w:rPr>
          <w:rFonts w:eastAsia="Aptos" w:cs="Calibri"/>
          <w:kern w:val="2"/>
          <w:szCs w:val="24"/>
          <w14:ligatures w14:val="standardContextual"/>
        </w:rPr>
        <w:t xml:space="preserve"> proposed stand-alone cancer hospital will ensure that patients will be treated by health professionals whose singular focus is cancer, allowing for more familiarity with the disease, its treatments, and its side effects. Dana-Farber’s specialization and expertise in inpatient care, access to clinical trials, and patient-centered personalized care will ensure the best possible patient experience and outcomes. According to published data, patient survival outcomes are better for patients treated in a dedicated cancer hospital than those receiving care in an integrated general hospital setting, inclusive of academic medical centers. </w:t>
      </w:r>
    </w:p>
    <w:p w14:paraId="5BB1160F" w14:textId="77777777" w:rsidR="000C0CF9" w:rsidRPr="005916FB" w:rsidRDefault="000C0CF9" w:rsidP="00BA2054">
      <w:pPr>
        <w:widowControl/>
        <w:autoSpaceDE/>
        <w:autoSpaceDN/>
        <w:rPr>
          <w:rFonts w:eastAsia="Aptos" w:cs="Calibri"/>
          <w:kern w:val="2"/>
          <w:szCs w:val="24"/>
          <w14:ligatures w14:val="standardContextual"/>
        </w:rPr>
      </w:pPr>
    </w:p>
    <w:p w14:paraId="5C853E50" w14:textId="77777777" w:rsidR="005916FB" w:rsidRP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Commenters stated the proposed hospital will:</w:t>
      </w:r>
    </w:p>
    <w:p w14:paraId="7EB46EE1" w14:textId="77777777" w:rsidR="005916FB" w:rsidRPr="005916FB" w:rsidRDefault="005916FB" w:rsidP="00F91720">
      <w:pPr>
        <w:widowControl/>
        <w:numPr>
          <w:ilvl w:val="0"/>
          <w:numId w:val="19"/>
        </w:numPr>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Provide specialized medical professionals, and supportive care teams with extensive experience and expertise managing several types of cancer. This expertise is crucial for accurate diagnosis, personalized treatment planning, and ongoing support throughout the cancer journey. </w:t>
      </w:r>
    </w:p>
    <w:p w14:paraId="6B0EBC8D" w14:textId="7D536D63" w:rsidR="005916FB" w:rsidRPr="005916FB" w:rsidRDefault="005916FB" w:rsidP="00F91720">
      <w:pPr>
        <w:widowControl/>
        <w:numPr>
          <w:ilvl w:val="0"/>
          <w:numId w:val="19"/>
        </w:numPr>
        <w:autoSpaceDE/>
        <w:autoSpaceDN/>
        <w:rPr>
          <w:rFonts w:eastAsia="Aptos" w:cs="Calibri"/>
          <w:kern w:val="2"/>
          <w:szCs w:val="24"/>
          <w14:ligatures w14:val="standardContextual"/>
        </w:rPr>
      </w:pPr>
      <w:r w:rsidRPr="005916FB">
        <w:rPr>
          <w:rFonts w:eastAsia="Aptos" w:cs="Calibri"/>
          <w:kern w:val="2"/>
          <w:szCs w:val="24"/>
          <w14:ligatures w14:val="standardContextual"/>
        </w:rPr>
        <w:t>Provide an enhanced patient experience in an inpatient facility focused solely on the needs of oncology patients, and offer a state</w:t>
      </w:r>
      <w:r w:rsidR="000C0CF9">
        <w:rPr>
          <w:rFonts w:eastAsia="Aptos" w:cs="Calibri"/>
          <w:kern w:val="2"/>
          <w:szCs w:val="24"/>
          <w14:ligatures w14:val="standardContextual"/>
        </w:rPr>
        <w:t>-</w:t>
      </w:r>
      <w:r w:rsidRPr="005916FB">
        <w:rPr>
          <w:rFonts w:eastAsia="Aptos" w:cs="Calibri"/>
          <w:kern w:val="2"/>
          <w:szCs w:val="24"/>
          <w14:ligatures w14:val="standardContextual"/>
        </w:rPr>
        <w:t>of</w:t>
      </w:r>
      <w:r w:rsidR="000C0CF9">
        <w:rPr>
          <w:rFonts w:eastAsia="Aptos" w:cs="Calibri"/>
          <w:kern w:val="2"/>
          <w:szCs w:val="24"/>
          <w14:ligatures w14:val="standardContextual"/>
        </w:rPr>
        <w:t>-</w:t>
      </w:r>
      <w:r w:rsidRPr="005916FB">
        <w:rPr>
          <w:rFonts w:eastAsia="Aptos" w:cs="Calibri"/>
          <w:kern w:val="2"/>
          <w:szCs w:val="24"/>
          <w14:ligatures w14:val="standardContextual"/>
        </w:rPr>
        <w:t>the</w:t>
      </w:r>
      <w:r w:rsidR="000C0CF9">
        <w:rPr>
          <w:rFonts w:eastAsia="Aptos" w:cs="Calibri"/>
          <w:kern w:val="2"/>
          <w:szCs w:val="24"/>
          <w14:ligatures w14:val="standardContextual"/>
        </w:rPr>
        <w:t>-</w:t>
      </w:r>
      <w:r w:rsidRPr="005916FB">
        <w:rPr>
          <w:rFonts w:eastAsia="Aptos" w:cs="Calibri"/>
          <w:kern w:val="2"/>
          <w:szCs w:val="24"/>
          <w14:ligatures w14:val="standardContextual"/>
        </w:rPr>
        <w:t xml:space="preserve">art facility that can adapt to the rapid advances needed in oncology care, and provide seamless integrated care supported by teams at Dana-Farber, BIDMC, and HMFP. </w:t>
      </w:r>
    </w:p>
    <w:p w14:paraId="2F644F28" w14:textId="77777777" w:rsidR="005916FB" w:rsidRPr="005916FB" w:rsidRDefault="005916FB" w:rsidP="00F91720">
      <w:pPr>
        <w:widowControl/>
        <w:numPr>
          <w:ilvl w:val="0"/>
          <w:numId w:val="19"/>
        </w:numPr>
        <w:autoSpaceDE/>
        <w:autoSpaceDN/>
        <w:rPr>
          <w:rFonts w:eastAsia="Aptos" w:cs="Calibri"/>
          <w:kern w:val="2"/>
          <w:szCs w:val="24"/>
          <w14:ligatures w14:val="standardContextual"/>
        </w:rPr>
      </w:pPr>
      <w:r w:rsidRPr="005916FB">
        <w:rPr>
          <w:rFonts w:eastAsia="Aptos" w:cs="Calibri"/>
          <w:kern w:val="2"/>
          <w:szCs w:val="24"/>
          <w14:ligatures w14:val="standardContextual"/>
        </w:rPr>
        <w:t>Address critical needs in the community including need for specialized expertise, comprehensive treatment modalities, advanced technology and facilities, supportive facilities and research and innovation.</w:t>
      </w:r>
    </w:p>
    <w:p w14:paraId="363D7498" w14:textId="77777777" w:rsidR="005916FB" w:rsidRPr="005916FB" w:rsidRDefault="005916FB" w:rsidP="00F91720">
      <w:pPr>
        <w:widowControl/>
        <w:numPr>
          <w:ilvl w:val="0"/>
          <w:numId w:val="19"/>
        </w:numPr>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Offer a comprehensive range of treatment options, tailored to the specific needs of each patient, supporting optimal outcomes and improved quality of life. This is accomplished through acquisition of advanced diagnostic tools, imaging equipment, radiation therapy machines, and surgical instruments, enabling precise and effective treatment delivery while minimizing side effects and complications. </w:t>
      </w:r>
    </w:p>
    <w:p w14:paraId="6EAEB47F" w14:textId="77777777" w:rsidR="005916FB" w:rsidRPr="005916FB" w:rsidRDefault="005916FB" w:rsidP="00F91720">
      <w:pPr>
        <w:widowControl/>
        <w:numPr>
          <w:ilvl w:val="0"/>
          <w:numId w:val="19"/>
        </w:numPr>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Integrate a variety of supportive services for patients with cancer and their families into the patient care continuum, to support holistic well-being and quality of life for individuals affected by cancer. </w:t>
      </w:r>
    </w:p>
    <w:p w14:paraId="3F4F5EB4" w14:textId="1EF39465" w:rsidR="005916FB" w:rsidRPr="005916FB" w:rsidRDefault="005916FB" w:rsidP="00F91720">
      <w:pPr>
        <w:widowControl/>
        <w:numPr>
          <w:ilvl w:val="0"/>
          <w:numId w:val="19"/>
        </w:numPr>
        <w:autoSpaceDE/>
        <w:autoSpaceDN/>
        <w:rPr>
          <w:rFonts w:eastAsia="Aptos" w:cs="Calibri"/>
          <w:kern w:val="2"/>
          <w:szCs w:val="24"/>
          <w14:ligatures w14:val="standardContextual"/>
        </w:rPr>
      </w:pPr>
      <w:r w:rsidRPr="005916FB">
        <w:rPr>
          <w:rFonts w:eastAsia="Aptos" w:cs="Calibri"/>
          <w:kern w:val="2"/>
          <w:szCs w:val="24"/>
          <w14:ligatures w14:val="standardContextual"/>
        </w:rPr>
        <w:t>Advance clinical and research efforts in cancer care</w:t>
      </w:r>
      <w:r w:rsidR="004B5DB3">
        <w:rPr>
          <w:rFonts w:eastAsia="Aptos" w:cs="Calibri"/>
          <w:kern w:val="2"/>
          <w:szCs w:val="24"/>
          <w14:ligatures w14:val="standardContextual"/>
        </w:rPr>
        <w:t xml:space="preserve"> </w:t>
      </w:r>
      <w:r w:rsidRPr="005916FB">
        <w:rPr>
          <w:rFonts w:eastAsia="Aptos" w:cs="Calibri"/>
          <w:kern w:val="2"/>
          <w:szCs w:val="24"/>
          <w14:ligatures w14:val="standardContextual"/>
        </w:rPr>
        <w:t xml:space="preserve">through serving as a hub for medical research and innovation, facilitation of clinical trials, and the development of novel treatment strategies to improve patient outcomes. </w:t>
      </w:r>
    </w:p>
    <w:p w14:paraId="62F0EEE3" w14:textId="77777777" w:rsidR="005916FB" w:rsidRPr="005916FB" w:rsidRDefault="005916FB" w:rsidP="00BA2054">
      <w:pPr>
        <w:widowControl/>
        <w:autoSpaceDE/>
        <w:autoSpaceDN/>
        <w:ind w:left="720"/>
        <w:rPr>
          <w:rFonts w:eastAsia="Aptos" w:cs="Calibri"/>
          <w:kern w:val="2"/>
          <w:szCs w:val="24"/>
          <w14:ligatures w14:val="standardContextual"/>
        </w:rPr>
      </w:pPr>
    </w:p>
    <w:p w14:paraId="50096FF4" w14:textId="77777777" w:rsidR="005916FB" w:rsidRPr="005916FB" w:rsidRDefault="005916FB" w:rsidP="00BA2054">
      <w:pPr>
        <w:widowControl/>
        <w:autoSpaceDE/>
        <w:autoSpaceDN/>
        <w:rPr>
          <w:rFonts w:eastAsia="Aptos" w:cs="Calibri"/>
          <w:i/>
          <w:iCs/>
          <w:kern w:val="2"/>
          <w:szCs w:val="24"/>
          <w14:ligatures w14:val="standardContextual"/>
        </w:rPr>
      </w:pPr>
      <w:r w:rsidRPr="005916FB">
        <w:rPr>
          <w:rFonts w:eastAsia="Aptos" w:cs="Calibri"/>
          <w:i/>
          <w:iCs/>
          <w:kern w:val="2"/>
          <w:szCs w:val="24"/>
          <w14:ligatures w14:val="standardContextual"/>
        </w:rPr>
        <w:t>Health Equity</w:t>
      </w:r>
    </w:p>
    <w:p w14:paraId="1518B64A" w14:textId="0190A2B7" w:rsidR="005916FB" w:rsidRP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Commenters stated that the proposed standalone hospital will help Dana-Farber enhance patient care, expand access, and advance equity. Through the Proposed Project, Dana-Farber will address the social determinants of health (SDoH) that contribute to the poor outcomes across its priority </w:t>
      </w:r>
      <w:r w:rsidRPr="005916FB">
        <w:rPr>
          <w:rFonts w:eastAsia="Aptos" w:cs="Calibri"/>
          <w:kern w:val="2"/>
          <w:szCs w:val="24"/>
          <w14:ligatures w14:val="standardContextual"/>
        </w:rPr>
        <w:lastRenderedPageBreak/>
        <w:t xml:space="preserve">communities and beyond and strengthen Dana-Farber’s ability to design programs that reduce barriers to treatment and ensure all patients have access to clinical trials and high quality care. </w:t>
      </w:r>
    </w:p>
    <w:p w14:paraId="7015F5C5" w14:textId="544A8757" w:rsid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Existing programs</w:t>
      </w:r>
      <w:r w:rsidR="009F3B97">
        <w:rPr>
          <w:rFonts w:eastAsia="Aptos" w:cs="Calibri"/>
          <w:kern w:val="2"/>
          <w:szCs w:val="24"/>
          <w14:ligatures w14:val="standardContextual"/>
        </w:rPr>
        <w:t xml:space="preserve"> will expand through the Proposed Project, </w:t>
      </w:r>
      <w:r w:rsidRPr="005916FB">
        <w:rPr>
          <w:rFonts w:eastAsia="Aptos" w:cs="Calibri"/>
          <w:kern w:val="2"/>
          <w:szCs w:val="24"/>
          <w14:ligatures w14:val="standardContextual"/>
        </w:rPr>
        <w:t>including the Community Cancer Equity Program (CCEP) which has been reducing disparities in cancer outcomes since 2010; the Patient Navigator Program which ensures patients have the resources and support they need</w:t>
      </w:r>
      <w:r w:rsidR="00A65088">
        <w:rPr>
          <w:rFonts w:eastAsia="Aptos" w:cs="Calibri"/>
          <w:kern w:val="2"/>
          <w:szCs w:val="24"/>
          <w14:ligatures w14:val="standardContextual"/>
        </w:rPr>
        <w:t>;</w:t>
      </w:r>
      <w:r w:rsidRPr="005916FB">
        <w:rPr>
          <w:rFonts w:eastAsia="Aptos" w:cs="Calibri"/>
          <w:kern w:val="2"/>
          <w:szCs w:val="24"/>
          <w14:ligatures w14:val="standardContextual"/>
        </w:rPr>
        <w:t xml:space="preserve"> and programs to diversity the workforce such as collaborations with community college and local high schools. </w:t>
      </w:r>
    </w:p>
    <w:p w14:paraId="42461BEF" w14:textId="77777777" w:rsidR="00574DC6" w:rsidRPr="005916FB" w:rsidRDefault="00574DC6" w:rsidP="00BA2054">
      <w:pPr>
        <w:widowControl/>
        <w:autoSpaceDE/>
        <w:autoSpaceDN/>
        <w:rPr>
          <w:rFonts w:eastAsia="Aptos" w:cs="Calibri"/>
          <w:kern w:val="2"/>
          <w:szCs w:val="24"/>
          <w14:ligatures w14:val="standardContextual"/>
        </w:rPr>
      </w:pPr>
    </w:p>
    <w:p w14:paraId="15826BF3" w14:textId="35BFEAB5" w:rsidR="005916FB" w:rsidRDefault="004B5DB3" w:rsidP="00BA2054">
      <w:pPr>
        <w:widowControl/>
        <w:autoSpaceDE/>
        <w:autoSpaceDN/>
        <w:rPr>
          <w:rFonts w:eastAsia="Aptos" w:cs="Calibri"/>
          <w:kern w:val="2"/>
          <w:szCs w:val="24"/>
          <w14:ligatures w14:val="standardContextual"/>
        </w:rPr>
      </w:pPr>
      <w:r>
        <w:rPr>
          <w:rFonts w:eastAsia="Aptos" w:cs="Calibri"/>
          <w:kern w:val="2"/>
          <w:szCs w:val="24"/>
          <w14:ligatures w14:val="standardContextual"/>
        </w:rPr>
        <w:t>Dana-Farber’s</w:t>
      </w:r>
      <w:r w:rsidR="005916FB" w:rsidRPr="005916FB">
        <w:rPr>
          <w:rFonts w:eastAsia="Aptos" w:cs="Calibri"/>
          <w:kern w:val="2"/>
          <w:szCs w:val="24"/>
          <w14:ligatures w14:val="standardContextual"/>
        </w:rPr>
        <w:t xml:space="preserve"> community health center partners provide care to patients from marginalized and underserved communities facing barriers to accessing cancer care. The patient populations served include those who identify as Black, Indigenous, and people of color, the uninsured, low-income, and those with limited or low English proficiency. One example of Dana-Farber’s work with </w:t>
      </w:r>
      <w:r w:rsidR="009274F0">
        <w:rPr>
          <w:rFonts w:eastAsia="Aptos" w:cs="Calibri"/>
          <w:kern w:val="2"/>
          <w:szCs w:val="24"/>
          <w14:ligatures w14:val="standardContextual"/>
        </w:rPr>
        <w:t xml:space="preserve">a </w:t>
      </w:r>
      <w:r w:rsidR="005916FB" w:rsidRPr="005916FB">
        <w:rPr>
          <w:rFonts w:eastAsia="Aptos" w:cs="Calibri"/>
          <w:kern w:val="2"/>
          <w:szCs w:val="24"/>
          <w14:ligatures w14:val="standardContextual"/>
        </w:rPr>
        <w:t xml:space="preserve">community health center partners is Dana-Farber’s mammography van, the only mobile digital mammography program in Massachusetts, </w:t>
      </w:r>
      <w:r w:rsidR="00C63DEC">
        <w:rPr>
          <w:rFonts w:eastAsia="Aptos" w:cs="Calibri"/>
          <w:kern w:val="2"/>
          <w:szCs w:val="24"/>
          <w14:ligatures w14:val="standardContextual"/>
        </w:rPr>
        <w:t xml:space="preserve">which </w:t>
      </w:r>
      <w:r w:rsidR="005916FB" w:rsidRPr="005916FB">
        <w:rPr>
          <w:rFonts w:eastAsia="Aptos" w:cs="Calibri"/>
          <w:kern w:val="2"/>
          <w:szCs w:val="24"/>
          <w14:ligatures w14:val="standardContextual"/>
        </w:rPr>
        <w:t xml:space="preserve">provides screening mammograms and breast health education to women, prioritizing care to low-income, elderly, immigrant, and non-English speaking residents. Bowdoin Street Health Center, a community health center owned and operated by BIDMC, has partnered with Dana-Farber’s Mammography van since 2009 bringing preventative screenings to women in the community, to reduce transportation and linguistic barriers. </w:t>
      </w:r>
    </w:p>
    <w:p w14:paraId="67301E2C" w14:textId="77777777" w:rsidR="00574DC6" w:rsidRPr="005916FB" w:rsidRDefault="00574DC6" w:rsidP="00BA2054">
      <w:pPr>
        <w:widowControl/>
        <w:autoSpaceDE/>
        <w:autoSpaceDN/>
        <w:rPr>
          <w:rFonts w:eastAsia="Aptos" w:cs="Calibri"/>
          <w:kern w:val="2"/>
          <w:szCs w:val="24"/>
          <w14:ligatures w14:val="standardContextual"/>
        </w:rPr>
      </w:pPr>
    </w:p>
    <w:p w14:paraId="46559990" w14:textId="1E9BF620" w:rsid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Dana-Farber’s outreach, education and cancer care equity programming will be further enhanced by its relationship with BIDMC. This new collaboration will create opportunities to expand programs and reach additional underserved communities. Based on FY21 data, Medicaid cancer discharges at BIDMC were 14%, which is double the rate of other Longwood cancer collaborations, and all government payer cancer discharges were 63%, as compared to 42% for other Longwood cancer collaborations. In the last fiscal year, BIDMC </w:t>
      </w:r>
      <w:r w:rsidR="007958F4" w:rsidRPr="005916FB">
        <w:rPr>
          <w:rFonts w:eastAsia="Aptos" w:cs="Calibri"/>
          <w:kern w:val="2"/>
          <w:szCs w:val="24"/>
          <w14:ligatures w14:val="standardContextual"/>
        </w:rPr>
        <w:t>invested</w:t>
      </w:r>
      <w:r w:rsidRPr="005916FB">
        <w:rPr>
          <w:rFonts w:eastAsia="Aptos" w:cs="Calibri"/>
          <w:kern w:val="2"/>
          <w:szCs w:val="24"/>
          <w14:ligatures w14:val="standardContextual"/>
        </w:rPr>
        <w:t xml:space="preserve"> over $58M in expanding equitable access to quality cancer care through such initiatives as the BIDMC Social </w:t>
      </w:r>
      <w:r w:rsidR="00891067">
        <w:rPr>
          <w:rFonts w:eastAsia="Aptos" w:cs="Calibri"/>
          <w:kern w:val="2"/>
          <w:szCs w:val="24"/>
          <w14:ligatures w14:val="standardContextual"/>
        </w:rPr>
        <w:t>W</w:t>
      </w:r>
      <w:r w:rsidRPr="005916FB">
        <w:rPr>
          <w:rFonts w:eastAsia="Aptos" w:cs="Calibri"/>
          <w:kern w:val="2"/>
          <w:szCs w:val="24"/>
          <w14:ligatures w14:val="standardContextual"/>
        </w:rPr>
        <w:t xml:space="preserve">ork Department which supports patients with cancer through support groups and patient navigator services. Through BIDMC’s expansive primary care network and affiliations with community health centers, it will work to ensure that cancer screening services and referral pathways for follow-up care are available to all. Dana-Farber and its clinical partner BIDMC, will build access and equity into the system to eliminate barriers to accessing cancer care, advance cancer care and close health equity gaps in underserved neighborhoods. </w:t>
      </w:r>
    </w:p>
    <w:p w14:paraId="5073BF10" w14:textId="77777777" w:rsidR="00826821" w:rsidRPr="005916FB" w:rsidRDefault="00826821" w:rsidP="00BA2054">
      <w:pPr>
        <w:widowControl/>
        <w:autoSpaceDE/>
        <w:autoSpaceDN/>
        <w:rPr>
          <w:rFonts w:eastAsia="Aptos" w:cs="Calibri"/>
          <w:kern w:val="2"/>
          <w:szCs w:val="24"/>
          <w14:ligatures w14:val="standardContextual"/>
        </w:rPr>
      </w:pPr>
    </w:p>
    <w:p w14:paraId="259CBAA2" w14:textId="77777777" w:rsidR="005916FB" w:rsidRPr="005916FB" w:rsidRDefault="005916FB" w:rsidP="00BA2054">
      <w:pPr>
        <w:widowControl/>
        <w:autoSpaceDE/>
        <w:autoSpaceDN/>
        <w:rPr>
          <w:rFonts w:eastAsia="Aptos" w:cs="Calibri"/>
          <w:b/>
          <w:bCs/>
          <w:kern w:val="2"/>
          <w:szCs w:val="24"/>
          <w14:ligatures w14:val="standardContextual"/>
        </w:rPr>
      </w:pPr>
      <w:r w:rsidRPr="005916FB">
        <w:rPr>
          <w:rFonts w:ascii="Aptos" w:eastAsia="Aptos" w:hAnsi="Aptos" w:cs="Times New Roman"/>
          <w:b/>
          <w:bCs/>
          <w:kern w:val="2"/>
          <w:szCs w:val="24"/>
          <w14:ligatures w14:val="standardContextual"/>
        </w:rPr>
        <w:t>Factor 1: c) Efficiency, Continuity of Care, Coordination of Care</w:t>
      </w:r>
    </w:p>
    <w:p w14:paraId="08B0AC40" w14:textId="7F612CCA" w:rsidR="005916FB" w:rsidRP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Commenters spoke about the improved coordination of care and efficiency that will result from the Proposed Project. The physical proximity to, and clinical affiliation with BIDMC means that patients will continue to benefit from the expertise of non-oncology medical and surgical clinicians. Dana-Farber will be able to seamlessly coordinate sophisticated multidisciplinary care delivered by a number of cancer and non-cancer care specialists from inpatient to outpatient setting. </w:t>
      </w:r>
      <w:r w:rsidR="00697768">
        <w:rPr>
          <w:rFonts w:eastAsia="Aptos" w:cs="Calibri"/>
          <w:kern w:val="2"/>
          <w:szCs w:val="24"/>
          <w14:ligatures w14:val="standardContextual"/>
        </w:rPr>
        <w:t xml:space="preserve">For </w:t>
      </w:r>
      <w:r w:rsidRPr="005916FB">
        <w:rPr>
          <w:rFonts w:eastAsia="Aptos" w:cs="Calibri"/>
          <w:kern w:val="2"/>
          <w:szCs w:val="24"/>
          <w14:ligatures w14:val="standardContextual"/>
        </w:rPr>
        <w:t xml:space="preserve">twenty years, Dana-Farber has provided ambulatory cancer care in local communities and partnered with local hospitals to keep patients in their communities, including inpatient hospitalizations. This model allows patients to receive some of their care at their local community hospital, making care more accessible, culturally competent, and personalized. </w:t>
      </w:r>
    </w:p>
    <w:p w14:paraId="742B6800" w14:textId="77777777" w:rsidR="00BA2054" w:rsidRDefault="00BA2054" w:rsidP="00BA2054">
      <w:pPr>
        <w:widowControl/>
        <w:autoSpaceDE/>
        <w:autoSpaceDN/>
        <w:rPr>
          <w:rFonts w:eastAsia="Aptos" w:cs="Calibri"/>
          <w:kern w:val="2"/>
          <w:szCs w:val="24"/>
          <w14:ligatures w14:val="standardContextual"/>
        </w:rPr>
      </w:pPr>
    </w:p>
    <w:p w14:paraId="57E4F440" w14:textId="2E12F7E5" w:rsid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Dana-Farber expects 2,400 new jobs at all levels (administrative, clinical, nursing, support services, radiation oncology, imaging, lab services, pharmacy, and management/supervisor) when the hospital is fully operational. Dana-Farber anticipates hiring more than 700 oncology nurses in its new hospital. Dana-Farber is currently building a simulation training center, and has partnerships with several colleges of nursing and community colleges to build the pipeline of nurses that will be needed. </w:t>
      </w:r>
    </w:p>
    <w:p w14:paraId="3F31A0F4" w14:textId="77777777" w:rsidR="00826821" w:rsidRDefault="00826821" w:rsidP="00BA2054">
      <w:pPr>
        <w:widowControl/>
        <w:autoSpaceDE/>
        <w:autoSpaceDN/>
        <w:rPr>
          <w:rFonts w:eastAsia="Aptos" w:cs="Calibri"/>
          <w:kern w:val="2"/>
          <w:szCs w:val="24"/>
          <w14:ligatures w14:val="standardContextual"/>
        </w:rPr>
      </w:pPr>
    </w:p>
    <w:p w14:paraId="4685C042" w14:textId="2060227F" w:rsidR="00826821" w:rsidRPr="005916FB" w:rsidRDefault="00826821" w:rsidP="00BA2054">
      <w:pPr>
        <w:widowControl/>
        <w:autoSpaceDE/>
        <w:autoSpaceDN/>
        <w:rPr>
          <w:rFonts w:eastAsia="Aptos" w:cs="Calibri"/>
          <w:kern w:val="2"/>
          <w:szCs w:val="24"/>
          <w14:ligatures w14:val="standardContextual"/>
        </w:rPr>
      </w:pPr>
      <w:r>
        <w:rPr>
          <w:rFonts w:eastAsia="Aptos" w:cs="Calibri"/>
          <w:kern w:val="2"/>
          <w:szCs w:val="24"/>
          <w14:ligatures w14:val="standardContextual"/>
        </w:rPr>
        <w:t xml:space="preserve">As noted above in Factor 1a, the 1199SEIU TTG raised </w:t>
      </w:r>
      <w:r w:rsidR="002E311D">
        <w:rPr>
          <w:rFonts w:eastAsia="Aptos" w:cs="Calibri"/>
          <w:kern w:val="2"/>
          <w:szCs w:val="24"/>
          <w14:ligatures w14:val="standardContextual"/>
        </w:rPr>
        <w:t xml:space="preserve">its </w:t>
      </w:r>
      <w:r>
        <w:rPr>
          <w:rFonts w:eastAsia="Aptos" w:cs="Calibri"/>
          <w:kern w:val="2"/>
          <w:szCs w:val="24"/>
          <w14:ligatures w14:val="standardContextual"/>
        </w:rPr>
        <w:t xml:space="preserve">concerns </w:t>
      </w:r>
      <w:r w:rsidR="002E311D">
        <w:rPr>
          <w:rFonts w:eastAsia="Aptos" w:cs="Calibri"/>
          <w:kern w:val="2"/>
          <w:szCs w:val="24"/>
          <w14:ligatures w14:val="standardContextual"/>
        </w:rPr>
        <w:t xml:space="preserve">to the Department </w:t>
      </w:r>
      <w:r w:rsidR="0098535C">
        <w:rPr>
          <w:rFonts w:eastAsia="Aptos" w:cs="Calibri"/>
          <w:kern w:val="2"/>
          <w:szCs w:val="24"/>
          <w14:ligatures w14:val="standardContextual"/>
        </w:rPr>
        <w:t>about</w:t>
      </w:r>
      <w:r>
        <w:rPr>
          <w:rFonts w:eastAsia="Aptos" w:cs="Calibri"/>
          <w:kern w:val="2"/>
          <w:szCs w:val="24"/>
          <w14:ligatures w14:val="standardContextual"/>
        </w:rPr>
        <w:t xml:space="preserve"> the staffing of the Proposed Project, given </w:t>
      </w:r>
      <w:r w:rsidR="007F0114">
        <w:rPr>
          <w:rFonts w:eastAsia="Aptos" w:cs="Calibri"/>
          <w:kern w:val="2"/>
          <w:szCs w:val="24"/>
          <w14:ligatures w14:val="standardContextual"/>
        </w:rPr>
        <w:t xml:space="preserve">the current healthcare staffing crisis and the </w:t>
      </w:r>
      <w:r w:rsidR="0098535C">
        <w:rPr>
          <w:rFonts w:eastAsia="Aptos" w:cs="Calibri"/>
          <w:kern w:val="2"/>
          <w:szCs w:val="24"/>
          <w14:ligatures w14:val="standardContextual"/>
        </w:rPr>
        <w:t xml:space="preserve">challenges hospitals are experiencing with recruiting and retaining </w:t>
      </w:r>
      <w:r>
        <w:rPr>
          <w:rFonts w:eastAsia="Aptos" w:cs="Calibri"/>
          <w:kern w:val="2"/>
          <w:szCs w:val="24"/>
          <w14:ligatures w14:val="standardContextual"/>
        </w:rPr>
        <w:t>staff</w:t>
      </w:r>
      <w:r w:rsidR="002E311D">
        <w:rPr>
          <w:rFonts w:eastAsia="Aptos" w:cs="Calibri"/>
          <w:kern w:val="2"/>
          <w:szCs w:val="24"/>
          <w14:ligatures w14:val="standardContextual"/>
        </w:rPr>
        <w:t>.</w:t>
      </w:r>
      <w:r>
        <w:rPr>
          <w:rFonts w:eastAsia="Aptos" w:cs="Calibri"/>
          <w:kern w:val="2"/>
          <w:szCs w:val="24"/>
          <w14:ligatures w14:val="standardContextual"/>
        </w:rPr>
        <w:t xml:space="preserve"> </w:t>
      </w:r>
    </w:p>
    <w:p w14:paraId="18DB5AD0" w14:textId="77777777" w:rsidR="00BA2054" w:rsidRDefault="00BA2054" w:rsidP="00BA2054">
      <w:pPr>
        <w:widowControl/>
        <w:autoSpaceDE/>
        <w:autoSpaceDN/>
        <w:rPr>
          <w:rFonts w:eastAsia="Aptos" w:cs="Calibri"/>
          <w:b/>
          <w:bCs/>
          <w:kern w:val="2"/>
          <w:szCs w:val="24"/>
          <w14:ligatures w14:val="standardContextual"/>
        </w:rPr>
      </w:pPr>
    </w:p>
    <w:p w14:paraId="057B0FB3" w14:textId="6998755D" w:rsidR="005916FB" w:rsidRPr="005916FB" w:rsidRDefault="005916FB" w:rsidP="00BA2054">
      <w:pPr>
        <w:widowControl/>
        <w:autoSpaceDE/>
        <w:autoSpaceDN/>
        <w:rPr>
          <w:rFonts w:eastAsia="Aptos" w:cs="Calibri"/>
          <w:b/>
          <w:bCs/>
          <w:kern w:val="2"/>
          <w:szCs w:val="24"/>
          <w14:ligatures w14:val="standardContextual"/>
        </w:rPr>
      </w:pPr>
      <w:r w:rsidRPr="005916FB">
        <w:rPr>
          <w:rFonts w:eastAsia="Aptos" w:cs="Calibri"/>
          <w:b/>
          <w:bCs/>
          <w:kern w:val="2"/>
          <w:szCs w:val="24"/>
          <w14:ligatures w14:val="standardContextual"/>
        </w:rPr>
        <w:t>Factor 1: f) Competition on price, total medical expenses (TME), costs and other measures of health care spending</w:t>
      </w:r>
    </w:p>
    <w:p w14:paraId="5D15EE56" w14:textId="77777777" w:rsidR="005916FB" w:rsidRPr="005916FB" w:rsidRDefault="005916FB" w:rsidP="00BA2054">
      <w:pPr>
        <w:widowControl/>
        <w:autoSpaceDE/>
        <w:autoSpaceDN/>
        <w:rPr>
          <w:rFonts w:eastAsia="Aptos" w:cs="Calibri"/>
          <w:kern w:val="2"/>
          <w:szCs w:val="24"/>
          <w14:ligatures w14:val="standardContextual"/>
        </w:rPr>
      </w:pPr>
      <w:r w:rsidRPr="005916FB">
        <w:rPr>
          <w:rFonts w:eastAsia="Aptos" w:cs="Calibri"/>
          <w:kern w:val="2"/>
          <w:szCs w:val="24"/>
          <w14:ligatures w14:val="standardContextual"/>
        </w:rPr>
        <w:t xml:space="preserve">Commenters spoke about the cost benefits of the Proposed Project, including the clinical collaboration between Dana-Farber and BIDMC to provide integrated, cross-disciplinary care and cost-effective care. </w:t>
      </w:r>
    </w:p>
    <w:p w14:paraId="2D654ECE" w14:textId="3EC526F9" w:rsidR="005916FB" w:rsidRPr="005916FB" w:rsidRDefault="005916FB" w:rsidP="00F91720">
      <w:pPr>
        <w:widowControl/>
        <w:numPr>
          <w:ilvl w:val="0"/>
          <w:numId w:val="20"/>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Dana-Farber’s proposed inpatient hospital and clinical collaboration with BIDMC will establish Dana-Farber as a competitor to the MGB network, where MGH provides subspecialty level inpatient care in Boston</w:t>
      </w:r>
      <w:r w:rsidR="00A227E8">
        <w:rPr>
          <w:rFonts w:eastAsia="Aptos" w:cs="Calibri"/>
          <w:kern w:val="2"/>
          <w:szCs w:val="24"/>
          <w14:ligatures w14:val="standardContextual"/>
        </w:rPr>
        <w:t>. T</w:t>
      </w:r>
      <w:r w:rsidRPr="005916FB">
        <w:rPr>
          <w:rFonts w:eastAsia="Aptos" w:cs="Calibri"/>
          <w:kern w:val="2"/>
          <w:szCs w:val="24"/>
          <w14:ligatures w14:val="standardContextual"/>
        </w:rPr>
        <w:t xml:space="preserve">his increased competition will apply downward pressure on rates and overall medical costs. </w:t>
      </w:r>
    </w:p>
    <w:p w14:paraId="4DB1FA6D" w14:textId="77777777" w:rsidR="009C54B0" w:rsidRDefault="005916FB" w:rsidP="00F91720">
      <w:pPr>
        <w:widowControl/>
        <w:numPr>
          <w:ilvl w:val="0"/>
          <w:numId w:val="20"/>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Dana-Farber’s collaboration with BIDMC will maintain or reduce healthcare costs as patients seeking cancer care shift from BWH, a higher-cost provider, to Dana-Farber and BIDMC, lower-cost providers. </w:t>
      </w:r>
    </w:p>
    <w:p w14:paraId="228D0E74" w14:textId="07201795" w:rsidR="005916FB" w:rsidRPr="005916FB" w:rsidRDefault="005916FB" w:rsidP="00F91720">
      <w:pPr>
        <w:widowControl/>
        <w:numPr>
          <w:ilvl w:val="0"/>
          <w:numId w:val="20"/>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According to publicly available data, BIDMC provides high-quality care at 23% lower costs than other large hospitals in Boston. </w:t>
      </w:r>
    </w:p>
    <w:p w14:paraId="1FE0DBD5" w14:textId="77777777" w:rsidR="00916AFB" w:rsidRDefault="005916FB" w:rsidP="00F91720">
      <w:pPr>
        <w:widowControl/>
        <w:numPr>
          <w:ilvl w:val="0"/>
          <w:numId w:val="20"/>
        </w:numPr>
        <w:autoSpaceDE/>
        <w:autoSpaceDN/>
        <w:contextualSpacing/>
        <w:rPr>
          <w:rFonts w:eastAsia="Aptos" w:cs="Calibri"/>
          <w:kern w:val="2"/>
          <w:szCs w:val="24"/>
          <w14:ligatures w14:val="standardContextual"/>
        </w:rPr>
      </w:pPr>
      <w:r w:rsidRPr="005916FB">
        <w:rPr>
          <w:rFonts w:eastAsia="Aptos" w:cs="Calibri"/>
          <w:kern w:val="2"/>
          <w:szCs w:val="24"/>
          <w14:ligatures w14:val="standardContextual"/>
        </w:rPr>
        <w:t xml:space="preserve">Dana-Farber’s collaboration with BIDMC will also help to keep people out of the hospital wherever possible starting with screening in the community and partnering with hospitals across the state so people can get convenient and affordable care, without costly duplication of care and services. </w:t>
      </w:r>
    </w:p>
    <w:p w14:paraId="4DCFFCF5" w14:textId="5C2F2BDF" w:rsidR="00BA2054" w:rsidRDefault="005916FB" w:rsidP="00F91720">
      <w:pPr>
        <w:widowControl/>
        <w:numPr>
          <w:ilvl w:val="0"/>
          <w:numId w:val="20"/>
        </w:numPr>
        <w:autoSpaceDE/>
        <w:autoSpaceDN/>
        <w:contextualSpacing/>
        <w:rPr>
          <w:b/>
          <w:bCs/>
          <w:color w:val="1F497D" w:themeColor="text2"/>
          <w:sz w:val="28"/>
          <w:szCs w:val="28"/>
        </w:rPr>
      </w:pPr>
      <w:r w:rsidRPr="00916AFB">
        <w:rPr>
          <w:rFonts w:eastAsia="Aptos" w:cs="Calibri"/>
          <w:kern w:val="2"/>
          <w:szCs w:val="24"/>
          <w14:ligatures w14:val="standardContextual"/>
        </w:rPr>
        <w:t xml:space="preserve">Dana-Farber has established an oncology-specific </w:t>
      </w:r>
      <w:r w:rsidR="00A41A65">
        <w:rPr>
          <w:rFonts w:eastAsia="Aptos" w:cs="Calibri"/>
          <w:kern w:val="2"/>
          <w:szCs w:val="24"/>
          <w14:ligatures w14:val="standardContextual"/>
        </w:rPr>
        <w:t>A</w:t>
      </w:r>
      <w:r w:rsidRPr="00916AFB">
        <w:rPr>
          <w:rFonts w:eastAsia="Aptos" w:cs="Calibri"/>
          <w:kern w:val="2"/>
          <w:szCs w:val="24"/>
          <w14:ligatures w14:val="standardContextual"/>
        </w:rPr>
        <w:t xml:space="preserve">cute </w:t>
      </w:r>
      <w:r w:rsidR="00A41A65">
        <w:rPr>
          <w:rFonts w:eastAsia="Aptos" w:cs="Calibri"/>
          <w:kern w:val="2"/>
          <w:szCs w:val="24"/>
          <w14:ligatures w14:val="standardContextual"/>
        </w:rPr>
        <w:t>C</w:t>
      </w:r>
      <w:r w:rsidRPr="00916AFB">
        <w:rPr>
          <w:rFonts w:eastAsia="Aptos" w:cs="Calibri"/>
          <w:kern w:val="2"/>
          <w:szCs w:val="24"/>
          <w14:ligatures w14:val="standardContextual"/>
        </w:rPr>
        <w:t xml:space="preserve">are </w:t>
      </w:r>
      <w:r w:rsidR="00A41A65">
        <w:rPr>
          <w:rFonts w:eastAsia="Aptos" w:cs="Calibri"/>
          <w:kern w:val="2"/>
          <w:szCs w:val="24"/>
          <w14:ligatures w14:val="standardContextual"/>
        </w:rPr>
        <w:t>C</w:t>
      </w:r>
      <w:r w:rsidRPr="00916AFB">
        <w:rPr>
          <w:rFonts w:eastAsia="Aptos" w:cs="Calibri"/>
          <w:kern w:val="2"/>
          <w:szCs w:val="24"/>
          <w14:ligatures w14:val="standardContextual"/>
        </w:rPr>
        <w:t xml:space="preserve">linic which was shown to improve patient experience and reduce costs of expensive inpatient care. </w:t>
      </w:r>
      <w:r w:rsidR="00BA2054">
        <w:rPr>
          <w:color w:val="1F497D" w:themeColor="text2"/>
        </w:rPr>
        <w:br w:type="page"/>
      </w:r>
    </w:p>
    <w:p w14:paraId="6011C0DC" w14:textId="150B4232" w:rsidR="006344BF" w:rsidRPr="008031A2" w:rsidRDefault="006344BF" w:rsidP="008031A2">
      <w:pPr>
        <w:pStyle w:val="Heading1"/>
        <w:ind w:left="0"/>
        <w:rPr>
          <w:color w:val="1F497D" w:themeColor="text2"/>
        </w:rPr>
      </w:pPr>
      <w:bookmarkStart w:id="46" w:name="_Toc190780604"/>
      <w:r w:rsidRPr="008031A2">
        <w:rPr>
          <w:color w:val="1F497D" w:themeColor="text2"/>
        </w:rPr>
        <w:lastRenderedPageBreak/>
        <w:t xml:space="preserve">Appendix </w:t>
      </w:r>
      <w:r w:rsidR="00474061">
        <w:rPr>
          <w:color w:val="1F497D" w:themeColor="text2"/>
        </w:rPr>
        <w:t>VI</w:t>
      </w:r>
      <w:r w:rsidR="00233106">
        <w:rPr>
          <w:color w:val="1F497D" w:themeColor="text2"/>
        </w:rPr>
        <w:t>I</w:t>
      </w:r>
      <w:r w:rsidRPr="008031A2">
        <w:rPr>
          <w:color w:val="1F497D" w:themeColor="text2"/>
        </w:rPr>
        <w:t>:</w:t>
      </w:r>
      <w:r w:rsidR="002E2E9F" w:rsidRPr="008031A2">
        <w:rPr>
          <w:color w:val="1F497D" w:themeColor="text2"/>
        </w:rPr>
        <w:t xml:space="preserve"> </w:t>
      </w:r>
      <w:r w:rsidR="008F3D8A" w:rsidRPr="008031A2">
        <w:rPr>
          <w:color w:val="1F497D" w:themeColor="text2"/>
        </w:rPr>
        <w:t>TTGs Overview</w:t>
      </w:r>
      <w:bookmarkEnd w:id="46"/>
      <w:r w:rsidR="008F3D8A" w:rsidRPr="008031A2">
        <w:rPr>
          <w:color w:val="1F497D" w:themeColor="text2"/>
        </w:rPr>
        <w:t xml:space="preserve"> </w:t>
      </w:r>
    </w:p>
    <w:p w14:paraId="02A3D24B" w14:textId="77777777" w:rsidR="008F3D8A" w:rsidRDefault="008F3D8A">
      <w:pPr>
        <w:rPr>
          <w:rFonts w:asciiTheme="minorHAnsi" w:hAnsiTheme="minorHAnsi"/>
          <w:b/>
          <w:bCs/>
          <w:color w:val="1F497D" w:themeColor="text2"/>
          <w:sz w:val="28"/>
          <w:szCs w:val="2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3100"/>
        <w:gridCol w:w="1677"/>
        <w:gridCol w:w="1310"/>
        <w:gridCol w:w="2253"/>
        <w:gridCol w:w="1470"/>
      </w:tblGrid>
      <w:tr w:rsidR="00925CC1" w14:paraId="6D6E9B74" w14:textId="77777777" w:rsidTr="005066DC">
        <w:trPr>
          <w:cantSplit/>
          <w:trHeight w:val="929"/>
          <w:tblHeader/>
        </w:trPr>
        <w:tc>
          <w:tcPr>
            <w:tcW w:w="0" w:type="auto"/>
            <w:shd w:val="clear" w:color="auto" w:fill="DBE5F1" w:themeFill="accent1" w:themeFillTint="33"/>
            <w:tcMar>
              <w:left w:w="58" w:type="dxa"/>
              <w:right w:w="58" w:type="dxa"/>
            </w:tcMar>
          </w:tcPr>
          <w:p w14:paraId="5B6157C2" w14:textId="77777777" w:rsidR="00925CC1" w:rsidRDefault="00925CC1">
            <w:pPr>
              <w:jc w:val="center"/>
              <w:rPr>
                <w:b/>
              </w:rPr>
            </w:pPr>
            <w:r>
              <w:rPr>
                <w:b/>
              </w:rPr>
              <w:t>TTG Name</w:t>
            </w:r>
          </w:p>
        </w:tc>
        <w:tc>
          <w:tcPr>
            <w:tcW w:w="0" w:type="auto"/>
            <w:shd w:val="clear" w:color="auto" w:fill="DBE5F1" w:themeFill="accent1" w:themeFillTint="33"/>
            <w:tcMar>
              <w:left w:w="58" w:type="dxa"/>
              <w:right w:w="58" w:type="dxa"/>
            </w:tcMar>
          </w:tcPr>
          <w:p w14:paraId="6C43A2D8" w14:textId="77777777" w:rsidR="00925CC1" w:rsidRDefault="00925CC1">
            <w:pPr>
              <w:jc w:val="center"/>
              <w:rPr>
                <w:b/>
              </w:rPr>
            </w:pPr>
            <w:r>
              <w:rPr>
                <w:b/>
              </w:rPr>
              <w:t>Requested Public Hearing</w:t>
            </w:r>
          </w:p>
        </w:tc>
        <w:tc>
          <w:tcPr>
            <w:tcW w:w="0" w:type="auto"/>
            <w:shd w:val="clear" w:color="auto" w:fill="DBE5F1" w:themeFill="accent1" w:themeFillTint="33"/>
            <w:tcMar>
              <w:left w:w="58" w:type="dxa"/>
              <w:right w:w="58" w:type="dxa"/>
            </w:tcMar>
          </w:tcPr>
          <w:p w14:paraId="79CB2915" w14:textId="77777777" w:rsidR="00925CC1" w:rsidRDefault="00925CC1">
            <w:pPr>
              <w:jc w:val="center"/>
              <w:rPr>
                <w:b/>
              </w:rPr>
            </w:pPr>
            <w:r>
              <w:rPr>
                <w:b/>
              </w:rPr>
              <w:t>Requested ICA</w:t>
            </w:r>
          </w:p>
        </w:tc>
        <w:tc>
          <w:tcPr>
            <w:tcW w:w="0" w:type="auto"/>
            <w:shd w:val="clear" w:color="auto" w:fill="DBE5F1" w:themeFill="accent1" w:themeFillTint="33"/>
            <w:tcMar>
              <w:left w:w="58" w:type="dxa"/>
              <w:right w:w="58" w:type="dxa"/>
            </w:tcMar>
          </w:tcPr>
          <w:p w14:paraId="01F40B23" w14:textId="77777777" w:rsidR="00925CC1" w:rsidRDefault="00925CC1">
            <w:pPr>
              <w:jc w:val="center"/>
              <w:rPr>
                <w:b/>
                <w:bCs/>
              </w:rPr>
            </w:pPr>
            <w:r w:rsidRPr="2AEAA9ED">
              <w:rPr>
                <w:b/>
                <w:bCs/>
              </w:rPr>
              <w:t>Oral Comments Provided at Public Hearing</w:t>
            </w:r>
          </w:p>
          <w:p w14:paraId="0A5BDE9D" w14:textId="77777777" w:rsidR="00925CC1" w:rsidRDefault="00925CC1">
            <w:pPr>
              <w:jc w:val="center"/>
              <w:rPr>
                <w:b/>
                <w:bCs/>
              </w:rPr>
            </w:pPr>
          </w:p>
        </w:tc>
        <w:tc>
          <w:tcPr>
            <w:tcW w:w="0" w:type="auto"/>
            <w:shd w:val="clear" w:color="auto" w:fill="DBE5F1" w:themeFill="accent1" w:themeFillTint="33"/>
            <w:tcMar>
              <w:left w:w="58" w:type="dxa"/>
              <w:right w:w="58" w:type="dxa"/>
            </w:tcMar>
          </w:tcPr>
          <w:p w14:paraId="65B3C30D" w14:textId="77777777" w:rsidR="00925CC1" w:rsidRDefault="00925CC1">
            <w:pPr>
              <w:jc w:val="center"/>
              <w:rPr>
                <w:b/>
                <w:bCs/>
              </w:rPr>
            </w:pPr>
            <w:r w:rsidRPr="2AEAA9ED">
              <w:rPr>
                <w:b/>
                <w:bCs/>
              </w:rPr>
              <w:t>Written Comments</w:t>
            </w:r>
          </w:p>
          <w:p w14:paraId="0177D68D" w14:textId="090D5C80" w:rsidR="00FB6802" w:rsidRDefault="00FB6802">
            <w:pPr>
              <w:jc w:val="center"/>
              <w:rPr>
                <w:b/>
                <w:bCs/>
              </w:rPr>
            </w:pPr>
            <w:r>
              <w:rPr>
                <w:b/>
                <w:bCs/>
              </w:rPr>
              <w:t>Submitted</w:t>
            </w:r>
          </w:p>
        </w:tc>
      </w:tr>
      <w:tr w:rsidR="00925CC1" w14:paraId="12DEA86E" w14:textId="77777777" w:rsidTr="005066DC">
        <w:trPr>
          <w:cantSplit/>
          <w:trHeight w:val="1030"/>
        </w:trPr>
        <w:tc>
          <w:tcPr>
            <w:tcW w:w="0" w:type="auto"/>
          </w:tcPr>
          <w:p w14:paraId="474EA396" w14:textId="5EFA1FD5" w:rsidR="00925CC1" w:rsidRDefault="00925CC1">
            <w:r>
              <w:t>Clinicians of Dana-Farber Cancer Institute</w:t>
            </w:r>
          </w:p>
        </w:tc>
        <w:tc>
          <w:tcPr>
            <w:tcW w:w="0" w:type="auto"/>
          </w:tcPr>
          <w:p w14:paraId="7752EB7B" w14:textId="77777777" w:rsidR="00925CC1" w:rsidRDefault="00925CC1">
            <w:pPr>
              <w:jc w:val="center"/>
            </w:pPr>
          </w:p>
        </w:tc>
        <w:tc>
          <w:tcPr>
            <w:tcW w:w="0" w:type="auto"/>
          </w:tcPr>
          <w:p w14:paraId="4320CDA9" w14:textId="77777777" w:rsidR="00925CC1" w:rsidRDefault="00925CC1">
            <w:pPr>
              <w:jc w:val="center"/>
            </w:pPr>
          </w:p>
        </w:tc>
        <w:tc>
          <w:tcPr>
            <w:tcW w:w="0" w:type="auto"/>
          </w:tcPr>
          <w:p w14:paraId="5C7EAF86" w14:textId="08C3F96F" w:rsidR="00925CC1" w:rsidRDefault="009D50BE">
            <w:pPr>
              <w:jc w:val="center"/>
            </w:pPr>
            <w:r>
              <w:rPr>
                <w:rFonts w:ascii="Wingdings" w:eastAsia="Wingdings" w:hAnsi="Wingdings" w:cs="Wingdings"/>
              </w:rPr>
              <w:t>ü</w:t>
            </w:r>
          </w:p>
        </w:tc>
        <w:tc>
          <w:tcPr>
            <w:tcW w:w="0" w:type="auto"/>
          </w:tcPr>
          <w:p w14:paraId="03208D70" w14:textId="77777777" w:rsidR="00925CC1" w:rsidRDefault="00925CC1">
            <w:pPr>
              <w:jc w:val="center"/>
            </w:pPr>
          </w:p>
        </w:tc>
      </w:tr>
      <w:tr w:rsidR="00925CC1" w14:paraId="2934A40A" w14:textId="77777777" w:rsidTr="005066DC">
        <w:trPr>
          <w:cantSplit/>
          <w:trHeight w:val="1039"/>
        </w:trPr>
        <w:tc>
          <w:tcPr>
            <w:tcW w:w="0" w:type="auto"/>
            <w:shd w:val="clear" w:color="auto" w:fill="auto"/>
          </w:tcPr>
          <w:p w14:paraId="02F033EC" w14:textId="4DCF628E" w:rsidR="00925CC1" w:rsidRPr="00660295" w:rsidRDefault="00925CC1">
            <w:r>
              <w:t>Iron Workers Local 7</w:t>
            </w:r>
          </w:p>
        </w:tc>
        <w:tc>
          <w:tcPr>
            <w:tcW w:w="0" w:type="auto"/>
          </w:tcPr>
          <w:p w14:paraId="24EC2AB2" w14:textId="09652790" w:rsidR="00925CC1" w:rsidRDefault="00925CC1">
            <w:pPr>
              <w:jc w:val="center"/>
              <w:rPr>
                <w:color w:val="000000" w:themeColor="text1"/>
              </w:rPr>
            </w:pPr>
          </w:p>
        </w:tc>
        <w:tc>
          <w:tcPr>
            <w:tcW w:w="0" w:type="auto"/>
          </w:tcPr>
          <w:p w14:paraId="132EBD58" w14:textId="77777777" w:rsidR="00925CC1" w:rsidRDefault="00925CC1">
            <w:pPr>
              <w:jc w:val="center"/>
            </w:pPr>
          </w:p>
        </w:tc>
        <w:tc>
          <w:tcPr>
            <w:tcW w:w="0" w:type="auto"/>
          </w:tcPr>
          <w:p w14:paraId="032281CF" w14:textId="77777777" w:rsidR="00925CC1" w:rsidRDefault="00925CC1">
            <w:pPr>
              <w:jc w:val="center"/>
            </w:pPr>
          </w:p>
        </w:tc>
        <w:tc>
          <w:tcPr>
            <w:tcW w:w="0" w:type="auto"/>
          </w:tcPr>
          <w:p w14:paraId="25A43FE9" w14:textId="77777777" w:rsidR="00925CC1" w:rsidRDefault="00925CC1">
            <w:pPr>
              <w:jc w:val="center"/>
            </w:pPr>
          </w:p>
        </w:tc>
      </w:tr>
      <w:tr w:rsidR="00925CC1" w14:paraId="7861683E" w14:textId="77777777" w:rsidTr="005066DC">
        <w:trPr>
          <w:cantSplit/>
          <w:trHeight w:val="1039"/>
        </w:trPr>
        <w:tc>
          <w:tcPr>
            <w:tcW w:w="0" w:type="auto"/>
          </w:tcPr>
          <w:p w14:paraId="6385D7AA" w14:textId="7FC5D19E" w:rsidR="00925CC1" w:rsidRDefault="00925CC1">
            <w:r>
              <w:t xml:space="preserve">Mass General Brigham </w:t>
            </w:r>
          </w:p>
        </w:tc>
        <w:tc>
          <w:tcPr>
            <w:tcW w:w="0" w:type="auto"/>
          </w:tcPr>
          <w:p w14:paraId="7E020D1A" w14:textId="78F9839D" w:rsidR="00925CC1" w:rsidRDefault="00925CC1">
            <w:pPr>
              <w:jc w:val="center"/>
            </w:pPr>
            <w:r>
              <w:rPr>
                <w:rFonts w:ascii="Wingdings" w:eastAsia="Wingdings" w:hAnsi="Wingdings" w:cs="Wingdings"/>
              </w:rPr>
              <w:t>ü</w:t>
            </w:r>
          </w:p>
        </w:tc>
        <w:tc>
          <w:tcPr>
            <w:tcW w:w="0" w:type="auto"/>
          </w:tcPr>
          <w:p w14:paraId="2FBD9C40" w14:textId="173B2210" w:rsidR="00925CC1" w:rsidRDefault="00925CC1">
            <w:pPr>
              <w:jc w:val="center"/>
            </w:pPr>
            <w:r>
              <w:rPr>
                <w:rFonts w:ascii="Wingdings" w:eastAsia="Wingdings" w:hAnsi="Wingdings" w:cs="Wingdings"/>
              </w:rPr>
              <w:t>ü</w:t>
            </w:r>
          </w:p>
        </w:tc>
        <w:tc>
          <w:tcPr>
            <w:tcW w:w="0" w:type="auto"/>
          </w:tcPr>
          <w:p w14:paraId="18201C31" w14:textId="77777777" w:rsidR="00925CC1" w:rsidRDefault="00925CC1">
            <w:pPr>
              <w:jc w:val="center"/>
            </w:pPr>
          </w:p>
        </w:tc>
        <w:tc>
          <w:tcPr>
            <w:tcW w:w="0" w:type="auto"/>
          </w:tcPr>
          <w:p w14:paraId="22E64E95" w14:textId="52967563" w:rsidR="00925CC1" w:rsidRDefault="00925CC1">
            <w:pPr>
              <w:jc w:val="center"/>
            </w:pPr>
            <w:r>
              <w:rPr>
                <w:rFonts w:ascii="Wingdings" w:eastAsia="Wingdings" w:hAnsi="Wingdings" w:cs="Wingdings"/>
              </w:rPr>
              <w:t>ü</w:t>
            </w:r>
          </w:p>
        </w:tc>
      </w:tr>
      <w:tr w:rsidR="00925CC1" w14:paraId="527E2D26" w14:textId="77777777" w:rsidTr="005066DC">
        <w:trPr>
          <w:cantSplit/>
          <w:trHeight w:val="746"/>
        </w:trPr>
        <w:tc>
          <w:tcPr>
            <w:tcW w:w="0" w:type="auto"/>
          </w:tcPr>
          <w:p w14:paraId="4BE9029E" w14:textId="19DFE06B" w:rsidR="00925CC1" w:rsidRDefault="00925CC1">
            <w:r>
              <w:t xml:space="preserve">Patients and Family Advocates of Dana-Farber Cancer Institute </w:t>
            </w:r>
          </w:p>
        </w:tc>
        <w:tc>
          <w:tcPr>
            <w:tcW w:w="0" w:type="auto"/>
          </w:tcPr>
          <w:p w14:paraId="4A928DA3" w14:textId="77777777" w:rsidR="00925CC1" w:rsidRDefault="00925CC1">
            <w:pPr>
              <w:jc w:val="center"/>
            </w:pPr>
          </w:p>
        </w:tc>
        <w:tc>
          <w:tcPr>
            <w:tcW w:w="0" w:type="auto"/>
          </w:tcPr>
          <w:p w14:paraId="73508E37" w14:textId="77777777" w:rsidR="00925CC1" w:rsidRDefault="00925CC1">
            <w:pPr>
              <w:jc w:val="center"/>
            </w:pPr>
          </w:p>
        </w:tc>
        <w:tc>
          <w:tcPr>
            <w:tcW w:w="0" w:type="auto"/>
          </w:tcPr>
          <w:p w14:paraId="746CC0B3" w14:textId="45632D0C" w:rsidR="00925CC1" w:rsidRDefault="009D50BE">
            <w:pPr>
              <w:jc w:val="center"/>
            </w:pPr>
            <w:r>
              <w:rPr>
                <w:rFonts w:ascii="Wingdings" w:eastAsia="Wingdings" w:hAnsi="Wingdings" w:cs="Wingdings"/>
              </w:rPr>
              <w:t>ü</w:t>
            </w:r>
          </w:p>
        </w:tc>
        <w:tc>
          <w:tcPr>
            <w:tcW w:w="0" w:type="auto"/>
          </w:tcPr>
          <w:p w14:paraId="0B298273" w14:textId="5E9B49E7" w:rsidR="00925CC1" w:rsidRDefault="00F7586F">
            <w:pPr>
              <w:jc w:val="center"/>
            </w:pPr>
            <w:r>
              <w:rPr>
                <w:rFonts w:ascii="Wingdings" w:eastAsia="Wingdings" w:hAnsi="Wingdings" w:cs="Wingdings"/>
              </w:rPr>
              <w:t>ü</w:t>
            </w:r>
          </w:p>
        </w:tc>
      </w:tr>
      <w:tr w:rsidR="00925CC1" w14:paraId="5D05FA48" w14:textId="77777777" w:rsidTr="005066DC">
        <w:trPr>
          <w:cantSplit/>
          <w:trHeight w:val="938"/>
        </w:trPr>
        <w:tc>
          <w:tcPr>
            <w:tcW w:w="0" w:type="auto"/>
          </w:tcPr>
          <w:p w14:paraId="4D96ED8F" w14:textId="45375DC6" w:rsidR="00925CC1" w:rsidRDefault="00925CC1">
            <w:r>
              <w:t>The International Union of Operating Engineers Local 4</w:t>
            </w:r>
          </w:p>
        </w:tc>
        <w:tc>
          <w:tcPr>
            <w:tcW w:w="0" w:type="auto"/>
          </w:tcPr>
          <w:p w14:paraId="22677951" w14:textId="77777777" w:rsidR="00925CC1" w:rsidRDefault="00925CC1">
            <w:pPr>
              <w:jc w:val="center"/>
            </w:pPr>
          </w:p>
        </w:tc>
        <w:tc>
          <w:tcPr>
            <w:tcW w:w="0" w:type="auto"/>
          </w:tcPr>
          <w:p w14:paraId="76A5E7C6" w14:textId="30847F5E" w:rsidR="00925CC1" w:rsidRDefault="00925CC1">
            <w:pPr>
              <w:jc w:val="center"/>
            </w:pPr>
          </w:p>
        </w:tc>
        <w:tc>
          <w:tcPr>
            <w:tcW w:w="0" w:type="auto"/>
          </w:tcPr>
          <w:p w14:paraId="55B97E7B" w14:textId="77777777" w:rsidR="00925CC1" w:rsidRDefault="00925CC1">
            <w:pPr>
              <w:jc w:val="center"/>
            </w:pPr>
          </w:p>
        </w:tc>
        <w:tc>
          <w:tcPr>
            <w:tcW w:w="0" w:type="auto"/>
          </w:tcPr>
          <w:p w14:paraId="48360FB9" w14:textId="77777777" w:rsidR="00925CC1" w:rsidRDefault="00925CC1">
            <w:pPr>
              <w:jc w:val="center"/>
            </w:pPr>
          </w:p>
        </w:tc>
      </w:tr>
      <w:tr w:rsidR="00925CC1" w14:paraId="6FC444CD" w14:textId="77777777" w:rsidTr="005066DC">
        <w:trPr>
          <w:cantSplit/>
          <w:trHeight w:val="930"/>
        </w:trPr>
        <w:tc>
          <w:tcPr>
            <w:tcW w:w="0" w:type="auto"/>
          </w:tcPr>
          <w:p w14:paraId="495F8056" w14:textId="559B9402" w:rsidR="00925CC1" w:rsidRDefault="00925CC1">
            <w:r>
              <w:t xml:space="preserve">1199 SEIU United Health Care Workers East </w:t>
            </w:r>
          </w:p>
        </w:tc>
        <w:tc>
          <w:tcPr>
            <w:tcW w:w="0" w:type="auto"/>
          </w:tcPr>
          <w:p w14:paraId="29D435AD" w14:textId="77777777" w:rsidR="00925CC1" w:rsidRDefault="00925CC1">
            <w:pPr>
              <w:jc w:val="center"/>
            </w:pPr>
          </w:p>
        </w:tc>
        <w:tc>
          <w:tcPr>
            <w:tcW w:w="0" w:type="auto"/>
          </w:tcPr>
          <w:p w14:paraId="4D1BF10F" w14:textId="77B904DD" w:rsidR="00925CC1" w:rsidRDefault="00925CC1">
            <w:pPr>
              <w:jc w:val="center"/>
            </w:pPr>
          </w:p>
        </w:tc>
        <w:tc>
          <w:tcPr>
            <w:tcW w:w="0" w:type="auto"/>
          </w:tcPr>
          <w:p w14:paraId="43FBA3AA" w14:textId="77777777" w:rsidR="00925CC1" w:rsidRDefault="00925CC1">
            <w:pPr>
              <w:jc w:val="center"/>
            </w:pPr>
          </w:p>
        </w:tc>
        <w:tc>
          <w:tcPr>
            <w:tcW w:w="0" w:type="auto"/>
          </w:tcPr>
          <w:p w14:paraId="27C29B15" w14:textId="6A9BCEC2" w:rsidR="00925CC1" w:rsidRDefault="00CE43F2">
            <w:pPr>
              <w:jc w:val="center"/>
            </w:pPr>
            <w:r>
              <w:rPr>
                <w:rFonts w:ascii="Wingdings" w:eastAsia="Wingdings" w:hAnsi="Wingdings" w:cs="Wingdings"/>
              </w:rPr>
              <w:t>ü</w:t>
            </w:r>
          </w:p>
        </w:tc>
      </w:tr>
    </w:tbl>
    <w:p w14:paraId="34105247" w14:textId="77777777" w:rsidR="008F3D8A" w:rsidRDefault="008F3D8A">
      <w:pPr>
        <w:rPr>
          <w:rFonts w:asciiTheme="minorHAnsi" w:hAnsiTheme="minorHAnsi"/>
          <w:b/>
          <w:bCs/>
          <w:color w:val="1F497D" w:themeColor="text2"/>
          <w:sz w:val="28"/>
          <w:szCs w:val="28"/>
        </w:rPr>
      </w:pPr>
    </w:p>
    <w:p w14:paraId="16297EDE" w14:textId="77777777" w:rsidR="00E81F1F" w:rsidRDefault="00E81F1F" w:rsidP="00E81F1F"/>
    <w:p w14:paraId="70182FA1" w14:textId="77777777" w:rsidR="00CA62C7" w:rsidRDefault="00CA62C7">
      <w:pPr>
        <w:rPr>
          <w:rFonts w:asciiTheme="minorHAnsi" w:hAnsiTheme="minorHAnsi"/>
          <w:b/>
          <w:bCs/>
          <w:color w:val="1F497D" w:themeColor="text2"/>
          <w:sz w:val="28"/>
          <w:szCs w:val="28"/>
        </w:rPr>
      </w:pPr>
    </w:p>
    <w:p w14:paraId="65DDC408" w14:textId="77777777" w:rsidR="00CA62C7" w:rsidRDefault="00CA62C7">
      <w:pPr>
        <w:rPr>
          <w:rFonts w:asciiTheme="minorHAnsi" w:hAnsiTheme="minorHAnsi"/>
          <w:b/>
          <w:bCs/>
          <w:color w:val="1F497D" w:themeColor="text2"/>
          <w:sz w:val="28"/>
          <w:szCs w:val="28"/>
        </w:rPr>
      </w:pPr>
    </w:p>
    <w:p w14:paraId="7B0335D3" w14:textId="77777777" w:rsidR="00CA62C7" w:rsidRDefault="00CA62C7">
      <w:pPr>
        <w:rPr>
          <w:rFonts w:asciiTheme="minorHAnsi" w:hAnsiTheme="minorHAnsi"/>
          <w:b/>
          <w:bCs/>
          <w:color w:val="1F497D" w:themeColor="text2"/>
          <w:sz w:val="28"/>
          <w:szCs w:val="28"/>
        </w:rPr>
      </w:pPr>
    </w:p>
    <w:p w14:paraId="17463446" w14:textId="77777777" w:rsidR="00CA62C7" w:rsidRDefault="00CA62C7">
      <w:pPr>
        <w:rPr>
          <w:rFonts w:asciiTheme="minorHAnsi" w:hAnsiTheme="minorHAnsi"/>
          <w:b/>
          <w:bCs/>
          <w:color w:val="1F497D" w:themeColor="text2"/>
          <w:sz w:val="28"/>
          <w:szCs w:val="28"/>
        </w:rPr>
      </w:pPr>
    </w:p>
    <w:p w14:paraId="4EAE46DE" w14:textId="77777777" w:rsidR="00CA62C7" w:rsidRDefault="00CA62C7">
      <w:pPr>
        <w:rPr>
          <w:rFonts w:asciiTheme="minorHAnsi" w:hAnsiTheme="minorHAnsi"/>
          <w:b/>
          <w:bCs/>
          <w:color w:val="1F497D" w:themeColor="text2"/>
          <w:sz w:val="28"/>
          <w:szCs w:val="28"/>
        </w:rPr>
      </w:pPr>
    </w:p>
    <w:p w14:paraId="010D8419" w14:textId="77777777" w:rsidR="00CA62C7" w:rsidRDefault="00CA62C7">
      <w:pPr>
        <w:rPr>
          <w:rFonts w:asciiTheme="minorHAnsi" w:hAnsiTheme="minorHAnsi"/>
          <w:b/>
          <w:bCs/>
          <w:color w:val="1F497D" w:themeColor="text2"/>
          <w:sz w:val="28"/>
          <w:szCs w:val="28"/>
        </w:rPr>
      </w:pPr>
    </w:p>
    <w:p w14:paraId="2848FF01" w14:textId="77777777" w:rsidR="00FB6802" w:rsidRDefault="00FB6802">
      <w:pPr>
        <w:rPr>
          <w:rFonts w:asciiTheme="minorHAnsi" w:hAnsiTheme="minorHAnsi"/>
          <w:b/>
          <w:bCs/>
          <w:color w:val="1F497D" w:themeColor="text2"/>
          <w:sz w:val="28"/>
          <w:szCs w:val="28"/>
        </w:rPr>
      </w:pPr>
    </w:p>
    <w:p w14:paraId="4E3FE4D7" w14:textId="77777777" w:rsidR="00B20086" w:rsidRDefault="00B20086">
      <w:pPr>
        <w:rPr>
          <w:rFonts w:asciiTheme="minorHAnsi" w:hAnsiTheme="minorHAnsi"/>
          <w:b/>
          <w:bCs/>
          <w:color w:val="1F497D" w:themeColor="text2"/>
          <w:sz w:val="28"/>
          <w:szCs w:val="28"/>
        </w:rPr>
      </w:pPr>
    </w:p>
    <w:p w14:paraId="6257E94D" w14:textId="77777777" w:rsidR="00B20086" w:rsidRDefault="00B20086">
      <w:pPr>
        <w:rPr>
          <w:rFonts w:asciiTheme="minorHAnsi" w:hAnsiTheme="minorHAnsi"/>
          <w:b/>
          <w:bCs/>
          <w:color w:val="1F497D" w:themeColor="text2"/>
          <w:sz w:val="28"/>
          <w:szCs w:val="28"/>
        </w:rPr>
      </w:pPr>
    </w:p>
    <w:p w14:paraId="204D3700" w14:textId="77777777" w:rsidR="00FB6802" w:rsidRDefault="00FB6802">
      <w:pPr>
        <w:rPr>
          <w:rFonts w:asciiTheme="minorHAnsi" w:hAnsiTheme="minorHAnsi"/>
          <w:b/>
          <w:bCs/>
          <w:color w:val="1F497D" w:themeColor="text2"/>
          <w:sz w:val="28"/>
          <w:szCs w:val="28"/>
        </w:rPr>
      </w:pPr>
    </w:p>
    <w:p w14:paraId="65463C0D" w14:textId="77777777" w:rsidR="00CA62C7" w:rsidRDefault="00CA62C7">
      <w:pPr>
        <w:rPr>
          <w:rFonts w:asciiTheme="minorHAnsi" w:hAnsiTheme="minorHAnsi"/>
          <w:b/>
          <w:bCs/>
          <w:color w:val="1F497D" w:themeColor="text2"/>
          <w:sz w:val="28"/>
          <w:szCs w:val="28"/>
        </w:rPr>
      </w:pPr>
    </w:p>
    <w:p w14:paraId="0306810F" w14:textId="4ED0C98B" w:rsidR="00B447F3" w:rsidRPr="008031A2" w:rsidRDefault="00A4110F" w:rsidP="00014053">
      <w:pPr>
        <w:pStyle w:val="Heading1"/>
        <w:ind w:left="0"/>
        <w:rPr>
          <w:rFonts w:asciiTheme="minorHAnsi" w:hAnsiTheme="minorHAnsi"/>
          <w:color w:val="1F497D" w:themeColor="text2"/>
        </w:rPr>
      </w:pPr>
      <w:bookmarkStart w:id="47" w:name="_Toc190780605"/>
      <w:r w:rsidRPr="008031A2">
        <w:rPr>
          <w:rFonts w:asciiTheme="minorHAnsi" w:hAnsiTheme="minorHAnsi"/>
          <w:color w:val="1F497D" w:themeColor="text2"/>
        </w:rPr>
        <w:lastRenderedPageBreak/>
        <w:t>REFERENCES</w:t>
      </w:r>
      <w:bookmarkEnd w:id="47"/>
    </w:p>
    <w:sectPr w:rsidR="00B447F3" w:rsidRPr="008031A2" w:rsidSect="003D25BE">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5FE6" w14:textId="77777777" w:rsidR="009E7A79" w:rsidRDefault="009E7A79">
      <w:r>
        <w:separator/>
      </w:r>
    </w:p>
  </w:endnote>
  <w:endnote w:type="continuationSeparator" w:id="0">
    <w:p w14:paraId="4CEF3BBA" w14:textId="77777777" w:rsidR="009E7A79" w:rsidRDefault="009E7A79">
      <w:r>
        <w:continuationSeparator/>
      </w:r>
    </w:p>
  </w:endnote>
  <w:endnote w:type="continuationNotice" w:id="1">
    <w:p w14:paraId="0E80244E" w14:textId="77777777" w:rsidR="009E7A79" w:rsidRDefault="009E7A79"/>
  </w:endnote>
  <w:endnote w:id="2">
    <w:p w14:paraId="41A4CC69" w14:textId="77777777" w:rsidR="00C642EF" w:rsidRPr="005B655E" w:rsidRDefault="00C642EF" w:rsidP="00C642EF">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Center for Health Information and Analysis (CHIA). Hospital Profiles. Dana-Farber Cancer Institute 2020 Hospital Profile. </w:t>
      </w:r>
    </w:p>
  </w:endnote>
  <w:endnote w:id="3">
    <w:p w14:paraId="56F2781D" w14:textId="72D50DEA" w:rsidR="00625A06" w:rsidRPr="005B655E" w:rsidRDefault="00625A06">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National Cancer Institute. </w:t>
      </w:r>
      <w:hyperlink r:id="rId1" w:history="1">
        <w:r w:rsidR="00892210" w:rsidRPr="00BB3C7C">
          <w:rPr>
            <w:rStyle w:val="Hyperlink"/>
            <w:rFonts w:asciiTheme="minorHAnsi" w:hAnsiTheme="minorHAnsi"/>
            <w:color w:val="000000" w:themeColor="text1"/>
            <w:u w:val="none"/>
          </w:rPr>
          <w:t>NCI-Designated Cancer Centers</w:t>
        </w:r>
      </w:hyperlink>
      <w:r w:rsidRPr="00BB3C7C">
        <w:rPr>
          <w:rFonts w:asciiTheme="minorHAnsi" w:hAnsiTheme="minorHAnsi"/>
          <w:color w:val="000000" w:themeColor="text1"/>
        </w:rPr>
        <w:t xml:space="preserve">. </w:t>
      </w:r>
      <w:hyperlink r:id="rId2" w:history="1">
        <w:r w:rsidR="00892210" w:rsidRPr="00F74C12">
          <w:rPr>
            <w:rStyle w:val="Hyperlink"/>
            <w:rFonts w:asciiTheme="minorHAnsi" w:hAnsiTheme="minorHAnsi"/>
          </w:rPr>
          <w:t>https://www.cancer.gov/research/infrastructure/cancer-centers</w:t>
        </w:r>
      </w:hyperlink>
      <w:r w:rsidR="00892210">
        <w:rPr>
          <w:rFonts w:asciiTheme="minorHAnsi" w:hAnsiTheme="minorHAnsi"/>
        </w:rPr>
        <w:t xml:space="preserve"> </w:t>
      </w:r>
    </w:p>
  </w:endnote>
  <w:endnote w:id="4">
    <w:p w14:paraId="20B0C5E1" w14:textId="1F0B88AE" w:rsidR="00A63764" w:rsidRPr="005B655E" w:rsidRDefault="00A63764" w:rsidP="00A63764">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3" w:history="1">
        <w:r w:rsidRPr="00EA3019">
          <w:rPr>
            <w:rStyle w:val="Hyperlink"/>
            <w:rFonts w:asciiTheme="minorHAnsi" w:hAnsiTheme="minorHAnsi"/>
            <w:color w:val="000000" w:themeColor="text1"/>
            <w:u w:val="none"/>
          </w:rPr>
          <w:t>HPC Board Meeting. January 25, 2024</w:t>
        </w:r>
      </w:hyperlink>
      <w:r w:rsidRPr="00EA3019">
        <w:rPr>
          <w:rFonts w:asciiTheme="minorHAnsi" w:hAnsiTheme="minorHAnsi"/>
          <w:color w:val="000000" w:themeColor="text1"/>
        </w:rPr>
        <w:t xml:space="preserve">. </w:t>
      </w:r>
      <w:hyperlink r:id="rId4" w:history="1">
        <w:r w:rsidRPr="005B655E">
          <w:rPr>
            <w:rStyle w:val="Hyperlink"/>
            <w:rFonts w:asciiTheme="minorHAnsi" w:hAnsiTheme="minorHAnsi"/>
          </w:rPr>
          <w:t>https://www.mass.gov/doc/presentation-board-meetings-january-25-2024/download</w:t>
        </w:r>
      </w:hyperlink>
      <w:r w:rsidRPr="005B655E">
        <w:rPr>
          <w:rFonts w:asciiTheme="minorHAnsi" w:hAnsiTheme="minorHAnsi"/>
        </w:rPr>
        <w:t xml:space="preserve"> </w:t>
      </w:r>
    </w:p>
  </w:endnote>
  <w:endnote w:id="5">
    <w:p w14:paraId="7EE8B53B" w14:textId="4135C3B6" w:rsidR="00E558F5" w:rsidRPr="005B655E" w:rsidRDefault="00E558F5" w:rsidP="00E558F5">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5" w:history="1">
        <w:r w:rsidRPr="00EA3019">
          <w:rPr>
            <w:rStyle w:val="Hyperlink"/>
            <w:rFonts w:asciiTheme="minorHAnsi" w:hAnsiTheme="minorHAnsi"/>
            <w:color w:val="000000" w:themeColor="text1"/>
            <w:u w:val="none"/>
          </w:rPr>
          <w:t>HP</w:t>
        </w:r>
        <w:r w:rsidR="00A72BEE" w:rsidRPr="00EA3019">
          <w:rPr>
            <w:rStyle w:val="Hyperlink"/>
            <w:rFonts w:asciiTheme="minorHAnsi" w:hAnsiTheme="minorHAnsi"/>
            <w:color w:val="000000" w:themeColor="text1"/>
            <w:u w:val="none"/>
          </w:rPr>
          <w:t>C</w:t>
        </w:r>
        <w:r w:rsidRPr="00EA3019">
          <w:rPr>
            <w:rStyle w:val="Hyperlink"/>
            <w:rFonts w:asciiTheme="minorHAnsi" w:hAnsiTheme="minorHAnsi"/>
            <w:color w:val="000000" w:themeColor="text1"/>
            <w:u w:val="none"/>
          </w:rPr>
          <w:t xml:space="preserve"> Board Meeting. January 25, 2024</w:t>
        </w:r>
      </w:hyperlink>
      <w:r w:rsidRPr="00EA3019">
        <w:rPr>
          <w:rFonts w:asciiTheme="minorHAnsi" w:hAnsiTheme="minorHAnsi"/>
          <w:color w:val="000000" w:themeColor="text1"/>
        </w:rPr>
        <w:t xml:space="preserve">. </w:t>
      </w:r>
      <w:hyperlink r:id="rId6" w:history="1">
        <w:r w:rsidRPr="005B655E">
          <w:rPr>
            <w:rStyle w:val="Hyperlink"/>
            <w:rFonts w:asciiTheme="minorHAnsi" w:hAnsiTheme="minorHAnsi"/>
          </w:rPr>
          <w:t>https://www.mass.gov/doc/presentation-board-meetings-january-25-2024/download</w:t>
        </w:r>
      </w:hyperlink>
      <w:r w:rsidRPr="005B655E">
        <w:rPr>
          <w:rFonts w:asciiTheme="minorHAnsi" w:hAnsiTheme="minorHAnsi"/>
        </w:rPr>
        <w:t xml:space="preserve"> </w:t>
      </w:r>
    </w:p>
  </w:endnote>
  <w:endnote w:id="6">
    <w:p w14:paraId="766EEDC5" w14:textId="77304329" w:rsidR="00980E57" w:rsidRPr="005B655E" w:rsidRDefault="00980E57" w:rsidP="00980E57">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Mark Mather et al., “</w:t>
      </w:r>
      <w:hyperlink r:id="rId7" w:history="1">
        <w:r w:rsidRPr="00EA3019">
          <w:rPr>
            <w:rStyle w:val="Hyperlink"/>
            <w:rFonts w:asciiTheme="minorHAnsi" w:hAnsiTheme="minorHAnsi"/>
            <w:color w:val="000000" w:themeColor="text1"/>
            <w:u w:val="none"/>
          </w:rPr>
          <w:t>America’s Changing Population: What to Expect in the 2020 Census,”</w:t>
        </w:r>
      </w:hyperlink>
      <w:r w:rsidRPr="00EA3019">
        <w:rPr>
          <w:rFonts w:asciiTheme="minorHAnsi" w:hAnsiTheme="minorHAnsi"/>
          <w:color w:val="000000" w:themeColor="text1"/>
        </w:rPr>
        <w:t xml:space="preserve"> </w:t>
      </w:r>
      <w:r w:rsidRPr="005B655E">
        <w:rPr>
          <w:rFonts w:asciiTheme="minorHAnsi" w:hAnsiTheme="minorHAnsi"/>
        </w:rPr>
        <w:t xml:space="preserve">Population Bulletin 74, no. 1 (2019). </w:t>
      </w:r>
      <w:hyperlink r:id="rId8" w:history="1">
        <w:r w:rsidRPr="005B655E">
          <w:rPr>
            <w:rStyle w:val="Hyperlink"/>
            <w:rFonts w:asciiTheme="minorHAnsi" w:hAnsiTheme="minorHAnsi"/>
          </w:rPr>
          <w:t>https://www.prb.org/wp-content/uploads/2020/10/2019-74-1-Pop-Bulletin-Census.pdf</w:t>
        </w:r>
      </w:hyperlink>
      <w:r w:rsidRPr="005B655E">
        <w:rPr>
          <w:rFonts w:asciiTheme="minorHAnsi" w:hAnsiTheme="minorHAnsi"/>
        </w:rPr>
        <w:t xml:space="preserve"> </w:t>
      </w:r>
    </w:p>
  </w:endnote>
  <w:endnote w:id="7">
    <w:p w14:paraId="56C1271E" w14:textId="1ECAE39F" w:rsidR="00CB4EA0" w:rsidRPr="005B655E" w:rsidRDefault="00CB4EA0" w:rsidP="00CB4EA0">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UMass Donahue Institute. </w:t>
      </w:r>
      <w:hyperlink r:id="rId9" w:history="1">
        <w:r w:rsidRPr="00367A77">
          <w:rPr>
            <w:rStyle w:val="Hyperlink"/>
            <w:rFonts w:asciiTheme="minorHAnsi" w:hAnsiTheme="minorHAnsi"/>
            <w:color w:val="000000" w:themeColor="text1"/>
            <w:u w:val="none"/>
          </w:rPr>
          <w:t>Massachusetts Population Estimates Program</w:t>
        </w:r>
      </w:hyperlink>
      <w:r w:rsidRPr="00367A77">
        <w:rPr>
          <w:rFonts w:asciiTheme="minorHAnsi" w:hAnsiTheme="minorHAnsi"/>
          <w:color w:val="000000" w:themeColor="text1"/>
        </w:rPr>
        <w:t xml:space="preserve">. </w:t>
      </w:r>
    </w:p>
    <w:p w14:paraId="0E1441C4" w14:textId="08E7D3E3" w:rsidR="00EF41E8" w:rsidRPr="005B655E" w:rsidRDefault="00EF41E8" w:rsidP="00CB4EA0">
      <w:pPr>
        <w:pStyle w:val="EndnoteText"/>
        <w:rPr>
          <w:rFonts w:asciiTheme="minorHAnsi" w:hAnsiTheme="minorHAnsi"/>
        </w:rPr>
      </w:pPr>
      <w:hyperlink r:id="rId10" w:history="1">
        <w:r w:rsidRPr="005B655E">
          <w:rPr>
            <w:rStyle w:val="Hyperlink"/>
            <w:rFonts w:asciiTheme="minorHAnsi" w:hAnsiTheme="minorHAnsi"/>
          </w:rPr>
          <w:t>https://donahue.umass.edu/business-groups/economic-public-policy-research/massachusetts-population-estimates-program/population-projections</w:t>
        </w:r>
      </w:hyperlink>
      <w:r w:rsidRPr="005B655E">
        <w:rPr>
          <w:rFonts w:asciiTheme="minorHAnsi" w:hAnsiTheme="minorHAnsi"/>
        </w:rPr>
        <w:t xml:space="preserve"> </w:t>
      </w:r>
    </w:p>
  </w:endnote>
  <w:endnote w:id="8">
    <w:p w14:paraId="588341ED" w14:textId="5CC9F841" w:rsidR="002748BC" w:rsidRPr="005B655E" w:rsidRDefault="002748BC" w:rsidP="002748BC">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National Cancer Institute. </w:t>
      </w:r>
      <w:hyperlink r:id="rId11" w:history="1">
        <w:r w:rsidRPr="00367A77">
          <w:rPr>
            <w:rStyle w:val="Hyperlink"/>
            <w:rFonts w:asciiTheme="minorHAnsi" w:hAnsiTheme="minorHAnsi"/>
            <w:color w:val="000000" w:themeColor="text1"/>
            <w:u w:val="none"/>
          </w:rPr>
          <w:t>Age and Cancer Risk</w:t>
        </w:r>
        <w:r w:rsidR="009C778D" w:rsidRPr="00367A77">
          <w:rPr>
            <w:rStyle w:val="Hyperlink"/>
            <w:rFonts w:asciiTheme="minorHAnsi" w:hAnsiTheme="minorHAnsi"/>
            <w:color w:val="000000" w:themeColor="text1"/>
            <w:u w:val="none"/>
          </w:rPr>
          <w:t xml:space="preserve"> was originally published by the National Cancer Institute</w:t>
        </w:r>
        <w:r w:rsidRPr="00367A77">
          <w:rPr>
            <w:rStyle w:val="Hyperlink"/>
            <w:rFonts w:asciiTheme="minorHAnsi" w:hAnsiTheme="minorHAnsi"/>
            <w:color w:val="000000" w:themeColor="text1"/>
            <w:u w:val="none"/>
          </w:rPr>
          <w:t>.</w:t>
        </w:r>
      </w:hyperlink>
      <w:r w:rsidRPr="00367A77">
        <w:rPr>
          <w:rFonts w:asciiTheme="minorHAnsi" w:hAnsiTheme="minorHAnsi"/>
          <w:color w:val="000000" w:themeColor="text1"/>
        </w:rPr>
        <w:t xml:space="preserve"> </w:t>
      </w:r>
      <w:hyperlink r:id="rId12" w:history="1">
        <w:r w:rsidRPr="005B655E">
          <w:rPr>
            <w:rStyle w:val="Hyperlink"/>
            <w:rFonts w:asciiTheme="minorHAnsi" w:hAnsiTheme="minorHAnsi"/>
          </w:rPr>
          <w:t>https://www.cancer.gov/about-cancer/causes-prevention/risk/age</w:t>
        </w:r>
      </w:hyperlink>
      <w:r w:rsidRPr="005B655E">
        <w:rPr>
          <w:rFonts w:asciiTheme="minorHAnsi" w:hAnsiTheme="minorHAnsi"/>
        </w:rPr>
        <w:t xml:space="preserve"> </w:t>
      </w:r>
    </w:p>
  </w:endnote>
  <w:endnote w:id="9">
    <w:p w14:paraId="1AA51C0C" w14:textId="55CC5DFF" w:rsidR="00EF41E8" w:rsidRPr="005B655E" w:rsidRDefault="00EF41E8">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American Cancer Society. </w:t>
      </w:r>
      <w:hyperlink r:id="rId13" w:history="1">
        <w:r w:rsidRPr="00367A77">
          <w:rPr>
            <w:rStyle w:val="Hyperlink"/>
            <w:rFonts w:asciiTheme="minorHAnsi" w:hAnsiTheme="minorHAnsi"/>
            <w:color w:val="000000" w:themeColor="text1"/>
            <w:u w:val="none"/>
          </w:rPr>
          <w:t>Cancer Facts &amp; Figures 2024. Atlanta: American Cancer Society; 2024.</w:t>
        </w:r>
      </w:hyperlink>
      <w:r w:rsidRPr="00367A77">
        <w:rPr>
          <w:rFonts w:asciiTheme="minorHAnsi" w:hAnsiTheme="minorHAnsi"/>
          <w:color w:val="000000" w:themeColor="text1"/>
        </w:rPr>
        <w:t xml:space="preserve"> </w:t>
      </w:r>
      <w:hyperlink r:id="rId14" w:history="1">
        <w:r w:rsidRPr="005B655E">
          <w:rPr>
            <w:rStyle w:val="Hyperlink"/>
            <w:rFonts w:asciiTheme="minorHAnsi" w:hAnsiTheme="minorHAnsi"/>
          </w:rPr>
          <w:t>https://www.cancer.org/content/dam/cancer-org/research/cancer-facts-and-statistics/annual-cancer-facts-and-figures/2024/2024-cancer-facts-and-figures-acs.pdf</w:t>
        </w:r>
      </w:hyperlink>
    </w:p>
  </w:endnote>
  <w:endnote w:id="10">
    <w:p w14:paraId="2C883F08" w14:textId="2EDDDD18" w:rsidR="00660D2D" w:rsidRPr="005B655E" w:rsidRDefault="00660D2D">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r w:rsidR="0047212C" w:rsidRPr="0047212C">
        <w:rPr>
          <w:rFonts w:asciiTheme="minorHAnsi" w:hAnsiTheme="minorHAnsi"/>
        </w:rPr>
        <w:t>Weir HK, Thompson TD, Stewart SL, White MC</w:t>
      </w:r>
      <w:r w:rsidR="0047212C" w:rsidRPr="005A04BF">
        <w:rPr>
          <w:rFonts w:asciiTheme="minorHAnsi" w:hAnsiTheme="minorHAnsi"/>
          <w:color w:val="000000" w:themeColor="text1"/>
        </w:rPr>
        <w:t xml:space="preserve">. </w:t>
      </w:r>
      <w:hyperlink r:id="rId15" w:history="1">
        <w:r w:rsidR="0047212C" w:rsidRPr="005A04BF">
          <w:rPr>
            <w:rStyle w:val="Hyperlink"/>
            <w:rFonts w:asciiTheme="minorHAnsi" w:hAnsiTheme="minorHAnsi"/>
            <w:color w:val="000000" w:themeColor="text1"/>
            <w:u w:val="none"/>
          </w:rPr>
          <w:t>Cancer Incidence Projections in the United States Between 2015 and 2050</w:t>
        </w:r>
      </w:hyperlink>
      <w:r w:rsidR="0047212C" w:rsidRPr="005A04BF">
        <w:rPr>
          <w:rFonts w:asciiTheme="minorHAnsi" w:hAnsiTheme="minorHAnsi"/>
          <w:color w:val="000000" w:themeColor="text1"/>
        </w:rPr>
        <w:t xml:space="preserve">. </w:t>
      </w:r>
      <w:r w:rsidR="0047212C" w:rsidRPr="0047212C">
        <w:rPr>
          <w:rFonts w:asciiTheme="minorHAnsi" w:hAnsiTheme="minorHAnsi"/>
        </w:rPr>
        <w:t xml:space="preserve">Prev Chronic Dis 2021;18:210006. DOI: </w:t>
      </w:r>
      <w:hyperlink r:id="rId16" w:history="1">
        <w:r w:rsidR="0047212C" w:rsidRPr="000A4F9B">
          <w:rPr>
            <w:rStyle w:val="Hyperlink"/>
            <w:rFonts w:asciiTheme="minorHAnsi" w:hAnsiTheme="minorHAnsi"/>
          </w:rPr>
          <w:t>http://dx.doi.org/10.5888/pcd18.210006</w:t>
        </w:r>
      </w:hyperlink>
      <w:r w:rsidR="0047212C">
        <w:rPr>
          <w:rFonts w:asciiTheme="minorHAnsi" w:hAnsiTheme="minorHAnsi"/>
        </w:rPr>
        <w:t xml:space="preserve"> </w:t>
      </w:r>
    </w:p>
  </w:endnote>
  <w:endnote w:id="11">
    <w:p w14:paraId="63E57863" w14:textId="77777777" w:rsidR="00BA6CC6" w:rsidRDefault="00BA6CC6" w:rsidP="00BA6CC6">
      <w:pPr>
        <w:pStyle w:val="EndnoteText"/>
      </w:pPr>
      <w:r>
        <w:rPr>
          <w:rStyle w:val="EndnoteReference"/>
        </w:rPr>
        <w:endnoteRef/>
      </w:r>
      <w:r>
        <w:t xml:space="preserve"> </w:t>
      </w:r>
      <w:r w:rsidRPr="004C6CE0">
        <w:t>Siegel RL, Giaquinto AN, Jemal A. Cancer statistics, 2024. CA Cancer J Clin. 2024 Jan-Feb;74(1):12-49. doi: 10.3322/caac.21820. Epub 2024 Jan 17. PMID: 38230766.</w:t>
      </w:r>
    </w:p>
  </w:endnote>
  <w:endnote w:id="12">
    <w:p w14:paraId="75484D32" w14:textId="77777777" w:rsidR="00BA6CC6" w:rsidRPr="00D2079F" w:rsidRDefault="00BA6CC6" w:rsidP="00BA6CC6">
      <w:pPr>
        <w:pStyle w:val="EndnoteText"/>
        <w:rPr>
          <w:color w:val="000000" w:themeColor="text1"/>
        </w:rPr>
      </w:pPr>
      <w:r>
        <w:rPr>
          <w:rStyle w:val="EndnoteReference"/>
        </w:rPr>
        <w:endnoteRef/>
      </w:r>
      <w:r>
        <w:t xml:space="preserve"> </w:t>
      </w:r>
      <w:r w:rsidRPr="00A266A5">
        <w:t>Siegel RL, Giaquinto AN, Jemal A. Cancer statistics, 2024. CA Cancer J Clin. 2024 Jan-Feb;74(1):12-49. doi: 10.3322/caac.21820. Epub 2024 Jan 17. PMID: 38230766.</w:t>
      </w:r>
    </w:p>
  </w:endnote>
  <w:endnote w:id="13">
    <w:p w14:paraId="5D6E8168" w14:textId="057E51DC" w:rsidR="00BA4B56" w:rsidRPr="00D2079F" w:rsidRDefault="00087C87" w:rsidP="00087C87">
      <w:pPr>
        <w:pStyle w:val="EndnoteText"/>
        <w:rPr>
          <w:rFonts w:asciiTheme="minorHAnsi" w:hAnsiTheme="minorHAnsi"/>
          <w:color w:val="000000" w:themeColor="text1"/>
        </w:rPr>
      </w:pPr>
      <w:r w:rsidRPr="00D2079F">
        <w:rPr>
          <w:rStyle w:val="EndnoteReference"/>
          <w:rFonts w:asciiTheme="minorHAnsi" w:hAnsiTheme="minorHAnsi"/>
          <w:color w:val="000000" w:themeColor="text1"/>
        </w:rPr>
        <w:endnoteRef/>
      </w:r>
      <w:r w:rsidRPr="00D2079F">
        <w:rPr>
          <w:rFonts w:asciiTheme="minorHAnsi" w:hAnsiTheme="minorHAnsi"/>
          <w:color w:val="000000" w:themeColor="text1"/>
        </w:rPr>
        <w:t xml:space="preserve"> </w:t>
      </w:r>
      <w:hyperlink r:id="rId17" w:history="1">
        <w:r w:rsidRPr="00D2079F">
          <w:rPr>
            <w:rStyle w:val="Hyperlink"/>
            <w:rFonts w:asciiTheme="minorHAnsi" w:hAnsiTheme="minorHAnsi"/>
            <w:color w:val="000000" w:themeColor="text1"/>
            <w:u w:val="none"/>
          </w:rPr>
          <w:t>Cancer Incidence Statewide Reports, 201</w:t>
        </w:r>
        <w:r w:rsidR="004B5274" w:rsidRPr="00D2079F">
          <w:rPr>
            <w:rStyle w:val="Hyperlink"/>
            <w:rFonts w:asciiTheme="minorHAnsi" w:hAnsiTheme="minorHAnsi"/>
            <w:color w:val="000000" w:themeColor="text1"/>
            <w:u w:val="none"/>
          </w:rPr>
          <w:t>6</w:t>
        </w:r>
        <w:r w:rsidRPr="00D2079F">
          <w:rPr>
            <w:rStyle w:val="Hyperlink"/>
            <w:rFonts w:asciiTheme="minorHAnsi" w:hAnsiTheme="minorHAnsi"/>
            <w:color w:val="000000" w:themeColor="text1"/>
            <w:u w:val="none"/>
          </w:rPr>
          <w:t>-20</w:t>
        </w:r>
        <w:r w:rsidR="004B5274" w:rsidRPr="00D2079F">
          <w:rPr>
            <w:rStyle w:val="Hyperlink"/>
            <w:rFonts w:asciiTheme="minorHAnsi" w:hAnsiTheme="minorHAnsi"/>
            <w:color w:val="000000" w:themeColor="text1"/>
            <w:u w:val="none"/>
          </w:rPr>
          <w:t>20</w:t>
        </w:r>
        <w:r w:rsidRPr="00D2079F">
          <w:rPr>
            <w:rStyle w:val="Hyperlink"/>
            <w:rFonts w:asciiTheme="minorHAnsi" w:hAnsiTheme="minorHAnsi"/>
            <w:color w:val="000000" w:themeColor="text1"/>
            <w:u w:val="none"/>
          </w:rPr>
          <w:t>, MASS.GOV,</w:t>
        </w:r>
      </w:hyperlink>
      <w:r w:rsidRPr="00D2079F">
        <w:rPr>
          <w:rFonts w:asciiTheme="minorHAnsi" w:hAnsiTheme="minorHAnsi"/>
          <w:color w:val="000000" w:themeColor="text1"/>
        </w:rPr>
        <w:t xml:space="preserve"> </w:t>
      </w:r>
    </w:p>
    <w:p w14:paraId="2A2C871D" w14:textId="27D3B819" w:rsidR="00087C87" w:rsidRPr="005B655E" w:rsidRDefault="00D2079F" w:rsidP="00087C87">
      <w:pPr>
        <w:pStyle w:val="EndnoteText"/>
        <w:rPr>
          <w:rFonts w:asciiTheme="minorHAnsi" w:hAnsiTheme="minorHAnsi"/>
        </w:rPr>
      </w:pPr>
      <w:hyperlink r:id="rId18" w:history="1">
        <w:r w:rsidRPr="00D2079F">
          <w:rPr>
            <w:rStyle w:val="Hyperlink"/>
            <w:rFonts w:asciiTheme="minorHAnsi" w:hAnsiTheme="minorHAnsi"/>
            <w:color w:val="000000" w:themeColor="text1"/>
            <w:u w:val="none"/>
          </w:rPr>
          <w:t>https://www.mass.gov/doc/cancer-incidence-and-mortality-in-massachusetts-2016-2020-statewide-report/download</w:t>
        </w:r>
      </w:hyperlink>
      <w:r w:rsidRPr="00D2079F">
        <w:rPr>
          <w:rFonts w:asciiTheme="minorHAnsi" w:hAnsiTheme="minorHAnsi"/>
          <w:color w:val="000000" w:themeColor="text1"/>
        </w:rPr>
        <w:t xml:space="preserve"> </w:t>
      </w:r>
    </w:p>
  </w:endnote>
  <w:endnote w:id="14">
    <w:p w14:paraId="7C56B571" w14:textId="789AD649" w:rsidR="009A79C7" w:rsidRPr="005B655E" w:rsidRDefault="00BA08BC" w:rsidP="009C61AF">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19" w:history="1">
        <w:r w:rsidR="009C61AF" w:rsidRPr="005A3876">
          <w:rPr>
            <w:rStyle w:val="Hyperlink"/>
            <w:rFonts w:asciiTheme="minorHAnsi" w:hAnsiTheme="minorHAnsi"/>
            <w:color w:val="000000" w:themeColor="text1"/>
            <w:u w:val="none"/>
          </w:rPr>
          <w:t>HD</w:t>
        </w:r>
        <w:r w:rsidR="009C61AF" w:rsidRPr="005A3876">
          <w:rPr>
            <w:rStyle w:val="Hyperlink"/>
            <w:rFonts w:asciiTheme="minorHAnsi" w:hAnsiTheme="minorHAnsi"/>
            <w:i/>
            <w:iCs/>
            <w:color w:val="000000" w:themeColor="text1"/>
            <w:u w:val="none"/>
          </w:rPr>
          <w:t>Pulse</w:t>
        </w:r>
        <w:r w:rsidR="009C61AF" w:rsidRPr="005A3876">
          <w:rPr>
            <w:rStyle w:val="Hyperlink"/>
            <w:rFonts w:asciiTheme="minorHAnsi" w:hAnsiTheme="minorHAnsi"/>
            <w:color w:val="000000" w:themeColor="text1"/>
            <w:u w:val="none"/>
          </w:rPr>
          <w:t>: An Ecosystem of Minority Health and Health Disparities Resources</w:t>
        </w:r>
      </w:hyperlink>
      <w:r w:rsidR="009C61AF" w:rsidRPr="005A3876">
        <w:rPr>
          <w:rFonts w:asciiTheme="minorHAnsi" w:hAnsiTheme="minorHAnsi"/>
          <w:color w:val="000000" w:themeColor="text1"/>
        </w:rPr>
        <w:t xml:space="preserve">. </w:t>
      </w:r>
      <w:r w:rsidR="009C61AF" w:rsidRPr="009C61AF">
        <w:rPr>
          <w:rFonts w:asciiTheme="minorHAnsi" w:hAnsiTheme="minorHAnsi"/>
        </w:rPr>
        <w:t>National Institute on Minority Health and Health Disparities. Created 11/21/2024. Available from </w:t>
      </w:r>
      <w:hyperlink r:id="rId20" w:history="1">
        <w:r w:rsidR="009C61AF" w:rsidRPr="009C61AF">
          <w:rPr>
            <w:rStyle w:val="Hyperlink"/>
            <w:rFonts w:asciiTheme="minorHAnsi" w:hAnsiTheme="minorHAnsi"/>
          </w:rPr>
          <w:t>https://hdpulse.nimhd.nih.gov</w:t>
        </w:r>
      </w:hyperlink>
    </w:p>
  </w:endnote>
  <w:endnote w:id="15">
    <w:p w14:paraId="38331B0D" w14:textId="3193A3B0" w:rsidR="00122D6A" w:rsidRPr="005B655E" w:rsidRDefault="00122D6A">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r w:rsidR="008626D0" w:rsidRPr="008626D0">
        <w:rPr>
          <w:rFonts w:asciiTheme="minorHAnsi" w:hAnsiTheme="minorHAnsi"/>
        </w:rPr>
        <w:t xml:space="preserve">Elizabeth M Ward, Recinda L Sherman, S Jane Henley, Ahmedin Jemal, David A Siegel, Eric J Feuer, Albert U Firth, Betsy A Kohler, Susan Scott, Jiemin Ma, Robert N Anderson, Vicki Benard, Kathleen A Cronin, </w:t>
      </w:r>
      <w:hyperlink r:id="rId21" w:history="1">
        <w:r w:rsidR="008626D0" w:rsidRPr="00427D68">
          <w:rPr>
            <w:rStyle w:val="Hyperlink"/>
            <w:rFonts w:asciiTheme="minorHAnsi" w:hAnsiTheme="minorHAnsi"/>
            <w:color w:val="000000" w:themeColor="text1"/>
            <w:u w:val="none"/>
          </w:rPr>
          <w:t>Annual Report to the Nation on the Status of Cancer, Featuring Cancer in Men and Women Age 20–49 Years</w:t>
        </w:r>
      </w:hyperlink>
      <w:r w:rsidR="008626D0" w:rsidRPr="00427D68">
        <w:rPr>
          <w:rFonts w:asciiTheme="minorHAnsi" w:hAnsiTheme="minorHAnsi"/>
          <w:color w:val="000000" w:themeColor="text1"/>
        </w:rPr>
        <w:t>, </w:t>
      </w:r>
      <w:r w:rsidR="008626D0" w:rsidRPr="008626D0">
        <w:rPr>
          <w:rFonts w:asciiTheme="minorHAnsi" w:hAnsiTheme="minorHAnsi"/>
          <w:i/>
          <w:iCs/>
        </w:rPr>
        <w:t>JNCI: Journal of the National Cancer Institute</w:t>
      </w:r>
      <w:r w:rsidR="008626D0" w:rsidRPr="008626D0">
        <w:rPr>
          <w:rFonts w:asciiTheme="minorHAnsi" w:hAnsiTheme="minorHAnsi"/>
        </w:rPr>
        <w:t>, Volume 111, Issue 12, December 2019, Pages 1279–1297, </w:t>
      </w:r>
      <w:hyperlink r:id="rId22" w:history="1">
        <w:r w:rsidR="008626D0" w:rsidRPr="008626D0">
          <w:rPr>
            <w:rStyle w:val="Hyperlink"/>
            <w:rFonts w:asciiTheme="minorHAnsi" w:hAnsiTheme="minorHAnsi"/>
          </w:rPr>
          <w:t>https://doi.org/10.1093/jnci/djz106</w:t>
        </w:r>
      </w:hyperlink>
    </w:p>
  </w:endnote>
  <w:endnote w:id="16">
    <w:p w14:paraId="643EF3E6" w14:textId="77777777" w:rsidR="001C2AB5" w:rsidRDefault="001C2AB5" w:rsidP="001C2AB5">
      <w:pPr>
        <w:pStyle w:val="EndnoteText"/>
        <w:rPr>
          <w:rFonts w:asciiTheme="minorHAnsi" w:hAnsiTheme="minorHAnsi"/>
        </w:rPr>
      </w:pPr>
      <w:r>
        <w:rPr>
          <w:rStyle w:val="EndnoteReference"/>
          <w:rFonts w:asciiTheme="minorHAnsi" w:hAnsiTheme="minorHAnsi"/>
        </w:rPr>
        <w:endnoteRef/>
      </w:r>
      <w:r>
        <w:rPr>
          <w:rFonts w:asciiTheme="minorHAnsi" w:hAnsiTheme="minorHAnsi"/>
        </w:rPr>
        <w:t xml:space="preserve"> Siegel RL, Giaquinto AN, Jemal A. Cancer statistics, 2024. CA Cancer J Clin. 2024 Jan-Feb;74(1):12-49. doi: 10.3322/caac.21820. Epub 2024 Jan 17. PMID: 38230766.</w:t>
      </w:r>
    </w:p>
  </w:endnote>
  <w:endnote w:id="17">
    <w:p w14:paraId="04E18323" w14:textId="72E12A02" w:rsidR="00846C66" w:rsidRDefault="00846C66">
      <w:pPr>
        <w:pStyle w:val="EndnoteText"/>
      </w:pPr>
      <w:r>
        <w:rPr>
          <w:rStyle w:val="EndnoteReference"/>
        </w:rPr>
        <w:endnoteRef/>
      </w:r>
      <w:r>
        <w:t xml:space="preserve"> </w:t>
      </w:r>
      <w:r w:rsidRPr="00846C66">
        <w:t xml:space="preserve">Dana-Farber Cancer Institute. </w:t>
      </w:r>
      <w:hyperlink r:id="rId23" w:history="1">
        <w:r w:rsidRPr="00427D68">
          <w:rPr>
            <w:rStyle w:val="Hyperlink"/>
            <w:color w:val="000000" w:themeColor="text1"/>
            <w:u w:val="none"/>
          </w:rPr>
          <w:t>2022 Cancer-Focused Community Health Needs Assessment (CHNA) Report</w:t>
        </w:r>
      </w:hyperlink>
      <w:r w:rsidRPr="00427D68">
        <w:rPr>
          <w:color w:val="000000" w:themeColor="text1"/>
        </w:rPr>
        <w:t xml:space="preserve">. </w:t>
      </w:r>
      <w:hyperlink r:id="rId24" w:history="1">
        <w:r w:rsidR="00733F72" w:rsidRPr="000A4F9B">
          <w:rPr>
            <w:rStyle w:val="Hyperlink"/>
          </w:rPr>
          <w:t>https://dfci.widen.net/s/rgj28wdsgj/cancer-chna-report-2022.pdf</w:t>
        </w:r>
      </w:hyperlink>
      <w:r w:rsidR="00733F72">
        <w:t xml:space="preserve"> </w:t>
      </w:r>
    </w:p>
  </w:endnote>
  <w:endnote w:id="18">
    <w:p w14:paraId="11EC3251" w14:textId="7A251E98" w:rsidR="00333CF4" w:rsidRPr="005B655E" w:rsidRDefault="00333CF4">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r w:rsidR="00C31FC8" w:rsidRPr="005B655E">
        <w:rPr>
          <w:rFonts w:asciiTheme="minorHAnsi" w:hAnsiTheme="minorHAnsi"/>
        </w:rPr>
        <w:t>Koh B, Tan DJH, Ng CH, et al. Patterns in Cancer Incidence Among People Younger Than 50 Years in the US, 2010 to 2019. JAMA Netw Open. 2023;6(8):e2328171. doi:10.1001/jamanetworkopen.2023.28171</w:t>
      </w:r>
    </w:p>
  </w:endnote>
  <w:endnote w:id="19">
    <w:p w14:paraId="4552012B" w14:textId="7F04DB72" w:rsidR="00F916E5" w:rsidRDefault="00F916E5">
      <w:pPr>
        <w:pStyle w:val="EndnoteText"/>
      </w:pPr>
      <w:r>
        <w:rPr>
          <w:rStyle w:val="EndnoteReference"/>
        </w:rPr>
        <w:endnoteRef/>
      </w:r>
      <w:r>
        <w:t xml:space="preserve"> </w:t>
      </w:r>
      <w:r w:rsidRPr="00F916E5">
        <w:t>Kamath SD, Torrejon N, Wei W, Tullio K, Nair KG, Liska D, Krishnamurthi SS, Khorana AA. Racial disparities negatively impact outcomes in early-onset colorectal cancer independent of socioeconomic status. Cancer Med. 2021 Nov;10(21):7542-7550. doi: 10.1002/cam4.4276. Epub 2021 Oct 14. PMID: 34647438; PMCID: PMC8559495.</w:t>
      </w:r>
    </w:p>
  </w:endnote>
  <w:endnote w:id="20">
    <w:p w14:paraId="752D7D3E" w14:textId="456D41F1" w:rsidR="005F0C0D" w:rsidRPr="005B655E" w:rsidRDefault="005F0C0D">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Kharfan-Dabaja MA. The Inpatient Unit in a Cancer Center. 2021 Oct 29. In: Aljurf M, Majhail NS, Koh MBC, et al., editors. The Comprehensive Cancer Center: Development, Integration, and Implementation [Internet]. Cham (CH): Springer; 2022. Chapter 3. https://www.ncbi.nlm.nih.gov/books/NBK584197/ doi: 10.1007/978-3-030-82052-7_3</w:t>
      </w:r>
    </w:p>
  </w:endnote>
  <w:endnote w:id="21">
    <w:p w14:paraId="12B24C1D" w14:textId="4543CFC3" w:rsidR="00BA2054" w:rsidRPr="00CC4829" w:rsidRDefault="005F0C0D">
      <w:pPr>
        <w:pStyle w:val="EndnoteText"/>
        <w:rPr>
          <w:rFonts w:asciiTheme="minorHAnsi" w:hAnsiTheme="minorHAnsi"/>
          <w:color w:val="000000" w:themeColor="text1"/>
        </w:rPr>
      </w:pPr>
      <w:r w:rsidRPr="005B655E">
        <w:rPr>
          <w:rStyle w:val="EndnoteReference"/>
          <w:rFonts w:asciiTheme="minorHAnsi" w:hAnsiTheme="minorHAnsi"/>
        </w:rPr>
        <w:endnoteRef/>
      </w:r>
      <w:r w:rsidRPr="005B655E">
        <w:rPr>
          <w:rFonts w:asciiTheme="minorHAnsi" w:hAnsiTheme="minorHAnsi"/>
        </w:rPr>
        <w:t xml:space="preserve"> Kharfan-Dabaja MA</w:t>
      </w:r>
      <w:r w:rsidRPr="00CC4829">
        <w:rPr>
          <w:rFonts w:asciiTheme="minorHAnsi" w:hAnsiTheme="minorHAnsi"/>
          <w:color w:val="000000" w:themeColor="text1"/>
        </w:rPr>
        <w:t xml:space="preserve">. </w:t>
      </w:r>
      <w:hyperlink r:id="rId25" w:history="1">
        <w:r w:rsidRPr="00CC4829">
          <w:rPr>
            <w:rStyle w:val="Hyperlink"/>
            <w:rFonts w:asciiTheme="minorHAnsi" w:hAnsiTheme="minorHAnsi"/>
            <w:color w:val="000000" w:themeColor="text1"/>
            <w:u w:val="none"/>
          </w:rPr>
          <w:t>The Inpatient Unit in a Cancer Center.</w:t>
        </w:r>
      </w:hyperlink>
      <w:r w:rsidRPr="00CC4829">
        <w:rPr>
          <w:rFonts w:asciiTheme="minorHAnsi" w:hAnsiTheme="minorHAnsi"/>
          <w:color w:val="000000" w:themeColor="text1"/>
        </w:rPr>
        <w:t xml:space="preserve"> 2021 Oct 29. In: Aljurf M, Majhail NS, Koh MBC, et al., editors. The Comprehensive Cancer Center: Development, Integration, and Implementation [Internet]. Cham (CH): Springer; 2022. Chapter 3. </w:t>
      </w:r>
    </w:p>
    <w:p w14:paraId="78D62344" w14:textId="4231EC6C" w:rsidR="005F0C0D" w:rsidRPr="005B655E" w:rsidRDefault="00CC4829">
      <w:pPr>
        <w:pStyle w:val="EndnoteText"/>
        <w:rPr>
          <w:rFonts w:asciiTheme="minorHAnsi" w:hAnsiTheme="minorHAnsi"/>
        </w:rPr>
      </w:pPr>
      <w:hyperlink r:id="rId26" w:history="1">
        <w:r w:rsidRPr="00CC4829">
          <w:rPr>
            <w:rStyle w:val="Hyperlink"/>
            <w:rFonts w:asciiTheme="minorHAnsi" w:hAnsiTheme="minorHAnsi"/>
            <w:color w:val="000000" w:themeColor="text1"/>
            <w:u w:val="none"/>
          </w:rPr>
          <w:t>https://www.ncbi.nlm.nih.gov/books/NBK584197/</w:t>
        </w:r>
      </w:hyperlink>
      <w:r w:rsidRPr="00CC4829">
        <w:rPr>
          <w:rFonts w:asciiTheme="minorHAnsi" w:hAnsiTheme="minorHAnsi"/>
          <w:color w:val="000000" w:themeColor="text1"/>
        </w:rPr>
        <w:t xml:space="preserve"> </w:t>
      </w:r>
      <w:r w:rsidR="005F0C0D" w:rsidRPr="00CC4829">
        <w:rPr>
          <w:rFonts w:asciiTheme="minorHAnsi" w:hAnsiTheme="minorHAnsi"/>
          <w:color w:val="000000" w:themeColor="text1"/>
        </w:rPr>
        <w:t> </w:t>
      </w:r>
      <w:r w:rsidR="005F0C0D" w:rsidRPr="005B655E">
        <w:rPr>
          <w:rFonts w:asciiTheme="minorHAnsi" w:hAnsiTheme="minorHAnsi"/>
        </w:rPr>
        <w:t>doi: 10.1007/978-3-030-82052-7_3</w:t>
      </w:r>
      <w:r>
        <w:rPr>
          <w:rFonts w:asciiTheme="minorHAnsi" w:hAnsiTheme="minorHAnsi"/>
        </w:rPr>
        <w:t xml:space="preserve"> </w:t>
      </w:r>
      <w:r w:rsidR="00BA2054">
        <w:rPr>
          <w:rFonts w:asciiTheme="minorHAnsi" w:hAnsiTheme="minorHAnsi"/>
        </w:rPr>
        <w:t xml:space="preserve">  </w:t>
      </w:r>
    </w:p>
  </w:endnote>
  <w:endnote w:id="22">
    <w:p w14:paraId="7DEED1FA" w14:textId="34134827" w:rsidR="00700F2C" w:rsidRPr="005B655E" w:rsidRDefault="00700F2C" w:rsidP="00700F2C">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Centers for Disease Control and Prevention. </w:t>
      </w:r>
      <w:hyperlink r:id="rId27" w:history="1">
        <w:r w:rsidRPr="00D17DE3">
          <w:rPr>
            <w:rStyle w:val="Hyperlink"/>
            <w:rFonts w:asciiTheme="minorHAnsi" w:hAnsiTheme="minorHAnsi"/>
            <w:color w:val="000000" w:themeColor="text1"/>
            <w:u w:val="none"/>
          </w:rPr>
          <w:t>Cancer Survivors. Information for Health care Providers</w:t>
        </w:r>
      </w:hyperlink>
      <w:r w:rsidRPr="00D17DE3">
        <w:rPr>
          <w:rFonts w:asciiTheme="minorHAnsi" w:hAnsiTheme="minorHAnsi"/>
          <w:color w:val="000000" w:themeColor="text1"/>
        </w:rPr>
        <w:t xml:space="preserve">. </w:t>
      </w:r>
      <w:hyperlink r:id="rId28" w:history="1">
        <w:r w:rsidR="00E25B84" w:rsidRPr="000A4F9B">
          <w:rPr>
            <w:rStyle w:val="Hyperlink"/>
          </w:rPr>
          <w:t>https://www.cdc.gov/cancer-survivors/hcp/info/index.html</w:t>
        </w:r>
      </w:hyperlink>
      <w:r w:rsidR="00E25B84">
        <w:t xml:space="preserve"> </w:t>
      </w:r>
    </w:p>
  </w:endnote>
  <w:endnote w:id="23">
    <w:p w14:paraId="4DFA52A4" w14:textId="7D08276C" w:rsidR="00700F2C" w:rsidRPr="005B655E" w:rsidRDefault="00700F2C" w:rsidP="00700F2C">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American Cancer Society. </w:t>
      </w:r>
      <w:hyperlink r:id="rId29" w:history="1">
        <w:r w:rsidRPr="00E0174B">
          <w:rPr>
            <w:rStyle w:val="Hyperlink"/>
            <w:rFonts w:asciiTheme="minorHAnsi" w:hAnsiTheme="minorHAnsi"/>
            <w:color w:val="000000" w:themeColor="text1"/>
            <w:u w:val="none"/>
          </w:rPr>
          <w:t>Cancer Treatment &amp; Survivorship Facts &amp; Figures 2022-2024. Atlanta: American Cancer Society</w:t>
        </w:r>
      </w:hyperlink>
      <w:r w:rsidRPr="00E0174B">
        <w:rPr>
          <w:rFonts w:asciiTheme="minorHAnsi" w:hAnsiTheme="minorHAnsi"/>
          <w:color w:val="000000" w:themeColor="text1"/>
        </w:rPr>
        <w:t>; 2022</w:t>
      </w:r>
      <w:r w:rsidRPr="005B655E">
        <w:rPr>
          <w:rFonts w:asciiTheme="minorHAnsi" w:hAnsiTheme="minorHAnsi"/>
        </w:rPr>
        <w:t xml:space="preserve">. </w:t>
      </w:r>
      <w:hyperlink r:id="rId30" w:history="1">
        <w:r w:rsidRPr="005B655E">
          <w:rPr>
            <w:rStyle w:val="Hyperlink"/>
            <w:rFonts w:asciiTheme="minorHAnsi" w:hAnsiTheme="minorHAnsi"/>
          </w:rPr>
          <w:t>https://www.cancer.org/content/dam/cancer-org/research/cancer-facts-and-statistics/cancer-treatment-and-survivorship-facts-and-figures/2022-cancer-treatment-and-survivorship-fandf-acs.pdf</w:t>
        </w:r>
      </w:hyperlink>
      <w:r w:rsidRPr="005B655E">
        <w:rPr>
          <w:rFonts w:asciiTheme="minorHAnsi" w:hAnsiTheme="minorHAnsi"/>
        </w:rPr>
        <w:t xml:space="preserve"> </w:t>
      </w:r>
    </w:p>
  </w:endnote>
  <w:endnote w:id="24">
    <w:p w14:paraId="2297061E" w14:textId="76692EE5" w:rsidR="009004BF" w:rsidRPr="005B655E" w:rsidRDefault="00676AC5">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31" w:history="1">
        <w:r w:rsidR="00FC7B35" w:rsidRPr="00E0174B">
          <w:rPr>
            <w:rStyle w:val="Hyperlink"/>
            <w:rFonts w:asciiTheme="minorHAnsi" w:hAnsiTheme="minorHAnsi"/>
            <w:color w:val="000000" w:themeColor="text1"/>
            <w:u w:val="none"/>
          </w:rPr>
          <w:t>Leukemia and Lymphoma Society. Chemotherapy.</w:t>
        </w:r>
      </w:hyperlink>
      <w:r w:rsidR="00FC7B35" w:rsidRPr="00E0174B">
        <w:rPr>
          <w:rFonts w:asciiTheme="minorHAnsi" w:hAnsiTheme="minorHAnsi"/>
          <w:color w:val="000000" w:themeColor="text1"/>
        </w:rPr>
        <w:t xml:space="preserve"> </w:t>
      </w:r>
    </w:p>
    <w:p w14:paraId="1E25CAB3" w14:textId="00D77BC2" w:rsidR="00676AC5" w:rsidRPr="005B655E" w:rsidRDefault="009004BF">
      <w:pPr>
        <w:pStyle w:val="EndnoteText"/>
        <w:rPr>
          <w:rFonts w:asciiTheme="minorHAnsi" w:hAnsiTheme="minorHAnsi"/>
        </w:rPr>
      </w:pPr>
      <w:hyperlink r:id="rId32" w:history="1">
        <w:r w:rsidRPr="005B655E">
          <w:rPr>
            <w:rStyle w:val="Hyperlink"/>
            <w:rFonts w:asciiTheme="minorHAnsi" w:hAnsiTheme="minorHAnsi"/>
          </w:rPr>
          <w:t>https://www.lls.org/leukemia/acute-lymphoblastic-leukemia/treatment/chemotherapy</w:t>
        </w:r>
      </w:hyperlink>
      <w:r w:rsidR="00FC7B35" w:rsidRPr="005B655E">
        <w:rPr>
          <w:rFonts w:asciiTheme="minorHAnsi" w:hAnsiTheme="minorHAnsi"/>
        </w:rPr>
        <w:t xml:space="preserve"> </w:t>
      </w:r>
    </w:p>
  </w:endnote>
  <w:endnote w:id="25">
    <w:p w14:paraId="0A53B32D" w14:textId="3E91126A" w:rsidR="00FC7B35" w:rsidRPr="005B655E" w:rsidRDefault="00E91B04">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r w:rsidR="00FC7B35" w:rsidRPr="005B655E">
        <w:rPr>
          <w:rFonts w:asciiTheme="minorHAnsi" w:hAnsiTheme="minorHAnsi"/>
        </w:rPr>
        <w:t xml:space="preserve">American Cancer Society. </w:t>
      </w:r>
      <w:hyperlink r:id="rId33" w:history="1">
        <w:r w:rsidR="00FC7B35" w:rsidRPr="00594E80">
          <w:rPr>
            <w:rStyle w:val="Hyperlink"/>
            <w:rFonts w:asciiTheme="minorHAnsi" w:hAnsiTheme="minorHAnsi"/>
            <w:color w:val="000000" w:themeColor="text1"/>
            <w:u w:val="none"/>
          </w:rPr>
          <w:t>CAR T-cell Therapy and Its Side Effects</w:t>
        </w:r>
      </w:hyperlink>
      <w:r w:rsidR="00FC7B35" w:rsidRPr="00594E80">
        <w:rPr>
          <w:rFonts w:asciiTheme="minorHAnsi" w:hAnsiTheme="minorHAnsi"/>
          <w:color w:val="000000" w:themeColor="text1"/>
        </w:rPr>
        <w:t xml:space="preserve"> </w:t>
      </w:r>
    </w:p>
    <w:p w14:paraId="32BDC163" w14:textId="1A752C6B" w:rsidR="00E91B04" w:rsidRPr="005B655E" w:rsidRDefault="00FC7B35">
      <w:pPr>
        <w:pStyle w:val="EndnoteText"/>
        <w:rPr>
          <w:rFonts w:asciiTheme="minorHAnsi" w:hAnsiTheme="minorHAnsi"/>
        </w:rPr>
      </w:pPr>
      <w:hyperlink r:id="rId34" w:history="1">
        <w:r w:rsidRPr="005B655E">
          <w:rPr>
            <w:rStyle w:val="Hyperlink"/>
            <w:rFonts w:asciiTheme="minorHAnsi" w:hAnsiTheme="minorHAnsi"/>
          </w:rPr>
          <w:t>https://www.cancer.org/cancer/managing-cancer/treatment-types/immunotherapy/car-t-cell1.html</w:t>
        </w:r>
      </w:hyperlink>
      <w:r w:rsidRPr="005B655E">
        <w:rPr>
          <w:rFonts w:asciiTheme="minorHAnsi" w:hAnsiTheme="minorHAnsi"/>
        </w:rPr>
        <w:t xml:space="preserve"> </w:t>
      </w:r>
    </w:p>
  </w:endnote>
  <w:endnote w:id="26">
    <w:p w14:paraId="654504FB" w14:textId="77777777" w:rsidR="00503ADD" w:rsidRDefault="00503ADD" w:rsidP="00503ADD">
      <w:pPr>
        <w:pStyle w:val="EndnoteText"/>
      </w:pPr>
      <w:r>
        <w:rPr>
          <w:rStyle w:val="EndnoteReference"/>
        </w:rPr>
        <w:endnoteRef/>
      </w:r>
      <w:r>
        <w:t xml:space="preserve"> </w:t>
      </w:r>
      <w:r w:rsidRPr="007A1E7B">
        <w:t>Borogovac A, Keruakous A, Bycko M, Holter Chakrabarty J, Ibrahimi S, Khawandanah M, Selby GB, Yuen C, Schmidt S, Autry MT, Al-Juhaishi T, Wieduwilt MJ, Asch AS. Safety and feasibility of outpatient chimeric antigen receptor (CAR) T-cell therapy: experience from a tertiary care center. Bone Marrow Transplant. 2022 Jun;57(6):1025-1027. doi: 10.1038/s41409-022-01664-z. Epub 2022 Apr 11. PMID: 35411106; PMCID: PMC8995917.</w:t>
      </w:r>
    </w:p>
  </w:endnote>
  <w:endnote w:id="27">
    <w:p w14:paraId="72331014" w14:textId="5F4D9143" w:rsidR="002864C9" w:rsidRPr="005B655E" w:rsidRDefault="002864C9">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Dana-Farber Cancer Institute. </w:t>
      </w:r>
      <w:hyperlink r:id="rId35" w:history="1">
        <w:r w:rsidRPr="00F241C6">
          <w:rPr>
            <w:rStyle w:val="Hyperlink"/>
            <w:rFonts w:asciiTheme="minorHAnsi" w:hAnsiTheme="minorHAnsi"/>
            <w:color w:val="000000" w:themeColor="text1"/>
            <w:u w:val="none"/>
          </w:rPr>
          <w:t>What’s the Difference Between Outpatient Stem Cell Transplants and Inpatient Transplants?</w:t>
        </w:r>
      </w:hyperlink>
      <w:r w:rsidRPr="00F241C6">
        <w:rPr>
          <w:rFonts w:asciiTheme="minorHAnsi" w:hAnsiTheme="minorHAnsi"/>
          <w:color w:val="000000" w:themeColor="text1"/>
        </w:rPr>
        <w:t xml:space="preserve"> </w:t>
      </w:r>
      <w:r w:rsidRPr="005B655E">
        <w:rPr>
          <w:rFonts w:asciiTheme="minorHAnsi" w:hAnsiTheme="minorHAnsi"/>
        </w:rPr>
        <w:t xml:space="preserve">June 3, 2019. </w:t>
      </w:r>
      <w:hyperlink r:id="rId36" w:history="1">
        <w:r w:rsidR="001A05C7" w:rsidRPr="005B655E">
          <w:rPr>
            <w:rStyle w:val="Hyperlink"/>
            <w:rFonts w:asciiTheme="minorHAnsi" w:hAnsiTheme="minorHAnsi"/>
          </w:rPr>
          <w:t>https://blog.dana-farber.org/insight/2019/06/whats-the-difference-between-outpatient-stem-cell-transplants-and-inpatient-transplants/</w:t>
        </w:r>
      </w:hyperlink>
      <w:r w:rsidR="001A05C7" w:rsidRPr="005B655E">
        <w:rPr>
          <w:rFonts w:asciiTheme="minorHAnsi" w:hAnsiTheme="minorHAnsi"/>
        </w:rPr>
        <w:t xml:space="preserve"> </w:t>
      </w:r>
    </w:p>
  </w:endnote>
  <w:endnote w:id="28">
    <w:p w14:paraId="41792D13" w14:textId="77777777" w:rsidR="009A0573" w:rsidRPr="005B655E" w:rsidRDefault="009A0573" w:rsidP="009A0573">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Alishahi Tabriz A, Turner K, Hong YR, Gheytasvand S, Powers BD, Elston Lafata J. Trends and Characteristics of Potentially Preventable Emergency Department Visits Among Patients With Cancer in the US. JAMA Netw Open. 2023 Jan 3;6(1):e2250423. doi: 10.1001/jamanetworkopen.2022.50423. PMID: 36656584; PMCID: PMC9857289.</w:t>
      </w:r>
    </w:p>
  </w:endnote>
  <w:endnote w:id="29">
    <w:p w14:paraId="4CDDF8BC" w14:textId="77777777" w:rsidR="005C5B2D" w:rsidRPr="005B655E" w:rsidRDefault="005C5B2D" w:rsidP="005C5B2D">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Alishahi Tabriz A, Turner K, Hong YR, Gheytasvand S, Powers BD, Elston Lafata J. Trends and Characteristics of Potentially Preventable Emergency Department Visits Among Patients With Cancer in the US. JAMA Netw Open. 2023 Jan 3;6(1):e2250423. doi: 10.1001/jamanetworkopen.2022.50423. PMID: 36656584; PMCID: PMC9857289.</w:t>
      </w:r>
    </w:p>
  </w:endnote>
  <w:endnote w:id="30">
    <w:p w14:paraId="7A9C13CB" w14:textId="77777777" w:rsidR="005C5B2D" w:rsidRPr="005B655E" w:rsidRDefault="005C5B2D" w:rsidP="005C5B2D">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Mayer DK, Travers D, Wyss A, Leak A, Waller A. Why do patients with cancer visit emergency departments? Results of a 2008 population study in North Carolina. J Clin Oncol. 2011 Jul 1;29(19):2683-8. doi: 10.1200/JCO.2010.34.2816. Epub 2011 May 23. PMID: 21606431; PMCID: PMC3139372.</w:t>
      </w:r>
    </w:p>
  </w:endnote>
  <w:endnote w:id="31">
    <w:p w14:paraId="2B43C4E3" w14:textId="77777777" w:rsidR="006C0848" w:rsidRDefault="006C0848" w:rsidP="006C0848">
      <w:pPr>
        <w:pStyle w:val="EndnoteText"/>
      </w:pPr>
      <w:r>
        <w:rPr>
          <w:rStyle w:val="EndnoteReference"/>
        </w:rPr>
        <w:endnoteRef/>
      </w:r>
      <w:r>
        <w:t xml:space="preserve"> </w:t>
      </w:r>
      <w:r w:rsidRPr="00DF0369">
        <w:t>The Advisory Board Company: Demographic Profiler.</w:t>
      </w:r>
    </w:p>
  </w:endnote>
  <w:endnote w:id="32">
    <w:p w14:paraId="3C6D6558" w14:textId="6E12E158" w:rsidR="00A62C5E" w:rsidRDefault="00A62C5E">
      <w:pPr>
        <w:pStyle w:val="EndnoteText"/>
      </w:pPr>
      <w:r>
        <w:rPr>
          <w:rStyle w:val="EndnoteReference"/>
        </w:rPr>
        <w:endnoteRef/>
      </w:r>
      <w:r>
        <w:t xml:space="preserve"> </w:t>
      </w:r>
      <w:r w:rsidRPr="00A62C5E">
        <w:t>Casimir G. Why Children's Hospitals Are Unique and So Essential. Front Pediatr. 2019 Jul 23;7:305. doi: 10.3389/fped.2019.00305. PMID: 31396498; PMCID: PMC6664869.</w:t>
      </w:r>
    </w:p>
  </w:endnote>
  <w:endnote w:id="33">
    <w:p w14:paraId="05A47F8E" w14:textId="13F9CEDD" w:rsidR="006D1669" w:rsidRPr="005B655E" w:rsidRDefault="006D1669">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Green LV. How Many Hospital Beds? INQUIRY: The Journal of Health Care Organization, Provision, and Financing. 2002;39(4):400-412. doi:10.5034/inquiryjrnl_39.4.400</w:t>
      </w:r>
    </w:p>
  </w:endnote>
  <w:endnote w:id="34">
    <w:p w14:paraId="38000765" w14:textId="4739DB25" w:rsidR="008200D5" w:rsidRDefault="008200D5" w:rsidP="008200D5">
      <w:pPr>
        <w:pStyle w:val="EndnoteText"/>
      </w:pPr>
      <w:r>
        <w:rPr>
          <w:rStyle w:val="EndnoteReference"/>
        </w:rPr>
        <w:endnoteRef/>
      </w:r>
      <w:r>
        <w:t xml:space="preserve"> </w:t>
      </w:r>
      <w:hyperlink r:id="rId37" w:history="1">
        <w:r w:rsidRPr="000F7F10">
          <w:rPr>
            <w:rStyle w:val="Hyperlink"/>
            <w:color w:val="000000" w:themeColor="text1"/>
            <w:u w:val="none"/>
          </w:rPr>
          <w:t>Massachusetts Department of Public Health Capacity Planning and Response Guidance for Acute Care Hospitals.</w:t>
        </w:r>
      </w:hyperlink>
      <w:r w:rsidRPr="000F7F10">
        <w:rPr>
          <w:color w:val="000000" w:themeColor="text1"/>
        </w:rPr>
        <w:t xml:space="preserve"> </w:t>
      </w:r>
      <w:r>
        <w:t>Updated July 28, 2022.</w:t>
      </w:r>
      <w:r w:rsidRPr="00A07182">
        <w:t xml:space="preserve"> </w:t>
      </w:r>
      <w:hyperlink r:id="rId38" w:history="1">
        <w:r w:rsidRPr="007726ED">
          <w:rPr>
            <w:rStyle w:val="Hyperlink"/>
          </w:rPr>
          <w:t>https://www.mass.gov/info-details/covid-19-public-health-guidance-and-directives</w:t>
        </w:r>
      </w:hyperlink>
      <w:r>
        <w:t xml:space="preserve"> </w:t>
      </w:r>
    </w:p>
  </w:endnote>
  <w:endnote w:id="35">
    <w:p w14:paraId="742886C7" w14:textId="067642B0" w:rsidR="008200D5" w:rsidRDefault="008200D5" w:rsidP="008200D5">
      <w:pPr>
        <w:pStyle w:val="EndnoteText"/>
      </w:pPr>
      <w:r>
        <w:rPr>
          <w:rStyle w:val="EndnoteReference"/>
        </w:rPr>
        <w:endnoteRef/>
      </w:r>
      <w:r>
        <w:t xml:space="preserve"> </w:t>
      </w:r>
      <w:r w:rsidRPr="00184734">
        <w:t xml:space="preserve">  Felice J. Freyer</w:t>
      </w:r>
      <w:r w:rsidRPr="000F7F10">
        <w:rPr>
          <w:color w:val="000000" w:themeColor="text1"/>
        </w:rPr>
        <w:t xml:space="preserve"> et al., “</w:t>
      </w:r>
      <w:hyperlink r:id="rId39" w:history="1">
        <w:r w:rsidRPr="000F7F10">
          <w:rPr>
            <w:rStyle w:val="Hyperlink"/>
            <w:color w:val="000000" w:themeColor="text1"/>
            <w:u w:val="none"/>
          </w:rPr>
          <w:t>‘It is by far the worst we’ve seen it’: Eastern Mass. Hospitals see a resurgence in discharge delays,”</w:t>
        </w:r>
      </w:hyperlink>
      <w:r w:rsidRPr="000F7F10">
        <w:rPr>
          <w:color w:val="000000" w:themeColor="text1"/>
        </w:rPr>
        <w:t xml:space="preserve"> </w:t>
      </w:r>
      <w:r w:rsidRPr="00184734">
        <w:t>The Boston Globe (Feb. 6, 2024)</w:t>
      </w:r>
      <w:r>
        <w:t>.</w:t>
      </w:r>
    </w:p>
    <w:p w14:paraId="51C77F5F" w14:textId="77777777" w:rsidR="008200D5" w:rsidRDefault="008200D5" w:rsidP="008200D5">
      <w:pPr>
        <w:pStyle w:val="EndnoteText"/>
      </w:pPr>
      <w:hyperlink r:id="rId40" w:history="1">
        <w:r w:rsidRPr="007726ED">
          <w:rPr>
            <w:rStyle w:val="Hyperlink"/>
          </w:rPr>
          <w:t>https://www.bostonglobe.com/2024/02/06/business/some-mass-hospitals-at-tier-3-risk-due-to-capacity-issues-report-says/?event=event12</w:t>
        </w:r>
      </w:hyperlink>
      <w:r>
        <w:t xml:space="preserve"> </w:t>
      </w:r>
    </w:p>
  </w:endnote>
  <w:endnote w:id="36">
    <w:p w14:paraId="798898A4" w14:textId="655278EA" w:rsidR="00635F43" w:rsidRDefault="00635F43">
      <w:pPr>
        <w:pStyle w:val="EndnoteText"/>
      </w:pPr>
      <w:r>
        <w:rPr>
          <w:rStyle w:val="EndnoteReference"/>
        </w:rPr>
        <w:endnoteRef/>
      </w:r>
      <w:r>
        <w:t xml:space="preserve"> </w:t>
      </w:r>
      <w:r w:rsidR="00DF5372" w:rsidRPr="00DF5372">
        <w:t>Rousseau</w:t>
      </w:r>
      <w:r w:rsidR="00DF5372">
        <w:t xml:space="preserve">, M. </w:t>
      </w:r>
      <w:r w:rsidR="00DF7D95" w:rsidRPr="00DF7D95">
        <w:t xml:space="preserve">Mass. </w:t>
      </w:r>
      <w:hyperlink r:id="rId41" w:history="1">
        <w:r w:rsidR="00DF7D95" w:rsidRPr="000F7F10">
          <w:rPr>
            <w:rStyle w:val="Hyperlink"/>
            <w:color w:val="000000" w:themeColor="text1"/>
            <w:u w:val="none"/>
          </w:rPr>
          <w:t>General declares ‘capacity disaster’.</w:t>
        </w:r>
      </w:hyperlink>
      <w:r w:rsidR="000F4456" w:rsidRPr="000F7F10">
        <w:rPr>
          <w:color w:val="000000" w:themeColor="text1"/>
        </w:rPr>
        <w:t xml:space="preserve"> </w:t>
      </w:r>
      <w:r w:rsidR="000F4456">
        <w:t xml:space="preserve">Boston.com. January 21, 2024. </w:t>
      </w:r>
      <w:hyperlink r:id="rId42" w:history="1">
        <w:r w:rsidR="008D19EF" w:rsidRPr="00533AEB">
          <w:rPr>
            <w:rStyle w:val="Hyperlink"/>
          </w:rPr>
          <w:t>https://www.boston.com/news/local-news/2024/01/21/mass-general-declares-capacity-disaster/</w:t>
        </w:r>
      </w:hyperlink>
      <w:r w:rsidR="008D19EF">
        <w:t xml:space="preserve"> </w:t>
      </w:r>
    </w:p>
  </w:endnote>
  <w:endnote w:id="37">
    <w:p w14:paraId="38F6FF3B" w14:textId="52B13C22" w:rsidR="008200D5" w:rsidRDefault="008200D5" w:rsidP="008200D5">
      <w:pPr>
        <w:pStyle w:val="EndnoteText"/>
      </w:pPr>
      <w:r>
        <w:rPr>
          <w:rStyle w:val="EndnoteReference"/>
        </w:rPr>
        <w:endnoteRef/>
      </w:r>
      <w:r>
        <w:t xml:space="preserve"> </w:t>
      </w:r>
      <w:hyperlink r:id="rId43" w:history="1">
        <w:r w:rsidRPr="000F7F10">
          <w:rPr>
            <w:rStyle w:val="Hyperlink"/>
            <w:color w:val="000000" w:themeColor="text1"/>
            <w:u w:val="none"/>
          </w:rPr>
          <w:t xml:space="preserve">BMTinfonet.org. Directory of Transplant Centers. </w:t>
        </w:r>
      </w:hyperlink>
      <w:r w:rsidRPr="000F7F10">
        <w:rPr>
          <w:color w:val="000000" w:themeColor="text1"/>
        </w:rPr>
        <w:t xml:space="preserve"> </w:t>
      </w:r>
      <w:hyperlink r:id="rId44" w:history="1">
        <w:r w:rsidRPr="007726ED">
          <w:rPr>
            <w:rStyle w:val="Hyperlink"/>
          </w:rPr>
          <w:t>https://bmtinfonet.org/centersearch?tid=All&amp;treatment=All&amp;state_province=1020&amp;field_tc_unit_value=2</w:t>
        </w:r>
      </w:hyperlink>
      <w:r>
        <w:t xml:space="preserve"> </w:t>
      </w:r>
    </w:p>
  </w:endnote>
  <w:endnote w:id="38">
    <w:p w14:paraId="76AA4330" w14:textId="47C0E0BA" w:rsidR="008200D5" w:rsidRDefault="008200D5" w:rsidP="008200D5">
      <w:pPr>
        <w:pStyle w:val="EndnoteText"/>
      </w:pPr>
      <w:r>
        <w:rPr>
          <w:rStyle w:val="EndnoteReference"/>
        </w:rPr>
        <w:endnoteRef/>
      </w:r>
      <w:r>
        <w:t xml:space="preserve"> </w:t>
      </w:r>
      <w:hyperlink r:id="rId45" w:history="1">
        <w:r w:rsidRPr="000F7F10">
          <w:rPr>
            <w:rStyle w:val="Hyperlink"/>
            <w:color w:val="000000" w:themeColor="text1"/>
            <w:u w:val="none"/>
          </w:rPr>
          <w:t>BMTinfonet.org. Directory of CAR T-cell Therapy Centers.</w:t>
        </w:r>
      </w:hyperlink>
      <w:r w:rsidRPr="000F7F10">
        <w:rPr>
          <w:color w:val="000000" w:themeColor="text1"/>
        </w:rPr>
        <w:t xml:space="preserve"> </w:t>
      </w:r>
    </w:p>
    <w:p w14:paraId="7CE07096" w14:textId="77777777" w:rsidR="008200D5" w:rsidRDefault="008200D5" w:rsidP="008200D5">
      <w:pPr>
        <w:pStyle w:val="EndnoteText"/>
      </w:pPr>
      <w:hyperlink r:id="rId46" w:history="1">
        <w:r w:rsidRPr="00475D21">
          <w:rPr>
            <w:rStyle w:val="Hyperlink"/>
          </w:rPr>
          <w:t>https://bmtinfonet.org/directory-car-t-cell-therapy-centers</w:t>
        </w:r>
      </w:hyperlink>
      <w:r>
        <w:t xml:space="preserve"> </w:t>
      </w:r>
    </w:p>
  </w:endnote>
  <w:endnote w:id="39">
    <w:p w14:paraId="0EA7DB1B" w14:textId="77777777" w:rsidR="00155855" w:rsidRPr="005B655E" w:rsidRDefault="00155855" w:rsidP="00155855">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Pfister DG, Rubin DM, Elkin EB, Neill US, Duck E, Radzyner M, Bach PB. Risk Adjusting Survival Outcomes in Hospitals That Treat Patients With Cancer Without Information on Cancer Stage. JAMA Oncol. 2015 Dec;1(9):1303-10. doi: 10.1001/jamaoncol.2015.3151. Erratum in: JAMA Oncol. 2015 Dec;1(9):1323. PMID: 26448610; PMCID: PMC5038982.</w:t>
      </w:r>
    </w:p>
  </w:endnote>
  <w:endnote w:id="40">
    <w:p w14:paraId="588D40B9" w14:textId="77777777" w:rsidR="00155855" w:rsidRPr="005B655E" w:rsidRDefault="00155855" w:rsidP="00155855">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Pfister DG, Rubin DM, Elkin EB, Neill US, Duck E, Radzyner M, Bach PB. Risk Adjusting Survival Outcomes in Hospitals That Treat Patients With Cancer Without Information on Cancer Stage. JAMA Oncol. 2015 Dec;1(9):1303-10. doi: 10.1001/jamaoncol.2015.3151. Erratum in: JAMA Oncol. 2015 Dec;1(9):1323. PMID: 26448610; PMCID: PMC5038982.</w:t>
      </w:r>
    </w:p>
  </w:endnote>
  <w:endnote w:id="41">
    <w:p w14:paraId="3DF8CF9A" w14:textId="3344B0D1" w:rsidR="00155855" w:rsidRPr="005B655E" w:rsidRDefault="00155855" w:rsidP="00155855">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Becker’s Clinical Leadership. </w:t>
      </w:r>
      <w:hyperlink r:id="rId47" w:history="1">
        <w:r w:rsidRPr="0052037B">
          <w:rPr>
            <w:rStyle w:val="Hyperlink"/>
            <w:rFonts w:asciiTheme="minorHAnsi" w:hAnsiTheme="minorHAnsi"/>
            <w:color w:val="000000" w:themeColor="text1"/>
            <w:u w:val="none"/>
          </w:rPr>
          <w:t>Research identifies predictive link between cancer outcomes and Medicare claims.</w:t>
        </w:r>
      </w:hyperlink>
      <w:r w:rsidRPr="0052037B">
        <w:rPr>
          <w:rFonts w:asciiTheme="minorHAnsi" w:hAnsiTheme="minorHAnsi"/>
          <w:color w:val="000000" w:themeColor="text1"/>
        </w:rPr>
        <w:t xml:space="preserve"> </w:t>
      </w:r>
      <w:r w:rsidRPr="005B655E">
        <w:rPr>
          <w:rFonts w:asciiTheme="minorHAnsi" w:hAnsiTheme="minorHAnsi"/>
        </w:rPr>
        <w:t xml:space="preserve">October 12, 2015. </w:t>
      </w:r>
    </w:p>
    <w:p w14:paraId="0D410AFC" w14:textId="77777777" w:rsidR="00155855" w:rsidRPr="005B655E" w:rsidRDefault="00155855" w:rsidP="00155855">
      <w:pPr>
        <w:pStyle w:val="EndnoteText"/>
        <w:rPr>
          <w:rFonts w:asciiTheme="minorHAnsi" w:hAnsiTheme="minorHAnsi"/>
        </w:rPr>
      </w:pPr>
      <w:hyperlink r:id="rId48" w:history="1">
        <w:r w:rsidRPr="005B655E">
          <w:rPr>
            <w:rStyle w:val="Hyperlink"/>
            <w:rFonts w:asciiTheme="minorHAnsi" w:hAnsiTheme="minorHAnsi"/>
          </w:rPr>
          <w:t>https://www.beckershospitalreview.com/quality/research-identifies-predictive-link-between-cancer-outcomes-and-medicare-claims.html</w:t>
        </w:r>
      </w:hyperlink>
      <w:r w:rsidRPr="005B655E">
        <w:rPr>
          <w:rFonts w:asciiTheme="minorHAnsi" w:hAnsiTheme="minorHAnsi"/>
        </w:rPr>
        <w:t xml:space="preserve"> </w:t>
      </w:r>
    </w:p>
  </w:endnote>
  <w:endnote w:id="42">
    <w:p w14:paraId="3AB453BA" w14:textId="0B2D5232" w:rsidR="007C598E" w:rsidRDefault="007C598E">
      <w:pPr>
        <w:pStyle w:val="EndnoteText"/>
      </w:pPr>
      <w:r>
        <w:rPr>
          <w:rStyle w:val="EndnoteReference"/>
        </w:rPr>
        <w:endnoteRef/>
      </w:r>
      <w:r>
        <w:t xml:space="preserve"> </w:t>
      </w:r>
      <w:r w:rsidRPr="007C598E">
        <w:t>Merkow RP, Yang AD, Pavey E, Song MW, Chung JW, Bentrem DJ, Bilimoria KY. Comparison of Hospitals Affiliated With PPS-Exempt Cancer Centers, Other Hospitals Affiliated With NCI-Designated Cancer Centers, and Other Hospitals That Provide Cancer Care. JAMA Intern Med. 2019 Aug 1;179(8):1043-1051. doi: 10.1001/jamainternmed.2019.0914. PMID: 31206142; PMCID: PMC6580440.</w:t>
      </w:r>
    </w:p>
  </w:endnote>
  <w:endnote w:id="43">
    <w:p w14:paraId="759DDEE5" w14:textId="21C7E70A" w:rsidR="00F110A0" w:rsidRPr="005B655E" w:rsidRDefault="00F110A0" w:rsidP="00F110A0">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49" w:history="1">
        <w:r w:rsidRPr="00C73089">
          <w:rPr>
            <w:rStyle w:val="Hyperlink"/>
            <w:rFonts w:asciiTheme="minorHAnsi" w:hAnsiTheme="minorHAnsi"/>
            <w:color w:val="000000" w:themeColor="text1"/>
            <w:u w:val="none"/>
          </w:rPr>
          <w:t>The Joint Commission. Requirement, Rationale, Reference</w:t>
        </w:r>
      </w:hyperlink>
      <w:r w:rsidRPr="00C73089">
        <w:rPr>
          <w:rFonts w:asciiTheme="minorHAnsi" w:hAnsiTheme="minorHAnsi"/>
          <w:color w:val="000000" w:themeColor="text1"/>
        </w:rPr>
        <w:t xml:space="preserve">. Issue </w:t>
      </w:r>
      <w:r w:rsidRPr="005B655E">
        <w:rPr>
          <w:rFonts w:asciiTheme="minorHAnsi" w:hAnsiTheme="minorHAnsi"/>
        </w:rPr>
        <w:t xml:space="preserve">38. December 20, 2022. </w:t>
      </w:r>
      <w:hyperlink r:id="rId50" w:history="1">
        <w:r w:rsidRPr="005B655E">
          <w:rPr>
            <w:rStyle w:val="Hyperlink"/>
            <w:rFonts w:asciiTheme="minorHAnsi" w:hAnsiTheme="minorHAnsi"/>
          </w:rPr>
          <w:t>https://www.jointcommission.org/-/media/tjc/documents/standards/r3-reports/r3_npsg-16.pdf</w:t>
        </w:r>
      </w:hyperlink>
      <w:r w:rsidRPr="005B655E">
        <w:rPr>
          <w:rFonts w:asciiTheme="minorHAnsi" w:hAnsiTheme="minorHAnsi"/>
        </w:rPr>
        <w:t xml:space="preserve"> </w:t>
      </w:r>
    </w:p>
  </w:endnote>
  <w:endnote w:id="44">
    <w:p w14:paraId="3DBE6C5D" w14:textId="77777777" w:rsidR="004114EE" w:rsidRPr="005B655E" w:rsidRDefault="00E93836" w:rsidP="004114EE">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r w:rsidR="004114EE" w:rsidRPr="005B655E">
        <w:rPr>
          <w:rFonts w:asciiTheme="minorHAnsi" w:hAnsiTheme="minorHAnsi"/>
        </w:rPr>
        <w:t>Leah S. Stockman et al., The Colocation Model in Community Cancer Care: A Description of Patient Clinical and Demographic Attributes and Referral Pathways. JCO Oncol Pract 19, e916-e926(2023).</w:t>
      </w:r>
    </w:p>
    <w:p w14:paraId="61EE9508" w14:textId="4D4FF3DE" w:rsidR="00E93836" w:rsidRPr="005B655E" w:rsidRDefault="004114EE" w:rsidP="004114EE">
      <w:pPr>
        <w:pStyle w:val="EndnoteText"/>
        <w:rPr>
          <w:rFonts w:asciiTheme="minorHAnsi" w:hAnsiTheme="minorHAnsi"/>
        </w:rPr>
      </w:pPr>
      <w:r w:rsidRPr="005B655E">
        <w:rPr>
          <w:rFonts w:asciiTheme="minorHAnsi" w:hAnsiTheme="minorHAnsi"/>
        </w:rPr>
        <w:t>DOI:10.1200/OP.22.00487</w:t>
      </w:r>
    </w:p>
  </w:endnote>
  <w:endnote w:id="45">
    <w:p w14:paraId="6FA79215" w14:textId="3D0528A7" w:rsidR="002850EA" w:rsidRPr="005B655E" w:rsidRDefault="002850EA">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r w:rsidR="00A675D4" w:rsidRPr="005B655E">
        <w:rPr>
          <w:rFonts w:asciiTheme="minorHAnsi" w:hAnsiTheme="minorHAnsi"/>
        </w:rPr>
        <w:t xml:space="preserve">WBZ News. </w:t>
      </w:r>
      <w:hyperlink r:id="rId51" w:history="1">
        <w:r w:rsidR="00A675D4" w:rsidRPr="00C73089">
          <w:rPr>
            <w:rStyle w:val="Hyperlink"/>
            <w:rFonts w:asciiTheme="minorHAnsi" w:hAnsiTheme="minorHAnsi"/>
            <w:color w:val="000000" w:themeColor="text1"/>
            <w:u w:val="none"/>
          </w:rPr>
          <w:t>Dana-Farber doctor designs program to address disparities in cancer care.</w:t>
        </w:r>
      </w:hyperlink>
      <w:r w:rsidR="00A675D4" w:rsidRPr="00C73089">
        <w:rPr>
          <w:rFonts w:asciiTheme="minorHAnsi" w:hAnsiTheme="minorHAnsi"/>
          <w:color w:val="000000" w:themeColor="text1"/>
        </w:rPr>
        <w:t xml:space="preserve"> October </w:t>
      </w:r>
      <w:r w:rsidR="00A675D4" w:rsidRPr="005B655E">
        <w:rPr>
          <w:rFonts w:asciiTheme="minorHAnsi" w:hAnsiTheme="minorHAnsi"/>
        </w:rPr>
        <w:t xml:space="preserve">12, 2023. </w:t>
      </w:r>
      <w:hyperlink r:id="rId52" w:history="1">
        <w:r w:rsidR="00A675D4" w:rsidRPr="005B655E">
          <w:rPr>
            <w:rStyle w:val="Hyperlink"/>
            <w:rFonts w:asciiTheme="minorHAnsi" w:hAnsiTheme="minorHAnsi"/>
          </w:rPr>
          <w:t>https://www.cbsnews.com/boston/news/dana-farber-dr-christopher-lathan-cancer-care-equity-program/</w:t>
        </w:r>
      </w:hyperlink>
      <w:r w:rsidR="00A675D4" w:rsidRPr="005B655E">
        <w:rPr>
          <w:rFonts w:asciiTheme="minorHAnsi" w:hAnsiTheme="minorHAnsi"/>
        </w:rPr>
        <w:t xml:space="preserve"> </w:t>
      </w:r>
    </w:p>
  </w:endnote>
  <w:endnote w:id="46">
    <w:p w14:paraId="32E77BC1" w14:textId="77777777" w:rsidR="001D2ADA" w:rsidRPr="005B655E" w:rsidRDefault="001D2ADA" w:rsidP="001D2ADA">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Leah S. Stockman et al., The Colocation Model in Community Cancer Care: A Description of Patient Clinical and Demographic Attributes and Referral Pathways. JCO Oncol Pract 19, e916-e926(2023).</w:t>
      </w:r>
    </w:p>
    <w:p w14:paraId="758356FA" w14:textId="77777777" w:rsidR="001D2ADA" w:rsidRPr="005B655E" w:rsidRDefault="001D2ADA" w:rsidP="001D2ADA">
      <w:pPr>
        <w:pStyle w:val="EndnoteText"/>
        <w:rPr>
          <w:rFonts w:asciiTheme="minorHAnsi" w:hAnsiTheme="minorHAnsi"/>
        </w:rPr>
      </w:pPr>
      <w:r w:rsidRPr="005B655E">
        <w:rPr>
          <w:rFonts w:asciiTheme="minorHAnsi" w:hAnsiTheme="minorHAnsi"/>
        </w:rPr>
        <w:t>DOI:10.1200/OP.22.00487</w:t>
      </w:r>
    </w:p>
  </w:endnote>
  <w:endnote w:id="47">
    <w:p w14:paraId="3ECB3845" w14:textId="77777777" w:rsidR="00E86437" w:rsidRDefault="00E86437" w:rsidP="00E86437">
      <w:pPr>
        <w:pStyle w:val="EndnoteText"/>
      </w:pPr>
      <w:r>
        <w:rPr>
          <w:rStyle w:val="EndnoteReference"/>
        </w:rPr>
        <w:endnoteRef/>
      </w:r>
      <w:r>
        <w:t xml:space="preserve"> </w:t>
      </w:r>
      <w:r w:rsidRPr="00EF1A4D">
        <w:t>Chan RJ, Milch VE, Crawford-Williams F, Agbejule OA, Joseph R, Johal J, Dick N, Wallen MP, Ratcliffe J, Agarwal A, Nekhlyudov L, Tieu M, Al-Momani M, Turnbull S, Sathiaraj R, Keefe D, Hart NH. Patient navigation across the cancer care continuum: An overview of systematic reviews and emerging literature. CA Cancer J Clin. 2023 Nov-Dec;73(6):565-589. doi: 10.3322/caac.21788. Epub 2023 Jun 26. PMID: 37358040.</w:t>
      </w:r>
    </w:p>
  </w:endnote>
  <w:endnote w:id="48">
    <w:p w14:paraId="4DBCF13E" w14:textId="77777777" w:rsidR="005C6271" w:rsidRDefault="005C6271" w:rsidP="005C6271">
      <w:pPr>
        <w:pStyle w:val="EndnoteText"/>
      </w:pPr>
      <w:r>
        <w:rPr>
          <w:rStyle w:val="EndnoteReference"/>
        </w:rPr>
        <w:endnoteRef/>
      </w:r>
      <w:r>
        <w:t xml:space="preserve"> </w:t>
      </w:r>
      <w:r w:rsidRPr="00EF1A4D">
        <w:t>Chan RJ, Milch VE, Crawford-Williams F, Agbejule OA, Joseph R, Johal J, Dick N, Wallen MP, Ratcliffe J, Agarwal A, Nekhlyudov L, Tieu M, Al-Momani M, Turnbull S, Sathiaraj R, Keefe D, Hart NH. Patient navigation across the cancer care continuum: An overview of systematic reviews and emerging literature. CA Cancer J Clin. 2023 Nov-Dec;73(6):565-589. doi: 10.3322/caac.21788. Epub 2023 Jun 26. PMID: 37358040.</w:t>
      </w:r>
    </w:p>
  </w:endnote>
  <w:endnote w:id="49">
    <w:p w14:paraId="6CF31D29" w14:textId="277AAB56" w:rsidR="00524668" w:rsidRDefault="00524668">
      <w:pPr>
        <w:pStyle w:val="EndnoteText"/>
      </w:pPr>
      <w:r>
        <w:rPr>
          <w:rStyle w:val="EndnoteReference"/>
        </w:rPr>
        <w:endnoteRef/>
      </w:r>
      <w:r>
        <w:t xml:space="preserve"> </w:t>
      </w:r>
      <w:r w:rsidR="00786349" w:rsidRPr="00786349">
        <w:t>Handley NR, Schuchter LM, Bekelman JE. Best Practices for Reducing Unplanned Acute Care for Patients With Cancer. J Oncol Pract. 2018 May;14(5):306-313. doi: 10.1200/JOP.17.00081. Epub 2018 Apr 17. PMID: 29664697; PMCID: PMC6366244.</w:t>
      </w:r>
    </w:p>
  </w:endnote>
  <w:endnote w:id="50">
    <w:p w14:paraId="73FC9D05" w14:textId="491D22CF" w:rsidR="00D228E7" w:rsidRDefault="00D228E7">
      <w:pPr>
        <w:pStyle w:val="EndnoteText"/>
      </w:pPr>
      <w:r>
        <w:rPr>
          <w:rStyle w:val="EndnoteReference"/>
        </w:rPr>
        <w:endnoteRef/>
      </w:r>
      <w:r>
        <w:t xml:space="preserve"> </w:t>
      </w:r>
      <w:r w:rsidR="00BE4651" w:rsidRPr="00BE4651">
        <w:t>Charlot M, Stein JN, Damone E, Wood I, Forster M, Baker S, Emerson M, Samuel-Ryals C, Yongue C, Eng E, Manning M, Deal A, Cykert S. Effect of an Antiracism Intervention on Racial Disparities in Time to Lung Cancer Surgery. J Clin Oncol. 2022 Jun 1;40(16):1755-1762. doi: 10.1200/JCO.21.01745. Epub 2022 Feb 14. PMID: 35157498; PMCID: PMC9148687.</w:t>
      </w:r>
    </w:p>
  </w:endnote>
  <w:endnote w:id="51">
    <w:p w14:paraId="2C15DF98" w14:textId="211845ED" w:rsidR="00470BCD" w:rsidRDefault="00470BCD">
      <w:pPr>
        <w:pStyle w:val="EndnoteText"/>
      </w:pPr>
      <w:r>
        <w:rPr>
          <w:rStyle w:val="EndnoteReference"/>
        </w:rPr>
        <w:endnoteRef/>
      </w:r>
      <w:r>
        <w:t xml:space="preserve"> </w:t>
      </w:r>
      <w:r w:rsidR="00B36B17" w:rsidRPr="00B36B17">
        <w:t>Vidal L, Dlamini Z, Qian S, Rishi P, Karmo M, Joglekar N, Abedin S, Previs RA, Orbegoso C, Joshi C, Azim HA, Karkaria H, Harris M, Mehrotra R, Berraondo M, Werutsky G, Gupta S, Niikura N, Chico I, Saini KS. Equitable inclusion of diverse populations in oncology clinical trials: deterrents and drivers. ESMO Open. 2024 May;9(5):103373. doi: 10.1016/j.esmoop.2024.103373. Epub 2024 May 7. PMID: 38718705; PMCID: PMC11090874.</w:t>
      </w:r>
    </w:p>
  </w:endnote>
  <w:endnote w:id="52">
    <w:p w14:paraId="6578D1AA" w14:textId="7DF5389F" w:rsidR="00B36B17" w:rsidRDefault="00B36B17">
      <w:pPr>
        <w:pStyle w:val="EndnoteText"/>
      </w:pPr>
      <w:r>
        <w:rPr>
          <w:rStyle w:val="EndnoteReference"/>
        </w:rPr>
        <w:endnoteRef/>
      </w:r>
      <w:r>
        <w:t xml:space="preserve"> </w:t>
      </w:r>
      <w:r w:rsidR="00D40517" w:rsidRPr="00D40517">
        <w:t>Turner BE, Steinberg JR, Weeks BT, Rodriguez F, Cullen MR. Race/ethnicity reporting and representation in US clinical trials: a cohort study. Lancet Reg Health Am. 2022 Jul;11:100252. doi: 10.1016/j.lana.2022.100252. Epub 2022 Apr 10. PMID: 35875251; PMCID: PMC9302767.</w:t>
      </w:r>
    </w:p>
  </w:endnote>
  <w:endnote w:id="53">
    <w:p w14:paraId="65A19ECC" w14:textId="27CDACCB" w:rsidR="00FF54C7" w:rsidRDefault="00FF54C7" w:rsidP="00FF54C7">
      <w:pPr>
        <w:pStyle w:val="EndnoteText"/>
      </w:pPr>
      <w:r>
        <w:rPr>
          <w:rStyle w:val="EndnoteReference"/>
        </w:rPr>
        <w:endnoteRef/>
      </w:r>
      <w:r>
        <w:t xml:space="preserve"> </w:t>
      </w:r>
      <w:hyperlink r:id="rId53" w:history="1">
        <w:r w:rsidRPr="00452A38">
          <w:rPr>
            <w:rStyle w:val="Hyperlink"/>
            <w:color w:val="000000" w:themeColor="text1"/>
            <w:u w:val="none"/>
          </w:rPr>
          <w:t>Community Engagement Standards for Community Health Planning Guideline.</w:t>
        </w:r>
      </w:hyperlink>
      <w:r w:rsidRPr="00452A38">
        <w:rPr>
          <w:color w:val="000000" w:themeColor="text1"/>
        </w:rPr>
        <w:t xml:space="preserve"> </w:t>
      </w:r>
      <w:hyperlink r:id="rId54" w:history="1">
        <w:r w:rsidRPr="0030685A">
          <w:rPr>
            <w:rStyle w:val="Hyperlink"/>
          </w:rPr>
          <w:t>https://www.mass.gov/doc/communityengagement-guidelines-for-community-health-planning-pdf/download</w:t>
        </w:r>
      </w:hyperlink>
      <w:r>
        <w:t xml:space="preserve"> </w:t>
      </w:r>
    </w:p>
  </w:endnote>
  <w:endnote w:id="54">
    <w:p w14:paraId="49956562" w14:textId="46BCD63D" w:rsidR="00FF54C7" w:rsidRDefault="00FF54C7">
      <w:pPr>
        <w:pStyle w:val="EndnoteText"/>
      </w:pPr>
      <w:r>
        <w:rPr>
          <w:rStyle w:val="EndnoteReference"/>
        </w:rPr>
        <w:endnoteRef/>
      </w:r>
      <w:r>
        <w:t xml:space="preserve"> </w:t>
      </w:r>
      <w:hyperlink r:id="rId55" w:history="1">
        <w:r w:rsidR="00E96501" w:rsidRPr="00452A38">
          <w:rPr>
            <w:rStyle w:val="Hyperlink"/>
            <w:color w:val="000000" w:themeColor="text1"/>
            <w:u w:val="none"/>
          </w:rPr>
          <w:t>DoN Regulation 100.210 (A)(1)(e).</w:t>
        </w:r>
      </w:hyperlink>
      <w:r w:rsidR="00E96501" w:rsidRPr="00452A38">
        <w:rPr>
          <w:color w:val="000000" w:themeColor="text1"/>
        </w:rPr>
        <w:t xml:space="preserve"> </w:t>
      </w:r>
      <w:r w:rsidR="00E96501" w:rsidRPr="00E96501">
        <w:t xml:space="preserve">at </w:t>
      </w:r>
      <w:hyperlink r:id="rId56" w:history="1">
        <w:r w:rsidR="00E96501" w:rsidRPr="0030685A">
          <w:rPr>
            <w:rStyle w:val="Hyperlink"/>
          </w:rPr>
          <w:t>https://www.mass.gov/files/documents/2018/12/31/jud-lib-105cmr100.pdf</w:t>
        </w:r>
      </w:hyperlink>
      <w:r w:rsidR="00E96501">
        <w:t xml:space="preserve"> </w:t>
      </w:r>
    </w:p>
  </w:endnote>
  <w:endnote w:id="55">
    <w:p w14:paraId="305584E3" w14:textId="571C0F9A" w:rsidR="00505C9D" w:rsidRDefault="00505C9D">
      <w:pPr>
        <w:pStyle w:val="EndnoteText"/>
      </w:pPr>
      <w:r>
        <w:rPr>
          <w:rStyle w:val="EndnoteReference"/>
        </w:rPr>
        <w:endnoteRef/>
      </w:r>
      <w:r>
        <w:t xml:space="preserve"> </w:t>
      </w:r>
      <w:hyperlink r:id="rId57" w:history="1">
        <w:r w:rsidRPr="00B43B3F">
          <w:rPr>
            <w:rStyle w:val="Hyperlink"/>
            <w:color w:val="000000" w:themeColor="text1"/>
            <w:u w:val="none"/>
          </w:rPr>
          <w:t>Center for Health Information and Analysis (CHIA). Relative Price and Provider Price Variation.</w:t>
        </w:r>
      </w:hyperlink>
      <w:r w:rsidRPr="00B43B3F">
        <w:rPr>
          <w:color w:val="000000" w:themeColor="text1"/>
        </w:rPr>
        <w:t xml:space="preserve"> </w:t>
      </w:r>
      <w:r w:rsidR="00FA00EC" w:rsidRPr="00B43B3F">
        <w:rPr>
          <w:color w:val="000000" w:themeColor="text1"/>
        </w:rPr>
        <w:t>CY202</w:t>
      </w:r>
      <w:r w:rsidR="00E84E05" w:rsidRPr="00B43B3F">
        <w:rPr>
          <w:color w:val="000000" w:themeColor="text1"/>
        </w:rPr>
        <w:t>2</w:t>
      </w:r>
      <w:r w:rsidR="00FA00EC" w:rsidRPr="00B43B3F">
        <w:rPr>
          <w:color w:val="000000" w:themeColor="text1"/>
        </w:rPr>
        <w:t xml:space="preserve"> </w:t>
      </w:r>
      <w:r w:rsidR="00FA00EC">
        <w:t xml:space="preserve">Databook. </w:t>
      </w:r>
    </w:p>
    <w:p w14:paraId="21A0737A" w14:textId="2F3ACF89" w:rsidR="00FA00EC" w:rsidRDefault="00FA00EC">
      <w:pPr>
        <w:pStyle w:val="EndnoteText"/>
      </w:pPr>
      <w:hyperlink r:id="rId58" w:history="1">
        <w:r w:rsidRPr="00D12DF0">
          <w:rPr>
            <w:rStyle w:val="Hyperlink"/>
          </w:rPr>
          <w:t>https://www.chiamass.gov/relative-price-and-provider-price-variation/</w:t>
        </w:r>
      </w:hyperlink>
      <w:r>
        <w:t xml:space="preserve"> </w:t>
      </w:r>
    </w:p>
  </w:endnote>
  <w:endnote w:id="56">
    <w:p w14:paraId="5DC19935" w14:textId="51A460B8" w:rsidR="00545D71" w:rsidRPr="005B655E" w:rsidRDefault="00545D71">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59" w:history="1">
        <w:r w:rsidR="005C26EA" w:rsidRPr="00B43B3F">
          <w:rPr>
            <w:rStyle w:val="Hyperlink"/>
            <w:rFonts w:asciiTheme="minorHAnsi" w:hAnsiTheme="minorHAnsi"/>
            <w:color w:val="000000" w:themeColor="text1"/>
            <w:u w:val="none"/>
          </w:rPr>
          <w:t xml:space="preserve">Massachusetts </w:t>
        </w:r>
        <w:r w:rsidRPr="00B43B3F">
          <w:rPr>
            <w:rStyle w:val="Hyperlink"/>
            <w:rFonts w:asciiTheme="minorHAnsi" w:hAnsiTheme="minorHAnsi"/>
            <w:color w:val="000000" w:themeColor="text1"/>
            <w:u w:val="none"/>
          </w:rPr>
          <w:t>Health Policy Commission</w:t>
        </w:r>
        <w:r w:rsidR="005C26EA" w:rsidRPr="00B43B3F">
          <w:rPr>
            <w:rStyle w:val="Hyperlink"/>
            <w:rFonts w:asciiTheme="minorHAnsi" w:hAnsiTheme="minorHAnsi"/>
            <w:color w:val="000000" w:themeColor="text1"/>
            <w:u w:val="none"/>
          </w:rPr>
          <w:t>.</w:t>
        </w:r>
        <w:r w:rsidRPr="00B43B3F">
          <w:rPr>
            <w:rStyle w:val="Hyperlink"/>
            <w:rFonts w:asciiTheme="minorHAnsi" w:hAnsiTheme="minorHAnsi"/>
            <w:color w:val="000000" w:themeColor="text1"/>
            <w:u w:val="none"/>
          </w:rPr>
          <w:t xml:space="preserve"> </w:t>
        </w:r>
        <w:r w:rsidR="002563C8" w:rsidRPr="00B43B3F">
          <w:rPr>
            <w:rStyle w:val="Hyperlink"/>
            <w:rFonts w:asciiTheme="minorHAnsi" w:hAnsiTheme="minorHAnsi"/>
            <w:color w:val="000000" w:themeColor="text1"/>
            <w:u w:val="none"/>
          </w:rPr>
          <w:t>Annual Health Care Cost Trends Report</w:t>
        </w:r>
      </w:hyperlink>
      <w:r w:rsidR="002563C8" w:rsidRPr="00B43B3F">
        <w:rPr>
          <w:rFonts w:asciiTheme="minorHAnsi" w:hAnsiTheme="minorHAnsi"/>
          <w:color w:val="000000" w:themeColor="text1"/>
        </w:rPr>
        <w:t xml:space="preserve"> and </w:t>
      </w:r>
      <w:r w:rsidR="002563C8" w:rsidRPr="005B655E">
        <w:rPr>
          <w:rFonts w:asciiTheme="minorHAnsi" w:hAnsiTheme="minorHAnsi"/>
        </w:rPr>
        <w:t xml:space="preserve">Policy Recommendations, </w:t>
      </w:r>
      <w:r w:rsidR="002563C8" w:rsidRPr="005B655E">
        <w:rPr>
          <w:rFonts w:asciiTheme="minorHAnsi" w:hAnsiTheme="minorHAnsi"/>
        </w:rPr>
        <w:t>Chartpack. September 2023.</w:t>
      </w:r>
      <w:r w:rsidRPr="005B655E">
        <w:rPr>
          <w:rFonts w:asciiTheme="minorHAnsi" w:hAnsiTheme="minorHAnsi"/>
        </w:rPr>
        <w:t xml:space="preserve"> </w:t>
      </w:r>
      <w:hyperlink r:id="rId60" w:history="1">
        <w:r w:rsidRPr="005B655E">
          <w:rPr>
            <w:rStyle w:val="Hyperlink"/>
            <w:rFonts w:asciiTheme="minorHAnsi" w:hAnsiTheme="minorHAnsi"/>
          </w:rPr>
          <w:t>https://www.mass.gov/doc/2023-health-care-cost-trends-report-chartpack/download</w:t>
        </w:r>
      </w:hyperlink>
    </w:p>
  </w:endnote>
  <w:endnote w:id="57">
    <w:p w14:paraId="49AA9009" w14:textId="387C3F87" w:rsidR="007F346A" w:rsidRPr="005B655E" w:rsidRDefault="007F346A" w:rsidP="007F346A">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CMS.gov.</w:t>
      </w:r>
      <w:r w:rsidRPr="00B43B3F">
        <w:rPr>
          <w:rFonts w:asciiTheme="minorHAnsi" w:hAnsiTheme="minorHAnsi"/>
          <w:color w:val="000000" w:themeColor="text1"/>
        </w:rPr>
        <w:t xml:space="preserve"> </w:t>
      </w:r>
      <w:hyperlink r:id="rId61" w:history="1">
        <w:r w:rsidRPr="00B43B3F">
          <w:rPr>
            <w:rStyle w:val="Hyperlink"/>
            <w:rFonts w:asciiTheme="minorHAnsi" w:hAnsiTheme="minorHAnsi"/>
            <w:color w:val="000000" w:themeColor="text1"/>
            <w:u w:val="none"/>
          </w:rPr>
          <w:t>PPS-Exempt Cancer Hospitals (PCHs).</w:t>
        </w:r>
      </w:hyperlink>
      <w:r w:rsidRPr="005B655E">
        <w:rPr>
          <w:rFonts w:asciiTheme="minorHAnsi" w:hAnsiTheme="minorHAnsi"/>
        </w:rPr>
        <w:t xml:space="preserve"> </w:t>
      </w:r>
      <w:hyperlink r:id="rId62" w:history="1">
        <w:r w:rsidRPr="005B655E">
          <w:rPr>
            <w:rStyle w:val="Hyperlink"/>
            <w:rFonts w:asciiTheme="minorHAnsi" w:hAnsiTheme="minorHAnsi"/>
          </w:rPr>
          <w:t>https://www.cms.gov/medicare/payment/prospective-payment-systems/acute-inpatient-pps/pps-exempt-cancer-hospitals-pchs</w:t>
        </w:r>
      </w:hyperlink>
      <w:r w:rsidRPr="005B655E">
        <w:rPr>
          <w:rFonts w:asciiTheme="minorHAnsi" w:hAnsiTheme="minorHAnsi"/>
        </w:rPr>
        <w:t xml:space="preserve"> </w:t>
      </w:r>
    </w:p>
  </w:endnote>
  <w:endnote w:id="58">
    <w:p w14:paraId="5FDFD52D" w14:textId="6CA82A32" w:rsidR="00552AD0" w:rsidRDefault="00552AD0">
      <w:pPr>
        <w:pStyle w:val="EndnoteText"/>
      </w:pPr>
      <w:r>
        <w:rPr>
          <w:rStyle w:val="EndnoteReference"/>
        </w:rPr>
        <w:endnoteRef/>
      </w:r>
      <w:r>
        <w:t xml:space="preserve"> </w:t>
      </w:r>
      <w:r w:rsidRPr="00552AD0">
        <w:t>Brooks GA, Li L, Uno H, Hassett MJ, Landon BE, Schrag D. Acute hospital care is the chief driver of regional spending variation in Medicare patients with advanced cancer. Health Aff (Millwood). 2014 Oct;33(10):1793-800. doi: 10.1377/hlthaff.2014.0280. PMID: 25288424; PMCID: PMC4203442.</w:t>
      </w:r>
    </w:p>
  </w:endnote>
  <w:endnote w:id="59">
    <w:p w14:paraId="710B2E0E" w14:textId="5CAD0898" w:rsidR="00954EC2" w:rsidRPr="005B655E" w:rsidRDefault="00954EC2">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r w:rsidR="002E5469" w:rsidRPr="005B655E">
        <w:rPr>
          <w:rFonts w:asciiTheme="minorHAnsi" w:hAnsiTheme="minorHAnsi"/>
        </w:rPr>
        <w:t>Blumen H, Fitch K, Polkus V. Comparison of Treatment Costs for Breast Cancer, by Tumor Stage and Type of Service. Am Health Drug Benefits. 2016 Feb;9(1):23-32. PMID: 27066193; PMCID: PMC4822976.</w:t>
      </w:r>
    </w:p>
  </w:endnote>
  <w:endnote w:id="60">
    <w:p w14:paraId="30373CF7" w14:textId="61870101" w:rsidR="00596DDE" w:rsidRDefault="00596DDE">
      <w:pPr>
        <w:pStyle w:val="EndnoteText"/>
      </w:pPr>
      <w:r>
        <w:rPr>
          <w:rStyle w:val="EndnoteReference"/>
        </w:rPr>
        <w:endnoteRef/>
      </w:r>
      <w:r>
        <w:t xml:space="preserve"> </w:t>
      </w:r>
      <w:r w:rsidR="00E62269" w:rsidRPr="00E62269">
        <w:t>EOHHS Hospital Quality and Equity Incentive Program (HQEIP) Performance Year 1 (PY1) Deliverable: Stratified Reporting of Quality Data</w:t>
      </w:r>
      <w:r w:rsidR="00E62269">
        <w:t xml:space="preserve">. December 2023. </w:t>
      </w:r>
    </w:p>
  </w:endnote>
  <w:endnote w:id="61">
    <w:p w14:paraId="374F9ED4" w14:textId="08391BFC" w:rsidR="00B96832" w:rsidRPr="005B655E" w:rsidRDefault="00B96832" w:rsidP="00DD0091">
      <w:pPr>
        <w:pStyle w:val="EndnoteText"/>
        <w:rPr>
          <w:rFonts w:asciiTheme="minorHAnsi" w:hAnsiTheme="minorHAnsi"/>
          <w:i/>
          <w:iCs/>
        </w:rPr>
      </w:pPr>
      <w:r w:rsidRPr="005B655E">
        <w:rPr>
          <w:rStyle w:val="EndnoteReference"/>
          <w:rFonts w:asciiTheme="minorHAnsi" w:hAnsiTheme="minorHAnsi"/>
        </w:rPr>
        <w:endnoteRef/>
      </w:r>
      <w:r w:rsidRPr="005B655E">
        <w:rPr>
          <w:rFonts w:asciiTheme="minorHAnsi" w:hAnsiTheme="minorHAnsi"/>
        </w:rPr>
        <w:t xml:space="preserve"> </w:t>
      </w:r>
      <w:hyperlink r:id="rId63" w:history="1">
        <w:r w:rsidRPr="00AD4B5E">
          <w:rPr>
            <w:rStyle w:val="Hyperlink"/>
            <w:rFonts w:asciiTheme="minorHAnsi" w:hAnsiTheme="minorHAnsi"/>
            <w:color w:val="000000" w:themeColor="text1"/>
            <w:u w:val="none"/>
          </w:rPr>
          <w:t>American Cancer Society. CT Scan for Cancer.</w:t>
        </w:r>
      </w:hyperlink>
      <w:r w:rsidRPr="005B655E">
        <w:rPr>
          <w:rFonts w:asciiTheme="minorHAnsi" w:hAnsiTheme="minorHAnsi"/>
        </w:rPr>
        <w:t xml:space="preserve"> </w:t>
      </w:r>
      <w:hyperlink r:id="rId64" w:history="1">
        <w:r w:rsidRPr="005B655E">
          <w:rPr>
            <w:rStyle w:val="Hyperlink"/>
            <w:rFonts w:asciiTheme="minorHAnsi" w:hAnsiTheme="minorHAnsi"/>
          </w:rPr>
          <w:t>https://www.cancer.org/cancer/diagnosis-staging/tests/imaging-tests/ct-scan-for-cancer.html</w:t>
        </w:r>
      </w:hyperlink>
      <w:r w:rsidRPr="005B655E">
        <w:rPr>
          <w:rFonts w:asciiTheme="minorHAnsi" w:hAnsiTheme="minorHAnsi"/>
        </w:rPr>
        <w:t xml:space="preserve"> </w:t>
      </w:r>
    </w:p>
  </w:endnote>
  <w:endnote w:id="62">
    <w:p w14:paraId="6262D0E4" w14:textId="3495D684" w:rsidR="00B96832" w:rsidRPr="005B655E" w:rsidRDefault="00B96832">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Vikki Harmonay, </w:t>
      </w:r>
      <w:hyperlink r:id="rId65" w:history="1">
        <w:r w:rsidRPr="00AD4B5E">
          <w:rPr>
            <w:rStyle w:val="Hyperlink"/>
            <w:rFonts w:asciiTheme="minorHAnsi" w:hAnsiTheme="minorHAnsi"/>
            <w:color w:val="000000" w:themeColor="text1"/>
            <w:u w:val="none"/>
          </w:rPr>
          <w:t>The Difference Between a CT Scanner &amp; CT Stimulator,</w:t>
        </w:r>
      </w:hyperlink>
      <w:r w:rsidRPr="00AD4B5E">
        <w:rPr>
          <w:rFonts w:asciiTheme="minorHAnsi" w:hAnsiTheme="minorHAnsi"/>
          <w:color w:val="000000" w:themeColor="text1"/>
        </w:rPr>
        <w:t xml:space="preserve"> ATLANTIS </w:t>
      </w:r>
      <w:r w:rsidRPr="005B655E">
        <w:rPr>
          <w:rFonts w:asciiTheme="minorHAnsi" w:hAnsiTheme="minorHAnsi"/>
        </w:rPr>
        <w:t xml:space="preserve">WORLDWIDE </w:t>
      </w:r>
      <w:hyperlink r:id="rId66" w:history="1">
        <w:r w:rsidRPr="005B655E">
          <w:rPr>
            <w:rStyle w:val="Hyperlink"/>
            <w:rFonts w:asciiTheme="minorHAnsi" w:hAnsiTheme="minorHAnsi"/>
          </w:rPr>
          <w:t>https://info.atlantisworldwide.com/blog/the-difference-between-a-ct-scanner-ct-simulator</w:t>
        </w:r>
      </w:hyperlink>
    </w:p>
  </w:endnote>
  <w:endnote w:id="63">
    <w:p w14:paraId="086430A2" w14:textId="56DE889D" w:rsidR="00B96832" w:rsidRPr="005B655E" w:rsidRDefault="00B96832" w:rsidP="00DD0091">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67" w:history="1">
        <w:r w:rsidRPr="00A87254">
          <w:rPr>
            <w:rStyle w:val="Hyperlink"/>
            <w:rFonts w:asciiTheme="minorHAnsi" w:hAnsiTheme="minorHAnsi"/>
            <w:color w:val="000000" w:themeColor="text1"/>
            <w:u w:val="none"/>
          </w:rPr>
          <w:t>American Cancer Society. MRI for Cancer.</w:t>
        </w:r>
      </w:hyperlink>
      <w:r w:rsidRPr="005B655E">
        <w:rPr>
          <w:rFonts w:asciiTheme="minorHAnsi" w:hAnsiTheme="minorHAnsi"/>
        </w:rPr>
        <w:t xml:space="preserve"> </w:t>
      </w:r>
      <w:hyperlink r:id="rId68" w:history="1">
        <w:r w:rsidRPr="005B655E">
          <w:rPr>
            <w:rStyle w:val="Hyperlink"/>
            <w:rFonts w:asciiTheme="minorHAnsi" w:hAnsiTheme="minorHAnsi"/>
          </w:rPr>
          <w:t>https://www.cancer.org/cancer/diagnosis-staging/tests/imaging-tests/mri-for-cancer.html</w:t>
        </w:r>
      </w:hyperlink>
    </w:p>
  </w:endnote>
  <w:endnote w:id="64">
    <w:p w14:paraId="5DEA37B2" w14:textId="0E0C89A8" w:rsidR="00B96832" w:rsidRPr="005B655E" w:rsidRDefault="00B96832" w:rsidP="00DD0091">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Griffeth LK. Use of </w:t>
      </w:r>
      <w:r>
        <w:rPr>
          <w:rFonts w:asciiTheme="minorHAnsi" w:hAnsiTheme="minorHAnsi"/>
        </w:rPr>
        <w:t>PET-CT</w:t>
      </w:r>
      <w:r w:rsidRPr="005B655E">
        <w:rPr>
          <w:rFonts w:asciiTheme="minorHAnsi" w:hAnsiTheme="minorHAnsi"/>
        </w:rPr>
        <w:t xml:space="preserve"> scanning in cancer patients: technical and practical considerations. Proc (Bayl Univ Med Cent). 2005 Oct;18(4):321-30. doi: 10.1080/08998280.2005.11928089. PMID: 16252023; PMCID: PMC1255942.</w:t>
      </w:r>
    </w:p>
  </w:endnote>
  <w:endnote w:id="65">
    <w:p w14:paraId="0AA97E38" w14:textId="158E1FE8" w:rsidR="00B96832" w:rsidRPr="005B655E" w:rsidRDefault="00B96832">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69" w:anchor=":~:text=A%20PET%20scan%20measures%20important,the%20inside%20of%20the%20body." w:history="1">
        <w:r w:rsidRPr="00A87254">
          <w:rPr>
            <w:rStyle w:val="Hyperlink"/>
            <w:rFonts w:asciiTheme="minorHAnsi" w:hAnsiTheme="minorHAnsi"/>
            <w:color w:val="000000" w:themeColor="text1"/>
            <w:u w:val="none"/>
          </w:rPr>
          <w:t>RadiologyInfo.org. PET-CT.</w:t>
        </w:r>
      </w:hyperlink>
      <w:r w:rsidRPr="00A87254">
        <w:rPr>
          <w:rFonts w:asciiTheme="minorHAnsi" w:hAnsiTheme="minorHAnsi"/>
          <w:color w:val="000000" w:themeColor="text1"/>
        </w:rPr>
        <w:t xml:space="preserve"> </w:t>
      </w:r>
      <w:hyperlink r:id="rId70" w:anchor=":~:text=A%20PET%20scan%20measures%20important,the%20inside%20of%20the%20body" w:history="1">
        <w:r w:rsidRPr="005B655E">
          <w:rPr>
            <w:rStyle w:val="Hyperlink"/>
            <w:rFonts w:asciiTheme="minorHAnsi" w:hAnsiTheme="minorHAnsi"/>
          </w:rPr>
          <w:t>https://www.radiologyinfo.org/en/info/pet#:~:text=A%20PET%20scan%20measures%20important,the%20inside%20of%20the%20body</w:t>
        </w:r>
      </w:hyperlink>
      <w:r w:rsidRPr="005B655E">
        <w:rPr>
          <w:rFonts w:asciiTheme="minorHAnsi" w:hAnsiTheme="minorHAnsi"/>
        </w:rPr>
        <w:t xml:space="preserve">. </w:t>
      </w:r>
    </w:p>
  </w:endnote>
  <w:endnote w:id="66">
    <w:p w14:paraId="68332C0A" w14:textId="349F3F11" w:rsidR="00B96832" w:rsidRPr="005B655E" w:rsidRDefault="00B96832" w:rsidP="006315F0">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Vikki Harmonay, </w:t>
      </w:r>
      <w:hyperlink r:id="rId71" w:history="1">
        <w:r w:rsidRPr="009B7B11">
          <w:rPr>
            <w:rStyle w:val="Hyperlink"/>
            <w:rFonts w:asciiTheme="minorHAnsi" w:hAnsiTheme="minorHAnsi"/>
            <w:color w:val="000000" w:themeColor="text1"/>
            <w:u w:val="none"/>
          </w:rPr>
          <w:t>The Difference Between a CT Scanner &amp; CT Stimulator</w:t>
        </w:r>
      </w:hyperlink>
      <w:r w:rsidRPr="009B7B11">
        <w:rPr>
          <w:rFonts w:asciiTheme="minorHAnsi" w:hAnsiTheme="minorHAnsi"/>
          <w:color w:val="000000" w:themeColor="text1"/>
        </w:rPr>
        <w:t xml:space="preserve">, Atlantic </w:t>
      </w:r>
      <w:r w:rsidRPr="005B655E">
        <w:rPr>
          <w:rFonts w:asciiTheme="minorHAnsi" w:hAnsiTheme="minorHAnsi"/>
        </w:rPr>
        <w:t xml:space="preserve">Worldwide, </w:t>
      </w:r>
      <w:hyperlink r:id="rId72" w:history="1">
        <w:r w:rsidRPr="005B655E">
          <w:rPr>
            <w:rStyle w:val="Hyperlink"/>
            <w:rFonts w:asciiTheme="minorHAnsi" w:hAnsiTheme="minorHAnsi"/>
          </w:rPr>
          <w:t>https://info.atlantisworldwide.com/blog/the-difference-between-a-ct-scanner-ct-simulator</w:t>
        </w:r>
      </w:hyperlink>
      <w:r w:rsidRPr="005B655E">
        <w:rPr>
          <w:rFonts w:asciiTheme="minorHAnsi" w:hAnsiTheme="minorHAnsi"/>
        </w:rPr>
        <w:t xml:space="preserve"> </w:t>
      </w:r>
    </w:p>
  </w:endnote>
  <w:endnote w:id="67">
    <w:p w14:paraId="16BC3D7D" w14:textId="08751EBB" w:rsidR="00B96832" w:rsidRPr="005B655E" w:rsidRDefault="00B96832">
      <w:pPr>
        <w:pStyle w:val="EndnoteText"/>
        <w:rPr>
          <w:rFonts w:asciiTheme="minorHAnsi" w:hAnsiTheme="minorHAnsi"/>
          <w:b/>
          <w:bCs/>
        </w:rPr>
      </w:pPr>
      <w:r w:rsidRPr="005B655E">
        <w:rPr>
          <w:rStyle w:val="EndnoteReference"/>
          <w:rFonts w:asciiTheme="minorHAnsi" w:hAnsiTheme="minorHAnsi"/>
        </w:rPr>
        <w:endnoteRef/>
      </w:r>
      <w:r w:rsidRPr="005B655E">
        <w:rPr>
          <w:rFonts w:asciiTheme="minorHAnsi" w:hAnsiTheme="minorHAnsi"/>
        </w:rPr>
        <w:t xml:space="preserve"> Amber Diagnostics. </w:t>
      </w:r>
      <w:hyperlink r:id="rId73" w:history="1">
        <w:r w:rsidRPr="009B7B11">
          <w:rPr>
            <w:rStyle w:val="Hyperlink"/>
            <w:rFonts w:asciiTheme="minorHAnsi" w:hAnsiTheme="minorHAnsi"/>
            <w:color w:val="000000" w:themeColor="text1"/>
            <w:u w:val="none"/>
          </w:rPr>
          <w:t>CT Scanner and CT Simulator: What are the differences?</w:t>
        </w:r>
      </w:hyperlink>
      <w:r w:rsidRPr="009B7B11">
        <w:rPr>
          <w:rFonts w:asciiTheme="minorHAnsi" w:hAnsiTheme="minorHAnsi"/>
          <w:b/>
          <w:bCs/>
          <w:color w:val="000000" w:themeColor="text1"/>
        </w:rPr>
        <w:t xml:space="preserve"> </w:t>
      </w:r>
      <w:r w:rsidRPr="009B7B11">
        <w:rPr>
          <w:rFonts w:asciiTheme="minorHAnsi" w:hAnsiTheme="minorHAnsi"/>
          <w:color w:val="000000" w:themeColor="text1"/>
        </w:rPr>
        <w:t xml:space="preserve">July </w:t>
      </w:r>
      <w:r w:rsidRPr="005B655E">
        <w:rPr>
          <w:rFonts w:asciiTheme="minorHAnsi" w:hAnsiTheme="minorHAnsi"/>
        </w:rPr>
        <w:t xml:space="preserve">27, 2021. </w:t>
      </w:r>
      <w:hyperlink r:id="rId74" w:history="1">
        <w:r w:rsidRPr="005B655E">
          <w:rPr>
            <w:rStyle w:val="Hyperlink"/>
            <w:rFonts w:asciiTheme="minorHAnsi" w:hAnsiTheme="minorHAnsi"/>
          </w:rPr>
          <w:t>https://www.amberusa.com/blog/ct-scanner-and-ct-simulator-what-are-the-differences</w:t>
        </w:r>
      </w:hyperlink>
      <w:r w:rsidRPr="005B655E">
        <w:rPr>
          <w:rFonts w:asciiTheme="minorHAnsi" w:hAnsiTheme="minorHAnsi"/>
        </w:rPr>
        <w:t xml:space="preserve"> </w:t>
      </w:r>
    </w:p>
  </w:endnote>
  <w:endnote w:id="68">
    <w:p w14:paraId="600FABA5" w14:textId="44B1179D" w:rsidR="00B96832" w:rsidRPr="005B655E" w:rsidRDefault="00B96832" w:rsidP="007951E6">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w:t>
      </w:r>
      <w:hyperlink r:id="rId75" w:history="1">
        <w:r w:rsidRPr="009B7B11">
          <w:rPr>
            <w:rStyle w:val="Hyperlink"/>
            <w:rFonts w:asciiTheme="minorHAnsi" w:hAnsiTheme="minorHAnsi"/>
            <w:color w:val="000000" w:themeColor="text1"/>
            <w:u w:val="none"/>
          </w:rPr>
          <w:t>UFHealth</w:t>
        </w:r>
      </w:hyperlink>
      <w:r w:rsidRPr="009B7B11">
        <w:rPr>
          <w:rFonts w:asciiTheme="minorHAnsi" w:hAnsiTheme="minorHAnsi"/>
          <w:color w:val="000000" w:themeColor="text1"/>
        </w:rPr>
        <w:t xml:space="preserve">. </w:t>
      </w:r>
      <w:hyperlink r:id="rId76" w:history="1">
        <w:r w:rsidRPr="005B655E">
          <w:rPr>
            <w:rStyle w:val="Hyperlink"/>
            <w:rFonts w:asciiTheme="minorHAnsi" w:hAnsiTheme="minorHAnsi"/>
          </w:rPr>
          <w:t>https://radonc.med.ufl.edu/patient-care/technologies-and-resources/treatment-techniques/</w:t>
        </w:r>
      </w:hyperlink>
      <w:r w:rsidRPr="005B655E">
        <w:rPr>
          <w:rFonts w:asciiTheme="minorHAnsi" w:hAnsiTheme="minorHAnsi"/>
        </w:rPr>
        <w:t xml:space="preserve"> </w:t>
      </w:r>
      <w:r w:rsidRPr="005B655E">
        <w:rPr>
          <w:rFonts w:asciiTheme="minorHAnsi" w:hAnsiTheme="minorHAnsi"/>
          <w:i/>
          <w:iCs/>
        </w:rPr>
        <w:t xml:space="preserve"> </w:t>
      </w:r>
    </w:p>
  </w:endnote>
  <w:endnote w:id="69">
    <w:p w14:paraId="4E6B4E24" w14:textId="0A5C2322" w:rsidR="00B96832" w:rsidRPr="005B655E" w:rsidRDefault="00B96832">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American Cancer Society. </w:t>
      </w:r>
      <w:hyperlink r:id="rId77" w:history="1">
        <w:r w:rsidRPr="009B7B11">
          <w:rPr>
            <w:rStyle w:val="Hyperlink"/>
            <w:rFonts w:asciiTheme="minorHAnsi" w:hAnsiTheme="minorHAnsi"/>
            <w:color w:val="000000" w:themeColor="text1"/>
            <w:u w:val="none"/>
          </w:rPr>
          <w:t>Getting External Beam Radiation Therapy</w:t>
        </w:r>
      </w:hyperlink>
      <w:r w:rsidRPr="005B655E">
        <w:rPr>
          <w:rFonts w:asciiTheme="minorHAnsi" w:hAnsiTheme="minorHAnsi"/>
        </w:rPr>
        <w:t xml:space="preserve">. </w:t>
      </w:r>
      <w:hyperlink r:id="rId78" w:history="1">
        <w:r w:rsidRPr="005B655E">
          <w:rPr>
            <w:rStyle w:val="Hyperlink"/>
            <w:rFonts w:asciiTheme="minorHAnsi" w:hAnsiTheme="minorHAnsi"/>
          </w:rPr>
          <w:t>https://www.cancer.org/cancer/managing-cancer/treatment-types/radiation/external-beam-radiation-therapy.html</w:t>
        </w:r>
      </w:hyperlink>
      <w:r w:rsidRPr="005B655E">
        <w:rPr>
          <w:rFonts w:asciiTheme="minorHAnsi" w:hAnsiTheme="minorHAnsi"/>
        </w:rPr>
        <w:t xml:space="preserve"> </w:t>
      </w:r>
    </w:p>
  </w:endnote>
  <w:endnote w:id="70">
    <w:p w14:paraId="6DDAA02B" w14:textId="4EFA5A55" w:rsidR="00B96832" w:rsidRDefault="00B96832">
      <w:pPr>
        <w:pStyle w:val="EndnoteText"/>
      </w:pPr>
      <w:r w:rsidRPr="005B655E">
        <w:rPr>
          <w:rStyle w:val="EndnoteReference"/>
          <w:rFonts w:asciiTheme="minorHAnsi" w:hAnsiTheme="minorHAnsi"/>
        </w:rPr>
        <w:endnoteRef/>
      </w:r>
      <w:r w:rsidRPr="005B655E">
        <w:rPr>
          <w:rFonts w:asciiTheme="minorHAnsi" w:hAnsiTheme="minorHAnsi"/>
        </w:rPr>
        <w:t xml:space="preserve"> </w:t>
      </w:r>
      <w:hyperlink r:id="rId79" w:history="1">
        <w:r w:rsidRPr="009B7B11">
          <w:rPr>
            <w:rStyle w:val="Hyperlink"/>
            <w:rFonts w:asciiTheme="minorHAnsi" w:hAnsiTheme="minorHAnsi"/>
            <w:color w:val="000000" w:themeColor="text1"/>
            <w:u w:val="none"/>
          </w:rPr>
          <w:t>RadiologyInfo.org. Linear Accelerator</w:t>
        </w:r>
      </w:hyperlink>
      <w:r w:rsidRPr="009B7B11">
        <w:rPr>
          <w:rFonts w:asciiTheme="minorHAnsi" w:hAnsiTheme="minorHAnsi"/>
          <w:color w:val="000000" w:themeColor="text1"/>
        </w:rPr>
        <w:t xml:space="preserve">. </w:t>
      </w:r>
      <w:hyperlink r:id="rId80" w:history="1">
        <w:r w:rsidRPr="005B655E">
          <w:rPr>
            <w:rStyle w:val="Hyperlink"/>
            <w:rFonts w:asciiTheme="minorHAnsi" w:hAnsiTheme="minorHAnsi"/>
          </w:rPr>
          <w:t>https://www.radiologyinfo.org/en/info/linac</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A8AB" w14:textId="77777777" w:rsidR="00E54588" w:rsidRDefault="00E54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6BB5" w14:textId="77777777" w:rsidR="00E54588" w:rsidRDefault="00E545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p w14:paraId="21C06BD5" w14:textId="77777777" w:rsidR="00BC6CAD" w:rsidRDefault="00BC6CAD"/>
  <w:p w14:paraId="68458964" w14:textId="77777777" w:rsidR="00BC6CAD" w:rsidRDefault="00BC6C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AB411" w14:textId="77777777" w:rsidR="009E7A79" w:rsidRDefault="009E7A79">
      <w:r>
        <w:separator/>
      </w:r>
    </w:p>
  </w:footnote>
  <w:footnote w:type="continuationSeparator" w:id="0">
    <w:p w14:paraId="1B53F57A" w14:textId="77777777" w:rsidR="009E7A79" w:rsidRDefault="009E7A79">
      <w:r>
        <w:continuationSeparator/>
      </w:r>
    </w:p>
  </w:footnote>
  <w:footnote w:type="continuationNotice" w:id="1">
    <w:p w14:paraId="4D608E6A" w14:textId="77777777" w:rsidR="009E7A79" w:rsidRDefault="009E7A79"/>
  </w:footnote>
  <w:footnote w:id="2">
    <w:p w14:paraId="7589B5A7" w14:textId="7768B658" w:rsidR="00911F97" w:rsidRPr="00023DB2" w:rsidRDefault="00911F97">
      <w:pPr>
        <w:pStyle w:val="FootnoteText"/>
      </w:pPr>
      <w:r w:rsidRPr="00023DB2">
        <w:rPr>
          <w:rStyle w:val="FootnoteReference"/>
        </w:rPr>
        <w:footnoteRef/>
      </w:r>
      <w:r w:rsidRPr="00023DB2">
        <w:t xml:space="preserve"> </w:t>
      </w:r>
      <w:r w:rsidR="00F97557" w:rsidRPr="00F97557">
        <w:t>There are 72 NCI-Designated Cancer Centers,</w:t>
      </w:r>
      <w:r w:rsidR="00F52FDE">
        <w:t xml:space="preserve"> </w:t>
      </w:r>
      <w:r w:rsidR="00F52FDE" w:rsidRPr="00F52FDE">
        <w:t>57 are Comprehensive Cancer Centers</w:t>
      </w:r>
      <w:r w:rsidR="00F52FDE">
        <w:t xml:space="preserve">. </w:t>
      </w:r>
      <w:r w:rsidR="005F7B8D" w:rsidRPr="00023DB2">
        <w:t>Comprehensive Cancer Centers</w:t>
      </w:r>
      <w:r w:rsidR="00765BE3" w:rsidRPr="00023DB2">
        <w:t xml:space="preserve"> demonstrate reasonable depth and breadth of research activities in each of three major areas: basic laboratory; clinical; and prevention, control and population-based research</w:t>
      </w:r>
      <w:r w:rsidR="005F7B8D" w:rsidRPr="00023DB2">
        <w:t>.</w:t>
      </w:r>
      <w:r w:rsidR="003F5AE0" w:rsidRPr="00023DB2" w:rsidDel="00F52FDE">
        <w:t xml:space="preserve"> </w:t>
      </w:r>
    </w:p>
  </w:footnote>
  <w:footnote w:id="3">
    <w:p w14:paraId="051627C1" w14:textId="77777777" w:rsidR="003C3258" w:rsidRDefault="003C3258" w:rsidP="003C3258">
      <w:pPr>
        <w:pStyle w:val="FootnoteText"/>
      </w:pPr>
      <w:r>
        <w:rPr>
          <w:rStyle w:val="FootnoteReference"/>
        </w:rPr>
        <w:footnoteRef/>
      </w:r>
      <w:r>
        <w:t xml:space="preserve"> The Applicant states that </w:t>
      </w:r>
      <w:r w:rsidRPr="00B666B7">
        <w:t>Dana-Farber does not distinguish between Boston and Chestnut Hill for data tracking purposes</w:t>
      </w:r>
      <w:r>
        <w:t>.</w:t>
      </w:r>
    </w:p>
  </w:footnote>
  <w:footnote w:id="4">
    <w:p w14:paraId="0A5AE4B9" w14:textId="77777777" w:rsidR="00BA7775" w:rsidRPr="00FC5574" w:rsidRDefault="00BA7775" w:rsidP="00BA7775">
      <w:pPr>
        <w:pStyle w:val="FootnoteText"/>
      </w:pPr>
      <w:r w:rsidRPr="00023DB2">
        <w:rPr>
          <w:rStyle w:val="FootnoteReference"/>
        </w:rPr>
        <w:footnoteRef/>
      </w:r>
      <w:r w:rsidRPr="00023DB2">
        <w:t xml:space="preserve"> This includes Dana-Farber Cancer Institute- Chestnut Hill (Medical Oncology), Dana-Farber Cancer Institute – Foxborough (Medical Oncology), The Dana-Farber Cancer Institute at Milford Regional Medical Center (Medical Oncology), Dana-Farber Cancer Institute at South Shore Hospital (Medical Oncology, Radiation Oncology), Dana-Farber Cancer Institute - Merrimack Valley (Medical Oncology), Dana-Farber Cancer Institute at St. Elizabeth’s Medical Center (Medical Oncology), Dana-Farber Cancer Institute at Libbey Park (Radiation Oncology), Dana-Farber Cancer Institute at Whittier Street Health Center (Mammography), and DFCI Mobile Mammography Service (Mammography).</w:t>
      </w:r>
    </w:p>
  </w:footnote>
  <w:footnote w:id="5">
    <w:p w14:paraId="26AF9916" w14:textId="77777777" w:rsidR="00D96683" w:rsidRDefault="00D96683" w:rsidP="00D96683">
      <w:pPr>
        <w:pStyle w:val="FootnoteText"/>
      </w:pPr>
      <w:r>
        <w:rPr>
          <w:rStyle w:val="FootnoteReference"/>
        </w:rPr>
        <w:footnoteRef/>
      </w:r>
      <w:r>
        <w:t xml:space="preserve"> The Applicant states that Dana-Farber provides other services in related areas including, immunotherapy and related services, radiation oncology, imaging/radiology, psycho-oncology, social work, palliative care, genetics and associated counseling, and blood and cell processing/manufacturing. </w:t>
      </w:r>
    </w:p>
  </w:footnote>
  <w:footnote w:id="6">
    <w:p w14:paraId="18E8BF89" w14:textId="45A8B6EC" w:rsidR="00E65AB1" w:rsidRPr="00FC5574" w:rsidRDefault="00E65AB1" w:rsidP="00E65AB1">
      <w:pPr>
        <w:pStyle w:val="FootnoteText"/>
      </w:pPr>
      <w:r w:rsidRPr="00FC5574">
        <w:rPr>
          <w:rStyle w:val="FootnoteReference"/>
        </w:rPr>
        <w:footnoteRef/>
      </w:r>
      <w:r w:rsidRPr="00FC5574">
        <w:t xml:space="preserve"> </w:t>
      </w:r>
      <w:r w:rsidR="006D28C7">
        <w:t>The Applicant states that i</w:t>
      </w:r>
      <w:r w:rsidRPr="00FC5574">
        <w:t xml:space="preserve">t is anticipated that the bridge over Pilgrim Road connecting the </w:t>
      </w:r>
      <w:r w:rsidR="004A3B28">
        <w:t>proposed hospital</w:t>
      </w:r>
      <w:r w:rsidR="004A3B28" w:rsidRPr="00FC5574">
        <w:t xml:space="preserve"> </w:t>
      </w:r>
      <w:r w:rsidRPr="00FC5574">
        <w:t>to BIDMC will be maintained and operated by BIDMC rather than the Applicant and</w:t>
      </w:r>
      <w:r w:rsidR="006D28C7">
        <w:t xml:space="preserve"> as </w:t>
      </w:r>
      <w:r w:rsidR="00166745">
        <w:t>so</w:t>
      </w:r>
      <w:r w:rsidR="006D28C7">
        <w:t xml:space="preserve"> it</w:t>
      </w:r>
      <w:r w:rsidRPr="00FC5574">
        <w:t xml:space="preserve"> is not included in th</w:t>
      </w:r>
      <w:r w:rsidR="006D3BB2">
        <w:t>e</w:t>
      </w:r>
      <w:r w:rsidRPr="00FC5574">
        <w:t xml:space="preserve"> Proposed Project.</w:t>
      </w:r>
    </w:p>
  </w:footnote>
  <w:footnote w:id="7">
    <w:p w14:paraId="7D70861A" w14:textId="77777777" w:rsidR="00953B3A" w:rsidRDefault="00953B3A" w:rsidP="00631778">
      <w:pPr>
        <w:pStyle w:val="FootnoteText"/>
      </w:pPr>
      <w:r>
        <w:rPr>
          <w:rStyle w:val="FootnoteReference"/>
        </w:rPr>
        <w:footnoteRef/>
      </w:r>
      <w:r>
        <w:t xml:space="preserve"> Observed beds are not considered licensed inpatient beds. </w:t>
      </w:r>
    </w:p>
  </w:footnote>
  <w:footnote w:id="8">
    <w:p w14:paraId="43F1E1DC" w14:textId="79D35ADE" w:rsidR="00E54588" w:rsidRPr="003F3F2B" w:rsidRDefault="00E54588">
      <w:pPr>
        <w:pStyle w:val="FootnoteText"/>
        <w:rPr>
          <w:rFonts w:asciiTheme="minorHAnsi" w:hAnsiTheme="minorHAnsi"/>
        </w:rPr>
      </w:pPr>
      <w:r w:rsidRPr="003F3F2B">
        <w:rPr>
          <w:rStyle w:val="FootnoteReference"/>
          <w:rFonts w:asciiTheme="minorHAnsi" w:hAnsiTheme="minorHAnsi"/>
        </w:rPr>
        <w:footnoteRef/>
      </w:r>
      <w:r w:rsidRPr="003F3F2B">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9">
    <w:p w14:paraId="0B0ACE57" w14:textId="6540DC03" w:rsidR="00646669" w:rsidRDefault="00646669">
      <w:pPr>
        <w:pStyle w:val="FootnoteText"/>
      </w:pPr>
      <w:r>
        <w:rPr>
          <w:rStyle w:val="FootnoteReference"/>
        </w:rPr>
        <w:footnoteRef/>
      </w:r>
      <w:r>
        <w:t xml:space="preserve"> </w:t>
      </w:r>
      <w:r w:rsidRPr="00646669">
        <w:t>The Applicant’s fiscal year (FY) runs from October 1 through September 30.</w:t>
      </w:r>
    </w:p>
  </w:footnote>
  <w:footnote w:id="10">
    <w:p w14:paraId="6B6FB460" w14:textId="77777777" w:rsidR="00EA27D2" w:rsidRDefault="00EA27D2" w:rsidP="00EA27D2">
      <w:pPr>
        <w:pStyle w:val="FootnoteText"/>
      </w:pPr>
      <w:r>
        <w:rPr>
          <w:rStyle w:val="FootnoteReference"/>
        </w:rPr>
        <w:footnoteRef/>
      </w:r>
      <w:r>
        <w:t xml:space="preserve"> </w:t>
      </w:r>
      <w:r w:rsidRPr="004A6D37">
        <w:t>Inclusive of all of the Applicant’s inpatients and outpatients at all sites</w:t>
      </w:r>
      <w:r>
        <w:t>.</w:t>
      </w:r>
    </w:p>
  </w:footnote>
  <w:footnote w:id="11">
    <w:p w14:paraId="06CACF4F" w14:textId="7E3DBFC6" w:rsidR="00342910" w:rsidRDefault="00342910">
      <w:pPr>
        <w:pStyle w:val="FootnoteText"/>
      </w:pPr>
      <w:r>
        <w:rPr>
          <w:rStyle w:val="FootnoteReference"/>
        </w:rPr>
        <w:footnoteRef/>
      </w:r>
      <w:r>
        <w:t xml:space="preserve"> </w:t>
      </w:r>
      <w:r w:rsidRPr="00342910">
        <w:t>Data rounded to the nearest 10 to preserve patient anonymity.</w:t>
      </w:r>
    </w:p>
  </w:footnote>
  <w:footnote w:id="12">
    <w:p w14:paraId="27A14EA4" w14:textId="5DDD9EEC" w:rsidR="002C2E24" w:rsidRDefault="002C2E24">
      <w:pPr>
        <w:pStyle w:val="FootnoteText"/>
      </w:pPr>
      <w:r>
        <w:rPr>
          <w:rStyle w:val="FootnoteReference"/>
        </w:rPr>
        <w:footnoteRef/>
      </w:r>
      <w:r>
        <w:t xml:space="preserve"> The category “Other” includes patients whose gender, race, or ethnicity did not fall within the major categories specified in the table. </w:t>
      </w:r>
    </w:p>
  </w:footnote>
  <w:footnote w:id="13">
    <w:p w14:paraId="7DEE6FAA" w14:textId="1E068BDC" w:rsidR="00BB3BAE" w:rsidRPr="00270CC0" w:rsidRDefault="00BB3BAE" w:rsidP="00466C0D">
      <w:pPr>
        <w:pStyle w:val="FootnoteText"/>
      </w:pPr>
      <w:r w:rsidRPr="00270CC0">
        <w:rPr>
          <w:rStyle w:val="FootnoteReference"/>
        </w:rPr>
        <w:footnoteRef/>
      </w:r>
      <w:r w:rsidRPr="00270CC0">
        <w:t xml:space="preserve"> Age categories may sum to more than 100%, as patients age into different categories during a fiscal year. </w:t>
      </w:r>
      <w:r w:rsidR="00B13020">
        <w:t>Data rounded to the nearest</w:t>
      </w:r>
      <w:r w:rsidR="00104CA3">
        <w:t xml:space="preserve"> 10 to </w:t>
      </w:r>
      <w:r w:rsidR="00693BA5">
        <w:t xml:space="preserve">preserve patient anonymity. </w:t>
      </w:r>
    </w:p>
  </w:footnote>
  <w:footnote w:id="14">
    <w:p w14:paraId="3F3ED5F4" w14:textId="77777777" w:rsidR="00791FCC" w:rsidRPr="00270CC0" w:rsidRDefault="00791FCC" w:rsidP="00791FCC">
      <w:pPr>
        <w:pStyle w:val="FootnoteText"/>
      </w:pPr>
      <w:r w:rsidRPr="00270CC0">
        <w:rPr>
          <w:rStyle w:val="FootnoteReference"/>
        </w:rPr>
        <w:footnoteRef/>
      </w:r>
      <w:r w:rsidRPr="00270CC0">
        <w:t xml:space="preserve"> Includes only patients 18 or younger seen in adult clinical departments. Excludes patients seen in pediatrics departments. </w:t>
      </w:r>
    </w:p>
  </w:footnote>
  <w:footnote w:id="15">
    <w:p w14:paraId="68A2BB98" w14:textId="77777777" w:rsidR="00BB3BAE" w:rsidRPr="00270CC0" w:rsidRDefault="00BB3BAE" w:rsidP="00466C0D">
      <w:pPr>
        <w:pStyle w:val="FootnoteText"/>
      </w:pPr>
      <w:r w:rsidRPr="00270CC0">
        <w:rPr>
          <w:rStyle w:val="FootnoteReference"/>
        </w:rPr>
        <w:footnoteRef/>
      </w:r>
      <w:r w:rsidRPr="00270CC0">
        <w:t xml:space="preserve"> Given overlapping geographies, percentages will sum to be over 100%.</w:t>
      </w:r>
    </w:p>
  </w:footnote>
  <w:footnote w:id="16">
    <w:p w14:paraId="46039AC6" w14:textId="415E4307" w:rsidR="00BE54E9" w:rsidRPr="00270CC0" w:rsidRDefault="00BE54E9" w:rsidP="00BE54E9">
      <w:pPr>
        <w:pStyle w:val="FootnoteText"/>
      </w:pPr>
      <w:r w:rsidRPr="00270CC0">
        <w:rPr>
          <w:rStyle w:val="FootnoteReference"/>
        </w:rPr>
        <w:footnoteRef/>
      </w:r>
      <w:r w:rsidRPr="00270CC0">
        <w:t xml:space="preserve"> New England means Connecticut, Maine, New Hampshire, Rhode Island, Vermont, and unless otherwise noted, Massachusetts. </w:t>
      </w:r>
    </w:p>
  </w:footnote>
  <w:footnote w:id="17">
    <w:p w14:paraId="13556EA1" w14:textId="77777777" w:rsidR="00BE54E9" w:rsidRPr="00270CC0" w:rsidRDefault="00BE54E9" w:rsidP="00BE54E9">
      <w:pPr>
        <w:pStyle w:val="FootnoteText"/>
      </w:pPr>
      <w:r w:rsidRPr="00270CC0">
        <w:rPr>
          <w:rStyle w:val="FootnoteReference"/>
        </w:rPr>
        <w:footnoteRef/>
      </w:r>
      <w:r w:rsidRPr="00270CC0">
        <w:t xml:space="preserve"> These patients include those from New England states, excluding Massachusetts.</w:t>
      </w:r>
    </w:p>
  </w:footnote>
  <w:footnote w:id="18">
    <w:p w14:paraId="4F81E204" w14:textId="77777777" w:rsidR="00BE54E9" w:rsidRPr="00CC2F2D" w:rsidRDefault="00BE54E9" w:rsidP="00BE54E9">
      <w:pPr>
        <w:pStyle w:val="FootnoteText"/>
        <w:rPr>
          <w:sz w:val="16"/>
          <w:szCs w:val="16"/>
        </w:rPr>
      </w:pPr>
      <w:r w:rsidRPr="00270CC0">
        <w:rPr>
          <w:rStyle w:val="FootnoteReference"/>
        </w:rPr>
        <w:footnoteRef/>
      </w:r>
      <w:r w:rsidRPr="00270CC0">
        <w:t xml:space="preserve"> These patients include those with a permanent country of residence outside the United States.</w:t>
      </w:r>
      <w:r w:rsidRPr="00CC2F2D">
        <w:rPr>
          <w:sz w:val="16"/>
          <w:szCs w:val="16"/>
        </w:rPr>
        <w:t xml:space="preserve"> </w:t>
      </w:r>
    </w:p>
  </w:footnote>
  <w:footnote w:id="19">
    <w:p w14:paraId="22F80F38" w14:textId="78FB7907" w:rsidR="007E5EB3" w:rsidRDefault="007E5EB3">
      <w:pPr>
        <w:pStyle w:val="FootnoteText"/>
      </w:pPr>
      <w:r>
        <w:rPr>
          <w:rStyle w:val="FootnoteReference"/>
        </w:rPr>
        <w:footnoteRef/>
      </w:r>
      <w:r>
        <w:t xml:space="preserve"> </w:t>
      </w:r>
      <w:r w:rsidRPr="007E5EB3">
        <w:t>International Patient definition from STRATA, based on unique patients with at least one international encounter.</w:t>
      </w:r>
    </w:p>
  </w:footnote>
  <w:footnote w:id="20">
    <w:p w14:paraId="3B58FE2B" w14:textId="653833B4" w:rsidR="00705DEE" w:rsidRDefault="00705DEE">
      <w:pPr>
        <w:pStyle w:val="FootnoteText"/>
      </w:pPr>
      <w:r>
        <w:rPr>
          <w:rStyle w:val="FootnoteReference"/>
        </w:rPr>
        <w:footnoteRef/>
      </w:r>
      <w:r>
        <w:t xml:space="preserve"> </w:t>
      </w:r>
      <w:r w:rsidR="00816CFC">
        <w:t>The Applicant states that the</w:t>
      </w:r>
      <w:r w:rsidRPr="00705DEE">
        <w:t xml:space="preserve"> table represents the data for the Longwood Medical Campus, inclusive of the Applicant’s Chestnut Hill location.</w:t>
      </w:r>
    </w:p>
  </w:footnote>
  <w:footnote w:id="21">
    <w:p w14:paraId="6DF6EF70" w14:textId="40B180E9" w:rsidR="00176E0F" w:rsidRDefault="00176E0F">
      <w:pPr>
        <w:pStyle w:val="FootnoteText"/>
      </w:pPr>
      <w:r>
        <w:rPr>
          <w:rStyle w:val="FootnoteReference"/>
        </w:rPr>
        <w:footnoteRef/>
      </w:r>
      <w:r>
        <w:t xml:space="preserve"> </w:t>
      </w:r>
      <w:r w:rsidRPr="00176E0F">
        <w:t>Includes Health Safety Net, out-of-state Medicaid, other governmental payor, and self-pay patients.</w:t>
      </w:r>
    </w:p>
  </w:footnote>
  <w:footnote w:id="22">
    <w:p w14:paraId="713DB4A6" w14:textId="62BD3116" w:rsidR="006B7FA0" w:rsidRDefault="006B7FA0" w:rsidP="006B7FA0">
      <w:pPr>
        <w:pStyle w:val="FootnoteText"/>
      </w:pPr>
      <w:r>
        <w:rPr>
          <w:rStyle w:val="FootnoteReference"/>
        </w:rPr>
        <w:footnoteRef/>
      </w:r>
      <w:r>
        <w:t xml:space="preserve"> Chynah Tyler</w:t>
      </w:r>
      <w:r w:rsidR="00BF5A86">
        <w:t xml:space="preserve">: </w:t>
      </w:r>
      <w:r w:rsidR="00BF5A86" w:rsidRPr="00BF5A86">
        <w:t>State Representative, 7th Suffolk District</w:t>
      </w:r>
      <w:r w:rsidR="00BF5A86">
        <w:t xml:space="preserve">. </w:t>
      </w:r>
      <w:r>
        <w:t>David Biele</w:t>
      </w:r>
      <w:r w:rsidR="00BF5A86">
        <w:t xml:space="preserve">: </w:t>
      </w:r>
      <w:r w:rsidR="00BF5A86" w:rsidRPr="00BF5A86">
        <w:t>State Representative, 4th Suffolk District</w:t>
      </w:r>
      <w:r w:rsidR="00BF5A86">
        <w:t xml:space="preserve">. </w:t>
      </w:r>
      <w:r>
        <w:t>Rob Consalvo</w:t>
      </w:r>
      <w:r w:rsidR="00BF5A86">
        <w:t>:</w:t>
      </w:r>
      <w:r w:rsidR="00BF5A86" w:rsidRPr="00BF5A86">
        <w:t xml:space="preserve"> State Representative, </w:t>
      </w:r>
      <w:r w:rsidR="00BD5D2D">
        <w:t>1</w:t>
      </w:r>
      <w:r w:rsidR="00BF5A86" w:rsidRPr="00BF5A86">
        <w:t>4th Suffolk District</w:t>
      </w:r>
      <w:r w:rsidR="00BF5A86">
        <w:t xml:space="preserve">. </w:t>
      </w:r>
      <w:r>
        <w:t>Brandy Fluker Oakley</w:t>
      </w:r>
      <w:r w:rsidR="00BF5A86">
        <w:t xml:space="preserve">: </w:t>
      </w:r>
      <w:r w:rsidR="00BF5A86" w:rsidRPr="00BF5A86">
        <w:t>State Representative, 12th Suffolk District</w:t>
      </w:r>
      <w:r w:rsidR="00BF5A86">
        <w:t xml:space="preserve">. </w:t>
      </w:r>
      <w:r>
        <w:t>Kevin Honan</w:t>
      </w:r>
      <w:r w:rsidR="00BF5A86">
        <w:t xml:space="preserve">: </w:t>
      </w:r>
      <w:r w:rsidR="00BF5A86" w:rsidRPr="00BF5A86">
        <w:t>State Representative, 17th Suffolk District</w:t>
      </w:r>
      <w:r w:rsidR="00BF5A86">
        <w:t xml:space="preserve">. </w:t>
      </w:r>
      <w:r>
        <w:t>Jay D. Livingstone</w:t>
      </w:r>
      <w:r w:rsidR="00BF5A86">
        <w:t xml:space="preserve">: </w:t>
      </w:r>
      <w:r w:rsidR="00BF5A86" w:rsidRPr="00BF5A86">
        <w:t>State Representative, 8th Suffolk District</w:t>
      </w:r>
    </w:p>
    <w:p w14:paraId="538D10A0" w14:textId="2CAE3D45" w:rsidR="006B7FA0" w:rsidRDefault="006B7FA0" w:rsidP="006B7FA0">
      <w:pPr>
        <w:pStyle w:val="FootnoteText"/>
      </w:pPr>
      <w:r>
        <w:t>William MacGregor</w:t>
      </w:r>
      <w:r w:rsidR="00BF5A86">
        <w:t xml:space="preserve">: </w:t>
      </w:r>
      <w:r w:rsidR="00BF5A86" w:rsidRPr="00BF5A86">
        <w:t>State Representative, 10th Suffolk District</w:t>
      </w:r>
      <w:r w:rsidR="00BF5A86">
        <w:t xml:space="preserve">. </w:t>
      </w:r>
      <w:r>
        <w:t>Daniel Ryan</w:t>
      </w:r>
      <w:r w:rsidR="00BF5A86">
        <w:t xml:space="preserve">: </w:t>
      </w:r>
      <w:r w:rsidR="00BF5A86" w:rsidRPr="00BF5A86">
        <w:t>State Representative, 2nd Suffolk District</w:t>
      </w:r>
      <w:r w:rsidR="00BF5A86">
        <w:t xml:space="preserve">. </w:t>
      </w:r>
      <w:r>
        <w:t>Christopher J. Worrell</w:t>
      </w:r>
      <w:r w:rsidR="00BF5A86">
        <w:t xml:space="preserve">: </w:t>
      </w:r>
      <w:r w:rsidR="00BF5A86" w:rsidRPr="00BF5A86">
        <w:t>State Representative, 5th Suffolk District</w:t>
      </w:r>
      <w:r w:rsidR="00BF5A86">
        <w:t>.</w:t>
      </w:r>
    </w:p>
  </w:footnote>
  <w:footnote w:id="23">
    <w:p w14:paraId="60DE0486" w14:textId="185E5E6D" w:rsidR="00030E83" w:rsidRPr="00270CC0" w:rsidRDefault="00030E83" w:rsidP="00030E83">
      <w:pPr>
        <w:pStyle w:val="FootnoteText"/>
      </w:pPr>
      <w:r w:rsidRPr="00270CC0">
        <w:rPr>
          <w:rStyle w:val="FootnoteReference"/>
        </w:rPr>
        <w:footnoteRef/>
      </w:r>
      <w:r w:rsidRPr="00270CC0">
        <w:t xml:space="preserve"> The </w:t>
      </w:r>
      <w:r w:rsidR="00AD68B7">
        <w:t xml:space="preserve">Applicant states that the </w:t>
      </w:r>
      <w:r w:rsidRPr="00270CC0">
        <w:t xml:space="preserve">data provided in this table was gathered using a methodology that looks at the volume of outpatient encounters each patient had by disease center, within each FY, and attributes the disease center where the patient was seen most frequently for that year. </w:t>
      </w:r>
      <w:r w:rsidR="00787312">
        <w:t>Because</w:t>
      </w:r>
      <w:r w:rsidRPr="00270CC0">
        <w:t xml:space="preserve"> the Proposed Project relates only to adult oncology care, and not to pediatric oncology care, data presented includes only adult patients.</w:t>
      </w:r>
    </w:p>
  </w:footnote>
  <w:footnote w:id="24">
    <w:p w14:paraId="56A91D58" w14:textId="747E61C9" w:rsidR="00504EAB" w:rsidRDefault="00504EAB" w:rsidP="00504EAB">
      <w:pPr>
        <w:pStyle w:val="FootnoteText"/>
      </w:pPr>
      <w:r>
        <w:rPr>
          <w:rStyle w:val="FootnoteReference"/>
        </w:rPr>
        <w:footnoteRef/>
      </w:r>
      <w:r>
        <w:t xml:space="preserve"> </w:t>
      </w:r>
      <w:r w:rsidR="0073052A">
        <w:t>The Applicant states that d</w:t>
      </w:r>
      <w:r>
        <w:t>ue to limitations on the Applicant’s ability to disclose BWH data, patients with only an inpatient stay (i.e., no additional outpatient treatment provided) are included in the total patient count, but excluded from particular disease centers. Additionally, certain other patients included in the total but not specific disease centers are either (1) not assigned to a specific disease center or (2) assigned to a disease center with less than 11 unique patients. Total may not sum to disease center counts.</w:t>
      </w:r>
    </w:p>
  </w:footnote>
  <w:footnote w:id="25">
    <w:p w14:paraId="2D74EEF0" w14:textId="72776CE8" w:rsidR="00DC2FB8" w:rsidRDefault="00DC2FB8" w:rsidP="00DC2FB8">
      <w:pPr>
        <w:pStyle w:val="FootnoteText"/>
      </w:pPr>
      <w:r>
        <w:rPr>
          <w:rStyle w:val="FootnoteReference"/>
        </w:rPr>
        <w:footnoteRef/>
      </w:r>
      <w:r>
        <w:t xml:space="preserve"> “Hematologic Malignancies” is comprised of the following subgroups: Transplant Program, Leukemia, Lymphoma, Multiple Myeloma and Waldenstrom, Ungrouped Hematologic Malignancies.</w:t>
      </w:r>
    </w:p>
  </w:footnote>
  <w:footnote w:id="26">
    <w:p w14:paraId="2EE9B493" w14:textId="6A5DA4C9" w:rsidR="00CB4EA0" w:rsidRPr="00455233" w:rsidRDefault="00CB4EA0" w:rsidP="00CB4EA0">
      <w:pPr>
        <w:pStyle w:val="FootnoteText"/>
        <w:rPr>
          <w:sz w:val="18"/>
          <w:szCs w:val="18"/>
        </w:rPr>
      </w:pPr>
      <w:r w:rsidRPr="00270CC0">
        <w:rPr>
          <w:rStyle w:val="FootnoteReference"/>
        </w:rPr>
        <w:footnoteRef/>
      </w:r>
      <w:r w:rsidRPr="00270CC0">
        <w:t xml:space="preserve"> UMass Donahue Institute Population Projections </w:t>
      </w:r>
      <w:r w:rsidR="009A359B" w:rsidRPr="00270CC0">
        <w:t>(</w:t>
      </w:r>
      <w:r w:rsidR="00C03742" w:rsidRPr="00270CC0">
        <w:t>V20</w:t>
      </w:r>
      <w:r w:rsidR="00C03742">
        <w:t>24</w:t>
      </w:r>
      <w:r w:rsidR="009A359B" w:rsidRPr="00270CC0">
        <w:t xml:space="preserve">) </w:t>
      </w:r>
      <w:r w:rsidRPr="00270CC0">
        <w:t>estimate an</w:t>
      </w:r>
      <w:r w:rsidR="005951E5">
        <w:t xml:space="preserve"> </w:t>
      </w:r>
      <w:r w:rsidRPr="00270CC0">
        <w:t>increase from 902</w:t>
      </w:r>
      <w:r w:rsidR="00545973">
        <w:t>,</w:t>
      </w:r>
      <w:r w:rsidRPr="00270CC0">
        <w:t xml:space="preserve">724 in 2010 to </w:t>
      </w:r>
      <w:r w:rsidR="006718C2" w:rsidRPr="006718C2">
        <w:t>1</w:t>
      </w:r>
      <w:r w:rsidR="006718C2">
        <w:t>,</w:t>
      </w:r>
      <w:r w:rsidR="006718C2" w:rsidRPr="006718C2">
        <w:t>592</w:t>
      </w:r>
      <w:r w:rsidR="006718C2">
        <w:t>,</w:t>
      </w:r>
      <w:r w:rsidR="006718C2" w:rsidRPr="006718C2">
        <w:t xml:space="preserve">166 </w:t>
      </w:r>
      <w:r w:rsidRPr="00270CC0">
        <w:t>in 20</w:t>
      </w:r>
      <w:r w:rsidR="006718C2">
        <w:t>5</w:t>
      </w:r>
      <w:r w:rsidRPr="00270CC0">
        <w:t>0, a 7</w:t>
      </w:r>
      <w:r w:rsidR="002B5403">
        <w:t>6</w:t>
      </w:r>
      <w:r w:rsidRPr="00270CC0">
        <w:t>% increase in the aged 65 and over population.</w:t>
      </w:r>
      <w:r w:rsidRPr="00455233">
        <w:rPr>
          <w:sz w:val="18"/>
          <w:szCs w:val="18"/>
        </w:rPr>
        <w:t xml:space="preserve">  </w:t>
      </w:r>
    </w:p>
  </w:footnote>
  <w:footnote w:id="27">
    <w:p w14:paraId="52CB6467" w14:textId="77777777" w:rsidR="00005BC0" w:rsidRPr="00270CC0" w:rsidRDefault="00005BC0" w:rsidP="00005BC0">
      <w:pPr>
        <w:pStyle w:val="FootnoteText"/>
      </w:pPr>
      <w:r w:rsidRPr="00270CC0">
        <w:rPr>
          <w:rStyle w:val="FootnoteReference"/>
        </w:rPr>
        <w:footnoteRef/>
      </w:r>
      <w:r w:rsidRPr="00270CC0">
        <w:t xml:space="preserve"> The report states that due to the complexity of the cancer data collection and quality control process, there is a delay between the time a new cancer is diagnosed and the time the data are ready for analysis. The typical delay is about 24 months after the end of the calendar year of diagnosis.</w:t>
      </w:r>
    </w:p>
  </w:footnote>
  <w:footnote w:id="28">
    <w:p w14:paraId="762325C8" w14:textId="77777777" w:rsidR="00087C87" w:rsidRPr="00270CC0" w:rsidRDefault="00087C87" w:rsidP="00087C87">
      <w:pPr>
        <w:pStyle w:val="FootnoteText"/>
      </w:pPr>
      <w:r w:rsidRPr="00270CC0">
        <w:rPr>
          <w:rStyle w:val="FootnoteReference"/>
        </w:rPr>
        <w:footnoteRef/>
      </w:r>
      <w:r w:rsidRPr="00270CC0">
        <w:t xml:space="preserve"> All Cancers Combined Incidence (New cases)</w:t>
      </w:r>
    </w:p>
  </w:footnote>
  <w:footnote w:id="29">
    <w:p w14:paraId="3D6D6E48" w14:textId="77777777" w:rsidR="00087C87" w:rsidRPr="00E46DF7" w:rsidRDefault="00087C87" w:rsidP="00087C87">
      <w:pPr>
        <w:pStyle w:val="FootnoteText"/>
        <w:rPr>
          <w:sz w:val="18"/>
          <w:szCs w:val="18"/>
        </w:rPr>
      </w:pPr>
      <w:r w:rsidRPr="00270CC0">
        <w:rPr>
          <w:rStyle w:val="FootnoteReference"/>
        </w:rPr>
        <w:footnoteRef/>
      </w:r>
      <w:r w:rsidRPr="00270CC0">
        <w:t xml:space="preserve"> All Cancers Combined Mortality (Deaths)</w:t>
      </w:r>
    </w:p>
  </w:footnote>
  <w:footnote w:id="30">
    <w:p w14:paraId="1C281335" w14:textId="3A27D381" w:rsidR="000767BC" w:rsidRPr="00270CC0" w:rsidRDefault="000767BC" w:rsidP="000767BC">
      <w:pPr>
        <w:pStyle w:val="FootnoteText"/>
      </w:pPr>
      <w:r w:rsidRPr="00270CC0">
        <w:rPr>
          <w:rStyle w:val="FootnoteReference"/>
        </w:rPr>
        <w:footnoteRef/>
      </w:r>
      <w:r w:rsidR="0034024D">
        <w:t xml:space="preserve"> </w:t>
      </w:r>
      <w:r w:rsidRPr="00270CC0">
        <w:t xml:space="preserve">The </w:t>
      </w:r>
      <w:r w:rsidR="008E31AE">
        <w:t xml:space="preserve">Cancer-Focused </w:t>
      </w:r>
      <w:r w:rsidRPr="00270CC0">
        <w:t xml:space="preserve">CHNA states that consistent with the previous CHNAs, the effort focused on Dana-Farber’s priority neighborhoods for Community Benefits work – Roxbury, Mission Hill, Dorchester, Mattapan, and Jamaica Plain. </w:t>
      </w:r>
    </w:p>
  </w:footnote>
  <w:footnote w:id="31">
    <w:p w14:paraId="5A768112" w14:textId="632B9AF6" w:rsidR="005C5BD9" w:rsidRDefault="005C5BD9">
      <w:pPr>
        <w:pStyle w:val="FootnoteText"/>
      </w:pPr>
      <w:r>
        <w:rPr>
          <w:rStyle w:val="FootnoteReference"/>
        </w:rPr>
        <w:footnoteRef/>
      </w:r>
      <w:r>
        <w:t xml:space="preserve"> </w:t>
      </w:r>
      <w:r w:rsidR="008214B2">
        <w:t xml:space="preserve">Table includes actual discharge numbers for FY18 through FY23. </w:t>
      </w:r>
    </w:p>
  </w:footnote>
  <w:footnote w:id="32">
    <w:p w14:paraId="2567F695" w14:textId="76EB5CCE" w:rsidR="00565D74" w:rsidRPr="00AC727F" w:rsidRDefault="00565D74" w:rsidP="00565D74">
      <w:pPr>
        <w:pStyle w:val="FootnoteText"/>
        <w:rPr>
          <w:rFonts w:asciiTheme="minorHAnsi" w:hAnsiTheme="minorHAnsi"/>
        </w:rPr>
      </w:pPr>
      <w:r w:rsidRPr="00AC727F">
        <w:rPr>
          <w:rStyle w:val="FootnoteReference"/>
          <w:rFonts w:asciiTheme="minorHAnsi" w:hAnsiTheme="minorHAnsi"/>
        </w:rPr>
        <w:footnoteRef/>
      </w:r>
      <w:r w:rsidR="00B66FAC">
        <w:rPr>
          <w:rFonts w:asciiTheme="minorHAnsi" w:hAnsiTheme="minorHAnsi"/>
        </w:rPr>
        <w:t xml:space="preserve"> </w:t>
      </w:r>
      <w:r w:rsidR="001C7A5E">
        <w:rPr>
          <w:rFonts w:asciiTheme="minorHAnsi" w:hAnsiTheme="minorHAnsi"/>
        </w:rPr>
        <w:t xml:space="preserve">Data Source: </w:t>
      </w:r>
      <w:r w:rsidRPr="00AC727F">
        <w:rPr>
          <w:rFonts w:asciiTheme="minorHAnsi" w:hAnsiTheme="minorHAnsi"/>
        </w:rPr>
        <w:t xml:space="preserve">Center for Health Information and Analysis All-Payer Claims Database, CHIA (2022) (sourced by Massachusetts Health Data Consortium). </w:t>
      </w:r>
    </w:p>
  </w:footnote>
  <w:footnote w:id="33">
    <w:p w14:paraId="41C15C89" w14:textId="41EB6D94" w:rsidR="00565D74" w:rsidRDefault="00565D74" w:rsidP="00565D74">
      <w:pPr>
        <w:pStyle w:val="FootnoteText"/>
      </w:pPr>
      <w:r w:rsidRPr="00AC727F">
        <w:rPr>
          <w:rStyle w:val="FootnoteReference"/>
        </w:rPr>
        <w:footnoteRef/>
      </w:r>
      <w:r w:rsidR="00B66FAC">
        <w:t xml:space="preserve"> </w:t>
      </w:r>
      <w:r w:rsidR="00A76B37">
        <w:t xml:space="preserve">From </w:t>
      </w:r>
      <w:r w:rsidR="009C0B6F">
        <w:t>Oct</w:t>
      </w:r>
      <w:r w:rsidR="00631F81" w:rsidRPr="00631F81">
        <w:t>ober 2022 through August 2023</w:t>
      </w:r>
      <w:r w:rsidR="00631F81">
        <w:t>.</w:t>
      </w:r>
    </w:p>
  </w:footnote>
  <w:footnote w:id="34">
    <w:p w14:paraId="4851185E" w14:textId="63110CD8" w:rsidR="002A7D9F" w:rsidRDefault="002A7D9F" w:rsidP="002A7D9F">
      <w:pPr>
        <w:pStyle w:val="FootnoteText"/>
      </w:pPr>
      <w:r>
        <w:rPr>
          <w:rStyle w:val="FootnoteReference"/>
        </w:rPr>
        <w:footnoteRef/>
      </w:r>
      <w:r>
        <w:t xml:space="preserve"> The </w:t>
      </w:r>
      <w:r w:rsidRPr="007712B3">
        <w:t>clinical toxicities of CAR</w:t>
      </w:r>
      <w:r w:rsidR="00EB35D2">
        <w:t xml:space="preserve"> </w:t>
      </w:r>
      <w:r w:rsidRPr="007712B3">
        <w:t>T</w:t>
      </w:r>
      <w:r w:rsidR="00EB35D2">
        <w:t xml:space="preserve">-cell </w:t>
      </w:r>
      <w:r w:rsidRPr="007712B3">
        <w:t>therapy include cytokine release syndrome</w:t>
      </w:r>
      <w:r>
        <w:t xml:space="preserve"> (CRS)</w:t>
      </w:r>
      <w:r w:rsidRPr="007712B3">
        <w:t xml:space="preserve"> and </w:t>
      </w:r>
      <w:r>
        <w:t xml:space="preserve">neurological events, particularly </w:t>
      </w:r>
      <w:r w:rsidRPr="007712B3">
        <w:t>immune effector cell-associated neurotoxicity syndrome</w:t>
      </w:r>
      <w:r>
        <w:t xml:space="preserve"> (ICANS)</w:t>
      </w:r>
      <w:r w:rsidRPr="007712B3">
        <w:t>, which</w:t>
      </w:r>
      <w:r>
        <w:t xml:space="preserve"> </w:t>
      </w:r>
      <w:r w:rsidRPr="007712B3">
        <w:t>often warrant inpatient admission for close monitoring and treatment.</w:t>
      </w:r>
      <w:r>
        <w:t xml:space="preserve"> </w:t>
      </w:r>
      <w:hyperlink r:id="rId1" w:history="1">
        <w:r w:rsidRPr="00452F13">
          <w:rPr>
            <w:rStyle w:val="Hyperlink"/>
          </w:rPr>
          <w:t>https://pubmed.ncbi.nlm.nih.gov/33910041/</w:t>
        </w:r>
      </w:hyperlink>
      <w:r>
        <w:t xml:space="preserve"> </w:t>
      </w:r>
    </w:p>
  </w:footnote>
  <w:footnote w:id="35">
    <w:p w14:paraId="7D9F59CD" w14:textId="77777777" w:rsidR="00503ADD" w:rsidRDefault="00503ADD" w:rsidP="00503ADD">
      <w:pPr>
        <w:pStyle w:val="FootnoteText"/>
      </w:pPr>
      <w:r>
        <w:rPr>
          <w:rStyle w:val="FootnoteReference"/>
        </w:rPr>
        <w:footnoteRef/>
      </w:r>
      <w:r>
        <w:t xml:space="preserve"> </w:t>
      </w:r>
      <w:r w:rsidRPr="003D42A5">
        <w:t>Of the 21 outpatients, 15 (71%) were admitted within 30 days after infusion, of whom five were admitted within 72 h</w:t>
      </w:r>
      <w:r>
        <w:t>ours</w:t>
      </w:r>
      <w:r w:rsidRPr="003D42A5">
        <w:t>.</w:t>
      </w:r>
    </w:p>
  </w:footnote>
  <w:footnote w:id="36">
    <w:p w14:paraId="6799043A" w14:textId="74F47859" w:rsidR="005E3085" w:rsidRDefault="005E3085">
      <w:pPr>
        <w:pStyle w:val="FootnoteText"/>
      </w:pPr>
      <w:r>
        <w:rPr>
          <w:rStyle w:val="FootnoteReference"/>
        </w:rPr>
        <w:footnoteRef/>
      </w:r>
      <w:r>
        <w:t xml:space="preserve"> The Applicant states that it performs </w:t>
      </w:r>
      <w:r w:rsidR="00AA6F9A">
        <w:t xml:space="preserve">approximately 600 transplants per year. </w:t>
      </w:r>
    </w:p>
  </w:footnote>
  <w:footnote w:id="37">
    <w:p w14:paraId="10CACB28" w14:textId="77777777" w:rsidR="00056E53" w:rsidRPr="00BE6745" w:rsidRDefault="00056E53" w:rsidP="00056E53">
      <w:pPr>
        <w:pStyle w:val="FootnoteText"/>
      </w:pPr>
      <w:r w:rsidRPr="00BE6745">
        <w:rPr>
          <w:rStyle w:val="FootnoteReference"/>
        </w:rPr>
        <w:footnoteRef/>
      </w:r>
      <w:r w:rsidRPr="00BE6745">
        <w:t xml:space="preserve"> The Advisory Board Company, adjusted for certain factors included in The Advisory Board Company growth rates applicable only to community hospital providers.</w:t>
      </w:r>
    </w:p>
  </w:footnote>
  <w:footnote w:id="38">
    <w:p w14:paraId="4EE06D43" w14:textId="77777777" w:rsidR="00056E53" w:rsidRPr="00BE6745" w:rsidRDefault="00056E53" w:rsidP="00056E53">
      <w:pPr>
        <w:pStyle w:val="FootnoteText"/>
      </w:pPr>
      <w:r w:rsidRPr="00BE6745">
        <w:rPr>
          <w:rStyle w:val="FootnoteReference"/>
        </w:rPr>
        <w:footnoteRef/>
      </w:r>
      <w:r w:rsidRPr="00BE6745">
        <w:t xml:space="preserve"> Based on data from the Center for Health Information and Analysis (CHIA).</w:t>
      </w:r>
    </w:p>
  </w:footnote>
  <w:footnote w:id="39">
    <w:p w14:paraId="73FA8F67" w14:textId="52E93391" w:rsidR="00173E46" w:rsidRPr="00BE6745" w:rsidRDefault="00173E46">
      <w:pPr>
        <w:pStyle w:val="FootnoteText"/>
      </w:pPr>
      <w:r w:rsidRPr="00BE6745">
        <w:rPr>
          <w:rStyle w:val="FootnoteReference"/>
        </w:rPr>
        <w:footnoteRef/>
      </w:r>
      <w:r w:rsidRPr="00BE6745">
        <w:t xml:space="preserve"> Does not take population growth into account</w:t>
      </w:r>
    </w:p>
  </w:footnote>
  <w:footnote w:id="40">
    <w:p w14:paraId="2AD2ECE3" w14:textId="77777777" w:rsidR="00056E53" w:rsidRPr="00E52C17" w:rsidRDefault="00056E53" w:rsidP="00056E53">
      <w:pPr>
        <w:pStyle w:val="FootnoteText"/>
      </w:pPr>
      <w:r w:rsidRPr="00E52C17">
        <w:rPr>
          <w:rStyle w:val="FootnoteReference"/>
        </w:rPr>
        <w:footnoteRef/>
      </w:r>
      <w:r w:rsidRPr="00E52C17">
        <w:t xml:space="preserve"> Based on the Advisory Board Company data. </w:t>
      </w:r>
    </w:p>
  </w:footnote>
  <w:footnote w:id="41">
    <w:p w14:paraId="78D6816D" w14:textId="77777777" w:rsidR="00056E53" w:rsidRDefault="00056E53" w:rsidP="00056E53">
      <w:pPr>
        <w:pStyle w:val="FootnoteText"/>
      </w:pPr>
      <w:r w:rsidRPr="00E52C17">
        <w:rPr>
          <w:rStyle w:val="FootnoteReference"/>
        </w:rPr>
        <w:footnoteRef/>
      </w:r>
      <w:r w:rsidRPr="00E52C17">
        <w:t xml:space="preserve"> Based on the Advisory Board Company data.</w:t>
      </w:r>
    </w:p>
  </w:footnote>
  <w:footnote w:id="42">
    <w:p w14:paraId="7DEEC663" w14:textId="4BA0961B" w:rsidR="007200A2" w:rsidRDefault="007200A2">
      <w:pPr>
        <w:pStyle w:val="FootnoteText"/>
      </w:pPr>
      <w:r>
        <w:rPr>
          <w:rStyle w:val="FootnoteReference"/>
        </w:rPr>
        <w:footnoteRef/>
      </w:r>
      <w:r>
        <w:t xml:space="preserve"> The Applicant states that this constitutes </w:t>
      </w:r>
      <w:r w:rsidRPr="007200A2">
        <w:t xml:space="preserve">a more than 100% increase from FY23, and </w:t>
      </w:r>
      <w:r w:rsidR="00545103">
        <w:t xml:space="preserve">represents </w:t>
      </w:r>
      <w:r w:rsidRPr="007200A2">
        <w:t>a savings of five inpatient beds</w:t>
      </w:r>
      <w:r>
        <w:t>.</w:t>
      </w:r>
    </w:p>
  </w:footnote>
  <w:footnote w:id="43">
    <w:p w14:paraId="33AA1B69" w14:textId="20269655" w:rsidR="001444D7" w:rsidRDefault="001444D7" w:rsidP="00187CF5">
      <w:pPr>
        <w:pStyle w:val="FootnoteText"/>
      </w:pPr>
      <w:r>
        <w:rPr>
          <w:rStyle w:val="FootnoteReference"/>
        </w:rPr>
        <w:footnoteRef/>
      </w:r>
      <w:r>
        <w:t xml:space="preserve"> The Applicant states the table i</w:t>
      </w:r>
      <w:r w:rsidRPr="00D1770F">
        <w:t>ncludes CHIA data for Dana-Farber and BWH. Dana-Farber has omitted FY20 due to COVID-19, and FY23 is not yet available through CHIA. The CHIA dataset does not capture this metric directly. Percentage of admissions from BWH’s ED is approximated by assuming that all admissions other than “direct transfers from another hospital” and “direct admissions” (including admissions from post-acute facilities, direct from clinic, or from other healthcare or government agencies) are from the BWH ED.</w:t>
      </w:r>
    </w:p>
  </w:footnote>
  <w:footnote w:id="44">
    <w:p w14:paraId="6952072A" w14:textId="0A42A06E" w:rsidR="003A33E2" w:rsidRDefault="003A33E2">
      <w:pPr>
        <w:pStyle w:val="FootnoteText"/>
      </w:pPr>
      <w:r>
        <w:rPr>
          <w:rStyle w:val="FootnoteReference"/>
        </w:rPr>
        <w:footnoteRef/>
      </w:r>
      <w:r>
        <w:t xml:space="preserve"> </w:t>
      </w:r>
      <w:r w:rsidR="00CE311E">
        <w:t>Includes CHIA Data f</w:t>
      </w:r>
      <w:r w:rsidR="00817BB4">
        <w:t>rom</w:t>
      </w:r>
      <w:r w:rsidR="00CE311E">
        <w:t xml:space="preserve"> </w:t>
      </w:r>
      <w:r w:rsidR="00817BB4" w:rsidRPr="003B2CD4">
        <w:t>Massachusetts Health Data Consortium</w:t>
      </w:r>
      <w:r w:rsidR="00CE311E">
        <w:t xml:space="preserve"> for all BWH ED patients. </w:t>
      </w:r>
      <w:r w:rsidR="0011087A">
        <w:t>The dataset calculates Length of Stay “by subtracting the arrival date and time from the departure date and time and is reported in hours.”</w:t>
      </w:r>
    </w:p>
  </w:footnote>
  <w:footnote w:id="45">
    <w:p w14:paraId="631C8C31" w14:textId="7D733B64" w:rsidR="00B93F30" w:rsidRPr="00395A64" w:rsidRDefault="00B93F30" w:rsidP="00B93F30">
      <w:pPr>
        <w:pStyle w:val="FootnoteText"/>
      </w:pPr>
      <w:r w:rsidRPr="00395A64">
        <w:rPr>
          <w:rStyle w:val="FootnoteReference"/>
        </w:rPr>
        <w:footnoteRef/>
      </w:r>
      <w:r w:rsidRPr="00395A64">
        <w:t xml:space="preserve"> The Alliance of Dedicated Cancer Centers (ADCC) is made up of America’s leading cancer centers</w:t>
      </w:r>
      <w:r w:rsidR="00CD5C2C">
        <w:t>:</w:t>
      </w:r>
      <w:r w:rsidRPr="00395A64">
        <w:t xml:space="preserve"> City of Hope Cancer Center Duarte, CA</w:t>
      </w:r>
      <w:r w:rsidR="00CD5C2C">
        <w:t>;</w:t>
      </w:r>
      <w:r w:rsidRPr="00395A64">
        <w:t xml:space="preserve"> Dana‐Farber Cancer Institute Boston, MA</w:t>
      </w:r>
      <w:r w:rsidR="00CD5C2C">
        <w:t>;</w:t>
      </w:r>
      <w:r w:rsidRPr="00395A64">
        <w:t xml:space="preserve"> Fox Chase Cancer Center Philadelphia, PA</w:t>
      </w:r>
      <w:r w:rsidR="00CD5C2C">
        <w:t>;</w:t>
      </w:r>
      <w:r w:rsidRPr="00395A64">
        <w:t xml:space="preserve"> The James Comprehensive Cancer Center Columbus, OH</w:t>
      </w:r>
      <w:r w:rsidR="00CD5C2C">
        <w:t>;</w:t>
      </w:r>
      <w:r w:rsidRPr="00395A64">
        <w:t xml:space="preserve"> Moffitt Cancer Center Tampa, FL</w:t>
      </w:r>
      <w:r w:rsidR="00CD5C2C">
        <w:t>;</w:t>
      </w:r>
      <w:r w:rsidRPr="00395A64">
        <w:t xml:space="preserve"> The University of Texas MD Anderson Cancer Center Houston, TX</w:t>
      </w:r>
      <w:r w:rsidR="00CD5C2C">
        <w:t>;</w:t>
      </w:r>
      <w:r w:rsidRPr="00395A64">
        <w:t xml:space="preserve"> Memorial Sloan Kettering Cancer Center New York, NY</w:t>
      </w:r>
      <w:r w:rsidR="00CD5C2C">
        <w:t>;</w:t>
      </w:r>
      <w:r w:rsidRPr="00395A64">
        <w:t xml:space="preserve"> Roswell Park Cancer Institute Buffalo, NY</w:t>
      </w:r>
      <w:r w:rsidR="00CD5C2C">
        <w:t>;</w:t>
      </w:r>
      <w:r w:rsidRPr="00395A64">
        <w:t xml:space="preserve"> Seattle Cancer Care Alliance Seattle, WA</w:t>
      </w:r>
      <w:r w:rsidR="00CD5C2C">
        <w:t xml:space="preserve">; and </w:t>
      </w:r>
      <w:r w:rsidRPr="00395A64">
        <w:t>USC Norris Comprehensive Cancer Center Los Angeles, CA.</w:t>
      </w:r>
    </w:p>
  </w:footnote>
  <w:footnote w:id="46">
    <w:p w14:paraId="706BDAEE" w14:textId="4AE58623" w:rsidR="00760CCF" w:rsidRPr="00395A64" w:rsidRDefault="00760CCF" w:rsidP="00760CCF">
      <w:pPr>
        <w:pStyle w:val="FootnoteText"/>
      </w:pPr>
      <w:r w:rsidRPr="00395A64">
        <w:rPr>
          <w:rStyle w:val="FootnoteReference"/>
        </w:rPr>
        <w:footnoteRef/>
      </w:r>
      <w:r w:rsidRPr="00395A64">
        <w:t xml:space="preserve"> </w:t>
      </w:r>
      <w:r w:rsidR="00787322">
        <w:t>The Applicant states that t</w:t>
      </w:r>
      <w:r w:rsidRPr="00395A64">
        <w:t xml:space="preserve">his table does not include data for 2020 due to COVID-19. Analysis completed using data obtained from the Massachusetts Health Data Consortium based on CHIA Inpatient Case Mix data and includes patient volumes and days from cancer patients within the Applicant’s beds and BWH beds as well as BIDMC cancer patients. Projections through 2032 based on Advisory Board projections for oncology patients in Massachusetts, filtered for Geriatric ages and Young adult age cohort. </w:t>
      </w:r>
    </w:p>
  </w:footnote>
  <w:footnote w:id="47">
    <w:p w14:paraId="74BADFBB" w14:textId="319ED070" w:rsidR="00760CCF" w:rsidRPr="00395A64" w:rsidRDefault="00760CCF" w:rsidP="00760CCF">
      <w:pPr>
        <w:pStyle w:val="FootnoteText"/>
      </w:pPr>
      <w:r w:rsidRPr="00395A64">
        <w:rPr>
          <w:rStyle w:val="FootnoteReference"/>
        </w:rPr>
        <w:footnoteRef/>
      </w:r>
      <w:r w:rsidRPr="00395A64">
        <w:t xml:space="preserve"> </w:t>
      </w:r>
      <w:r w:rsidR="005E7C64">
        <w:t>The Applicant states that n</w:t>
      </w:r>
      <w:r w:rsidRPr="00395A64">
        <w:t xml:space="preserve">umbers may not total due to rounding. </w:t>
      </w:r>
    </w:p>
  </w:footnote>
  <w:footnote w:id="48">
    <w:p w14:paraId="40261221" w14:textId="036208E2" w:rsidR="00760CCF" w:rsidRPr="00395A64" w:rsidRDefault="00760CCF" w:rsidP="00760CCF">
      <w:pPr>
        <w:pStyle w:val="FootnoteText"/>
      </w:pPr>
      <w:r w:rsidRPr="00395A64">
        <w:rPr>
          <w:rStyle w:val="FootnoteReference"/>
        </w:rPr>
        <w:footnoteRef/>
      </w:r>
      <w:r w:rsidRPr="00395A64">
        <w:t xml:space="preserve"> </w:t>
      </w:r>
      <w:r w:rsidR="00F57EEE">
        <w:t>The Applicant states that w</w:t>
      </w:r>
      <w:r w:rsidRPr="00395A64">
        <w:t>hile precise discharge data for all such patients is available to the Applicant as part of its existing collaboration, portions of that data are proprietary to BWH, and the Applicant is restricted from disclosing it in this Application due to confidentiality restrictions.</w:t>
      </w:r>
    </w:p>
  </w:footnote>
  <w:footnote w:id="49">
    <w:p w14:paraId="2ADB3144" w14:textId="7003CE8C" w:rsidR="002C5174" w:rsidRDefault="002C5174">
      <w:pPr>
        <w:pStyle w:val="FootnoteText"/>
      </w:pPr>
      <w:r>
        <w:rPr>
          <w:rStyle w:val="FootnoteReference"/>
        </w:rPr>
        <w:footnoteRef/>
      </w:r>
      <w:r>
        <w:t xml:space="preserve"> </w:t>
      </w:r>
      <w:r w:rsidR="00164B53">
        <w:t xml:space="preserve">2022 ADC </w:t>
      </w:r>
      <w:r w:rsidR="006C24A3">
        <w:t>=</w:t>
      </w:r>
      <w:r w:rsidR="00284523">
        <w:t xml:space="preserve"> Actual Patient Day</w:t>
      </w:r>
      <w:r w:rsidR="007C5CDD">
        <w:t>s (sourced from CHIA</w:t>
      </w:r>
      <w:r w:rsidR="00CC4371">
        <w:t xml:space="preserve"> for 2022)/365. </w:t>
      </w:r>
    </w:p>
  </w:footnote>
  <w:footnote w:id="50">
    <w:p w14:paraId="6FBAB6E1" w14:textId="4BEF8E75" w:rsidR="00B77D4B" w:rsidRDefault="00DB24BC" w:rsidP="00B77D4B">
      <w:pPr>
        <w:pStyle w:val="FootnoteText"/>
      </w:pPr>
      <w:r>
        <w:rPr>
          <w:rStyle w:val="FootnoteReference"/>
        </w:rPr>
        <w:footnoteRef/>
      </w:r>
      <w:r w:rsidR="00B77D4B">
        <w:t xml:space="preserve"> </w:t>
      </w:r>
      <w:r w:rsidR="002B6457">
        <w:t xml:space="preserve">2032 ADC </w:t>
      </w:r>
      <w:r w:rsidR="006C24A3">
        <w:t>=</w:t>
      </w:r>
      <w:r w:rsidR="000222D6">
        <w:t xml:space="preserve"> Forecasted Patient Days/365. </w:t>
      </w:r>
      <w:r w:rsidR="00296235" w:rsidRPr="001668BA">
        <w:t xml:space="preserve">Forecasted Patient Days </w:t>
      </w:r>
      <w:r w:rsidR="00604432">
        <w:t>=</w:t>
      </w:r>
      <w:r w:rsidR="00296235" w:rsidRPr="001668BA">
        <w:t xml:space="preserve"> </w:t>
      </w:r>
      <w:r w:rsidR="00604432">
        <w:t>F</w:t>
      </w:r>
      <w:r w:rsidR="00296235" w:rsidRPr="001668BA">
        <w:t xml:space="preserve">orecasted discharges </w:t>
      </w:r>
      <w:r w:rsidR="00604432">
        <w:t>x</w:t>
      </w:r>
      <w:r w:rsidR="00296235" w:rsidRPr="001668BA">
        <w:t xml:space="preserve"> ALOS.</w:t>
      </w:r>
      <w:r w:rsidR="00604432">
        <w:t xml:space="preserve"> </w:t>
      </w:r>
      <w:r w:rsidR="00604432" w:rsidRPr="00604432">
        <w:t>For 2032, the</w:t>
      </w:r>
      <w:r w:rsidR="00B77D4B">
        <w:t xml:space="preserve">   </w:t>
      </w:r>
    </w:p>
    <w:p w14:paraId="5A2C5F62" w14:textId="72AFC072" w:rsidR="00DB24BC" w:rsidRPr="00296235" w:rsidRDefault="00B77D4B" w:rsidP="00B77D4B">
      <w:pPr>
        <w:pStyle w:val="FootnoteText"/>
      </w:pPr>
      <w:r>
        <w:t xml:space="preserve">    </w:t>
      </w:r>
      <w:r w:rsidR="00604432" w:rsidRPr="00604432">
        <w:t xml:space="preserve">forecast was applied to discharges </w:t>
      </w:r>
      <w:r w:rsidR="00023EE3">
        <w:t>and</w:t>
      </w:r>
      <w:r w:rsidR="00604432" w:rsidRPr="00604432">
        <w:t xml:space="preserve"> the ALOS</w:t>
      </w:r>
      <w:r w:rsidR="00604432">
        <w:t xml:space="preserve"> </w:t>
      </w:r>
      <w:r w:rsidR="00023EE3">
        <w:t xml:space="preserve">was </w:t>
      </w:r>
      <w:r w:rsidR="00604432" w:rsidRPr="00604432">
        <w:t>kept flat</w:t>
      </w:r>
      <w:r w:rsidR="00234749">
        <w:t>.</w:t>
      </w:r>
    </w:p>
  </w:footnote>
  <w:footnote w:id="51">
    <w:p w14:paraId="0F9245F2" w14:textId="76F95C44" w:rsidR="00760CCF" w:rsidRPr="004066F6" w:rsidRDefault="00760CCF" w:rsidP="00760CCF">
      <w:pPr>
        <w:pStyle w:val="FootnoteText"/>
        <w:rPr>
          <w:sz w:val="18"/>
          <w:szCs w:val="18"/>
        </w:rPr>
      </w:pPr>
      <w:r w:rsidRPr="00395A64">
        <w:rPr>
          <w:rStyle w:val="FootnoteReference"/>
        </w:rPr>
        <w:footnoteRef/>
      </w:r>
      <w:r w:rsidRPr="00395A64">
        <w:t xml:space="preserve"> </w:t>
      </w:r>
      <w:r w:rsidRPr="00395A64">
        <w:rPr>
          <w:bCs/>
        </w:rPr>
        <w:t>ICU ADC was calculated using total 2022 ADC less the portion of ADC attributable to cell therapy and palliative care</w:t>
      </w:r>
      <w:r w:rsidR="00891AB0">
        <w:rPr>
          <w:bCs/>
        </w:rPr>
        <w:t>.</w:t>
      </w:r>
    </w:p>
  </w:footnote>
  <w:footnote w:id="52">
    <w:p w14:paraId="2D497FE6" w14:textId="55B3FFDB" w:rsidR="00786D40" w:rsidRDefault="00786D40" w:rsidP="00786D40">
      <w:pPr>
        <w:pStyle w:val="FootnoteText"/>
      </w:pPr>
      <w:r>
        <w:rPr>
          <w:rStyle w:val="FootnoteReference"/>
        </w:rPr>
        <w:footnoteRef/>
      </w:r>
      <w:r>
        <w:t xml:space="preserve"> </w:t>
      </w:r>
      <w:r w:rsidR="0081727E">
        <w:t>For the FY22 ADC, t</w:t>
      </w:r>
      <w:r>
        <w:t xml:space="preserve">he Applicant </w:t>
      </w:r>
      <w:r w:rsidR="00CE4AB2">
        <w:t>attributes</w:t>
      </w:r>
      <w:r>
        <w:t xml:space="preserve"> 186.4</w:t>
      </w:r>
      <w:r w:rsidR="0081727E">
        <w:t xml:space="preserve"> patients</w:t>
      </w:r>
      <w:r>
        <w:t xml:space="preserve"> to the Applicant and 86.7 </w:t>
      </w:r>
      <w:r w:rsidR="00CE4AB2">
        <w:t xml:space="preserve">to </w:t>
      </w:r>
      <w:r>
        <w:t>BIDMC-managed patients</w:t>
      </w:r>
      <w:r w:rsidR="0081727E">
        <w:t>.</w:t>
      </w:r>
    </w:p>
  </w:footnote>
  <w:footnote w:id="53">
    <w:p w14:paraId="5F2E0A1F" w14:textId="588249AF" w:rsidR="00AD578D" w:rsidRDefault="00AD578D">
      <w:pPr>
        <w:pStyle w:val="FootnoteText"/>
      </w:pPr>
      <w:r>
        <w:rPr>
          <w:rStyle w:val="FootnoteReference"/>
        </w:rPr>
        <w:footnoteRef/>
      </w:r>
      <w:r>
        <w:t xml:space="preserve"> </w:t>
      </w:r>
      <w:r w:rsidRPr="00AD578D">
        <w:t xml:space="preserve">The </w:t>
      </w:r>
      <w:r>
        <w:t xml:space="preserve">Applicant states that the </w:t>
      </w:r>
      <w:r w:rsidRPr="00AD578D">
        <w:t>calculated historical ADC does not include, due to lack of information and difficulty in calculation, seven patients per day that the Applicant is unable to accept transfer of to one of the Applicant’s licensed beds or to one of the BWH-licensed beds that are managed by the Applicant’s medical oncologists due to capacity constraints.</w:t>
      </w:r>
    </w:p>
  </w:footnote>
  <w:footnote w:id="54">
    <w:p w14:paraId="4812EA1B" w14:textId="1E32CB29" w:rsidR="00B21DB5" w:rsidRDefault="00B21DB5">
      <w:pPr>
        <w:pStyle w:val="FootnoteText"/>
      </w:pPr>
      <w:r>
        <w:rPr>
          <w:rStyle w:val="FootnoteReference"/>
        </w:rPr>
        <w:footnoteRef/>
      </w:r>
      <w:r>
        <w:t xml:space="preserve"> </w:t>
      </w:r>
      <w:r w:rsidRPr="00B21DB5">
        <w:t>The Applicant states 7.5% is on the lower end of its peer hospitals and consistent with the Applicant’s own experience.</w:t>
      </w:r>
    </w:p>
  </w:footnote>
  <w:footnote w:id="55">
    <w:p w14:paraId="18FCC59C" w14:textId="2F99FFE0" w:rsidR="00931921" w:rsidRDefault="00931921">
      <w:pPr>
        <w:pStyle w:val="FootnoteText"/>
      </w:pPr>
      <w:r>
        <w:rPr>
          <w:rStyle w:val="FootnoteReference"/>
        </w:rPr>
        <w:footnoteRef/>
      </w:r>
      <w:r>
        <w:t xml:space="preserve"> </w:t>
      </w:r>
      <w:r w:rsidRPr="00931921">
        <w:t>Based on average historical growth of observation discharges for Dana-Farber and BIDMC over the last three years.</w:t>
      </w:r>
    </w:p>
  </w:footnote>
  <w:footnote w:id="56">
    <w:p w14:paraId="549B8A01" w14:textId="77777777" w:rsidR="008200D5" w:rsidRPr="00EE285D" w:rsidRDefault="008200D5" w:rsidP="008200D5">
      <w:pPr>
        <w:pStyle w:val="FootnoteText"/>
        <w:rPr>
          <w:rFonts w:cs="Calibri"/>
        </w:rPr>
      </w:pPr>
      <w:r w:rsidRPr="00EE285D">
        <w:rPr>
          <w:rStyle w:val="FootnoteReference"/>
          <w:rFonts w:cs="Calibri"/>
        </w:rPr>
        <w:footnoteRef/>
      </w:r>
      <w:r w:rsidRPr="00EE285D">
        <w:rPr>
          <w:rFonts w:cs="Calibri"/>
        </w:rPr>
        <w:t xml:space="preserve"> Facilities self-report daily staffed beds by bed type to WebEOC.</w:t>
      </w:r>
    </w:p>
  </w:footnote>
  <w:footnote w:id="57">
    <w:p w14:paraId="6E0A1D8E" w14:textId="77777777" w:rsidR="008200D5" w:rsidRPr="00EE285D" w:rsidRDefault="008200D5" w:rsidP="008200D5">
      <w:pPr>
        <w:pStyle w:val="FootnoteText"/>
        <w:rPr>
          <w:rFonts w:cs="Calibri"/>
        </w:rPr>
      </w:pPr>
      <w:r w:rsidRPr="00EE285D">
        <w:rPr>
          <w:rStyle w:val="FootnoteReference"/>
          <w:rFonts w:cs="Calibri"/>
        </w:rPr>
        <w:footnoteRef/>
      </w:r>
      <w:r w:rsidRPr="00EE285D">
        <w:rPr>
          <w:rFonts w:cs="Calibri"/>
        </w:rPr>
        <w:t xml:space="preserve"> Facilities self-report daily occupied beds by bed type to WebEOC.</w:t>
      </w:r>
    </w:p>
  </w:footnote>
  <w:footnote w:id="58">
    <w:p w14:paraId="151CBE95" w14:textId="77777777" w:rsidR="008200D5" w:rsidRPr="00EE285D" w:rsidRDefault="008200D5" w:rsidP="008200D5">
      <w:pPr>
        <w:pStyle w:val="FootnoteText"/>
        <w:rPr>
          <w:rFonts w:cs="Calibri"/>
        </w:rPr>
      </w:pPr>
      <w:r w:rsidRPr="00EE285D">
        <w:rPr>
          <w:rStyle w:val="FootnoteReference"/>
          <w:rFonts w:cs="Calibri"/>
        </w:rPr>
        <w:footnoteRef/>
      </w:r>
      <w:r w:rsidRPr="00EE285D">
        <w:rPr>
          <w:rFonts w:cs="Calibri"/>
        </w:rPr>
        <w:t xml:space="preserve"> Per CHIA Hospital Type. </w:t>
      </w:r>
    </w:p>
  </w:footnote>
  <w:footnote w:id="59">
    <w:p w14:paraId="0AC8267C" w14:textId="77777777" w:rsidR="008200D5" w:rsidRPr="00EE285D" w:rsidRDefault="008200D5" w:rsidP="008200D5">
      <w:pPr>
        <w:pStyle w:val="FootnoteText"/>
        <w:rPr>
          <w:rFonts w:cs="Calibri"/>
        </w:rPr>
      </w:pPr>
      <w:r w:rsidRPr="00EE285D">
        <w:rPr>
          <w:rStyle w:val="FootnoteReference"/>
          <w:rFonts w:cs="Calibri"/>
        </w:rPr>
        <w:footnoteRef/>
      </w:r>
      <w:r w:rsidRPr="00EE285D">
        <w:rPr>
          <w:rFonts w:cs="Calibri"/>
        </w:rPr>
        <w:t xml:space="preserve"> Data as of 9/18/2024 WebEOC.</w:t>
      </w:r>
    </w:p>
  </w:footnote>
  <w:footnote w:id="60">
    <w:p w14:paraId="3B791A0B" w14:textId="78D167F9" w:rsidR="008200D5" w:rsidRPr="00EE285D" w:rsidRDefault="008200D5" w:rsidP="008200D5">
      <w:pPr>
        <w:pStyle w:val="FootnoteText"/>
        <w:rPr>
          <w:rFonts w:cs="Calibri"/>
        </w:rPr>
      </w:pPr>
      <w:r w:rsidRPr="00EE285D">
        <w:rPr>
          <w:rStyle w:val="FootnoteReference"/>
          <w:rFonts w:cs="Calibri"/>
        </w:rPr>
        <w:footnoteRef/>
      </w:r>
      <w:r w:rsidRPr="00EE285D">
        <w:rPr>
          <w:rFonts w:cs="Calibri"/>
        </w:rPr>
        <w:t xml:space="preserve"> Beds are licensed by the Division of Health Care Facility Licensure and Certification in accordance with 105 CMR 130. Each license specifies the total number of beds within the hospital and the number of beds in each specific service for which the hospital is licensed. Licensed </w:t>
      </w:r>
      <w:r w:rsidR="00860E8C">
        <w:rPr>
          <w:rFonts w:cs="Calibri"/>
        </w:rPr>
        <w:t xml:space="preserve">M/S and ICU </w:t>
      </w:r>
      <w:r w:rsidRPr="00EE285D">
        <w:rPr>
          <w:rFonts w:cs="Calibri"/>
        </w:rPr>
        <w:t xml:space="preserve">bed numbers are from </w:t>
      </w:r>
      <w:r w:rsidR="00860E8C">
        <w:rPr>
          <w:rFonts w:cs="Calibri"/>
        </w:rPr>
        <w:t xml:space="preserve">the facility’s current </w:t>
      </w:r>
      <w:r w:rsidRPr="00EE285D">
        <w:rPr>
          <w:rFonts w:cs="Calibri"/>
        </w:rPr>
        <w:t>DPH</w:t>
      </w:r>
      <w:r w:rsidR="00860E8C">
        <w:rPr>
          <w:rFonts w:cs="Calibri"/>
        </w:rPr>
        <w:t xml:space="preserve"> hospital</w:t>
      </w:r>
      <w:r w:rsidRPr="00EE285D">
        <w:rPr>
          <w:rFonts w:cs="Calibri"/>
        </w:rPr>
        <w:t xml:space="preserve"> </w:t>
      </w:r>
      <w:r w:rsidR="00860E8C">
        <w:rPr>
          <w:rFonts w:cs="Calibri"/>
        </w:rPr>
        <w:t xml:space="preserve">license and </w:t>
      </w:r>
      <w:r w:rsidRPr="00EE285D">
        <w:rPr>
          <w:rFonts w:cs="Calibri"/>
        </w:rPr>
        <w:t xml:space="preserve">are the maximum number of beds of a certain type that the facility could have. </w:t>
      </w:r>
    </w:p>
  </w:footnote>
  <w:footnote w:id="61">
    <w:p w14:paraId="2FE8FE46" w14:textId="77777777" w:rsidR="008200D5" w:rsidRPr="00EE285D" w:rsidRDefault="008200D5" w:rsidP="008200D5">
      <w:pPr>
        <w:pStyle w:val="FootnoteText"/>
        <w:rPr>
          <w:rFonts w:cs="Calibri"/>
        </w:rPr>
      </w:pPr>
      <w:r w:rsidRPr="00EE285D">
        <w:rPr>
          <w:rStyle w:val="FootnoteReference"/>
          <w:rFonts w:cs="Calibri"/>
        </w:rPr>
        <w:footnoteRef/>
      </w:r>
      <w:r w:rsidRPr="00EE285D">
        <w:rPr>
          <w:rFonts w:cs="Calibri"/>
        </w:rPr>
        <w:t xml:space="preserve"> Boston Medical Center license includes 100 beds out of service, and 80 beds as part of an inpatient satellite (BMC Brockton Behavioral Health Center). </w:t>
      </w:r>
    </w:p>
  </w:footnote>
  <w:footnote w:id="62">
    <w:p w14:paraId="186F9AF3" w14:textId="77777777" w:rsidR="008200D5" w:rsidRPr="00EE285D" w:rsidRDefault="008200D5" w:rsidP="008200D5">
      <w:pPr>
        <w:pStyle w:val="FootnoteText"/>
        <w:rPr>
          <w:rFonts w:cs="Calibri"/>
        </w:rPr>
      </w:pPr>
      <w:r w:rsidRPr="00EE285D">
        <w:rPr>
          <w:rStyle w:val="FootnoteReference"/>
          <w:rFonts w:cs="Calibri"/>
        </w:rPr>
        <w:footnoteRef/>
      </w:r>
      <w:r w:rsidRPr="00EE285D">
        <w:rPr>
          <w:rFonts w:cs="Calibri"/>
        </w:rPr>
        <w:t xml:space="preserve"> The following equations were used: </w:t>
      </w:r>
    </w:p>
    <w:p w14:paraId="0C9815C0" w14:textId="77777777" w:rsidR="008200D5" w:rsidRPr="00EE285D" w:rsidRDefault="008200D5" w:rsidP="00F91720">
      <w:pPr>
        <w:pStyle w:val="FootnoteText"/>
        <w:widowControl/>
        <w:numPr>
          <w:ilvl w:val="0"/>
          <w:numId w:val="25"/>
        </w:numPr>
        <w:autoSpaceDE/>
        <w:autoSpaceDN/>
        <w:rPr>
          <w:rFonts w:cs="Calibri"/>
        </w:rPr>
      </w:pPr>
      <w:r w:rsidRPr="00EE285D">
        <w:rPr>
          <w:rFonts w:cs="Calibri"/>
        </w:rPr>
        <w:t>Occupied(M/S)/Staffed (M/S), and Occupied(M/S)/Licensed(M/S)</w:t>
      </w:r>
    </w:p>
    <w:p w14:paraId="41872670" w14:textId="77777777" w:rsidR="008200D5" w:rsidRDefault="008200D5" w:rsidP="00F91720">
      <w:pPr>
        <w:pStyle w:val="FootnoteText"/>
        <w:widowControl/>
        <w:numPr>
          <w:ilvl w:val="0"/>
          <w:numId w:val="25"/>
        </w:numPr>
        <w:autoSpaceDE/>
        <w:autoSpaceDN/>
      </w:pPr>
      <w:r w:rsidRPr="00EE285D">
        <w:rPr>
          <w:rFonts w:cs="Calibri"/>
        </w:rPr>
        <w:t>Occupied</w:t>
      </w:r>
      <w:r>
        <w:rPr>
          <w:rFonts w:cs="Calibri"/>
        </w:rPr>
        <w:t>(ICU)</w:t>
      </w:r>
      <w:r w:rsidRPr="00EE285D">
        <w:rPr>
          <w:rFonts w:cs="Calibri"/>
        </w:rPr>
        <w:t xml:space="preserve">/Staffed (ICU), </w:t>
      </w:r>
      <w:r>
        <w:rPr>
          <w:rFonts w:cs="Calibri"/>
        </w:rPr>
        <w:t xml:space="preserve">and </w:t>
      </w:r>
      <w:r w:rsidRPr="00EE285D">
        <w:rPr>
          <w:rFonts w:cs="Calibri"/>
        </w:rPr>
        <w:t>Occupied</w:t>
      </w:r>
      <w:r>
        <w:rPr>
          <w:rFonts w:cs="Calibri"/>
        </w:rPr>
        <w:t>(ICU)</w:t>
      </w:r>
      <w:r w:rsidRPr="00EE285D">
        <w:rPr>
          <w:rFonts w:cs="Calibri"/>
        </w:rPr>
        <w:t>/Licensed (ICU)</w:t>
      </w:r>
    </w:p>
  </w:footnote>
  <w:footnote w:id="63">
    <w:p w14:paraId="78DA7FA9" w14:textId="319986FE" w:rsidR="008200D5" w:rsidRDefault="008200D5" w:rsidP="008200D5">
      <w:pPr>
        <w:pStyle w:val="FootnoteText"/>
      </w:pPr>
      <w:r w:rsidRPr="0036388D">
        <w:rPr>
          <w:rStyle w:val="FootnoteReference"/>
          <w:rFonts w:cs="Calibri"/>
        </w:rPr>
        <w:footnoteRef/>
      </w:r>
      <w:r w:rsidRPr="0036388D">
        <w:rPr>
          <w:rFonts w:cs="Calibri"/>
        </w:rPr>
        <w:t xml:space="preserve"> Can include unlicensed beds that can be opened and staffed within 48 hours in an emergency or when regular bed capacity has passed 100% occupancy, as well as licensed beds that can be opened, staffed, and repurposed within 48 hours to be used for something other than their licensed purpose.</w:t>
      </w:r>
      <w:r w:rsidRPr="0036388D">
        <w:rPr>
          <w:rFonts w:eastAsia="@Batang" w:cs="Calibri"/>
          <w:sz w:val="24"/>
        </w:rPr>
        <w:t xml:space="preserve"> </w:t>
      </w:r>
      <w:r w:rsidRPr="0036388D">
        <w:rPr>
          <w:rFonts w:cs="Calibri"/>
        </w:rPr>
        <w:t>Capacity Data Reporting Requirements: Appendix A.</w:t>
      </w:r>
      <w:r>
        <w:rPr>
          <w:rFonts w:cs="Calibri"/>
        </w:rPr>
        <w:t xml:space="preserve"> </w:t>
      </w:r>
    </w:p>
  </w:footnote>
  <w:footnote w:id="64">
    <w:p w14:paraId="71606297" w14:textId="77777777" w:rsidR="005A729C" w:rsidRDefault="005A729C" w:rsidP="008200D5">
      <w:pPr>
        <w:pStyle w:val="FootnoteText"/>
      </w:pPr>
      <w:r>
        <w:rPr>
          <w:rStyle w:val="FootnoteReference"/>
        </w:rPr>
        <w:footnoteRef/>
      </w:r>
      <w:r>
        <w:t xml:space="preserve"> Adult transplants, Autologous, and Allogeneic (includes Allogeneic Related and Allogeneic Unrelated). </w:t>
      </w:r>
    </w:p>
  </w:footnote>
  <w:footnote w:id="65">
    <w:p w14:paraId="1F3F01B7" w14:textId="46D80AA1" w:rsidR="00195A7E" w:rsidRDefault="00195A7E">
      <w:pPr>
        <w:pStyle w:val="FootnoteText"/>
      </w:pPr>
      <w:r>
        <w:rPr>
          <w:rStyle w:val="FootnoteReference"/>
        </w:rPr>
        <w:footnoteRef/>
      </w:r>
      <w:r>
        <w:t xml:space="preserve"> </w:t>
      </w:r>
      <w:r w:rsidRPr="00195A7E">
        <w:t>Foundation for the Accreditation of Cellular Therapy (FACT) Approved Autologous and Allogeneic.</w:t>
      </w:r>
    </w:p>
  </w:footnote>
  <w:footnote w:id="66">
    <w:p w14:paraId="1829DD86" w14:textId="7A5506A0" w:rsidR="009022CF" w:rsidRDefault="009022CF">
      <w:pPr>
        <w:pStyle w:val="FootnoteText"/>
      </w:pPr>
      <w:r>
        <w:rPr>
          <w:rStyle w:val="FootnoteReference"/>
        </w:rPr>
        <w:footnoteRef/>
      </w:r>
      <w:r>
        <w:t xml:space="preserve"> </w:t>
      </w:r>
      <w:r w:rsidRPr="009022CF">
        <w:t>FACT Approved Autologous and Allogeneic.</w:t>
      </w:r>
    </w:p>
  </w:footnote>
  <w:footnote w:id="67">
    <w:p w14:paraId="38DB04C2" w14:textId="492BCCAE" w:rsidR="0058263F" w:rsidRDefault="0058263F">
      <w:pPr>
        <w:pStyle w:val="FootnoteText"/>
      </w:pPr>
      <w:r>
        <w:rPr>
          <w:rStyle w:val="FootnoteReference"/>
        </w:rPr>
        <w:footnoteRef/>
      </w:r>
      <w:r>
        <w:t xml:space="preserve"> </w:t>
      </w:r>
      <w:r w:rsidRPr="0058263F">
        <w:t>FACT Approved Autologous and Allogeneic.</w:t>
      </w:r>
    </w:p>
  </w:footnote>
  <w:footnote w:id="68">
    <w:p w14:paraId="5DEA04C6" w14:textId="2CD35DD1" w:rsidR="00C5108C" w:rsidRDefault="00C5108C">
      <w:pPr>
        <w:pStyle w:val="FootnoteText"/>
      </w:pPr>
      <w:r>
        <w:rPr>
          <w:rStyle w:val="FootnoteReference"/>
        </w:rPr>
        <w:footnoteRef/>
      </w:r>
      <w:r>
        <w:t xml:space="preserve"> </w:t>
      </w:r>
      <w:r w:rsidRPr="00C5108C">
        <w:t>FACT Approved</w:t>
      </w:r>
      <w:r w:rsidR="004E1611">
        <w:t xml:space="preserve"> Autologous and Allogen</w:t>
      </w:r>
      <w:r w:rsidR="00951407">
        <w:t>e</w:t>
      </w:r>
      <w:r w:rsidR="004E1611">
        <w:t>ic.</w:t>
      </w:r>
    </w:p>
  </w:footnote>
  <w:footnote w:id="69">
    <w:p w14:paraId="0E32E963" w14:textId="6BAB67BB" w:rsidR="00235F94" w:rsidRDefault="00235F94">
      <w:pPr>
        <w:pStyle w:val="FootnoteText"/>
      </w:pPr>
      <w:r>
        <w:rPr>
          <w:rStyle w:val="FootnoteReference"/>
        </w:rPr>
        <w:footnoteRef/>
      </w:r>
      <w:r>
        <w:t xml:space="preserve"> </w:t>
      </w:r>
      <w:r w:rsidRPr="00235F94">
        <w:t>FACT Approved Autologous and Allogeneic.</w:t>
      </w:r>
    </w:p>
  </w:footnote>
  <w:footnote w:id="70">
    <w:p w14:paraId="2C1A7538" w14:textId="749A7F4B" w:rsidR="00EB2CBA" w:rsidRDefault="00EB2CBA">
      <w:pPr>
        <w:pStyle w:val="FootnoteText"/>
      </w:pPr>
      <w:r>
        <w:rPr>
          <w:rStyle w:val="FootnoteReference"/>
        </w:rPr>
        <w:footnoteRef/>
      </w:r>
      <w:r>
        <w:t xml:space="preserve"> </w:t>
      </w:r>
      <w:r w:rsidRPr="00EB2CBA">
        <w:t xml:space="preserve">FACT Approved </w:t>
      </w:r>
      <w:r w:rsidR="0023491C" w:rsidRPr="0023491C">
        <w:t>Autologous</w:t>
      </w:r>
      <w:r w:rsidRPr="00EB2CBA">
        <w:t>.</w:t>
      </w:r>
    </w:p>
  </w:footnote>
  <w:footnote w:id="71">
    <w:p w14:paraId="5E43DE26" w14:textId="76AB7A19" w:rsidR="00601F2B" w:rsidRDefault="00601F2B">
      <w:pPr>
        <w:pStyle w:val="FootnoteText"/>
      </w:pPr>
      <w:r>
        <w:rPr>
          <w:rStyle w:val="FootnoteReference"/>
        </w:rPr>
        <w:footnoteRef/>
      </w:r>
      <w:r>
        <w:t xml:space="preserve"> </w:t>
      </w:r>
      <w:r w:rsidRPr="00601F2B">
        <w:t>FACT Approved Autologous.</w:t>
      </w:r>
    </w:p>
  </w:footnote>
  <w:footnote w:id="72">
    <w:p w14:paraId="19B31FC9" w14:textId="39822F27" w:rsidR="008200D5" w:rsidRDefault="008200D5" w:rsidP="008200D5">
      <w:pPr>
        <w:pStyle w:val="FootnoteText"/>
      </w:pPr>
      <w:r>
        <w:rPr>
          <w:rStyle w:val="FootnoteReference"/>
        </w:rPr>
        <w:footnoteRef/>
      </w:r>
      <w:r>
        <w:t xml:space="preserve"> </w:t>
      </w:r>
      <w:r w:rsidRPr="00EB24DE">
        <w:t>CAR T-cell Therapy Program Opened in 20</w:t>
      </w:r>
      <w:r>
        <w:t>18. FACT Approved.</w:t>
      </w:r>
    </w:p>
  </w:footnote>
  <w:footnote w:id="73">
    <w:p w14:paraId="07D72F46" w14:textId="78F6F47B" w:rsidR="008200D5" w:rsidRDefault="008200D5" w:rsidP="008200D5">
      <w:pPr>
        <w:pStyle w:val="FootnoteText"/>
      </w:pPr>
      <w:r>
        <w:rPr>
          <w:rStyle w:val="FootnoteReference"/>
        </w:rPr>
        <w:footnoteRef/>
      </w:r>
      <w:r>
        <w:t xml:space="preserve"> </w:t>
      </w:r>
      <w:r w:rsidRPr="00B51496">
        <w:t>CAR T-cell Therapy Program Opened</w:t>
      </w:r>
      <w:r>
        <w:t xml:space="preserve"> in</w:t>
      </w:r>
      <w:r w:rsidRPr="00B51496">
        <w:t xml:space="preserve"> 2017</w:t>
      </w:r>
      <w:r>
        <w:t>.</w:t>
      </w:r>
      <w:r w:rsidRPr="0013378C">
        <w:t xml:space="preserve"> FACT Approved.</w:t>
      </w:r>
    </w:p>
  </w:footnote>
  <w:footnote w:id="74">
    <w:p w14:paraId="653D4E52" w14:textId="66481063" w:rsidR="008200D5" w:rsidRDefault="008200D5" w:rsidP="008200D5">
      <w:pPr>
        <w:pStyle w:val="FootnoteText"/>
      </w:pPr>
      <w:r>
        <w:rPr>
          <w:rStyle w:val="FootnoteReference"/>
        </w:rPr>
        <w:footnoteRef/>
      </w:r>
      <w:r>
        <w:t xml:space="preserve"> </w:t>
      </w:r>
      <w:r w:rsidRPr="00217BF2">
        <w:t>CAR T-cell Therapy Program Opened</w:t>
      </w:r>
      <w:r>
        <w:t xml:space="preserve"> in</w:t>
      </w:r>
      <w:r w:rsidRPr="00217BF2">
        <w:t xml:space="preserve"> 2016</w:t>
      </w:r>
      <w:r>
        <w:t>.</w:t>
      </w:r>
      <w:r w:rsidRPr="003819A3">
        <w:t xml:space="preserve"> FACT Approved.</w:t>
      </w:r>
    </w:p>
  </w:footnote>
  <w:footnote w:id="75">
    <w:p w14:paraId="7BF27AF9" w14:textId="77777777" w:rsidR="008200D5" w:rsidRDefault="008200D5" w:rsidP="008200D5">
      <w:pPr>
        <w:pStyle w:val="FootnoteText"/>
      </w:pPr>
      <w:r>
        <w:rPr>
          <w:rStyle w:val="FootnoteReference"/>
        </w:rPr>
        <w:footnoteRef/>
      </w:r>
      <w:r>
        <w:t xml:space="preserve"> </w:t>
      </w:r>
      <w:r w:rsidRPr="00E869CD">
        <w:t>CAR T-cell Therapy Program Opened in 2022</w:t>
      </w:r>
      <w:r w:rsidRPr="008C72A1">
        <w:t>.</w:t>
      </w:r>
    </w:p>
  </w:footnote>
  <w:footnote w:id="76">
    <w:p w14:paraId="2064A4D6" w14:textId="77777777" w:rsidR="008200D5" w:rsidRDefault="008200D5" w:rsidP="008200D5">
      <w:pPr>
        <w:pStyle w:val="FootnoteText"/>
      </w:pPr>
      <w:r>
        <w:rPr>
          <w:rStyle w:val="FootnoteReference"/>
        </w:rPr>
        <w:footnoteRef/>
      </w:r>
      <w:r>
        <w:t xml:space="preserve"> </w:t>
      </w:r>
      <w:r w:rsidRPr="007D7BDE">
        <w:t>CAR T-cell Therapy Program Opened in 2022.</w:t>
      </w:r>
    </w:p>
  </w:footnote>
  <w:footnote w:id="77">
    <w:p w14:paraId="50145B51" w14:textId="541AE1A5" w:rsidR="008200D5" w:rsidRDefault="008200D5" w:rsidP="008200D5">
      <w:pPr>
        <w:pStyle w:val="FootnoteText"/>
      </w:pPr>
      <w:r>
        <w:rPr>
          <w:rStyle w:val="FootnoteReference"/>
        </w:rPr>
        <w:footnoteRef/>
      </w:r>
      <w:r>
        <w:t xml:space="preserve"> </w:t>
      </w:r>
      <w:r w:rsidRPr="00F52193">
        <w:t>CAR T-cell Therapy Program Opened in 2019.</w:t>
      </w:r>
      <w:r w:rsidRPr="0038609D">
        <w:rPr>
          <w:sz w:val="24"/>
        </w:rPr>
        <w:t xml:space="preserve"> </w:t>
      </w:r>
      <w:r w:rsidRPr="0038609D">
        <w:t>FACT</w:t>
      </w:r>
      <w:r w:rsidR="00241454">
        <w:t xml:space="preserve"> </w:t>
      </w:r>
      <w:r w:rsidRPr="0038609D">
        <w:t>Approved.</w:t>
      </w:r>
    </w:p>
  </w:footnote>
  <w:footnote w:id="78">
    <w:p w14:paraId="5AFFD98D" w14:textId="34AF15FB" w:rsidR="00403AC5" w:rsidRPr="00BA2054" w:rsidRDefault="00403AC5" w:rsidP="00403AC5">
      <w:pPr>
        <w:pStyle w:val="FootnoteText"/>
      </w:pPr>
      <w:r w:rsidRPr="00BA2054">
        <w:rPr>
          <w:rStyle w:val="FootnoteReference"/>
        </w:rPr>
        <w:footnoteRef/>
      </w:r>
      <w:r w:rsidR="003B70E8">
        <w:t xml:space="preserve"> The Applicant states that the table i</w:t>
      </w:r>
      <w:r w:rsidRPr="00BA2054">
        <w:t>ncludes imaging equipment utilization for inpatient patients under the care of the Applicant’s oncologists in the Applicant’s</w:t>
      </w:r>
      <w:r w:rsidR="007D0E54" w:rsidRPr="00BA2054">
        <w:t xml:space="preserve"> 30</w:t>
      </w:r>
      <w:r w:rsidRPr="00BA2054">
        <w:t xml:space="preserve"> licensed beds </w:t>
      </w:r>
      <w:r w:rsidR="00D00080">
        <w:t xml:space="preserve">and that the data were </w:t>
      </w:r>
      <w:r w:rsidRPr="00BA2054">
        <w:t>derived in part using imaging order data due to contractual confidentiality restrictions.</w:t>
      </w:r>
    </w:p>
  </w:footnote>
  <w:footnote w:id="79">
    <w:p w14:paraId="77927A42" w14:textId="44A7E8E3" w:rsidR="0044777F" w:rsidRDefault="0044777F">
      <w:pPr>
        <w:pStyle w:val="FootnoteText"/>
      </w:pPr>
      <w:r>
        <w:rPr>
          <w:rStyle w:val="FootnoteReference"/>
        </w:rPr>
        <w:footnoteRef/>
      </w:r>
      <w:r>
        <w:t xml:space="preserve"> </w:t>
      </w:r>
      <w:r w:rsidR="005D6FEA">
        <w:t xml:space="preserve">The Applicant states that </w:t>
      </w:r>
      <w:r w:rsidR="009E0C8B">
        <w:t xml:space="preserve">Dana-Farber </w:t>
      </w:r>
      <w:r w:rsidR="009E0C8B" w:rsidRPr="009E0C8B">
        <w:t xml:space="preserve">calculates </w:t>
      </w:r>
      <w:r w:rsidR="009E0C8B">
        <w:t xml:space="preserve">inpatient imaging </w:t>
      </w:r>
      <w:r w:rsidR="009E0C8B" w:rsidRPr="009E0C8B">
        <w:t>“wait time” by measuring, in hours, the difference between the time the service is ordered by a physician and the time it is completed. Measurement includes data for Dana-Farber-licensed beds only and excludes orders with emergency priority.</w:t>
      </w:r>
      <w:r w:rsidR="00DE56A1">
        <w:t xml:space="preserve"> For outpatient imaging, Dana-Farber calculates “wait time” by the number of hours from the time of order to third next available appointment (calendar days). </w:t>
      </w:r>
      <w:r w:rsidR="00BC1819">
        <w:t xml:space="preserve">This does not include same-day orders with emergency priority. </w:t>
      </w:r>
    </w:p>
  </w:footnote>
  <w:footnote w:id="80">
    <w:p w14:paraId="7CA989D8" w14:textId="77777777" w:rsidR="00BE259B" w:rsidRPr="00E52C17" w:rsidRDefault="00BE259B" w:rsidP="00C65993">
      <w:pPr>
        <w:pStyle w:val="FootnoteText"/>
      </w:pPr>
      <w:r w:rsidRPr="00E52C17">
        <w:rPr>
          <w:rStyle w:val="FootnoteReference"/>
        </w:rPr>
        <w:footnoteRef/>
      </w:r>
      <w:r w:rsidRPr="00E52C17">
        <w:t xml:space="preserve"> Initial Applicant data on CT scans was produced on an appointment-level basis. The Applicant estimates, based on internal data, that, on average during an appointment, a patient receives approximately 1.6 scans. As such, initial CT appointment-level data was multiplied by 1.6 to produce scan-level data.  </w:t>
      </w:r>
    </w:p>
  </w:footnote>
  <w:footnote w:id="81">
    <w:p w14:paraId="24D32FDB" w14:textId="59E22807" w:rsidR="004E24AF" w:rsidRDefault="004E24AF">
      <w:pPr>
        <w:pStyle w:val="FootnoteText"/>
      </w:pPr>
      <w:r>
        <w:rPr>
          <w:rStyle w:val="FootnoteReference"/>
        </w:rPr>
        <w:footnoteRef/>
      </w:r>
      <w:r>
        <w:t xml:space="preserve"> The Applicant states that i</w:t>
      </w:r>
      <w:r w:rsidRPr="004E24AF">
        <w:t>npatient throughput assumptions reflect estimates of operational days and hours where the imaging equipment in question is expected to be routinely productive</w:t>
      </w:r>
      <w:r>
        <w:t xml:space="preserve">, and </w:t>
      </w:r>
      <w:r w:rsidRPr="004E24AF">
        <w:t>that in the inpatient setting, imaging will need to be available outside of normal operating hours</w:t>
      </w:r>
      <w:r w:rsidR="00EA7AD7">
        <w:t>.</w:t>
      </w:r>
    </w:p>
  </w:footnote>
  <w:footnote w:id="82">
    <w:p w14:paraId="4DED85B7" w14:textId="64F54E9E" w:rsidR="00BD735A" w:rsidRDefault="00BD735A" w:rsidP="00BD735A">
      <w:pPr>
        <w:pStyle w:val="FootnoteText"/>
      </w:pPr>
      <w:r>
        <w:rPr>
          <w:rStyle w:val="FootnoteReference"/>
        </w:rPr>
        <w:footnoteRef/>
      </w:r>
      <w:r>
        <w:t xml:space="preserve"> </w:t>
      </w:r>
      <w:r w:rsidR="00F1464B">
        <w:t xml:space="preserve">This table includes the total number of radiation oncology treatments for FY18 through FY23. </w:t>
      </w:r>
    </w:p>
  </w:footnote>
  <w:footnote w:id="83">
    <w:p w14:paraId="154569F0" w14:textId="5C341CA1" w:rsidR="00FA095F" w:rsidRDefault="00FA095F">
      <w:pPr>
        <w:pStyle w:val="FootnoteText"/>
      </w:pPr>
      <w:r>
        <w:rPr>
          <w:rStyle w:val="FootnoteReference"/>
        </w:rPr>
        <w:footnoteRef/>
      </w:r>
      <w:r>
        <w:t xml:space="preserve"> This </w:t>
      </w:r>
      <w:r w:rsidRPr="00FA095F">
        <w:t>table represents the data for the Longwood Medical Campus, inclusive of the Applicant’s Chestnut Hill location</w:t>
      </w:r>
      <w:r w:rsidR="00CA3873">
        <w:t>.</w:t>
      </w:r>
    </w:p>
  </w:footnote>
  <w:footnote w:id="84">
    <w:p w14:paraId="53EFFF14" w14:textId="3C961FDB" w:rsidR="00A10298" w:rsidRDefault="00A10298">
      <w:pPr>
        <w:pStyle w:val="FootnoteText"/>
      </w:pPr>
      <w:r>
        <w:rPr>
          <w:rStyle w:val="FootnoteReference"/>
        </w:rPr>
        <w:footnoteRef/>
      </w:r>
      <w:r>
        <w:t xml:space="preserve"> </w:t>
      </w:r>
      <w:r w:rsidR="000B4BC8" w:rsidRPr="000B4BC8">
        <w:t>Other Oncology” includes patients assigned to the following disease centers: Cutaneous Oncology Center, Sarcoma and Bone Oncology, Hematologic Malignancies, Melanoma Center, and Neuro-Oncology Center.</w:t>
      </w:r>
    </w:p>
  </w:footnote>
  <w:footnote w:id="85">
    <w:p w14:paraId="7E6827EF" w14:textId="352E5704" w:rsidR="003C0B2D" w:rsidRDefault="003C0B2D">
      <w:pPr>
        <w:pStyle w:val="FootnoteText"/>
      </w:pPr>
      <w:r>
        <w:rPr>
          <w:rStyle w:val="FootnoteReference"/>
        </w:rPr>
        <w:footnoteRef/>
      </w:r>
      <w:r>
        <w:t xml:space="preserve"> The Applicant states that this is </w:t>
      </w:r>
      <w:r w:rsidRPr="003C0B2D">
        <w:t>inclusive of time spent receiving other treatments/services prior to radiation therapy</w:t>
      </w:r>
      <w:r>
        <w:t>.</w:t>
      </w:r>
      <w:r w:rsidR="002D18FF" w:rsidRPr="002D18FF">
        <w:rPr>
          <w:sz w:val="24"/>
        </w:rPr>
        <w:t xml:space="preserve"> </w:t>
      </w:r>
      <w:r w:rsidR="002D18FF" w:rsidRPr="002D18FF">
        <w:t>For outpatient LINAC, Dana-Farber calculates “wait time” by averaging the time between a new patient consult by a radiation oncologist at Dana-Farber and the first radiation therapy treatment thereafter. It does not include time spent receiving other treatments such as CT simulation and chemotherapy, prior to the receipt of radiation therapy.</w:t>
      </w:r>
    </w:p>
  </w:footnote>
  <w:footnote w:id="86">
    <w:p w14:paraId="1F7825BB" w14:textId="688F7233" w:rsidR="00440D08" w:rsidRDefault="00440D08">
      <w:pPr>
        <w:pStyle w:val="FootnoteText"/>
      </w:pPr>
      <w:r>
        <w:rPr>
          <w:rStyle w:val="FootnoteReference"/>
        </w:rPr>
        <w:footnoteRef/>
      </w:r>
      <w:r>
        <w:t xml:space="preserve"> </w:t>
      </w:r>
      <w:r w:rsidRPr="00440D08">
        <w:t>The Applicant states that it expects any future addition of the BIDMC LINACs would be the subject of a separate Determination of Need application.</w:t>
      </w:r>
    </w:p>
  </w:footnote>
  <w:footnote w:id="87">
    <w:p w14:paraId="6D18E47A" w14:textId="3BEB07FD" w:rsidR="0072599F" w:rsidRDefault="0072599F">
      <w:pPr>
        <w:pStyle w:val="FootnoteText"/>
      </w:pPr>
      <w:r w:rsidRPr="00E64C1E">
        <w:rPr>
          <w:rStyle w:val="FootnoteReference"/>
        </w:rPr>
        <w:footnoteRef/>
      </w:r>
      <w:r w:rsidRPr="00E64C1E">
        <w:t xml:space="preserve"> ICA Report page </w:t>
      </w:r>
      <w:r w:rsidR="00E64C1E" w:rsidRPr="00E64C1E">
        <w:t>24</w:t>
      </w:r>
      <w:r w:rsidRPr="00E64C1E">
        <w:t>.</w:t>
      </w:r>
      <w:r>
        <w:t xml:space="preserve"> </w:t>
      </w:r>
    </w:p>
  </w:footnote>
  <w:footnote w:id="88">
    <w:p w14:paraId="25655B36" w14:textId="2A8B9C7B" w:rsidR="00265B76" w:rsidRDefault="00265B76">
      <w:pPr>
        <w:pStyle w:val="FootnoteText"/>
      </w:pPr>
      <w:r w:rsidRPr="0098383F">
        <w:rPr>
          <w:rStyle w:val="FootnoteReference"/>
        </w:rPr>
        <w:footnoteRef/>
      </w:r>
      <w:r w:rsidRPr="0098383F">
        <w:t xml:space="preserve"> ICA Report, pg. 3</w:t>
      </w:r>
      <w:r w:rsidR="0098383F" w:rsidRPr="0098383F">
        <w:t>6</w:t>
      </w:r>
      <w:r w:rsidRPr="0098383F">
        <w:t>.</w:t>
      </w:r>
    </w:p>
  </w:footnote>
  <w:footnote w:id="89">
    <w:p w14:paraId="648648E8" w14:textId="31D5E328" w:rsidR="00155855" w:rsidRPr="00F744B7" w:rsidRDefault="00155855" w:rsidP="00155855">
      <w:pPr>
        <w:pStyle w:val="FootnoteText"/>
      </w:pPr>
      <w:r w:rsidRPr="00F744B7">
        <w:rPr>
          <w:rStyle w:val="FootnoteReference"/>
        </w:rPr>
        <w:footnoteRef/>
      </w:r>
      <w:r w:rsidRPr="00F744B7">
        <w:t xml:space="preserve"> The analysis compared survival between four different hospital types: (1) 11 freestanding cancer hospitals that are exempt from the Medicare prospective payment system (PPS-Exempt), (2) 32 NCI-designated cancer centers that are not PPS-Exempt, (3) 252 other academic teaching hospitals, and (4) 4,873 community hospitals.</w:t>
      </w:r>
    </w:p>
  </w:footnote>
  <w:footnote w:id="90">
    <w:p w14:paraId="4A3552DE" w14:textId="7B528BC1" w:rsidR="008A519D" w:rsidRDefault="008A519D" w:rsidP="008A519D">
      <w:pPr>
        <w:pStyle w:val="FootnoteText"/>
      </w:pPr>
      <w:r>
        <w:rPr>
          <w:rStyle w:val="FootnoteReference"/>
        </w:rPr>
        <w:footnoteRef/>
      </w:r>
      <w:r>
        <w:t xml:space="preserve"> </w:t>
      </w:r>
      <w:r w:rsidR="00A32428">
        <w:t>The</w:t>
      </w:r>
      <w:r w:rsidR="009A16DF">
        <w:t xml:space="preserve"> example</w:t>
      </w:r>
      <w:r w:rsidR="00A32428">
        <w:t xml:space="preserve"> cited by the Applicant </w:t>
      </w:r>
      <w:r w:rsidR="00A04A25">
        <w:t>concerned</w:t>
      </w:r>
      <w:r>
        <w:t xml:space="preserve"> masking, utilization of air-controlled spaces, triage of patient locations, </w:t>
      </w:r>
      <w:r w:rsidR="00C25829">
        <w:t xml:space="preserve">and </w:t>
      </w:r>
      <w:r>
        <w:t>allocation of staff</w:t>
      </w:r>
      <w:r w:rsidR="00C25829">
        <w:t>.</w:t>
      </w:r>
    </w:p>
  </w:footnote>
  <w:footnote w:id="91">
    <w:p w14:paraId="611059B5" w14:textId="3A298993" w:rsidR="0017581C" w:rsidRDefault="0017581C">
      <w:pPr>
        <w:pStyle w:val="FootnoteText"/>
      </w:pPr>
      <w:r>
        <w:rPr>
          <w:rStyle w:val="FootnoteReference"/>
        </w:rPr>
        <w:footnoteRef/>
      </w:r>
      <w:r>
        <w:t xml:space="preserve"> </w:t>
      </w:r>
      <w:r w:rsidR="008009D6">
        <w:t xml:space="preserve">The Applicant states that </w:t>
      </w:r>
      <w:r w:rsidR="008009D6" w:rsidRPr="008009D6">
        <w:t>certain benchmarking data recommended and adopted for National Cancer Institute-designated comprehensive cancer centers (e.g., ability to administer intravenous antibiotics within 30 minutes of presentation with fever and neutropenia (an oncologic emergency)) are not routinely collected in general acute care hospitals, including AMCs</w:t>
      </w:r>
      <w:r w:rsidR="007934A7">
        <w:t>.</w:t>
      </w:r>
    </w:p>
  </w:footnote>
  <w:footnote w:id="92">
    <w:p w14:paraId="60CFC96A" w14:textId="429E4B87" w:rsidR="00F15CAC" w:rsidRDefault="00F15CAC">
      <w:pPr>
        <w:pStyle w:val="FootnoteText"/>
      </w:pPr>
      <w:r>
        <w:rPr>
          <w:rStyle w:val="FootnoteReference"/>
        </w:rPr>
        <w:footnoteRef/>
      </w:r>
      <w:r>
        <w:t xml:space="preserve"> The </w:t>
      </w:r>
      <w:r w:rsidR="000F78B8">
        <w:t xml:space="preserve">Cancer-Focused </w:t>
      </w:r>
      <w:r>
        <w:t>CHNA states</w:t>
      </w:r>
      <w:r w:rsidR="007E188A">
        <w:t>, “</w:t>
      </w:r>
      <w:r w:rsidR="007E188A" w:rsidRPr="007E188A">
        <w:t>Consistent with the previous CHNA, this effort focused on Dana-Farber’s priority neighborhoods for</w:t>
      </w:r>
      <w:r w:rsidR="002E6CB9">
        <w:t xml:space="preserve"> </w:t>
      </w:r>
      <w:r w:rsidR="007E188A" w:rsidRPr="007E188A">
        <w:t>Community Benefits work – Roxbury, Mission Hill, Dorchester, Mattapan, and Jamaica Plain depicted in</w:t>
      </w:r>
      <w:r w:rsidR="00B40193">
        <w:t xml:space="preserve"> </w:t>
      </w:r>
      <w:r w:rsidR="007E188A" w:rsidRPr="007E188A">
        <w:t>Figure 2 below – which are some of Boston’s most diverse communities.</w:t>
      </w:r>
      <w:r w:rsidR="007E188A">
        <w:t>”</w:t>
      </w:r>
    </w:p>
  </w:footnote>
  <w:footnote w:id="93">
    <w:p w14:paraId="49C98160" w14:textId="2A9B2D91" w:rsidR="000A218A" w:rsidRPr="00284D2B" w:rsidRDefault="000A218A">
      <w:pPr>
        <w:pStyle w:val="FootnoteText"/>
      </w:pPr>
      <w:r>
        <w:rPr>
          <w:rStyle w:val="FootnoteReference"/>
        </w:rPr>
        <w:footnoteRef/>
      </w:r>
      <w:r>
        <w:t xml:space="preserve"> </w:t>
      </w:r>
      <w:r w:rsidR="00FB4CD8">
        <w:t xml:space="preserve">Six requirements: </w:t>
      </w:r>
      <w:r w:rsidRPr="000A218A">
        <w:t xml:space="preserve">Identify an individual to lead activities to improve health care equity • Assess the patient’s health-related social needs • Analyze quality and safety data to identify disparities • Develop an action plan to improve health care equity • Take </w:t>
      </w:r>
      <w:r w:rsidRPr="00284D2B">
        <w:t>action when the organization does not meet the goals in its action plan • Inform key stakeholders about progress to improve health care equity</w:t>
      </w:r>
      <w:r w:rsidR="00D61167" w:rsidRPr="00284D2B">
        <w:t xml:space="preserve">. </w:t>
      </w:r>
    </w:p>
  </w:footnote>
  <w:footnote w:id="94">
    <w:p w14:paraId="557C576C" w14:textId="77777777" w:rsidR="004A469B" w:rsidRDefault="004A469B" w:rsidP="004A469B">
      <w:pPr>
        <w:pStyle w:val="FootnoteText"/>
      </w:pPr>
      <w:r w:rsidRPr="00284D2B">
        <w:rPr>
          <w:rStyle w:val="FootnoteReference"/>
        </w:rPr>
        <w:footnoteRef/>
      </w:r>
      <w:r w:rsidRPr="00284D2B">
        <w:t xml:space="preserve"> Under the agreement, which was finalized in December 2020, Dana-Farber and all its Massachusetts hospital-based satellite sites are now in-network providers for the approximately 325,000 members of the BMCHP, which is the second largest MassHealth managed-care plan in the Commonwealth.</w:t>
      </w:r>
    </w:p>
  </w:footnote>
  <w:footnote w:id="95">
    <w:p w14:paraId="6A9CF389" w14:textId="2845CB60" w:rsidR="00E16359" w:rsidRDefault="00E16359">
      <w:pPr>
        <w:pStyle w:val="FootnoteText"/>
      </w:pPr>
      <w:r>
        <w:rPr>
          <w:rStyle w:val="FootnoteReference"/>
        </w:rPr>
        <w:footnoteRef/>
      </w:r>
      <w:r>
        <w:t xml:space="preserve"> </w:t>
      </w:r>
      <w:r w:rsidRPr="00E16359">
        <w:t xml:space="preserve">Examples of drugs not covered by MassHealth </w:t>
      </w:r>
      <w:r w:rsidR="00020A9C">
        <w:t>that were cited by the Applicant</w:t>
      </w:r>
      <w:r w:rsidRPr="00E16359">
        <w:t xml:space="preserve"> include Pluvicto (approved by the U.S. Food and Drug Administration </w:t>
      </w:r>
      <w:r w:rsidR="00985E19">
        <w:t>(</w:t>
      </w:r>
      <w:r w:rsidRPr="00E16359">
        <w:t>FDA</w:t>
      </w:r>
      <w:r w:rsidR="00985E19">
        <w:t>)</w:t>
      </w:r>
      <w:r w:rsidRPr="00E16359">
        <w:t xml:space="preserve"> in 2022 to treat certain types of prostate cancer) and Enhertu (approved by the FDA in 2019 to treat certain types of breast, gastric, and esophageal cancers).</w:t>
      </w:r>
    </w:p>
  </w:footnote>
  <w:footnote w:id="96">
    <w:p w14:paraId="33FC6C84" w14:textId="61A12369" w:rsidR="008B5080" w:rsidRDefault="008B5080" w:rsidP="00FC7882">
      <w:pPr>
        <w:pStyle w:val="FootnoteText"/>
      </w:pPr>
      <w:r>
        <w:rPr>
          <w:rStyle w:val="FootnoteReference"/>
        </w:rPr>
        <w:footnoteRef/>
      </w:r>
      <w:r>
        <w:t xml:space="preserve"> </w:t>
      </w:r>
      <w:r w:rsidR="00FC7882">
        <w:t xml:space="preserve">The Applicant states that there are three MassHealth ACOs that are </w:t>
      </w:r>
      <w:r w:rsidR="001E2928">
        <w:t>out</w:t>
      </w:r>
      <w:r w:rsidR="00845638">
        <w:t>-</w:t>
      </w:r>
      <w:r w:rsidR="001E2928">
        <w:t>of</w:t>
      </w:r>
      <w:r w:rsidR="00845638">
        <w:t>-</w:t>
      </w:r>
      <w:r w:rsidR="001E2928">
        <w:t>network</w:t>
      </w:r>
      <w:r w:rsidR="00FC7882">
        <w:t xml:space="preserve"> for the Applicant: (1) Fallon 265 Care ACO; (2) Berkshire Fallon Health Collaborative ACO; and (3) Health New England BeHealthy ACO.</w:t>
      </w:r>
    </w:p>
  </w:footnote>
  <w:footnote w:id="97">
    <w:p w14:paraId="25A33A29" w14:textId="69157FA5" w:rsidR="00D56999" w:rsidRPr="007750A3" w:rsidRDefault="00D56999" w:rsidP="00D56999">
      <w:pPr>
        <w:pStyle w:val="FootnoteText"/>
        <w:rPr>
          <w:i/>
          <w:iCs/>
        </w:rPr>
      </w:pPr>
      <w:r w:rsidRPr="007750A3">
        <w:rPr>
          <w:rStyle w:val="FootnoteReference"/>
        </w:rPr>
        <w:footnoteRef/>
      </w:r>
      <w:r w:rsidRPr="007750A3">
        <w:t xml:space="preserve"> For inpatient services, relative price compares prices paid to different providers within a payer’s network, while accounting for differences in the intensity of services. </w:t>
      </w:r>
    </w:p>
  </w:footnote>
  <w:footnote w:id="98">
    <w:p w14:paraId="6701C334" w14:textId="77777777" w:rsidR="007F346A" w:rsidRPr="00A53810" w:rsidRDefault="007F346A" w:rsidP="007F346A">
      <w:pPr>
        <w:pStyle w:val="FootnoteText"/>
      </w:pPr>
      <w:r w:rsidRPr="00A53810">
        <w:rPr>
          <w:rStyle w:val="FootnoteReference"/>
        </w:rPr>
        <w:footnoteRef/>
      </w:r>
      <w:r w:rsidRPr="00A53810">
        <w:t xml:space="preserve"> The Social Security Amendments of 1983 exempted classified cancer hospitals from the Medicare Inpatient Prospective Payment System (IPPS). </w:t>
      </w:r>
      <w:hyperlink r:id="rId2" w:history="1">
        <w:r w:rsidRPr="00A53810">
          <w:rPr>
            <w:rStyle w:val="Hyperlink"/>
          </w:rPr>
          <w:t>https://data.cms.gov/provider-data/topics/hospitals/pps-exempt-cancer-hospitals</w:t>
        </w:r>
      </w:hyperlink>
      <w:r w:rsidRPr="00A53810">
        <w:t xml:space="preserve"> </w:t>
      </w:r>
    </w:p>
  </w:footnote>
  <w:footnote w:id="99">
    <w:p w14:paraId="757D9039" w14:textId="0E724783" w:rsidR="002C01D2" w:rsidRDefault="002C01D2">
      <w:pPr>
        <w:pStyle w:val="FootnoteText"/>
      </w:pPr>
      <w:r>
        <w:rPr>
          <w:rStyle w:val="FootnoteReference"/>
        </w:rPr>
        <w:footnoteRef/>
      </w:r>
      <w:r>
        <w:t xml:space="preserve"> </w:t>
      </w:r>
      <w:r w:rsidRPr="002C01D2">
        <w:t>The Applicant notes that Medicare funding for capital expenditures may be available, but that the additional funding will consist entirely of federal funds and therefore will not increase out-of-pocket expenditures, like co-insurance, by Massachusetts residents.</w:t>
      </w:r>
    </w:p>
  </w:footnote>
  <w:footnote w:id="100">
    <w:p w14:paraId="7C503F3A" w14:textId="78CEDC3E" w:rsidR="008670AA" w:rsidRPr="007006D9" w:rsidRDefault="008670AA" w:rsidP="008670AA">
      <w:pPr>
        <w:pStyle w:val="FootnoteText"/>
        <w:rPr>
          <w:sz w:val="18"/>
          <w:szCs w:val="18"/>
        </w:rPr>
      </w:pPr>
      <w:r w:rsidRPr="003E6B08">
        <w:rPr>
          <w:rStyle w:val="FootnoteReference"/>
        </w:rPr>
        <w:footnoteRef/>
      </w:r>
      <w:r w:rsidRPr="003E6B08">
        <w:t xml:space="preserve"> Based on the Applicant’s 4,887 unique patients in 2022, that 43.4% </w:t>
      </w:r>
      <w:r w:rsidR="006219A0" w:rsidRPr="003E6B08">
        <w:t xml:space="preserve">or approximately 2,121 </w:t>
      </w:r>
      <w:r w:rsidRPr="003E6B08">
        <w:t>of those patients were Medicare beneficiaries</w:t>
      </w:r>
      <w:r w:rsidR="006219A0" w:rsidRPr="003E6B08">
        <w:t xml:space="preserve">, </w:t>
      </w:r>
      <w:r w:rsidRPr="003E6B08">
        <w:t>and average savings per discharge of $10,582.</w:t>
      </w:r>
      <w:r w:rsidRPr="007006D9">
        <w:rPr>
          <w:sz w:val="18"/>
          <w:szCs w:val="18"/>
        </w:rPr>
        <w:t xml:space="preserve"> </w:t>
      </w:r>
    </w:p>
  </w:footnote>
  <w:footnote w:id="101">
    <w:p w14:paraId="2DBD5D69" w14:textId="1E9779B0" w:rsidR="006E434E" w:rsidRDefault="006E434E">
      <w:pPr>
        <w:pStyle w:val="FootnoteText"/>
      </w:pPr>
      <w:r>
        <w:rPr>
          <w:rStyle w:val="FootnoteReference"/>
        </w:rPr>
        <w:footnoteRef/>
      </w:r>
      <w:r>
        <w:t xml:space="preserve"> ICA Report, pg. </w:t>
      </w:r>
      <w:r w:rsidR="00CE3AF8">
        <w:t xml:space="preserve">16. </w:t>
      </w:r>
    </w:p>
  </w:footnote>
  <w:footnote w:id="102">
    <w:p w14:paraId="46D896A4" w14:textId="77777777" w:rsidR="00DF6BA2" w:rsidRDefault="00DF6BA2" w:rsidP="00DF6BA2">
      <w:pPr>
        <w:pStyle w:val="FootnoteText"/>
      </w:pPr>
      <w:r>
        <w:rPr>
          <w:rStyle w:val="FootnoteReference"/>
        </w:rPr>
        <w:footnoteRef/>
      </w:r>
      <w:r>
        <w:t xml:space="preserve"> Inpatient cancer care is defined in the ICA Report as all inpatient admissions with a cancer care diagnosis. </w:t>
      </w:r>
    </w:p>
  </w:footnote>
  <w:footnote w:id="103">
    <w:p w14:paraId="75C943E3" w14:textId="26B4A4D8" w:rsidR="00DF6BA2" w:rsidRDefault="00DF6BA2" w:rsidP="00DF6BA2">
      <w:pPr>
        <w:pStyle w:val="FootnoteText"/>
      </w:pPr>
      <w:r w:rsidRPr="00724136">
        <w:rPr>
          <w:rStyle w:val="FootnoteReference"/>
          <w:rFonts w:cs="Calibri"/>
        </w:rPr>
        <w:footnoteRef/>
      </w:r>
      <w:r w:rsidRPr="00724136">
        <w:rPr>
          <w:rFonts w:cs="Calibri"/>
        </w:rPr>
        <w:t xml:space="preserve"> </w:t>
      </w:r>
      <w:r w:rsidR="00594389">
        <w:rPr>
          <w:rFonts w:cs="Calibri"/>
        </w:rPr>
        <w:t>ICA Report</w:t>
      </w:r>
      <w:r w:rsidRPr="51A45125">
        <w:rPr>
          <w:rFonts w:cs="Calibri"/>
        </w:rPr>
        <w:t xml:space="preserve">, pg. 31. </w:t>
      </w:r>
    </w:p>
  </w:footnote>
  <w:footnote w:id="104">
    <w:p w14:paraId="453E4BC8" w14:textId="77777777" w:rsidR="00DF6BA2" w:rsidRDefault="00DF6BA2" w:rsidP="00DF6BA2">
      <w:pPr>
        <w:pStyle w:val="FootnoteText"/>
      </w:pPr>
      <w:r>
        <w:rPr>
          <w:rStyle w:val="FootnoteReference"/>
        </w:rPr>
        <w:footnoteRef/>
      </w:r>
      <w:r>
        <w:t xml:space="preserve"> The ICA report states that the service lines were not restricted to patients with cancer diagnoses or to cancer care providers because cancer patients are not restricted from receiving imaging services from only cancer providers. </w:t>
      </w:r>
    </w:p>
  </w:footnote>
  <w:footnote w:id="105">
    <w:p w14:paraId="3691A9E9" w14:textId="24F43972" w:rsidR="005D7FCA" w:rsidRDefault="005D7FCA" w:rsidP="005D7FCA">
      <w:pPr>
        <w:pStyle w:val="FootnoteText"/>
      </w:pPr>
      <w:r>
        <w:rPr>
          <w:rStyle w:val="FootnoteReference"/>
        </w:rPr>
        <w:footnoteRef/>
      </w:r>
      <w:r>
        <w:t xml:space="preserve"> MGB estimates 30% of BWH patients currently receiving cancer care at BWH may move to the new facility, amounting to 1,900 discharges a year. Dana-Farber estimates that 3,600 patients (based on ADC and ALOS provided in the DoN application) a year will come from BIDMC patients. Dana-Farber predicts that 20% of patients will be from out-of-state or out-of-country.</w:t>
      </w:r>
    </w:p>
  </w:footnote>
  <w:footnote w:id="106">
    <w:p w14:paraId="24882892" w14:textId="1DB02852" w:rsidR="00263EAB" w:rsidRDefault="00263EAB" w:rsidP="00263EAB">
      <w:pPr>
        <w:pStyle w:val="FootnoteText"/>
        <w:rPr>
          <w:rFonts w:asciiTheme="minorHAnsi" w:hAnsiTheme="minorHAnsi" w:cstheme="minorBidi"/>
        </w:rPr>
      </w:pPr>
      <w:r>
        <w:rPr>
          <w:rStyle w:val="FootnoteReference"/>
        </w:rPr>
        <w:footnoteRef/>
      </w:r>
      <w:r>
        <w:t xml:space="preserve"> The lower bound </w:t>
      </w:r>
      <w:r w:rsidR="009109E2">
        <w:t xml:space="preserve">is </w:t>
      </w:r>
      <w:r>
        <w:t xml:space="preserve">based on BWH’s current cost structure for inpatient beds and the upper bound </w:t>
      </w:r>
      <w:r w:rsidR="009109E2">
        <w:t xml:space="preserve">is </w:t>
      </w:r>
      <w:r>
        <w:t>based on a Government Accountability Office (GAO) report which estimated that PPS-Exempt cancer hospitals (PCHs) received, on average, about 42</w:t>
      </w:r>
      <w:r w:rsidR="009109E2">
        <w:t xml:space="preserve">% </w:t>
      </w:r>
      <w:r>
        <w:t>more in Medicare inpatient payments per discharge than a prospective payment systems (PPS) teaching hospital in the same geographic area to treat cancer beneficiaries with the same level of complexity.</w:t>
      </w:r>
    </w:p>
  </w:footnote>
  <w:footnote w:id="107">
    <w:p w14:paraId="16892D87" w14:textId="2A8C6E4E" w:rsidR="00263EAB" w:rsidRDefault="00263EAB" w:rsidP="00263EAB">
      <w:pPr>
        <w:pStyle w:val="FootnoteText"/>
      </w:pPr>
      <w:r>
        <w:rPr>
          <w:rStyle w:val="FootnoteReference"/>
        </w:rPr>
        <w:footnoteRef/>
      </w:r>
      <w:r>
        <w:t xml:space="preserve"> </w:t>
      </w:r>
      <w:r w:rsidR="005B04D2">
        <w:t>MGB states that this a</w:t>
      </w:r>
      <w:r>
        <w:t>ssum</w:t>
      </w:r>
      <w:r w:rsidR="005B04D2">
        <w:t>es</w:t>
      </w:r>
      <w:r>
        <w:t xml:space="preserve"> a commercial rate level of 1.19, which is the mid-point between MGB AMC relative price based on CHIA 2022 reporting (1.29) and estimated Dana-Farber relative price for inpatient services blended by BWH commercial payer (1.09), from the ICA. </w:t>
      </w:r>
    </w:p>
  </w:footnote>
  <w:footnote w:id="108">
    <w:p w14:paraId="13D85FB3" w14:textId="18576618" w:rsidR="00E3117C" w:rsidRDefault="00E3117C">
      <w:pPr>
        <w:pStyle w:val="FootnoteText"/>
      </w:pPr>
      <w:r>
        <w:rPr>
          <w:rStyle w:val="FootnoteReference"/>
        </w:rPr>
        <w:footnoteRef/>
      </w:r>
      <w:r>
        <w:t xml:space="preserve"> </w:t>
      </w:r>
      <w:r w:rsidRPr="003B2CD4">
        <w:rPr>
          <w:rFonts w:asciiTheme="minorHAnsi" w:hAnsiTheme="minorHAnsi"/>
        </w:rPr>
        <w:t>Ambulatory data captures patients screened through the Dana-Farber CARES (Collecting and Responding to Social Needs) program and Cancer Care Equity Program (CCEP) Patient Navigation.</w:t>
      </w:r>
    </w:p>
  </w:footnote>
  <w:footnote w:id="109">
    <w:p w14:paraId="2DA5E21E" w14:textId="6CA6DB64" w:rsidR="00E3117C" w:rsidRDefault="00E3117C">
      <w:pPr>
        <w:pStyle w:val="FootnoteText"/>
      </w:pPr>
      <w:r>
        <w:rPr>
          <w:rStyle w:val="FootnoteReference"/>
        </w:rPr>
        <w:footnoteRef/>
      </w:r>
      <w:r>
        <w:t xml:space="preserve"> </w:t>
      </w:r>
      <w:r w:rsidRPr="003B2CD4">
        <w:t>Inpatient data captures screening reported by Nursing.</w:t>
      </w:r>
      <w:r>
        <w:t xml:space="preserve"> </w:t>
      </w:r>
      <w:r w:rsidRPr="003B2CD4">
        <w:t>Inpatient data reflects the Dana-Farber 30-licensed beds from February 2024 through September 2024, when screening went live for the inpatient setting.</w:t>
      </w:r>
    </w:p>
  </w:footnote>
  <w:footnote w:id="110">
    <w:p w14:paraId="0312F24F" w14:textId="530CFAB8" w:rsidR="00145295" w:rsidRDefault="00145295">
      <w:pPr>
        <w:pStyle w:val="FootnoteText"/>
      </w:pPr>
      <w:r>
        <w:rPr>
          <w:rStyle w:val="FootnoteReference"/>
        </w:rPr>
        <w:footnoteRef/>
      </w:r>
      <w:r>
        <w:t xml:space="preserve"> </w:t>
      </w:r>
      <w:r w:rsidRPr="00145295">
        <w:t>These partnerships include:</w:t>
      </w:r>
      <w:r>
        <w:t xml:space="preserve"> </w:t>
      </w:r>
      <w:r w:rsidRPr="00145295">
        <w:t>Boston Breast Cancer Equity Coalition, Boston CHNA/CHIP Collaborative, the Boston Public Health Commission, CHNA partners, Dana-Farber/Harvard Cancer Center for Cancer Equity &amp; Engagement (DF/HCC CCEE), Dana-Farber’s Center for Community-Based Research (CCBR), Massachusetts Coalition for HPV, ongoing partnerships with the Massachusetts Department of Public Health (Department), the Prostate Cancer Foundation (PCF) and VA Boston Healthcare System, the Prostate Health Education Network (PHEN), the Tobacco Free Mass Coalition, Union Capital Boston (UCB), and, the Rian Immigrant Center (Ria</w:t>
      </w:r>
      <w:r w:rsidR="007A19A4">
        <w:t>n</w:t>
      </w:r>
      <w:r w:rsidRPr="00145295">
        <w:t xml:space="preserve">) and Health Law Advocates (HLA). </w:t>
      </w:r>
    </w:p>
  </w:footnote>
  <w:footnote w:id="111">
    <w:p w14:paraId="41A1FC5A" w14:textId="2452F822" w:rsidR="00AA06CF" w:rsidRDefault="00AA06CF">
      <w:pPr>
        <w:pStyle w:val="FootnoteText"/>
      </w:pPr>
      <w:r>
        <w:rPr>
          <w:rStyle w:val="FootnoteReference"/>
        </w:rPr>
        <w:footnoteRef/>
      </w:r>
      <w:r>
        <w:t xml:space="preserve"> </w:t>
      </w:r>
      <w:r w:rsidR="00E27D39">
        <w:t>The Applicant states that this is c</w:t>
      </w:r>
      <w:r>
        <w:t xml:space="preserve">onsistent with regulatory guidance. </w:t>
      </w:r>
    </w:p>
  </w:footnote>
  <w:footnote w:id="112">
    <w:p w14:paraId="0C715969" w14:textId="6555C3D6" w:rsidR="006D2394" w:rsidRDefault="006D2394">
      <w:pPr>
        <w:pStyle w:val="FootnoteText"/>
      </w:pPr>
      <w:r>
        <w:rPr>
          <w:rStyle w:val="FootnoteReference"/>
        </w:rPr>
        <w:footnoteRef/>
      </w:r>
      <w:r>
        <w:t xml:space="preserve"> </w:t>
      </w:r>
      <w:r w:rsidRPr="006D2394">
        <w:t>The Applicant’s fiscal year is defined as October 1 through September 30 throughout the entire CPA Report.</w:t>
      </w:r>
    </w:p>
  </w:footnote>
  <w:footnote w:id="113">
    <w:p w14:paraId="108DCA25" w14:textId="341D71A0" w:rsidR="00052964" w:rsidRDefault="00052964">
      <w:pPr>
        <w:pStyle w:val="FootnoteText"/>
      </w:pPr>
      <w:r>
        <w:rPr>
          <w:rStyle w:val="FootnoteReference"/>
        </w:rPr>
        <w:footnoteRef/>
      </w:r>
      <w:r>
        <w:t xml:space="preserve"> </w:t>
      </w:r>
      <w:r w:rsidR="00B90F14" w:rsidRPr="00B90F14">
        <w:t>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w:t>
      </w:r>
    </w:p>
  </w:footnote>
  <w:footnote w:id="114">
    <w:p w14:paraId="75945D86" w14:textId="35721E4A" w:rsidR="00070DB9" w:rsidRDefault="00070DB9">
      <w:pPr>
        <w:pStyle w:val="FootnoteText"/>
      </w:pPr>
      <w:r>
        <w:rPr>
          <w:rStyle w:val="FootnoteReference"/>
        </w:rPr>
        <w:footnoteRef/>
      </w:r>
      <w:r>
        <w:t xml:space="preserve"> </w:t>
      </w:r>
      <w:r w:rsidR="00BD2759" w:rsidRPr="00BD2759">
        <w:t>Patient Service expenses include direct patient care, depreciation &amp; amortization, and interest. Research expenses include direct research/restricted gifts, institute supported research, depreciation &amp; amortization, and interest. General &amp; Administrative expenses include general, administrative, &amp; plant, depreciation &amp; amortization, and interest.</w:t>
      </w:r>
    </w:p>
  </w:footnote>
  <w:footnote w:id="115">
    <w:p w14:paraId="0584A8D6" w14:textId="77777777" w:rsidR="00F36056" w:rsidRDefault="00F36056" w:rsidP="00F36056">
      <w:pPr>
        <w:pStyle w:val="FootnoteText"/>
      </w:pPr>
      <w:r>
        <w:rPr>
          <w:rStyle w:val="FootnoteReference"/>
        </w:rPr>
        <w:footnoteRef/>
      </w:r>
      <w:r>
        <w:t xml:space="preserve"> </w:t>
      </w:r>
      <w:r w:rsidRPr="002E598C">
        <w:t>Included in PPS-Exempt Cancer Hospital Quality Reporting (PCHQR) Program Measures.</w:t>
      </w:r>
    </w:p>
  </w:footnote>
  <w:footnote w:id="116">
    <w:p w14:paraId="2A624323" w14:textId="2F2C1E9E" w:rsidR="00D46F5B" w:rsidRDefault="00D46F5B">
      <w:pPr>
        <w:pStyle w:val="FootnoteText"/>
      </w:pPr>
      <w:r>
        <w:rPr>
          <w:rStyle w:val="FootnoteReference"/>
        </w:rPr>
        <w:footnoteRef/>
      </w:r>
      <w:r>
        <w:t xml:space="preserve"> </w:t>
      </w:r>
      <w:r w:rsidRPr="00D46F5B">
        <w:t>The Boston Public Health Commission’s Health of Boston 2023: The Cancer Report, states that rates of death from cancer in Boston were highest among Black males and females. Black males had a mortality rate of 218.9 deaths per 100,000 residents, 52% worse than the Boston average.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19C0" w14:textId="18FF356D" w:rsidR="00E54588" w:rsidRDefault="00E54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B657" w14:textId="11B15218" w:rsidR="00E54588" w:rsidRDefault="00E545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BDD0" w14:textId="3A59903D"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913E" w14:textId="5852FF17" w:rsidR="00E54588" w:rsidRDefault="00E54588">
    <w:pPr>
      <w:pStyle w:val="Header"/>
    </w:pPr>
  </w:p>
  <w:p w14:paraId="6B71EBF2" w14:textId="77777777" w:rsidR="00BC6CAD" w:rsidRDefault="00BC6CAD"/>
  <w:p w14:paraId="7EC6D08A" w14:textId="77777777" w:rsidR="00BC6CAD" w:rsidRDefault="00BC6CA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7A5E" w14:textId="03110BAC" w:rsidR="00E54588" w:rsidRDefault="00E54588">
    <w:pPr>
      <w:pStyle w:val="Header"/>
    </w:pPr>
  </w:p>
  <w:p w14:paraId="68E032D2" w14:textId="77777777" w:rsidR="00BC6CAD" w:rsidRDefault="00BC6CAD"/>
  <w:p w14:paraId="68A29FCB" w14:textId="77777777" w:rsidR="00BC6CAD" w:rsidRDefault="00BC6C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5A"/>
    <w:multiLevelType w:val="hybridMultilevel"/>
    <w:tmpl w:val="CD2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0EE1"/>
    <w:multiLevelType w:val="hybridMultilevel"/>
    <w:tmpl w:val="202A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14571"/>
    <w:multiLevelType w:val="multilevel"/>
    <w:tmpl w:val="7F9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2F24BD"/>
    <w:multiLevelType w:val="hybridMultilevel"/>
    <w:tmpl w:val="1EF0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23405"/>
    <w:multiLevelType w:val="hybridMultilevel"/>
    <w:tmpl w:val="1D4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05A09"/>
    <w:multiLevelType w:val="hybridMultilevel"/>
    <w:tmpl w:val="E462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00D8E"/>
    <w:multiLevelType w:val="multilevel"/>
    <w:tmpl w:val="6A666280"/>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0ED81A56"/>
    <w:multiLevelType w:val="multilevel"/>
    <w:tmpl w:val="36048D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5A715B"/>
    <w:multiLevelType w:val="hybridMultilevel"/>
    <w:tmpl w:val="E610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C1277"/>
    <w:multiLevelType w:val="multilevel"/>
    <w:tmpl w:val="412C9AA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12C24032"/>
    <w:multiLevelType w:val="multilevel"/>
    <w:tmpl w:val="020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B924B7"/>
    <w:multiLevelType w:val="hybridMultilevel"/>
    <w:tmpl w:val="DB9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A21A1"/>
    <w:multiLevelType w:val="hybridMultilevel"/>
    <w:tmpl w:val="883C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B54031"/>
    <w:multiLevelType w:val="multilevel"/>
    <w:tmpl w:val="D75A4C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8647884"/>
    <w:multiLevelType w:val="multilevel"/>
    <w:tmpl w:val="7E1E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931993"/>
    <w:multiLevelType w:val="multilevel"/>
    <w:tmpl w:val="8F56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354622"/>
    <w:multiLevelType w:val="hybridMultilevel"/>
    <w:tmpl w:val="7C68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892E55"/>
    <w:multiLevelType w:val="hybridMultilevel"/>
    <w:tmpl w:val="499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EB25D4"/>
    <w:multiLevelType w:val="multilevel"/>
    <w:tmpl w:val="C136AC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4285086"/>
    <w:multiLevelType w:val="multilevel"/>
    <w:tmpl w:val="EDF4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5870B6"/>
    <w:multiLevelType w:val="multilevel"/>
    <w:tmpl w:val="7B0631B0"/>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2ADF586E"/>
    <w:multiLevelType w:val="hybridMultilevel"/>
    <w:tmpl w:val="95E0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C71CB"/>
    <w:multiLevelType w:val="hybridMultilevel"/>
    <w:tmpl w:val="7B0C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A944BB"/>
    <w:multiLevelType w:val="hybridMultilevel"/>
    <w:tmpl w:val="C65A1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42833"/>
    <w:multiLevelType w:val="hybridMultilevel"/>
    <w:tmpl w:val="E9D6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0159C3"/>
    <w:multiLevelType w:val="hybridMultilevel"/>
    <w:tmpl w:val="B5B2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6336AE"/>
    <w:multiLevelType w:val="hybridMultilevel"/>
    <w:tmpl w:val="EDA0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941216"/>
    <w:multiLevelType w:val="multilevel"/>
    <w:tmpl w:val="FCEEE2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2FC2E9A"/>
    <w:multiLevelType w:val="multilevel"/>
    <w:tmpl w:val="EBF6C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345732"/>
    <w:multiLevelType w:val="multilevel"/>
    <w:tmpl w:val="E5E070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57B7621"/>
    <w:multiLevelType w:val="hybridMultilevel"/>
    <w:tmpl w:val="3D22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92074C"/>
    <w:multiLevelType w:val="hybridMultilevel"/>
    <w:tmpl w:val="3098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6412E9"/>
    <w:multiLevelType w:val="hybridMultilevel"/>
    <w:tmpl w:val="4954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EB334E"/>
    <w:multiLevelType w:val="hybridMultilevel"/>
    <w:tmpl w:val="68F4D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A455D3"/>
    <w:multiLevelType w:val="hybridMultilevel"/>
    <w:tmpl w:val="A7C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0900AB"/>
    <w:multiLevelType w:val="hybridMultilevel"/>
    <w:tmpl w:val="4DB47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7066A2"/>
    <w:multiLevelType w:val="multilevel"/>
    <w:tmpl w:val="7A72FE4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heme="minorHAnsi" w:hAnsiTheme="minorHAnsi" w:cstheme="minorHAnsi"/>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9554A1"/>
    <w:multiLevelType w:val="hybridMultilevel"/>
    <w:tmpl w:val="CD1A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06153D"/>
    <w:multiLevelType w:val="hybridMultilevel"/>
    <w:tmpl w:val="3BAA7AE0"/>
    <w:lvl w:ilvl="0" w:tplc="04090001">
      <w:start w:val="1"/>
      <w:numFmt w:val="bullet"/>
      <w:lvlText w:val=""/>
      <w:lvlJc w:val="left"/>
      <w:pPr>
        <w:ind w:left="77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39" w15:restartNumberingAfterBreak="0">
    <w:nsid w:val="486761A8"/>
    <w:multiLevelType w:val="multilevel"/>
    <w:tmpl w:val="589C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7A73E1"/>
    <w:multiLevelType w:val="hybridMultilevel"/>
    <w:tmpl w:val="8B1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85555F"/>
    <w:multiLevelType w:val="multilevel"/>
    <w:tmpl w:val="A81CEC8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4DA17088"/>
    <w:multiLevelType w:val="hybridMultilevel"/>
    <w:tmpl w:val="A414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9A02D5"/>
    <w:multiLevelType w:val="hybridMultilevel"/>
    <w:tmpl w:val="90C0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AED767"/>
    <w:multiLevelType w:val="hybridMultilevel"/>
    <w:tmpl w:val="CFF80100"/>
    <w:lvl w:ilvl="0" w:tplc="CC5458B8">
      <w:start w:val="1"/>
      <w:numFmt w:val="lowerLetter"/>
      <w:lvlText w:val="%1."/>
      <w:lvlJc w:val="left"/>
      <w:pPr>
        <w:ind w:left="720" w:hanging="360"/>
      </w:pPr>
    </w:lvl>
    <w:lvl w:ilvl="1" w:tplc="FE56E346">
      <w:start w:val="1"/>
      <w:numFmt w:val="lowerLetter"/>
      <w:lvlText w:val="%2."/>
      <w:lvlJc w:val="left"/>
      <w:pPr>
        <w:ind w:left="1440" w:hanging="360"/>
      </w:pPr>
    </w:lvl>
    <w:lvl w:ilvl="2" w:tplc="79121DF0">
      <w:start w:val="1"/>
      <w:numFmt w:val="lowerRoman"/>
      <w:lvlText w:val="%3."/>
      <w:lvlJc w:val="right"/>
      <w:pPr>
        <w:ind w:left="2160" w:hanging="180"/>
      </w:pPr>
    </w:lvl>
    <w:lvl w:ilvl="3" w:tplc="EEBA1D90">
      <w:start w:val="1"/>
      <w:numFmt w:val="decimal"/>
      <w:lvlText w:val="%4."/>
      <w:lvlJc w:val="left"/>
      <w:pPr>
        <w:ind w:left="2880" w:hanging="360"/>
      </w:pPr>
    </w:lvl>
    <w:lvl w:ilvl="4" w:tplc="95D47300">
      <w:start w:val="1"/>
      <w:numFmt w:val="lowerLetter"/>
      <w:lvlText w:val="%5."/>
      <w:lvlJc w:val="left"/>
      <w:pPr>
        <w:ind w:left="3600" w:hanging="360"/>
      </w:pPr>
    </w:lvl>
    <w:lvl w:ilvl="5" w:tplc="3480914C">
      <w:start w:val="1"/>
      <w:numFmt w:val="lowerRoman"/>
      <w:lvlText w:val="%6."/>
      <w:lvlJc w:val="right"/>
      <w:pPr>
        <w:ind w:left="4320" w:hanging="180"/>
      </w:pPr>
    </w:lvl>
    <w:lvl w:ilvl="6" w:tplc="B58AE712">
      <w:start w:val="1"/>
      <w:numFmt w:val="decimal"/>
      <w:lvlText w:val="%7."/>
      <w:lvlJc w:val="left"/>
      <w:pPr>
        <w:ind w:left="5040" w:hanging="360"/>
      </w:pPr>
    </w:lvl>
    <w:lvl w:ilvl="7" w:tplc="3FFAE366">
      <w:start w:val="1"/>
      <w:numFmt w:val="lowerLetter"/>
      <w:lvlText w:val="%8."/>
      <w:lvlJc w:val="left"/>
      <w:pPr>
        <w:ind w:left="5760" w:hanging="360"/>
      </w:pPr>
    </w:lvl>
    <w:lvl w:ilvl="8" w:tplc="5E5AFFD6">
      <w:start w:val="1"/>
      <w:numFmt w:val="lowerRoman"/>
      <w:lvlText w:val="%9."/>
      <w:lvlJc w:val="right"/>
      <w:pPr>
        <w:ind w:left="6480" w:hanging="180"/>
      </w:pPr>
    </w:lvl>
  </w:abstractNum>
  <w:abstractNum w:abstractNumId="45" w15:restartNumberingAfterBreak="0">
    <w:nsid w:val="55FD0035"/>
    <w:multiLevelType w:val="multilevel"/>
    <w:tmpl w:val="39DC283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6" w15:restartNumberingAfterBreak="0">
    <w:nsid w:val="59207BEA"/>
    <w:multiLevelType w:val="hybridMultilevel"/>
    <w:tmpl w:val="3306C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940414C"/>
    <w:multiLevelType w:val="hybridMultilevel"/>
    <w:tmpl w:val="A3FC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52D36"/>
    <w:multiLevelType w:val="hybridMultilevel"/>
    <w:tmpl w:val="632C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B170A3"/>
    <w:multiLevelType w:val="multilevel"/>
    <w:tmpl w:val="BCEA0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C642674"/>
    <w:multiLevelType w:val="hybridMultilevel"/>
    <w:tmpl w:val="AEF47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766CC7"/>
    <w:multiLevelType w:val="multilevel"/>
    <w:tmpl w:val="9F2032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04049AC"/>
    <w:multiLevelType w:val="hybridMultilevel"/>
    <w:tmpl w:val="36C4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0876F31"/>
    <w:multiLevelType w:val="hybridMultilevel"/>
    <w:tmpl w:val="849E1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6A64CC"/>
    <w:multiLevelType w:val="hybridMultilevel"/>
    <w:tmpl w:val="8AA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F5378E"/>
    <w:multiLevelType w:val="multilevel"/>
    <w:tmpl w:val="2916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EF3CD2"/>
    <w:multiLevelType w:val="multilevel"/>
    <w:tmpl w:val="0090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CC178C"/>
    <w:multiLevelType w:val="hybridMultilevel"/>
    <w:tmpl w:val="2362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214907"/>
    <w:multiLevelType w:val="hybridMultilevel"/>
    <w:tmpl w:val="BB36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243B55"/>
    <w:multiLevelType w:val="multilevel"/>
    <w:tmpl w:val="B8FC50FE"/>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70D43FE1"/>
    <w:multiLevelType w:val="hybridMultilevel"/>
    <w:tmpl w:val="01509A0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0EC6DD4"/>
    <w:multiLevelType w:val="hybridMultilevel"/>
    <w:tmpl w:val="2AA43E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2" w15:restartNumberingAfterBreak="0">
    <w:nsid w:val="7117591B"/>
    <w:multiLevelType w:val="hybridMultilevel"/>
    <w:tmpl w:val="27763AFA"/>
    <w:lvl w:ilvl="0" w:tplc="04090001">
      <w:start w:val="1"/>
      <w:numFmt w:val="bullet"/>
      <w:lvlText w:val=""/>
      <w:lvlJc w:val="left"/>
      <w:pPr>
        <w:ind w:left="720" w:hanging="360"/>
      </w:pPr>
      <w:rPr>
        <w:rFonts w:ascii="Symbol" w:hAnsi="Symbol"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1896F7F"/>
    <w:multiLevelType w:val="hybridMultilevel"/>
    <w:tmpl w:val="3136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19C396A"/>
    <w:multiLevelType w:val="hybridMultilevel"/>
    <w:tmpl w:val="8C14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550954"/>
    <w:multiLevelType w:val="multilevel"/>
    <w:tmpl w:val="2240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6E46BC"/>
    <w:multiLevelType w:val="hybridMultilevel"/>
    <w:tmpl w:val="C266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A47E46"/>
    <w:multiLevelType w:val="hybridMultilevel"/>
    <w:tmpl w:val="0B8C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6610D6"/>
    <w:multiLevelType w:val="hybridMultilevel"/>
    <w:tmpl w:val="E3DA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488350">
    <w:abstractNumId w:val="32"/>
  </w:num>
  <w:num w:numId="2" w16cid:durableId="767232549">
    <w:abstractNumId w:val="42"/>
  </w:num>
  <w:num w:numId="3" w16cid:durableId="764109941">
    <w:abstractNumId w:val="50"/>
  </w:num>
  <w:num w:numId="4" w16cid:durableId="227300231">
    <w:abstractNumId w:val="21"/>
  </w:num>
  <w:num w:numId="5" w16cid:durableId="1741978666">
    <w:abstractNumId w:val="25"/>
  </w:num>
  <w:num w:numId="6" w16cid:durableId="1813325568">
    <w:abstractNumId w:val="53"/>
  </w:num>
  <w:num w:numId="7" w16cid:durableId="1091926879">
    <w:abstractNumId w:val="33"/>
  </w:num>
  <w:num w:numId="8" w16cid:durableId="2054697732">
    <w:abstractNumId w:val="23"/>
  </w:num>
  <w:num w:numId="9" w16cid:durableId="1543206131">
    <w:abstractNumId w:val="52"/>
  </w:num>
  <w:num w:numId="10" w16cid:durableId="117726249">
    <w:abstractNumId w:val="40"/>
  </w:num>
  <w:num w:numId="11" w16cid:durableId="1532255227">
    <w:abstractNumId w:val="68"/>
  </w:num>
  <w:num w:numId="12" w16cid:durableId="860242517">
    <w:abstractNumId w:val="1"/>
  </w:num>
  <w:num w:numId="13" w16cid:durableId="1563129407">
    <w:abstractNumId w:val="24"/>
  </w:num>
  <w:num w:numId="14" w16cid:durableId="1009255193">
    <w:abstractNumId w:val="62"/>
  </w:num>
  <w:num w:numId="15" w16cid:durableId="2053646639">
    <w:abstractNumId w:val="38"/>
  </w:num>
  <w:num w:numId="16" w16cid:durableId="2080055529">
    <w:abstractNumId w:val="26"/>
  </w:num>
  <w:num w:numId="17" w16cid:durableId="1588535355">
    <w:abstractNumId w:val="30"/>
  </w:num>
  <w:num w:numId="18" w16cid:durableId="51198870">
    <w:abstractNumId w:val="16"/>
  </w:num>
  <w:num w:numId="19" w16cid:durableId="1055811390">
    <w:abstractNumId w:val="12"/>
  </w:num>
  <w:num w:numId="20" w16cid:durableId="1744403202">
    <w:abstractNumId w:val="43"/>
  </w:num>
  <w:num w:numId="21" w16cid:durableId="42143653">
    <w:abstractNumId w:val="64"/>
  </w:num>
  <w:num w:numId="22" w16cid:durableId="78597487">
    <w:abstractNumId w:val="48"/>
  </w:num>
  <w:num w:numId="23" w16cid:durableId="1277715102">
    <w:abstractNumId w:val="60"/>
  </w:num>
  <w:num w:numId="24" w16cid:durableId="809056954">
    <w:abstractNumId w:val="22"/>
  </w:num>
  <w:num w:numId="25" w16cid:durableId="1815368704">
    <w:abstractNumId w:val="31"/>
  </w:num>
  <w:num w:numId="26" w16cid:durableId="1357459705">
    <w:abstractNumId w:val="8"/>
  </w:num>
  <w:num w:numId="27" w16cid:durableId="192890734">
    <w:abstractNumId w:val="11"/>
  </w:num>
  <w:num w:numId="28" w16cid:durableId="1276593873">
    <w:abstractNumId w:val="15"/>
  </w:num>
  <w:num w:numId="29" w16cid:durableId="72552784">
    <w:abstractNumId w:val="65"/>
  </w:num>
  <w:num w:numId="30" w16cid:durableId="1550679064">
    <w:abstractNumId w:val="56"/>
  </w:num>
  <w:num w:numId="31" w16cid:durableId="1223760714">
    <w:abstractNumId w:val="10"/>
  </w:num>
  <w:num w:numId="32" w16cid:durableId="519853600">
    <w:abstractNumId w:val="14"/>
  </w:num>
  <w:num w:numId="33" w16cid:durableId="1452237065">
    <w:abstractNumId w:val="19"/>
  </w:num>
  <w:num w:numId="34" w16cid:durableId="962033228">
    <w:abstractNumId w:val="2"/>
  </w:num>
  <w:num w:numId="35" w16cid:durableId="1305164952">
    <w:abstractNumId w:val="28"/>
  </w:num>
  <w:num w:numId="36" w16cid:durableId="1599556969">
    <w:abstractNumId w:val="39"/>
  </w:num>
  <w:num w:numId="37" w16cid:durableId="1473717518">
    <w:abstractNumId w:val="18"/>
  </w:num>
  <w:num w:numId="38" w16cid:durableId="1476727282">
    <w:abstractNumId w:val="27"/>
  </w:num>
  <w:num w:numId="39" w16cid:durableId="921260779">
    <w:abstractNumId w:val="29"/>
  </w:num>
  <w:num w:numId="40" w16cid:durableId="431239618">
    <w:abstractNumId w:val="36"/>
  </w:num>
  <w:num w:numId="41" w16cid:durableId="2072071157">
    <w:abstractNumId w:val="7"/>
  </w:num>
  <w:num w:numId="42" w16cid:durableId="1694334390">
    <w:abstractNumId w:val="51"/>
  </w:num>
  <w:num w:numId="43" w16cid:durableId="762607622">
    <w:abstractNumId w:val="47"/>
  </w:num>
  <w:num w:numId="44" w16cid:durableId="1469736752">
    <w:abstractNumId w:val="67"/>
  </w:num>
  <w:num w:numId="45" w16cid:durableId="153451834">
    <w:abstractNumId w:val="54"/>
  </w:num>
  <w:num w:numId="46" w16cid:durableId="2002076412">
    <w:abstractNumId w:val="58"/>
  </w:num>
  <w:num w:numId="47" w16cid:durableId="1427730050">
    <w:abstractNumId w:val="37"/>
  </w:num>
  <w:num w:numId="48" w16cid:durableId="188494428">
    <w:abstractNumId w:val="34"/>
  </w:num>
  <w:num w:numId="49" w16cid:durableId="1414398742">
    <w:abstractNumId w:val="17"/>
  </w:num>
  <w:num w:numId="50" w16cid:durableId="1654216409">
    <w:abstractNumId w:val="0"/>
  </w:num>
  <w:num w:numId="51" w16cid:durableId="962543249">
    <w:abstractNumId w:val="5"/>
  </w:num>
  <w:num w:numId="52" w16cid:durableId="234975699">
    <w:abstractNumId w:val="4"/>
  </w:num>
  <w:num w:numId="53" w16cid:durableId="1065570068">
    <w:abstractNumId w:val="57"/>
  </w:num>
  <w:num w:numId="54" w16cid:durableId="1842427990">
    <w:abstractNumId w:val="46"/>
  </w:num>
  <w:num w:numId="55" w16cid:durableId="2137403828">
    <w:abstractNumId w:val="63"/>
  </w:num>
  <w:num w:numId="56" w16cid:durableId="1228760814">
    <w:abstractNumId w:val="3"/>
  </w:num>
  <w:num w:numId="57" w16cid:durableId="1384985155">
    <w:abstractNumId w:val="66"/>
  </w:num>
  <w:num w:numId="58" w16cid:durableId="1186364402">
    <w:abstractNumId w:val="35"/>
  </w:num>
  <w:num w:numId="59" w16cid:durableId="1691952752">
    <w:abstractNumId w:val="61"/>
  </w:num>
  <w:num w:numId="60" w16cid:durableId="1984264822">
    <w:abstractNumId w:val="44"/>
  </w:num>
  <w:num w:numId="61" w16cid:durableId="876964088">
    <w:abstractNumId w:val="55"/>
  </w:num>
  <w:num w:numId="62" w16cid:durableId="615910868">
    <w:abstractNumId w:val="45"/>
  </w:num>
  <w:num w:numId="63" w16cid:durableId="1488591617">
    <w:abstractNumId w:val="41"/>
  </w:num>
  <w:num w:numId="64" w16cid:durableId="1394769644">
    <w:abstractNumId w:val="9"/>
  </w:num>
  <w:num w:numId="65" w16cid:durableId="557592602">
    <w:abstractNumId w:val="6"/>
  </w:num>
  <w:num w:numId="66" w16cid:durableId="1593516094">
    <w:abstractNumId w:val="20"/>
  </w:num>
  <w:num w:numId="67" w16cid:durableId="1048916396">
    <w:abstractNumId w:val="59"/>
  </w:num>
  <w:num w:numId="68" w16cid:durableId="758672117">
    <w:abstractNumId w:val="49"/>
  </w:num>
  <w:num w:numId="69" w16cid:durableId="536813182">
    <w:abstractNumId w:val="1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033"/>
    <w:rsid w:val="00000142"/>
    <w:rsid w:val="00000809"/>
    <w:rsid w:val="000008EA"/>
    <w:rsid w:val="000009AA"/>
    <w:rsid w:val="00000A29"/>
    <w:rsid w:val="00000F8C"/>
    <w:rsid w:val="00001483"/>
    <w:rsid w:val="00001564"/>
    <w:rsid w:val="00001815"/>
    <w:rsid w:val="00001A1F"/>
    <w:rsid w:val="00001C7B"/>
    <w:rsid w:val="0000298C"/>
    <w:rsid w:val="00002B61"/>
    <w:rsid w:val="00002C5C"/>
    <w:rsid w:val="00002FD3"/>
    <w:rsid w:val="00003423"/>
    <w:rsid w:val="0000393E"/>
    <w:rsid w:val="00003F3B"/>
    <w:rsid w:val="00003FC2"/>
    <w:rsid w:val="000041C8"/>
    <w:rsid w:val="00004359"/>
    <w:rsid w:val="00004439"/>
    <w:rsid w:val="00004937"/>
    <w:rsid w:val="00004AE2"/>
    <w:rsid w:val="000057E6"/>
    <w:rsid w:val="000058E0"/>
    <w:rsid w:val="00005BC0"/>
    <w:rsid w:val="00005E26"/>
    <w:rsid w:val="0000635C"/>
    <w:rsid w:val="00006516"/>
    <w:rsid w:val="0000663A"/>
    <w:rsid w:val="00006715"/>
    <w:rsid w:val="0000682F"/>
    <w:rsid w:val="00006B68"/>
    <w:rsid w:val="00006C0E"/>
    <w:rsid w:val="0000716C"/>
    <w:rsid w:val="00007383"/>
    <w:rsid w:val="0001000E"/>
    <w:rsid w:val="000102D7"/>
    <w:rsid w:val="00010308"/>
    <w:rsid w:val="00010817"/>
    <w:rsid w:val="00010D59"/>
    <w:rsid w:val="00011437"/>
    <w:rsid w:val="0001174D"/>
    <w:rsid w:val="00011A99"/>
    <w:rsid w:val="00011D93"/>
    <w:rsid w:val="00011F25"/>
    <w:rsid w:val="00011FCE"/>
    <w:rsid w:val="000120F2"/>
    <w:rsid w:val="00012284"/>
    <w:rsid w:val="00012B2A"/>
    <w:rsid w:val="00012C5C"/>
    <w:rsid w:val="00013184"/>
    <w:rsid w:val="0001360E"/>
    <w:rsid w:val="00013774"/>
    <w:rsid w:val="0001381B"/>
    <w:rsid w:val="00013828"/>
    <w:rsid w:val="00013906"/>
    <w:rsid w:val="00014053"/>
    <w:rsid w:val="000148AA"/>
    <w:rsid w:val="00014B18"/>
    <w:rsid w:val="00015AD7"/>
    <w:rsid w:val="00015D0E"/>
    <w:rsid w:val="00015EFD"/>
    <w:rsid w:val="00016CC3"/>
    <w:rsid w:val="00016CE0"/>
    <w:rsid w:val="00017010"/>
    <w:rsid w:val="000170AF"/>
    <w:rsid w:val="0001716C"/>
    <w:rsid w:val="0001734A"/>
    <w:rsid w:val="00017697"/>
    <w:rsid w:val="000176C7"/>
    <w:rsid w:val="00020072"/>
    <w:rsid w:val="000201AF"/>
    <w:rsid w:val="00020462"/>
    <w:rsid w:val="00020474"/>
    <w:rsid w:val="000205F5"/>
    <w:rsid w:val="00020688"/>
    <w:rsid w:val="00020A9C"/>
    <w:rsid w:val="00020D91"/>
    <w:rsid w:val="00020EE5"/>
    <w:rsid w:val="0002102F"/>
    <w:rsid w:val="000213EF"/>
    <w:rsid w:val="000218EA"/>
    <w:rsid w:val="00021A3E"/>
    <w:rsid w:val="00021AEA"/>
    <w:rsid w:val="000222D6"/>
    <w:rsid w:val="00022554"/>
    <w:rsid w:val="0002256B"/>
    <w:rsid w:val="00022779"/>
    <w:rsid w:val="00022E58"/>
    <w:rsid w:val="000233D2"/>
    <w:rsid w:val="000234E4"/>
    <w:rsid w:val="000236CD"/>
    <w:rsid w:val="0002394B"/>
    <w:rsid w:val="00023DB2"/>
    <w:rsid w:val="00023E7C"/>
    <w:rsid w:val="00023EE3"/>
    <w:rsid w:val="000244B9"/>
    <w:rsid w:val="00024791"/>
    <w:rsid w:val="000249A8"/>
    <w:rsid w:val="00024B39"/>
    <w:rsid w:val="00024B87"/>
    <w:rsid w:val="00024C76"/>
    <w:rsid w:val="00024F43"/>
    <w:rsid w:val="000250B7"/>
    <w:rsid w:val="000253E9"/>
    <w:rsid w:val="000257EE"/>
    <w:rsid w:val="00025A81"/>
    <w:rsid w:val="00025B56"/>
    <w:rsid w:val="00025BA2"/>
    <w:rsid w:val="00025E62"/>
    <w:rsid w:val="00025EBC"/>
    <w:rsid w:val="0002643F"/>
    <w:rsid w:val="00026725"/>
    <w:rsid w:val="00026983"/>
    <w:rsid w:val="00026C84"/>
    <w:rsid w:val="0002727E"/>
    <w:rsid w:val="00027942"/>
    <w:rsid w:val="00027A7A"/>
    <w:rsid w:val="00030085"/>
    <w:rsid w:val="00030223"/>
    <w:rsid w:val="00030A10"/>
    <w:rsid w:val="00030B66"/>
    <w:rsid w:val="00030D60"/>
    <w:rsid w:val="00030E83"/>
    <w:rsid w:val="000310E4"/>
    <w:rsid w:val="00031190"/>
    <w:rsid w:val="000311A0"/>
    <w:rsid w:val="000311CE"/>
    <w:rsid w:val="000313E5"/>
    <w:rsid w:val="0003194B"/>
    <w:rsid w:val="00032103"/>
    <w:rsid w:val="0003231C"/>
    <w:rsid w:val="0003269A"/>
    <w:rsid w:val="00032707"/>
    <w:rsid w:val="00033102"/>
    <w:rsid w:val="000334A6"/>
    <w:rsid w:val="00033686"/>
    <w:rsid w:val="00033777"/>
    <w:rsid w:val="000341E2"/>
    <w:rsid w:val="000347A0"/>
    <w:rsid w:val="000349EA"/>
    <w:rsid w:val="00034C3D"/>
    <w:rsid w:val="00035015"/>
    <w:rsid w:val="000357D0"/>
    <w:rsid w:val="000361A1"/>
    <w:rsid w:val="000361F4"/>
    <w:rsid w:val="00036284"/>
    <w:rsid w:val="00036416"/>
    <w:rsid w:val="00036525"/>
    <w:rsid w:val="00036A41"/>
    <w:rsid w:val="00037193"/>
    <w:rsid w:val="000371E1"/>
    <w:rsid w:val="000376C0"/>
    <w:rsid w:val="000401DC"/>
    <w:rsid w:val="00040284"/>
    <w:rsid w:val="000405EB"/>
    <w:rsid w:val="0004069E"/>
    <w:rsid w:val="00040787"/>
    <w:rsid w:val="000408CA"/>
    <w:rsid w:val="00040B15"/>
    <w:rsid w:val="00040BA1"/>
    <w:rsid w:val="00040C6C"/>
    <w:rsid w:val="00041009"/>
    <w:rsid w:val="00041317"/>
    <w:rsid w:val="00041368"/>
    <w:rsid w:val="000413D2"/>
    <w:rsid w:val="0004152A"/>
    <w:rsid w:val="00041661"/>
    <w:rsid w:val="00041693"/>
    <w:rsid w:val="00041F5E"/>
    <w:rsid w:val="00042286"/>
    <w:rsid w:val="000426B4"/>
    <w:rsid w:val="00043093"/>
    <w:rsid w:val="00043340"/>
    <w:rsid w:val="00043DAA"/>
    <w:rsid w:val="00043F1A"/>
    <w:rsid w:val="00043FB6"/>
    <w:rsid w:val="0004404F"/>
    <w:rsid w:val="000441C2"/>
    <w:rsid w:val="00044272"/>
    <w:rsid w:val="00044453"/>
    <w:rsid w:val="000444EC"/>
    <w:rsid w:val="00044A14"/>
    <w:rsid w:val="00044C9A"/>
    <w:rsid w:val="00044D39"/>
    <w:rsid w:val="00044D96"/>
    <w:rsid w:val="00044EA9"/>
    <w:rsid w:val="00045165"/>
    <w:rsid w:val="00045232"/>
    <w:rsid w:val="00045487"/>
    <w:rsid w:val="000456AB"/>
    <w:rsid w:val="000461AA"/>
    <w:rsid w:val="00046595"/>
    <w:rsid w:val="000465D9"/>
    <w:rsid w:val="0004679C"/>
    <w:rsid w:val="00046C8A"/>
    <w:rsid w:val="0004724B"/>
    <w:rsid w:val="00047D98"/>
    <w:rsid w:val="00047DC4"/>
    <w:rsid w:val="00047F4D"/>
    <w:rsid w:val="0005056E"/>
    <w:rsid w:val="0005057C"/>
    <w:rsid w:val="00050B27"/>
    <w:rsid w:val="00050D8C"/>
    <w:rsid w:val="00050F90"/>
    <w:rsid w:val="0005115D"/>
    <w:rsid w:val="00051E88"/>
    <w:rsid w:val="0005222E"/>
    <w:rsid w:val="00052444"/>
    <w:rsid w:val="000525E6"/>
    <w:rsid w:val="0005278C"/>
    <w:rsid w:val="00052964"/>
    <w:rsid w:val="00053015"/>
    <w:rsid w:val="00053229"/>
    <w:rsid w:val="0005326D"/>
    <w:rsid w:val="000539AA"/>
    <w:rsid w:val="00053AE7"/>
    <w:rsid w:val="00053B7B"/>
    <w:rsid w:val="000540CD"/>
    <w:rsid w:val="000541E1"/>
    <w:rsid w:val="0005460D"/>
    <w:rsid w:val="0005478E"/>
    <w:rsid w:val="00054EC9"/>
    <w:rsid w:val="00055158"/>
    <w:rsid w:val="00055393"/>
    <w:rsid w:val="00055A6C"/>
    <w:rsid w:val="00055AD4"/>
    <w:rsid w:val="00055B8E"/>
    <w:rsid w:val="00055D70"/>
    <w:rsid w:val="00056189"/>
    <w:rsid w:val="000561F6"/>
    <w:rsid w:val="0005652F"/>
    <w:rsid w:val="0005680D"/>
    <w:rsid w:val="00056976"/>
    <w:rsid w:val="00056C94"/>
    <w:rsid w:val="00056E53"/>
    <w:rsid w:val="00057085"/>
    <w:rsid w:val="00057298"/>
    <w:rsid w:val="00057557"/>
    <w:rsid w:val="0005766D"/>
    <w:rsid w:val="00057F00"/>
    <w:rsid w:val="0006026C"/>
    <w:rsid w:val="00060383"/>
    <w:rsid w:val="0006050C"/>
    <w:rsid w:val="00060841"/>
    <w:rsid w:val="00060C7E"/>
    <w:rsid w:val="00060D97"/>
    <w:rsid w:val="00060E6E"/>
    <w:rsid w:val="000614A9"/>
    <w:rsid w:val="000618F8"/>
    <w:rsid w:val="0006197E"/>
    <w:rsid w:val="00061BF0"/>
    <w:rsid w:val="00061FA5"/>
    <w:rsid w:val="000622FE"/>
    <w:rsid w:val="00062553"/>
    <w:rsid w:val="00062581"/>
    <w:rsid w:val="00062993"/>
    <w:rsid w:val="00062A14"/>
    <w:rsid w:val="00062BB1"/>
    <w:rsid w:val="00062D5B"/>
    <w:rsid w:val="000633A1"/>
    <w:rsid w:val="0006368F"/>
    <w:rsid w:val="00063926"/>
    <w:rsid w:val="00063ADB"/>
    <w:rsid w:val="00063CDE"/>
    <w:rsid w:val="00063D9B"/>
    <w:rsid w:val="00063F0A"/>
    <w:rsid w:val="00063FC3"/>
    <w:rsid w:val="000643F3"/>
    <w:rsid w:val="00064744"/>
    <w:rsid w:val="000648F2"/>
    <w:rsid w:val="00064D6A"/>
    <w:rsid w:val="00065233"/>
    <w:rsid w:val="00065369"/>
    <w:rsid w:val="00065F60"/>
    <w:rsid w:val="00066620"/>
    <w:rsid w:val="00066A91"/>
    <w:rsid w:val="00066D93"/>
    <w:rsid w:val="00066FF6"/>
    <w:rsid w:val="000670DE"/>
    <w:rsid w:val="000675C5"/>
    <w:rsid w:val="000677E1"/>
    <w:rsid w:val="00067813"/>
    <w:rsid w:val="00067ED9"/>
    <w:rsid w:val="0007063B"/>
    <w:rsid w:val="000708A0"/>
    <w:rsid w:val="000708D4"/>
    <w:rsid w:val="00070B2A"/>
    <w:rsid w:val="00070B30"/>
    <w:rsid w:val="00070D5C"/>
    <w:rsid w:val="00070DB9"/>
    <w:rsid w:val="00070F48"/>
    <w:rsid w:val="00071063"/>
    <w:rsid w:val="000718D3"/>
    <w:rsid w:val="00071DBA"/>
    <w:rsid w:val="00071E79"/>
    <w:rsid w:val="00072536"/>
    <w:rsid w:val="0007254A"/>
    <w:rsid w:val="00072550"/>
    <w:rsid w:val="000727E6"/>
    <w:rsid w:val="000729D6"/>
    <w:rsid w:val="00072C2B"/>
    <w:rsid w:val="00072ECF"/>
    <w:rsid w:val="00072F00"/>
    <w:rsid w:val="00072F59"/>
    <w:rsid w:val="00072FBC"/>
    <w:rsid w:val="00073425"/>
    <w:rsid w:val="000735F5"/>
    <w:rsid w:val="0007367C"/>
    <w:rsid w:val="0007399C"/>
    <w:rsid w:val="00073B16"/>
    <w:rsid w:val="00073B8E"/>
    <w:rsid w:val="00073C76"/>
    <w:rsid w:val="00073E70"/>
    <w:rsid w:val="000749BB"/>
    <w:rsid w:val="0007501A"/>
    <w:rsid w:val="00075048"/>
    <w:rsid w:val="000752E8"/>
    <w:rsid w:val="00075319"/>
    <w:rsid w:val="00075376"/>
    <w:rsid w:val="000758EE"/>
    <w:rsid w:val="00075A06"/>
    <w:rsid w:val="00075BD5"/>
    <w:rsid w:val="00075C14"/>
    <w:rsid w:val="00076017"/>
    <w:rsid w:val="000763D1"/>
    <w:rsid w:val="0007648B"/>
    <w:rsid w:val="000765B1"/>
    <w:rsid w:val="000767BC"/>
    <w:rsid w:val="00076ADA"/>
    <w:rsid w:val="00076D5E"/>
    <w:rsid w:val="0007703F"/>
    <w:rsid w:val="000774D1"/>
    <w:rsid w:val="00077935"/>
    <w:rsid w:val="00077942"/>
    <w:rsid w:val="000779AA"/>
    <w:rsid w:val="00077DD8"/>
    <w:rsid w:val="00077EE9"/>
    <w:rsid w:val="0008074E"/>
    <w:rsid w:val="00080F3C"/>
    <w:rsid w:val="00082235"/>
    <w:rsid w:val="00082285"/>
    <w:rsid w:val="00082A6E"/>
    <w:rsid w:val="00082DDC"/>
    <w:rsid w:val="00083207"/>
    <w:rsid w:val="000835A7"/>
    <w:rsid w:val="000846E0"/>
    <w:rsid w:val="000846F2"/>
    <w:rsid w:val="00084942"/>
    <w:rsid w:val="000849DE"/>
    <w:rsid w:val="0008502C"/>
    <w:rsid w:val="0008551F"/>
    <w:rsid w:val="00085559"/>
    <w:rsid w:val="000855B7"/>
    <w:rsid w:val="000856EB"/>
    <w:rsid w:val="00085A07"/>
    <w:rsid w:val="00085D8D"/>
    <w:rsid w:val="00085E6A"/>
    <w:rsid w:val="00085FD8"/>
    <w:rsid w:val="00086109"/>
    <w:rsid w:val="00086137"/>
    <w:rsid w:val="000864E1"/>
    <w:rsid w:val="0008674A"/>
    <w:rsid w:val="00086BB9"/>
    <w:rsid w:val="0008718D"/>
    <w:rsid w:val="0008733C"/>
    <w:rsid w:val="000873F3"/>
    <w:rsid w:val="00087526"/>
    <w:rsid w:val="000877E6"/>
    <w:rsid w:val="000878A5"/>
    <w:rsid w:val="000879A4"/>
    <w:rsid w:val="00087B55"/>
    <w:rsid w:val="00087B71"/>
    <w:rsid w:val="00087C87"/>
    <w:rsid w:val="000902F4"/>
    <w:rsid w:val="00090332"/>
    <w:rsid w:val="0009034F"/>
    <w:rsid w:val="00090847"/>
    <w:rsid w:val="00090BFA"/>
    <w:rsid w:val="00090E26"/>
    <w:rsid w:val="00090F44"/>
    <w:rsid w:val="00090F5B"/>
    <w:rsid w:val="00091004"/>
    <w:rsid w:val="000911AE"/>
    <w:rsid w:val="0009223C"/>
    <w:rsid w:val="000922A8"/>
    <w:rsid w:val="0009238B"/>
    <w:rsid w:val="00092AF2"/>
    <w:rsid w:val="00092C3D"/>
    <w:rsid w:val="00093006"/>
    <w:rsid w:val="000933AA"/>
    <w:rsid w:val="000934A2"/>
    <w:rsid w:val="000934EF"/>
    <w:rsid w:val="0009366B"/>
    <w:rsid w:val="00093845"/>
    <w:rsid w:val="0009396F"/>
    <w:rsid w:val="00093DC8"/>
    <w:rsid w:val="0009409A"/>
    <w:rsid w:val="00094578"/>
    <w:rsid w:val="00094595"/>
    <w:rsid w:val="00094847"/>
    <w:rsid w:val="000948F7"/>
    <w:rsid w:val="00094DB4"/>
    <w:rsid w:val="00094DBE"/>
    <w:rsid w:val="00095137"/>
    <w:rsid w:val="0009520D"/>
    <w:rsid w:val="000952C4"/>
    <w:rsid w:val="00095307"/>
    <w:rsid w:val="000954E5"/>
    <w:rsid w:val="00095571"/>
    <w:rsid w:val="00095688"/>
    <w:rsid w:val="00095920"/>
    <w:rsid w:val="00096483"/>
    <w:rsid w:val="000971D6"/>
    <w:rsid w:val="0009758F"/>
    <w:rsid w:val="000975AA"/>
    <w:rsid w:val="00097A58"/>
    <w:rsid w:val="00097A7A"/>
    <w:rsid w:val="000A061F"/>
    <w:rsid w:val="000A078C"/>
    <w:rsid w:val="000A0851"/>
    <w:rsid w:val="000A0F97"/>
    <w:rsid w:val="000A1392"/>
    <w:rsid w:val="000A1594"/>
    <w:rsid w:val="000A17B1"/>
    <w:rsid w:val="000A1A29"/>
    <w:rsid w:val="000A1D10"/>
    <w:rsid w:val="000A1DAC"/>
    <w:rsid w:val="000A2040"/>
    <w:rsid w:val="000A218A"/>
    <w:rsid w:val="000A2458"/>
    <w:rsid w:val="000A2A21"/>
    <w:rsid w:val="000A2A2A"/>
    <w:rsid w:val="000A2A39"/>
    <w:rsid w:val="000A2E47"/>
    <w:rsid w:val="000A3081"/>
    <w:rsid w:val="000A3797"/>
    <w:rsid w:val="000A3F7D"/>
    <w:rsid w:val="000A4030"/>
    <w:rsid w:val="000A4194"/>
    <w:rsid w:val="000A4358"/>
    <w:rsid w:val="000A46D0"/>
    <w:rsid w:val="000A481A"/>
    <w:rsid w:val="000A4BAC"/>
    <w:rsid w:val="000A53AD"/>
    <w:rsid w:val="000A54DE"/>
    <w:rsid w:val="000A56CE"/>
    <w:rsid w:val="000A56F0"/>
    <w:rsid w:val="000A66DC"/>
    <w:rsid w:val="000A69F1"/>
    <w:rsid w:val="000A6D20"/>
    <w:rsid w:val="000A70AC"/>
    <w:rsid w:val="000A74E6"/>
    <w:rsid w:val="000A77A1"/>
    <w:rsid w:val="000A7829"/>
    <w:rsid w:val="000A7A9D"/>
    <w:rsid w:val="000A7CD1"/>
    <w:rsid w:val="000A7DBD"/>
    <w:rsid w:val="000B0257"/>
    <w:rsid w:val="000B02A6"/>
    <w:rsid w:val="000B05ED"/>
    <w:rsid w:val="000B09A9"/>
    <w:rsid w:val="000B0DEE"/>
    <w:rsid w:val="000B1419"/>
    <w:rsid w:val="000B15ED"/>
    <w:rsid w:val="000B1822"/>
    <w:rsid w:val="000B1926"/>
    <w:rsid w:val="000B1963"/>
    <w:rsid w:val="000B1BEF"/>
    <w:rsid w:val="000B1D63"/>
    <w:rsid w:val="000B209D"/>
    <w:rsid w:val="000B29F1"/>
    <w:rsid w:val="000B2B0D"/>
    <w:rsid w:val="000B2BDC"/>
    <w:rsid w:val="000B2F28"/>
    <w:rsid w:val="000B2F6F"/>
    <w:rsid w:val="000B2FB7"/>
    <w:rsid w:val="000B3197"/>
    <w:rsid w:val="000B336F"/>
    <w:rsid w:val="000B3D80"/>
    <w:rsid w:val="000B495A"/>
    <w:rsid w:val="000B4BC8"/>
    <w:rsid w:val="000B4ED1"/>
    <w:rsid w:val="000B5465"/>
    <w:rsid w:val="000B5AC1"/>
    <w:rsid w:val="000B6065"/>
    <w:rsid w:val="000B6B0E"/>
    <w:rsid w:val="000B7836"/>
    <w:rsid w:val="000C0092"/>
    <w:rsid w:val="000C00FC"/>
    <w:rsid w:val="000C02AC"/>
    <w:rsid w:val="000C0631"/>
    <w:rsid w:val="000C06AF"/>
    <w:rsid w:val="000C0989"/>
    <w:rsid w:val="000C0AD8"/>
    <w:rsid w:val="000C0CF9"/>
    <w:rsid w:val="000C0EE8"/>
    <w:rsid w:val="000C1090"/>
    <w:rsid w:val="000C1A8B"/>
    <w:rsid w:val="000C1AD9"/>
    <w:rsid w:val="000C2044"/>
    <w:rsid w:val="000C2A1B"/>
    <w:rsid w:val="000C2A98"/>
    <w:rsid w:val="000C2BE8"/>
    <w:rsid w:val="000C310A"/>
    <w:rsid w:val="000C3AAA"/>
    <w:rsid w:val="000C3F52"/>
    <w:rsid w:val="000C4064"/>
    <w:rsid w:val="000C4389"/>
    <w:rsid w:val="000C4917"/>
    <w:rsid w:val="000C50AE"/>
    <w:rsid w:val="000C5A07"/>
    <w:rsid w:val="000C5E8C"/>
    <w:rsid w:val="000C6A44"/>
    <w:rsid w:val="000C6E88"/>
    <w:rsid w:val="000C73FD"/>
    <w:rsid w:val="000C7741"/>
    <w:rsid w:val="000D02EE"/>
    <w:rsid w:val="000D037F"/>
    <w:rsid w:val="000D0BBD"/>
    <w:rsid w:val="000D0FE6"/>
    <w:rsid w:val="000D1304"/>
    <w:rsid w:val="000D1478"/>
    <w:rsid w:val="000D14E6"/>
    <w:rsid w:val="000D1D7F"/>
    <w:rsid w:val="000D1F3C"/>
    <w:rsid w:val="000D2B34"/>
    <w:rsid w:val="000D2B63"/>
    <w:rsid w:val="000D2C0D"/>
    <w:rsid w:val="000D2EB8"/>
    <w:rsid w:val="000D347B"/>
    <w:rsid w:val="000D3E43"/>
    <w:rsid w:val="000D3F29"/>
    <w:rsid w:val="000D405B"/>
    <w:rsid w:val="000D416D"/>
    <w:rsid w:val="000D41C9"/>
    <w:rsid w:val="000D4244"/>
    <w:rsid w:val="000D425A"/>
    <w:rsid w:val="000D4907"/>
    <w:rsid w:val="000D49ED"/>
    <w:rsid w:val="000D4CDD"/>
    <w:rsid w:val="000D578B"/>
    <w:rsid w:val="000D5AF1"/>
    <w:rsid w:val="000D5C97"/>
    <w:rsid w:val="000D5DA1"/>
    <w:rsid w:val="000D5E2F"/>
    <w:rsid w:val="000D5FBE"/>
    <w:rsid w:val="000D6052"/>
    <w:rsid w:val="000D64E6"/>
    <w:rsid w:val="000D6EA6"/>
    <w:rsid w:val="000D71A9"/>
    <w:rsid w:val="000D71AA"/>
    <w:rsid w:val="000D73EF"/>
    <w:rsid w:val="000D74D9"/>
    <w:rsid w:val="000D768B"/>
    <w:rsid w:val="000D76F5"/>
    <w:rsid w:val="000D7BD9"/>
    <w:rsid w:val="000D7E1C"/>
    <w:rsid w:val="000E0217"/>
    <w:rsid w:val="000E03B4"/>
    <w:rsid w:val="000E08BC"/>
    <w:rsid w:val="000E10F4"/>
    <w:rsid w:val="000E1A42"/>
    <w:rsid w:val="000E1BC9"/>
    <w:rsid w:val="000E205D"/>
    <w:rsid w:val="000E254D"/>
    <w:rsid w:val="000E2894"/>
    <w:rsid w:val="000E2EEF"/>
    <w:rsid w:val="000E2F0A"/>
    <w:rsid w:val="000E321E"/>
    <w:rsid w:val="000E32F1"/>
    <w:rsid w:val="000E357D"/>
    <w:rsid w:val="000E37FA"/>
    <w:rsid w:val="000E3CBE"/>
    <w:rsid w:val="000E3E53"/>
    <w:rsid w:val="000E41E6"/>
    <w:rsid w:val="000E4746"/>
    <w:rsid w:val="000E4C17"/>
    <w:rsid w:val="000E4D5C"/>
    <w:rsid w:val="000E4FC0"/>
    <w:rsid w:val="000E545D"/>
    <w:rsid w:val="000E54F1"/>
    <w:rsid w:val="000E5CF4"/>
    <w:rsid w:val="000E5EE1"/>
    <w:rsid w:val="000E6152"/>
    <w:rsid w:val="000E7023"/>
    <w:rsid w:val="000E79E2"/>
    <w:rsid w:val="000E7F4B"/>
    <w:rsid w:val="000E7FE8"/>
    <w:rsid w:val="000F017B"/>
    <w:rsid w:val="000F0438"/>
    <w:rsid w:val="000F06C3"/>
    <w:rsid w:val="000F09B2"/>
    <w:rsid w:val="000F0E49"/>
    <w:rsid w:val="000F0EA2"/>
    <w:rsid w:val="000F1046"/>
    <w:rsid w:val="000F137E"/>
    <w:rsid w:val="000F1587"/>
    <w:rsid w:val="000F1616"/>
    <w:rsid w:val="000F1635"/>
    <w:rsid w:val="000F16D3"/>
    <w:rsid w:val="000F1855"/>
    <w:rsid w:val="000F18AE"/>
    <w:rsid w:val="000F1FA3"/>
    <w:rsid w:val="000F2464"/>
    <w:rsid w:val="000F28A1"/>
    <w:rsid w:val="000F2903"/>
    <w:rsid w:val="000F3142"/>
    <w:rsid w:val="000F321C"/>
    <w:rsid w:val="000F346C"/>
    <w:rsid w:val="000F4456"/>
    <w:rsid w:val="000F446F"/>
    <w:rsid w:val="000F5CA5"/>
    <w:rsid w:val="000F64D9"/>
    <w:rsid w:val="000F6944"/>
    <w:rsid w:val="000F7112"/>
    <w:rsid w:val="000F7425"/>
    <w:rsid w:val="000F7616"/>
    <w:rsid w:val="000F78B8"/>
    <w:rsid w:val="000F7F10"/>
    <w:rsid w:val="001004EB"/>
    <w:rsid w:val="00100E27"/>
    <w:rsid w:val="00100FD3"/>
    <w:rsid w:val="001017AF"/>
    <w:rsid w:val="00101B2D"/>
    <w:rsid w:val="00101C34"/>
    <w:rsid w:val="00101EEC"/>
    <w:rsid w:val="00102755"/>
    <w:rsid w:val="0010334C"/>
    <w:rsid w:val="0010362E"/>
    <w:rsid w:val="001036A3"/>
    <w:rsid w:val="0010390C"/>
    <w:rsid w:val="00103999"/>
    <w:rsid w:val="001039C3"/>
    <w:rsid w:val="001039F3"/>
    <w:rsid w:val="00103E6E"/>
    <w:rsid w:val="00103F98"/>
    <w:rsid w:val="0010433E"/>
    <w:rsid w:val="001046C9"/>
    <w:rsid w:val="001049A7"/>
    <w:rsid w:val="00104A98"/>
    <w:rsid w:val="00104B97"/>
    <w:rsid w:val="00104BEA"/>
    <w:rsid w:val="00104CA3"/>
    <w:rsid w:val="0010503C"/>
    <w:rsid w:val="001052F4"/>
    <w:rsid w:val="001054AB"/>
    <w:rsid w:val="00105A6F"/>
    <w:rsid w:val="00105BC4"/>
    <w:rsid w:val="00105DC3"/>
    <w:rsid w:val="00106218"/>
    <w:rsid w:val="00106420"/>
    <w:rsid w:val="0010649F"/>
    <w:rsid w:val="00106BE6"/>
    <w:rsid w:val="00106D3B"/>
    <w:rsid w:val="00107098"/>
    <w:rsid w:val="00107BAB"/>
    <w:rsid w:val="00107C0D"/>
    <w:rsid w:val="00107D2E"/>
    <w:rsid w:val="00107F14"/>
    <w:rsid w:val="00107FC6"/>
    <w:rsid w:val="00110125"/>
    <w:rsid w:val="0011068F"/>
    <w:rsid w:val="0011087A"/>
    <w:rsid w:val="00110D88"/>
    <w:rsid w:val="001115A6"/>
    <w:rsid w:val="00111F24"/>
    <w:rsid w:val="0011224D"/>
    <w:rsid w:val="001122A3"/>
    <w:rsid w:val="00112352"/>
    <w:rsid w:val="0011245D"/>
    <w:rsid w:val="001128FA"/>
    <w:rsid w:val="00112C69"/>
    <w:rsid w:val="00112EE5"/>
    <w:rsid w:val="00112F65"/>
    <w:rsid w:val="001130F9"/>
    <w:rsid w:val="001131F6"/>
    <w:rsid w:val="001132C7"/>
    <w:rsid w:val="00113D1F"/>
    <w:rsid w:val="00113D5D"/>
    <w:rsid w:val="00114295"/>
    <w:rsid w:val="00114C29"/>
    <w:rsid w:val="00114EA7"/>
    <w:rsid w:val="00114F3F"/>
    <w:rsid w:val="001153D4"/>
    <w:rsid w:val="001154EE"/>
    <w:rsid w:val="001157C0"/>
    <w:rsid w:val="00115EDD"/>
    <w:rsid w:val="00115FBB"/>
    <w:rsid w:val="001168DD"/>
    <w:rsid w:val="001169EF"/>
    <w:rsid w:val="00116C0C"/>
    <w:rsid w:val="00116FAB"/>
    <w:rsid w:val="00117415"/>
    <w:rsid w:val="001174DA"/>
    <w:rsid w:val="00117606"/>
    <w:rsid w:val="001177D3"/>
    <w:rsid w:val="00117908"/>
    <w:rsid w:val="00117B62"/>
    <w:rsid w:val="00117E42"/>
    <w:rsid w:val="0012044D"/>
    <w:rsid w:val="001205EC"/>
    <w:rsid w:val="001206F3"/>
    <w:rsid w:val="00120865"/>
    <w:rsid w:val="00120B6E"/>
    <w:rsid w:val="00120B7F"/>
    <w:rsid w:val="00120B99"/>
    <w:rsid w:val="00120E9C"/>
    <w:rsid w:val="00121514"/>
    <w:rsid w:val="00121C9A"/>
    <w:rsid w:val="00121CFA"/>
    <w:rsid w:val="00122381"/>
    <w:rsid w:val="0012245E"/>
    <w:rsid w:val="00122566"/>
    <w:rsid w:val="001226EE"/>
    <w:rsid w:val="0012273C"/>
    <w:rsid w:val="001228E5"/>
    <w:rsid w:val="00122BB4"/>
    <w:rsid w:val="00122C00"/>
    <w:rsid w:val="00122D6A"/>
    <w:rsid w:val="00122F67"/>
    <w:rsid w:val="001230F4"/>
    <w:rsid w:val="00123DFB"/>
    <w:rsid w:val="001240CA"/>
    <w:rsid w:val="001241E0"/>
    <w:rsid w:val="001243D8"/>
    <w:rsid w:val="00125269"/>
    <w:rsid w:val="00125627"/>
    <w:rsid w:val="00125681"/>
    <w:rsid w:val="00125830"/>
    <w:rsid w:val="0012600B"/>
    <w:rsid w:val="00126710"/>
    <w:rsid w:val="0012684F"/>
    <w:rsid w:val="00126B88"/>
    <w:rsid w:val="00126BB7"/>
    <w:rsid w:val="00126DAB"/>
    <w:rsid w:val="0012706C"/>
    <w:rsid w:val="00127271"/>
    <w:rsid w:val="00127518"/>
    <w:rsid w:val="00127859"/>
    <w:rsid w:val="00127889"/>
    <w:rsid w:val="00130221"/>
    <w:rsid w:val="00130706"/>
    <w:rsid w:val="001307BE"/>
    <w:rsid w:val="00130E96"/>
    <w:rsid w:val="00130F46"/>
    <w:rsid w:val="0013101A"/>
    <w:rsid w:val="001316C0"/>
    <w:rsid w:val="00131EEE"/>
    <w:rsid w:val="00131FA8"/>
    <w:rsid w:val="00132390"/>
    <w:rsid w:val="001323F6"/>
    <w:rsid w:val="00132583"/>
    <w:rsid w:val="001329C3"/>
    <w:rsid w:val="00133407"/>
    <w:rsid w:val="0013378C"/>
    <w:rsid w:val="0013384B"/>
    <w:rsid w:val="0013386A"/>
    <w:rsid w:val="00133899"/>
    <w:rsid w:val="001338FC"/>
    <w:rsid w:val="00134161"/>
    <w:rsid w:val="0013438E"/>
    <w:rsid w:val="00134E15"/>
    <w:rsid w:val="00135083"/>
    <w:rsid w:val="001354DA"/>
    <w:rsid w:val="0013558B"/>
    <w:rsid w:val="001355B1"/>
    <w:rsid w:val="0013649E"/>
    <w:rsid w:val="00136929"/>
    <w:rsid w:val="00136938"/>
    <w:rsid w:val="00136D8A"/>
    <w:rsid w:val="00136EC6"/>
    <w:rsid w:val="00136EE3"/>
    <w:rsid w:val="00137115"/>
    <w:rsid w:val="001372E7"/>
    <w:rsid w:val="001373A5"/>
    <w:rsid w:val="0014007D"/>
    <w:rsid w:val="00140345"/>
    <w:rsid w:val="00140AB9"/>
    <w:rsid w:val="00140B68"/>
    <w:rsid w:val="00141333"/>
    <w:rsid w:val="00141881"/>
    <w:rsid w:val="00141B52"/>
    <w:rsid w:val="00142902"/>
    <w:rsid w:val="00142ABD"/>
    <w:rsid w:val="00142AEA"/>
    <w:rsid w:val="00142AEC"/>
    <w:rsid w:val="00142B35"/>
    <w:rsid w:val="00142C07"/>
    <w:rsid w:val="00143642"/>
    <w:rsid w:val="00143647"/>
    <w:rsid w:val="0014381E"/>
    <w:rsid w:val="00143E56"/>
    <w:rsid w:val="00143E93"/>
    <w:rsid w:val="00143E9A"/>
    <w:rsid w:val="0014406C"/>
    <w:rsid w:val="00144377"/>
    <w:rsid w:val="001444D7"/>
    <w:rsid w:val="001447E7"/>
    <w:rsid w:val="0014481F"/>
    <w:rsid w:val="00144882"/>
    <w:rsid w:val="00144AAE"/>
    <w:rsid w:val="00144D23"/>
    <w:rsid w:val="00144FE1"/>
    <w:rsid w:val="001450CD"/>
    <w:rsid w:val="001450E1"/>
    <w:rsid w:val="00145295"/>
    <w:rsid w:val="00145502"/>
    <w:rsid w:val="00145548"/>
    <w:rsid w:val="001455E6"/>
    <w:rsid w:val="00145C4B"/>
    <w:rsid w:val="00145D96"/>
    <w:rsid w:val="00146207"/>
    <w:rsid w:val="00146589"/>
    <w:rsid w:val="00146C89"/>
    <w:rsid w:val="00146ED2"/>
    <w:rsid w:val="001470EF"/>
    <w:rsid w:val="001472B1"/>
    <w:rsid w:val="00147DC9"/>
    <w:rsid w:val="0015044C"/>
    <w:rsid w:val="00150DF1"/>
    <w:rsid w:val="00150E56"/>
    <w:rsid w:val="0015143B"/>
    <w:rsid w:val="00151DB2"/>
    <w:rsid w:val="00152126"/>
    <w:rsid w:val="00152349"/>
    <w:rsid w:val="0015250A"/>
    <w:rsid w:val="00152741"/>
    <w:rsid w:val="00152D68"/>
    <w:rsid w:val="00152F33"/>
    <w:rsid w:val="001533C1"/>
    <w:rsid w:val="00153A20"/>
    <w:rsid w:val="00153B51"/>
    <w:rsid w:val="00154066"/>
    <w:rsid w:val="0015409D"/>
    <w:rsid w:val="001541F7"/>
    <w:rsid w:val="001546D1"/>
    <w:rsid w:val="00154729"/>
    <w:rsid w:val="00154953"/>
    <w:rsid w:val="00154C58"/>
    <w:rsid w:val="00154CE3"/>
    <w:rsid w:val="00155279"/>
    <w:rsid w:val="00155855"/>
    <w:rsid w:val="001559E8"/>
    <w:rsid w:val="00155BD5"/>
    <w:rsid w:val="00155F0F"/>
    <w:rsid w:val="00155FE9"/>
    <w:rsid w:val="00156825"/>
    <w:rsid w:val="0015692A"/>
    <w:rsid w:val="001569F9"/>
    <w:rsid w:val="00156C6B"/>
    <w:rsid w:val="00157399"/>
    <w:rsid w:val="001575E3"/>
    <w:rsid w:val="001575E6"/>
    <w:rsid w:val="00157630"/>
    <w:rsid w:val="00157BD6"/>
    <w:rsid w:val="00157C45"/>
    <w:rsid w:val="001604EF"/>
    <w:rsid w:val="00160739"/>
    <w:rsid w:val="001608FB"/>
    <w:rsid w:val="00160BAC"/>
    <w:rsid w:val="00160D55"/>
    <w:rsid w:val="00161148"/>
    <w:rsid w:val="0016140F"/>
    <w:rsid w:val="0016150E"/>
    <w:rsid w:val="00161893"/>
    <w:rsid w:val="00161B37"/>
    <w:rsid w:val="001621D2"/>
    <w:rsid w:val="001631F9"/>
    <w:rsid w:val="001634AE"/>
    <w:rsid w:val="00163617"/>
    <w:rsid w:val="001636E4"/>
    <w:rsid w:val="00163727"/>
    <w:rsid w:val="00163925"/>
    <w:rsid w:val="00164197"/>
    <w:rsid w:val="001641D0"/>
    <w:rsid w:val="00164482"/>
    <w:rsid w:val="00164592"/>
    <w:rsid w:val="0016495A"/>
    <w:rsid w:val="00164B53"/>
    <w:rsid w:val="00164C08"/>
    <w:rsid w:val="00164C35"/>
    <w:rsid w:val="00164C40"/>
    <w:rsid w:val="00164D8B"/>
    <w:rsid w:val="00164E9B"/>
    <w:rsid w:val="00164F2B"/>
    <w:rsid w:val="001658A1"/>
    <w:rsid w:val="00165A9E"/>
    <w:rsid w:val="00165F50"/>
    <w:rsid w:val="001662A8"/>
    <w:rsid w:val="0016646D"/>
    <w:rsid w:val="00166745"/>
    <w:rsid w:val="0016676D"/>
    <w:rsid w:val="001668BA"/>
    <w:rsid w:val="00166A6E"/>
    <w:rsid w:val="00166C63"/>
    <w:rsid w:val="00166F42"/>
    <w:rsid w:val="00166FC6"/>
    <w:rsid w:val="00167065"/>
    <w:rsid w:val="00167760"/>
    <w:rsid w:val="0016781E"/>
    <w:rsid w:val="00167940"/>
    <w:rsid w:val="00167AC1"/>
    <w:rsid w:val="0017032D"/>
    <w:rsid w:val="00170636"/>
    <w:rsid w:val="001707E1"/>
    <w:rsid w:val="00170BF4"/>
    <w:rsid w:val="00170EFB"/>
    <w:rsid w:val="00170F12"/>
    <w:rsid w:val="00171032"/>
    <w:rsid w:val="00171169"/>
    <w:rsid w:val="00171171"/>
    <w:rsid w:val="00171E0C"/>
    <w:rsid w:val="00172239"/>
    <w:rsid w:val="00172552"/>
    <w:rsid w:val="0017259C"/>
    <w:rsid w:val="001727BD"/>
    <w:rsid w:val="001728C5"/>
    <w:rsid w:val="001728D3"/>
    <w:rsid w:val="00172906"/>
    <w:rsid w:val="00172B27"/>
    <w:rsid w:val="001732A2"/>
    <w:rsid w:val="001734BC"/>
    <w:rsid w:val="001738DA"/>
    <w:rsid w:val="00173990"/>
    <w:rsid w:val="00173B50"/>
    <w:rsid w:val="00173BEB"/>
    <w:rsid w:val="00173C13"/>
    <w:rsid w:val="00173C3A"/>
    <w:rsid w:val="00173E46"/>
    <w:rsid w:val="00174163"/>
    <w:rsid w:val="001741DB"/>
    <w:rsid w:val="001747F7"/>
    <w:rsid w:val="00174AFE"/>
    <w:rsid w:val="00174B9E"/>
    <w:rsid w:val="00174C5A"/>
    <w:rsid w:val="00174F6A"/>
    <w:rsid w:val="00174FA5"/>
    <w:rsid w:val="001751D8"/>
    <w:rsid w:val="0017581C"/>
    <w:rsid w:val="00175A71"/>
    <w:rsid w:val="00175A8E"/>
    <w:rsid w:val="00175F45"/>
    <w:rsid w:val="00175FE4"/>
    <w:rsid w:val="001762EE"/>
    <w:rsid w:val="00176461"/>
    <w:rsid w:val="001764E2"/>
    <w:rsid w:val="001766CC"/>
    <w:rsid w:val="001767A3"/>
    <w:rsid w:val="00176994"/>
    <w:rsid w:val="00176D59"/>
    <w:rsid w:val="00176E0F"/>
    <w:rsid w:val="0017729C"/>
    <w:rsid w:val="00177974"/>
    <w:rsid w:val="00177B23"/>
    <w:rsid w:val="00177E40"/>
    <w:rsid w:val="0018011F"/>
    <w:rsid w:val="00180816"/>
    <w:rsid w:val="00180CFA"/>
    <w:rsid w:val="0018117F"/>
    <w:rsid w:val="00181453"/>
    <w:rsid w:val="0018147E"/>
    <w:rsid w:val="0018168B"/>
    <w:rsid w:val="001818F1"/>
    <w:rsid w:val="00181CFA"/>
    <w:rsid w:val="00181FB6"/>
    <w:rsid w:val="00182722"/>
    <w:rsid w:val="0018318A"/>
    <w:rsid w:val="001831DE"/>
    <w:rsid w:val="0018377B"/>
    <w:rsid w:val="00183D16"/>
    <w:rsid w:val="00184048"/>
    <w:rsid w:val="00184142"/>
    <w:rsid w:val="00184232"/>
    <w:rsid w:val="00184236"/>
    <w:rsid w:val="00184331"/>
    <w:rsid w:val="00184734"/>
    <w:rsid w:val="001847A2"/>
    <w:rsid w:val="001847C5"/>
    <w:rsid w:val="00184F38"/>
    <w:rsid w:val="0018504C"/>
    <w:rsid w:val="00185247"/>
    <w:rsid w:val="00186458"/>
    <w:rsid w:val="00186732"/>
    <w:rsid w:val="00186C4A"/>
    <w:rsid w:val="00186FA1"/>
    <w:rsid w:val="00187485"/>
    <w:rsid w:val="001874F2"/>
    <w:rsid w:val="001879DF"/>
    <w:rsid w:val="00187C43"/>
    <w:rsid w:val="00187CCF"/>
    <w:rsid w:val="00187CF5"/>
    <w:rsid w:val="00187E17"/>
    <w:rsid w:val="00190112"/>
    <w:rsid w:val="001902E9"/>
    <w:rsid w:val="00190383"/>
    <w:rsid w:val="001903CF"/>
    <w:rsid w:val="00190AC0"/>
    <w:rsid w:val="00190F49"/>
    <w:rsid w:val="00190F95"/>
    <w:rsid w:val="00191886"/>
    <w:rsid w:val="00191E72"/>
    <w:rsid w:val="001922F2"/>
    <w:rsid w:val="001923DD"/>
    <w:rsid w:val="00192622"/>
    <w:rsid w:val="00192B15"/>
    <w:rsid w:val="00192CDA"/>
    <w:rsid w:val="00192F89"/>
    <w:rsid w:val="0019333A"/>
    <w:rsid w:val="001933EE"/>
    <w:rsid w:val="001935D6"/>
    <w:rsid w:val="00193640"/>
    <w:rsid w:val="00193931"/>
    <w:rsid w:val="00193AF9"/>
    <w:rsid w:val="00193BB5"/>
    <w:rsid w:val="00193DCA"/>
    <w:rsid w:val="001940B6"/>
    <w:rsid w:val="001941BE"/>
    <w:rsid w:val="0019436F"/>
    <w:rsid w:val="00194E3D"/>
    <w:rsid w:val="0019547D"/>
    <w:rsid w:val="001958B5"/>
    <w:rsid w:val="00195A7E"/>
    <w:rsid w:val="00195AD1"/>
    <w:rsid w:val="00195C24"/>
    <w:rsid w:val="00195D02"/>
    <w:rsid w:val="001961CE"/>
    <w:rsid w:val="00197239"/>
    <w:rsid w:val="00197971"/>
    <w:rsid w:val="00197C07"/>
    <w:rsid w:val="00197CEC"/>
    <w:rsid w:val="00197D67"/>
    <w:rsid w:val="001A00BE"/>
    <w:rsid w:val="001A0313"/>
    <w:rsid w:val="001A05C7"/>
    <w:rsid w:val="001A05F5"/>
    <w:rsid w:val="001A0674"/>
    <w:rsid w:val="001A0AD0"/>
    <w:rsid w:val="001A0CE4"/>
    <w:rsid w:val="001A16A1"/>
    <w:rsid w:val="001A1902"/>
    <w:rsid w:val="001A1E74"/>
    <w:rsid w:val="001A1EEE"/>
    <w:rsid w:val="001A26A4"/>
    <w:rsid w:val="001A27B1"/>
    <w:rsid w:val="001A27BB"/>
    <w:rsid w:val="001A2AFF"/>
    <w:rsid w:val="001A2DE6"/>
    <w:rsid w:val="001A2FCD"/>
    <w:rsid w:val="001A3434"/>
    <w:rsid w:val="001A3494"/>
    <w:rsid w:val="001A3534"/>
    <w:rsid w:val="001A3734"/>
    <w:rsid w:val="001A3DE0"/>
    <w:rsid w:val="001A419A"/>
    <w:rsid w:val="001A452E"/>
    <w:rsid w:val="001A5025"/>
    <w:rsid w:val="001A5080"/>
    <w:rsid w:val="001A51D4"/>
    <w:rsid w:val="001A5292"/>
    <w:rsid w:val="001A53E9"/>
    <w:rsid w:val="001A54D3"/>
    <w:rsid w:val="001A5541"/>
    <w:rsid w:val="001A56D0"/>
    <w:rsid w:val="001A597F"/>
    <w:rsid w:val="001A64F2"/>
    <w:rsid w:val="001A6AF3"/>
    <w:rsid w:val="001A719D"/>
    <w:rsid w:val="001A75B1"/>
    <w:rsid w:val="001A7670"/>
    <w:rsid w:val="001A76CB"/>
    <w:rsid w:val="001A77B7"/>
    <w:rsid w:val="001A7C8D"/>
    <w:rsid w:val="001A7E27"/>
    <w:rsid w:val="001B08AF"/>
    <w:rsid w:val="001B0A8C"/>
    <w:rsid w:val="001B13D0"/>
    <w:rsid w:val="001B1929"/>
    <w:rsid w:val="001B1AEB"/>
    <w:rsid w:val="001B2008"/>
    <w:rsid w:val="001B248F"/>
    <w:rsid w:val="001B2856"/>
    <w:rsid w:val="001B2879"/>
    <w:rsid w:val="001B2AA1"/>
    <w:rsid w:val="001B3313"/>
    <w:rsid w:val="001B3340"/>
    <w:rsid w:val="001B33E8"/>
    <w:rsid w:val="001B340A"/>
    <w:rsid w:val="001B3B97"/>
    <w:rsid w:val="001B3FF0"/>
    <w:rsid w:val="001B40C1"/>
    <w:rsid w:val="001B4430"/>
    <w:rsid w:val="001B4D1F"/>
    <w:rsid w:val="001B55CD"/>
    <w:rsid w:val="001B571C"/>
    <w:rsid w:val="001B611E"/>
    <w:rsid w:val="001B68AD"/>
    <w:rsid w:val="001B6FD5"/>
    <w:rsid w:val="001B72C7"/>
    <w:rsid w:val="001B7F93"/>
    <w:rsid w:val="001C0B5C"/>
    <w:rsid w:val="001C0B90"/>
    <w:rsid w:val="001C103A"/>
    <w:rsid w:val="001C1433"/>
    <w:rsid w:val="001C15DB"/>
    <w:rsid w:val="001C1C8C"/>
    <w:rsid w:val="001C1D6D"/>
    <w:rsid w:val="001C20E2"/>
    <w:rsid w:val="001C2A5B"/>
    <w:rsid w:val="001C2A61"/>
    <w:rsid w:val="001C2AB5"/>
    <w:rsid w:val="001C2C97"/>
    <w:rsid w:val="001C3E73"/>
    <w:rsid w:val="001C41FE"/>
    <w:rsid w:val="001C42A5"/>
    <w:rsid w:val="001C42E0"/>
    <w:rsid w:val="001C5891"/>
    <w:rsid w:val="001C59C3"/>
    <w:rsid w:val="001C6084"/>
    <w:rsid w:val="001C60F6"/>
    <w:rsid w:val="001C64AE"/>
    <w:rsid w:val="001C65DC"/>
    <w:rsid w:val="001C6C1A"/>
    <w:rsid w:val="001C6C8B"/>
    <w:rsid w:val="001C6E14"/>
    <w:rsid w:val="001C70C8"/>
    <w:rsid w:val="001C73A7"/>
    <w:rsid w:val="001C78A5"/>
    <w:rsid w:val="001C7A5E"/>
    <w:rsid w:val="001C7B0C"/>
    <w:rsid w:val="001C7D23"/>
    <w:rsid w:val="001C7D9F"/>
    <w:rsid w:val="001D0099"/>
    <w:rsid w:val="001D0540"/>
    <w:rsid w:val="001D0841"/>
    <w:rsid w:val="001D0BAB"/>
    <w:rsid w:val="001D1209"/>
    <w:rsid w:val="001D1429"/>
    <w:rsid w:val="001D1716"/>
    <w:rsid w:val="001D175D"/>
    <w:rsid w:val="001D1ABB"/>
    <w:rsid w:val="001D1D6A"/>
    <w:rsid w:val="001D1E8E"/>
    <w:rsid w:val="001D1F59"/>
    <w:rsid w:val="001D2118"/>
    <w:rsid w:val="001D26BE"/>
    <w:rsid w:val="001D2ADA"/>
    <w:rsid w:val="001D31C6"/>
    <w:rsid w:val="001D322A"/>
    <w:rsid w:val="001D3374"/>
    <w:rsid w:val="001D3D9D"/>
    <w:rsid w:val="001D3F3E"/>
    <w:rsid w:val="001D44BE"/>
    <w:rsid w:val="001D44D0"/>
    <w:rsid w:val="001D4AC9"/>
    <w:rsid w:val="001D4BC5"/>
    <w:rsid w:val="001D4FA3"/>
    <w:rsid w:val="001D5021"/>
    <w:rsid w:val="001D5297"/>
    <w:rsid w:val="001D52C3"/>
    <w:rsid w:val="001D531B"/>
    <w:rsid w:val="001D5363"/>
    <w:rsid w:val="001D5617"/>
    <w:rsid w:val="001D570B"/>
    <w:rsid w:val="001D581A"/>
    <w:rsid w:val="001D581D"/>
    <w:rsid w:val="001D5C22"/>
    <w:rsid w:val="001D6005"/>
    <w:rsid w:val="001D610B"/>
    <w:rsid w:val="001D62EC"/>
    <w:rsid w:val="001D6316"/>
    <w:rsid w:val="001D631E"/>
    <w:rsid w:val="001D6CC0"/>
    <w:rsid w:val="001D6D09"/>
    <w:rsid w:val="001D6D32"/>
    <w:rsid w:val="001D6FF5"/>
    <w:rsid w:val="001D7105"/>
    <w:rsid w:val="001D710E"/>
    <w:rsid w:val="001D7995"/>
    <w:rsid w:val="001E03B7"/>
    <w:rsid w:val="001E042B"/>
    <w:rsid w:val="001E075C"/>
    <w:rsid w:val="001E0822"/>
    <w:rsid w:val="001E0A5E"/>
    <w:rsid w:val="001E0B7F"/>
    <w:rsid w:val="001E0E1E"/>
    <w:rsid w:val="001E1222"/>
    <w:rsid w:val="001E13A7"/>
    <w:rsid w:val="001E16F3"/>
    <w:rsid w:val="001E27D4"/>
    <w:rsid w:val="001E2928"/>
    <w:rsid w:val="001E2A2C"/>
    <w:rsid w:val="001E2D51"/>
    <w:rsid w:val="001E32FA"/>
    <w:rsid w:val="001E34AE"/>
    <w:rsid w:val="001E40C1"/>
    <w:rsid w:val="001E44E3"/>
    <w:rsid w:val="001E4DC3"/>
    <w:rsid w:val="001E4E74"/>
    <w:rsid w:val="001E5169"/>
    <w:rsid w:val="001E5244"/>
    <w:rsid w:val="001E568B"/>
    <w:rsid w:val="001E58FA"/>
    <w:rsid w:val="001E5E1F"/>
    <w:rsid w:val="001E62F3"/>
    <w:rsid w:val="001E69B5"/>
    <w:rsid w:val="001E6B5C"/>
    <w:rsid w:val="001E72E6"/>
    <w:rsid w:val="001E74D4"/>
    <w:rsid w:val="001E7548"/>
    <w:rsid w:val="001E7899"/>
    <w:rsid w:val="001E7B09"/>
    <w:rsid w:val="001F0004"/>
    <w:rsid w:val="001F019A"/>
    <w:rsid w:val="001F05ED"/>
    <w:rsid w:val="001F0669"/>
    <w:rsid w:val="001F0E18"/>
    <w:rsid w:val="001F0F69"/>
    <w:rsid w:val="001F1247"/>
    <w:rsid w:val="001F13CB"/>
    <w:rsid w:val="001F19D3"/>
    <w:rsid w:val="001F353C"/>
    <w:rsid w:val="001F3687"/>
    <w:rsid w:val="001F36E2"/>
    <w:rsid w:val="001F3BF2"/>
    <w:rsid w:val="001F3D16"/>
    <w:rsid w:val="001F3F20"/>
    <w:rsid w:val="001F42B3"/>
    <w:rsid w:val="001F475F"/>
    <w:rsid w:val="001F48FD"/>
    <w:rsid w:val="001F4B95"/>
    <w:rsid w:val="001F4CFD"/>
    <w:rsid w:val="001F4EB1"/>
    <w:rsid w:val="001F5098"/>
    <w:rsid w:val="001F598B"/>
    <w:rsid w:val="001F5C02"/>
    <w:rsid w:val="001F5CB8"/>
    <w:rsid w:val="001F5DC4"/>
    <w:rsid w:val="001F5EFE"/>
    <w:rsid w:val="001F6307"/>
    <w:rsid w:val="001F7185"/>
    <w:rsid w:val="001F721B"/>
    <w:rsid w:val="001F72F5"/>
    <w:rsid w:val="001F780F"/>
    <w:rsid w:val="001F7D0E"/>
    <w:rsid w:val="001F7FE1"/>
    <w:rsid w:val="0020014B"/>
    <w:rsid w:val="002003D0"/>
    <w:rsid w:val="002004B7"/>
    <w:rsid w:val="002009A3"/>
    <w:rsid w:val="00200BF9"/>
    <w:rsid w:val="00201647"/>
    <w:rsid w:val="00202AE3"/>
    <w:rsid w:val="00202EAF"/>
    <w:rsid w:val="00202ED6"/>
    <w:rsid w:val="00203167"/>
    <w:rsid w:val="00203742"/>
    <w:rsid w:val="00203868"/>
    <w:rsid w:val="002041C7"/>
    <w:rsid w:val="00204268"/>
    <w:rsid w:val="002047EF"/>
    <w:rsid w:val="00204B09"/>
    <w:rsid w:val="00205379"/>
    <w:rsid w:val="00205775"/>
    <w:rsid w:val="00205D4C"/>
    <w:rsid w:val="00205F07"/>
    <w:rsid w:val="00205F0F"/>
    <w:rsid w:val="00206013"/>
    <w:rsid w:val="00206050"/>
    <w:rsid w:val="00206297"/>
    <w:rsid w:val="002065C3"/>
    <w:rsid w:val="0020681E"/>
    <w:rsid w:val="00206BA9"/>
    <w:rsid w:val="00206C59"/>
    <w:rsid w:val="00206D91"/>
    <w:rsid w:val="00206F14"/>
    <w:rsid w:val="00206F96"/>
    <w:rsid w:val="0020728F"/>
    <w:rsid w:val="002073AC"/>
    <w:rsid w:val="00207498"/>
    <w:rsid w:val="00207C8C"/>
    <w:rsid w:val="00207E49"/>
    <w:rsid w:val="00210333"/>
    <w:rsid w:val="00210473"/>
    <w:rsid w:val="002105E5"/>
    <w:rsid w:val="002106A2"/>
    <w:rsid w:val="00210803"/>
    <w:rsid w:val="0021084E"/>
    <w:rsid w:val="00210DFC"/>
    <w:rsid w:val="00211240"/>
    <w:rsid w:val="0021154F"/>
    <w:rsid w:val="002118CA"/>
    <w:rsid w:val="00211A5F"/>
    <w:rsid w:val="00211A7B"/>
    <w:rsid w:val="00211B48"/>
    <w:rsid w:val="00211C59"/>
    <w:rsid w:val="00211DAD"/>
    <w:rsid w:val="00211F6F"/>
    <w:rsid w:val="00211FE3"/>
    <w:rsid w:val="00212178"/>
    <w:rsid w:val="00212CC4"/>
    <w:rsid w:val="00212E62"/>
    <w:rsid w:val="0021306C"/>
    <w:rsid w:val="00213933"/>
    <w:rsid w:val="0021399D"/>
    <w:rsid w:val="00213B69"/>
    <w:rsid w:val="002147A4"/>
    <w:rsid w:val="002149B0"/>
    <w:rsid w:val="00214C74"/>
    <w:rsid w:val="00214EEF"/>
    <w:rsid w:val="00214F1E"/>
    <w:rsid w:val="00214FD0"/>
    <w:rsid w:val="002152CE"/>
    <w:rsid w:val="002153F3"/>
    <w:rsid w:val="0021544F"/>
    <w:rsid w:val="002156ED"/>
    <w:rsid w:val="00215B99"/>
    <w:rsid w:val="00215E16"/>
    <w:rsid w:val="002161F7"/>
    <w:rsid w:val="00216305"/>
    <w:rsid w:val="0021636E"/>
    <w:rsid w:val="00216468"/>
    <w:rsid w:val="002164B7"/>
    <w:rsid w:val="0021652E"/>
    <w:rsid w:val="002165BD"/>
    <w:rsid w:val="00216CDE"/>
    <w:rsid w:val="00216D41"/>
    <w:rsid w:val="00216F56"/>
    <w:rsid w:val="002179D0"/>
    <w:rsid w:val="00217BF2"/>
    <w:rsid w:val="002201E0"/>
    <w:rsid w:val="00220927"/>
    <w:rsid w:val="00220A2B"/>
    <w:rsid w:val="00220F4E"/>
    <w:rsid w:val="0022132E"/>
    <w:rsid w:val="00221331"/>
    <w:rsid w:val="00221338"/>
    <w:rsid w:val="00221CF2"/>
    <w:rsid w:val="0022218F"/>
    <w:rsid w:val="002228B2"/>
    <w:rsid w:val="002229A8"/>
    <w:rsid w:val="00222AD5"/>
    <w:rsid w:val="00222C53"/>
    <w:rsid w:val="00222D37"/>
    <w:rsid w:val="00222FC6"/>
    <w:rsid w:val="002233A3"/>
    <w:rsid w:val="002235B3"/>
    <w:rsid w:val="002242B0"/>
    <w:rsid w:val="00224539"/>
    <w:rsid w:val="00224A94"/>
    <w:rsid w:val="00224B23"/>
    <w:rsid w:val="002251B1"/>
    <w:rsid w:val="002252F7"/>
    <w:rsid w:val="002253CD"/>
    <w:rsid w:val="0022548C"/>
    <w:rsid w:val="00225DDD"/>
    <w:rsid w:val="0022679E"/>
    <w:rsid w:val="00226ACA"/>
    <w:rsid w:val="00227402"/>
    <w:rsid w:val="00227540"/>
    <w:rsid w:val="00227640"/>
    <w:rsid w:val="00227936"/>
    <w:rsid w:val="0022796B"/>
    <w:rsid w:val="00227B85"/>
    <w:rsid w:val="00227D74"/>
    <w:rsid w:val="00230B0E"/>
    <w:rsid w:val="00230D97"/>
    <w:rsid w:val="00230E0C"/>
    <w:rsid w:val="00230E7C"/>
    <w:rsid w:val="00231721"/>
    <w:rsid w:val="00231D84"/>
    <w:rsid w:val="00232073"/>
    <w:rsid w:val="00232754"/>
    <w:rsid w:val="002329EB"/>
    <w:rsid w:val="00232E89"/>
    <w:rsid w:val="00233106"/>
    <w:rsid w:val="00233125"/>
    <w:rsid w:val="00233183"/>
    <w:rsid w:val="002336FD"/>
    <w:rsid w:val="00234583"/>
    <w:rsid w:val="002346F0"/>
    <w:rsid w:val="00234749"/>
    <w:rsid w:val="00234800"/>
    <w:rsid w:val="00234841"/>
    <w:rsid w:val="0023491C"/>
    <w:rsid w:val="00235196"/>
    <w:rsid w:val="00235619"/>
    <w:rsid w:val="00235903"/>
    <w:rsid w:val="00235F91"/>
    <w:rsid w:val="00235F94"/>
    <w:rsid w:val="00236081"/>
    <w:rsid w:val="0023644A"/>
    <w:rsid w:val="0023654B"/>
    <w:rsid w:val="002366CE"/>
    <w:rsid w:val="002369AB"/>
    <w:rsid w:val="00236BD4"/>
    <w:rsid w:val="00237294"/>
    <w:rsid w:val="00237372"/>
    <w:rsid w:val="00237577"/>
    <w:rsid w:val="00237706"/>
    <w:rsid w:val="0023783F"/>
    <w:rsid w:val="002379C1"/>
    <w:rsid w:val="00237B9D"/>
    <w:rsid w:val="00237BE9"/>
    <w:rsid w:val="00237F65"/>
    <w:rsid w:val="002401A0"/>
    <w:rsid w:val="00240738"/>
    <w:rsid w:val="002407E4"/>
    <w:rsid w:val="00241454"/>
    <w:rsid w:val="0024180F"/>
    <w:rsid w:val="00241CE4"/>
    <w:rsid w:val="00241D1A"/>
    <w:rsid w:val="00241F22"/>
    <w:rsid w:val="00242705"/>
    <w:rsid w:val="00242904"/>
    <w:rsid w:val="00242EE8"/>
    <w:rsid w:val="002431B1"/>
    <w:rsid w:val="00243A62"/>
    <w:rsid w:val="002449C0"/>
    <w:rsid w:val="002449DA"/>
    <w:rsid w:val="00244A04"/>
    <w:rsid w:val="00244D1F"/>
    <w:rsid w:val="0024505B"/>
    <w:rsid w:val="00245073"/>
    <w:rsid w:val="002451B3"/>
    <w:rsid w:val="00245348"/>
    <w:rsid w:val="002453CA"/>
    <w:rsid w:val="002454B8"/>
    <w:rsid w:val="00245565"/>
    <w:rsid w:val="00245910"/>
    <w:rsid w:val="00245C78"/>
    <w:rsid w:val="00246153"/>
    <w:rsid w:val="002463F8"/>
    <w:rsid w:val="00246A97"/>
    <w:rsid w:val="00247970"/>
    <w:rsid w:val="00247C55"/>
    <w:rsid w:val="00250517"/>
    <w:rsid w:val="002507F0"/>
    <w:rsid w:val="0025164F"/>
    <w:rsid w:val="00251666"/>
    <w:rsid w:val="00251FB9"/>
    <w:rsid w:val="002522C7"/>
    <w:rsid w:val="00252670"/>
    <w:rsid w:val="00252E92"/>
    <w:rsid w:val="002531C4"/>
    <w:rsid w:val="002533DE"/>
    <w:rsid w:val="0025342C"/>
    <w:rsid w:val="0025349E"/>
    <w:rsid w:val="002536BC"/>
    <w:rsid w:val="002538EB"/>
    <w:rsid w:val="00253B4E"/>
    <w:rsid w:val="00253BAA"/>
    <w:rsid w:val="00253C8B"/>
    <w:rsid w:val="00253E3D"/>
    <w:rsid w:val="00254878"/>
    <w:rsid w:val="00254A40"/>
    <w:rsid w:val="00254BC8"/>
    <w:rsid w:val="00254D69"/>
    <w:rsid w:val="00254E17"/>
    <w:rsid w:val="00255461"/>
    <w:rsid w:val="00255531"/>
    <w:rsid w:val="002559B2"/>
    <w:rsid w:val="00255BCA"/>
    <w:rsid w:val="002563C8"/>
    <w:rsid w:val="00256582"/>
    <w:rsid w:val="00257391"/>
    <w:rsid w:val="0025759E"/>
    <w:rsid w:val="00257AF6"/>
    <w:rsid w:val="00257D80"/>
    <w:rsid w:val="002600B4"/>
    <w:rsid w:val="002601D8"/>
    <w:rsid w:val="002603A6"/>
    <w:rsid w:val="00260815"/>
    <w:rsid w:val="00260C14"/>
    <w:rsid w:val="0026114D"/>
    <w:rsid w:val="002617B4"/>
    <w:rsid w:val="002617D2"/>
    <w:rsid w:val="00261EDD"/>
    <w:rsid w:val="00262294"/>
    <w:rsid w:val="00262473"/>
    <w:rsid w:val="002625C4"/>
    <w:rsid w:val="00262891"/>
    <w:rsid w:val="00262CF3"/>
    <w:rsid w:val="002630DB"/>
    <w:rsid w:val="002631E6"/>
    <w:rsid w:val="00263331"/>
    <w:rsid w:val="00263386"/>
    <w:rsid w:val="00263A7A"/>
    <w:rsid w:val="00263BD1"/>
    <w:rsid w:val="00263EAB"/>
    <w:rsid w:val="002646E7"/>
    <w:rsid w:val="00264AF1"/>
    <w:rsid w:val="002652AE"/>
    <w:rsid w:val="0026538B"/>
    <w:rsid w:val="00265B76"/>
    <w:rsid w:val="00265BEB"/>
    <w:rsid w:val="00265BF5"/>
    <w:rsid w:val="00265D54"/>
    <w:rsid w:val="00265E0A"/>
    <w:rsid w:val="00266030"/>
    <w:rsid w:val="002660DE"/>
    <w:rsid w:val="002660FD"/>
    <w:rsid w:val="00266243"/>
    <w:rsid w:val="002665CD"/>
    <w:rsid w:val="00266944"/>
    <w:rsid w:val="00266A34"/>
    <w:rsid w:val="00266B1E"/>
    <w:rsid w:val="00266B2A"/>
    <w:rsid w:val="0026709C"/>
    <w:rsid w:val="0026728B"/>
    <w:rsid w:val="00267D77"/>
    <w:rsid w:val="00267F9A"/>
    <w:rsid w:val="00270465"/>
    <w:rsid w:val="00270883"/>
    <w:rsid w:val="0027097A"/>
    <w:rsid w:val="00270CC0"/>
    <w:rsid w:val="00271578"/>
    <w:rsid w:val="002715C6"/>
    <w:rsid w:val="00271820"/>
    <w:rsid w:val="00271D97"/>
    <w:rsid w:val="00272095"/>
    <w:rsid w:val="002721FC"/>
    <w:rsid w:val="00272688"/>
    <w:rsid w:val="00272D3B"/>
    <w:rsid w:val="00272E82"/>
    <w:rsid w:val="00273170"/>
    <w:rsid w:val="0027320E"/>
    <w:rsid w:val="00273545"/>
    <w:rsid w:val="00273744"/>
    <w:rsid w:val="00273CBA"/>
    <w:rsid w:val="00273D2C"/>
    <w:rsid w:val="00273F77"/>
    <w:rsid w:val="00274025"/>
    <w:rsid w:val="002744BF"/>
    <w:rsid w:val="002748BC"/>
    <w:rsid w:val="00274BB2"/>
    <w:rsid w:val="00274BCF"/>
    <w:rsid w:val="00274F7C"/>
    <w:rsid w:val="00275286"/>
    <w:rsid w:val="00275515"/>
    <w:rsid w:val="00275933"/>
    <w:rsid w:val="002759FA"/>
    <w:rsid w:val="00275BAD"/>
    <w:rsid w:val="00276307"/>
    <w:rsid w:val="00276365"/>
    <w:rsid w:val="00276395"/>
    <w:rsid w:val="00276459"/>
    <w:rsid w:val="0027671E"/>
    <w:rsid w:val="00276769"/>
    <w:rsid w:val="00276874"/>
    <w:rsid w:val="002775FA"/>
    <w:rsid w:val="002801B3"/>
    <w:rsid w:val="002801E9"/>
    <w:rsid w:val="0028028E"/>
    <w:rsid w:val="0028032C"/>
    <w:rsid w:val="00280A43"/>
    <w:rsid w:val="00280B76"/>
    <w:rsid w:val="0028104A"/>
    <w:rsid w:val="00281373"/>
    <w:rsid w:val="002816E0"/>
    <w:rsid w:val="00281700"/>
    <w:rsid w:val="00281760"/>
    <w:rsid w:val="00281881"/>
    <w:rsid w:val="00281AC2"/>
    <w:rsid w:val="00281D0E"/>
    <w:rsid w:val="00281E68"/>
    <w:rsid w:val="0028244D"/>
    <w:rsid w:val="0028255D"/>
    <w:rsid w:val="002826CD"/>
    <w:rsid w:val="0028282F"/>
    <w:rsid w:val="0028289A"/>
    <w:rsid w:val="00283020"/>
    <w:rsid w:val="002833B1"/>
    <w:rsid w:val="0028344C"/>
    <w:rsid w:val="00283907"/>
    <w:rsid w:val="002839D3"/>
    <w:rsid w:val="00283D50"/>
    <w:rsid w:val="00284312"/>
    <w:rsid w:val="00284469"/>
    <w:rsid w:val="00284523"/>
    <w:rsid w:val="00284B48"/>
    <w:rsid w:val="00284D2B"/>
    <w:rsid w:val="00284E90"/>
    <w:rsid w:val="002850EA"/>
    <w:rsid w:val="00285700"/>
    <w:rsid w:val="002857F6"/>
    <w:rsid w:val="002859F8"/>
    <w:rsid w:val="00285FEA"/>
    <w:rsid w:val="0028635F"/>
    <w:rsid w:val="002864C9"/>
    <w:rsid w:val="002864FC"/>
    <w:rsid w:val="00286524"/>
    <w:rsid w:val="00286599"/>
    <w:rsid w:val="00286A98"/>
    <w:rsid w:val="00286E3C"/>
    <w:rsid w:val="0028718E"/>
    <w:rsid w:val="002874F4"/>
    <w:rsid w:val="002875B7"/>
    <w:rsid w:val="002877D5"/>
    <w:rsid w:val="0028781C"/>
    <w:rsid w:val="00287946"/>
    <w:rsid w:val="00287B09"/>
    <w:rsid w:val="00287C9F"/>
    <w:rsid w:val="00287CF8"/>
    <w:rsid w:val="00287FF7"/>
    <w:rsid w:val="0029006D"/>
    <w:rsid w:val="002906CB"/>
    <w:rsid w:val="002906F6"/>
    <w:rsid w:val="0029089C"/>
    <w:rsid w:val="00290E8D"/>
    <w:rsid w:val="00291048"/>
    <w:rsid w:val="0029167C"/>
    <w:rsid w:val="002917A8"/>
    <w:rsid w:val="00291A3D"/>
    <w:rsid w:val="00291B66"/>
    <w:rsid w:val="00291DAA"/>
    <w:rsid w:val="00292037"/>
    <w:rsid w:val="0029238B"/>
    <w:rsid w:val="002926AB"/>
    <w:rsid w:val="002928D6"/>
    <w:rsid w:val="00292BD7"/>
    <w:rsid w:val="00292E80"/>
    <w:rsid w:val="00293068"/>
    <w:rsid w:val="002932D1"/>
    <w:rsid w:val="00293387"/>
    <w:rsid w:val="00293457"/>
    <w:rsid w:val="00293709"/>
    <w:rsid w:val="00293753"/>
    <w:rsid w:val="002937D0"/>
    <w:rsid w:val="00293A19"/>
    <w:rsid w:val="00294EEF"/>
    <w:rsid w:val="0029513F"/>
    <w:rsid w:val="00295A26"/>
    <w:rsid w:val="00295EA0"/>
    <w:rsid w:val="0029607D"/>
    <w:rsid w:val="00296235"/>
    <w:rsid w:val="002963A8"/>
    <w:rsid w:val="002965B1"/>
    <w:rsid w:val="00296CBB"/>
    <w:rsid w:val="00296D38"/>
    <w:rsid w:val="00297C53"/>
    <w:rsid w:val="00297C7E"/>
    <w:rsid w:val="00297F32"/>
    <w:rsid w:val="002A0631"/>
    <w:rsid w:val="002A0A6B"/>
    <w:rsid w:val="002A0CE2"/>
    <w:rsid w:val="002A15CE"/>
    <w:rsid w:val="002A181D"/>
    <w:rsid w:val="002A1896"/>
    <w:rsid w:val="002A1C1D"/>
    <w:rsid w:val="002A2672"/>
    <w:rsid w:val="002A2AA4"/>
    <w:rsid w:val="002A2B2F"/>
    <w:rsid w:val="002A2B75"/>
    <w:rsid w:val="002A311D"/>
    <w:rsid w:val="002A395B"/>
    <w:rsid w:val="002A3E54"/>
    <w:rsid w:val="002A4025"/>
    <w:rsid w:val="002A408E"/>
    <w:rsid w:val="002A438F"/>
    <w:rsid w:val="002A453D"/>
    <w:rsid w:val="002A4553"/>
    <w:rsid w:val="002A4713"/>
    <w:rsid w:val="002A499B"/>
    <w:rsid w:val="002A4A55"/>
    <w:rsid w:val="002A4CB3"/>
    <w:rsid w:val="002A4EA9"/>
    <w:rsid w:val="002A50F1"/>
    <w:rsid w:val="002A587A"/>
    <w:rsid w:val="002A5C34"/>
    <w:rsid w:val="002A5C4E"/>
    <w:rsid w:val="002A5CFD"/>
    <w:rsid w:val="002A602D"/>
    <w:rsid w:val="002A64B1"/>
    <w:rsid w:val="002A65A2"/>
    <w:rsid w:val="002A679E"/>
    <w:rsid w:val="002A68EB"/>
    <w:rsid w:val="002A69F8"/>
    <w:rsid w:val="002A7795"/>
    <w:rsid w:val="002A790D"/>
    <w:rsid w:val="002A7C61"/>
    <w:rsid w:val="002A7CD0"/>
    <w:rsid w:val="002A7D9F"/>
    <w:rsid w:val="002B0257"/>
    <w:rsid w:val="002B047D"/>
    <w:rsid w:val="002B062C"/>
    <w:rsid w:val="002B09B3"/>
    <w:rsid w:val="002B0CBF"/>
    <w:rsid w:val="002B0E85"/>
    <w:rsid w:val="002B18B9"/>
    <w:rsid w:val="002B1C3A"/>
    <w:rsid w:val="002B1E23"/>
    <w:rsid w:val="002B2024"/>
    <w:rsid w:val="002B21C1"/>
    <w:rsid w:val="002B22CD"/>
    <w:rsid w:val="002B2310"/>
    <w:rsid w:val="002B2503"/>
    <w:rsid w:val="002B2C4D"/>
    <w:rsid w:val="002B320E"/>
    <w:rsid w:val="002B345E"/>
    <w:rsid w:val="002B3667"/>
    <w:rsid w:val="002B3676"/>
    <w:rsid w:val="002B38AC"/>
    <w:rsid w:val="002B3B8F"/>
    <w:rsid w:val="002B4655"/>
    <w:rsid w:val="002B4938"/>
    <w:rsid w:val="002B493C"/>
    <w:rsid w:val="002B4AB3"/>
    <w:rsid w:val="002B4C7A"/>
    <w:rsid w:val="002B4D3C"/>
    <w:rsid w:val="002B4D90"/>
    <w:rsid w:val="002B4DE1"/>
    <w:rsid w:val="002B52F6"/>
    <w:rsid w:val="002B5374"/>
    <w:rsid w:val="002B53DC"/>
    <w:rsid w:val="002B5403"/>
    <w:rsid w:val="002B55AC"/>
    <w:rsid w:val="002B599C"/>
    <w:rsid w:val="002B5A9D"/>
    <w:rsid w:val="002B6185"/>
    <w:rsid w:val="002B6457"/>
    <w:rsid w:val="002B65B5"/>
    <w:rsid w:val="002B6BC4"/>
    <w:rsid w:val="002B6F36"/>
    <w:rsid w:val="002B7008"/>
    <w:rsid w:val="002B7032"/>
    <w:rsid w:val="002B71B7"/>
    <w:rsid w:val="002B736E"/>
    <w:rsid w:val="002B7654"/>
    <w:rsid w:val="002B7C12"/>
    <w:rsid w:val="002B7CA3"/>
    <w:rsid w:val="002B7F57"/>
    <w:rsid w:val="002C01D2"/>
    <w:rsid w:val="002C0446"/>
    <w:rsid w:val="002C0DBD"/>
    <w:rsid w:val="002C0E40"/>
    <w:rsid w:val="002C0E82"/>
    <w:rsid w:val="002C1312"/>
    <w:rsid w:val="002C1763"/>
    <w:rsid w:val="002C17EE"/>
    <w:rsid w:val="002C1B5B"/>
    <w:rsid w:val="002C2186"/>
    <w:rsid w:val="002C26A2"/>
    <w:rsid w:val="002C2E24"/>
    <w:rsid w:val="002C31EF"/>
    <w:rsid w:val="002C3756"/>
    <w:rsid w:val="002C37A2"/>
    <w:rsid w:val="002C3816"/>
    <w:rsid w:val="002C38DC"/>
    <w:rsid w:val="002C3D4F"/>
    <w:rsid w:val="002C3D8E"/>
    <w:rsid w:val="002C3E97"/>
    <w:rsid w:val="002C3F06"/>
    <w:rsid w:val="002C3FBA"/>
    <w:rsid w:val="002C441C"/>
    <w:rsid w:val="002C4921"/>
    <w:rsid w:val="002C512E"/>
    <w:rsid w:val="002C5174"/>
    <w:rsid w:val="002C52D4"/>
    <w:rsid w:val="002C5C1A"/>
    <w:rsid w:val="002C6534"/>
    <w:rsid w:val="002C6BDF"/>
    <w:rsid w:val="002C6BF7"/>
    <w:rsid w:val="002C6F51"/>
    <w:rsid w:val="002C7086"/>
    <w:rsid w:val="002C715A"/>
    <w:rsid w:val="002C769A"/>
    <w:rsid w:val="002C7D41"/>
    <w:rsid w:val="002C7DB4"/>
    <w:rsid w:val="002C7E51"/>
    <w:rsid w:val="002D011C"/>
    <w:rsid w:val="002D054D"/>
    <w:rsid w:val="002D070E"/>
    <w:rsid w:val="002D14DD"/>
    <w:rsid w:val="002D18FF"/>
    <w:rsid w:val="002D1958"/>
    <w:rsid w:val="002D1C56"/>
    <w:rsid w:val="002D1E1C"/>
    <w:rsid w:val="002D1F68"/>
    <w:rsid w:val="002D2637"/>
    <w:rsid w:val="002D2A0A"/>
    <w:rsid w:val="002D2D13"/>
    <w:rsid w:val="002D3531"/>
    <w:rsid w:val="002D3644"/>
    <w:rsid w:val="002D372C"/>
    <w:rsid w:val="002D3B0C"/>
    <w:rsid w:val="002D3F3F"/>
    <w:rsid w:val="002D4546"/>
    <w:rsid w:val="002D457A"/>
    <w:rsid w:val="002D5360"/>
    <w:rsid w:val="002D545E"/>
    <w:rsid w:val="002D546E"/>
    <w:rsid w:val="002D5BB8"/>
    <w:rsid w:val="002D5C02"/>
    <w:rsid w:val="002D64EE"/>
    <w:rsid w:val="002D681D"/>
    <w:rsid w:val="002D683E"/>
    <w:rsid w:val="002D6944"/>
    <w:rsid w:val="002D6969"/>
    <w:rsid w:val="002D697F"/>
    <w:rsid w:val="002D6CA2"/>
    <w:rsid w:val="002D6CF2"/>
    <w:rsid w:val="002D7556"/>
    <w:rsid w:val="002D75B2"/>
    <w:rsid w:val="002D77F5"/>
    <w:rsid w:val="002D7860"/>
    <w:rsid w:val="002D7B74"/>
    <w:rsid w:val="002D7BC2"/>
    <w:rsid w:val="002E0BEA"/>
    <w:rsid w:val="002E0C4A"/>
    <w:rsid w:val="002E18B5"/>
    <w:rsid w:val="002E1C5B"/>
    <w:rsid w:val="002E22AD"/>
    <w:rsid w:val="002E2399"/>
    <w:rsid w:val="002E23A0"/>
    <w:rsid w:val="002E2499"/>
    <w:rsid w:val="002E2521"/>
    <w:rsid w:val="002E255E"/>
    <w:rsid w:val="002E276E"/>
    <w:rsid w:val="002E280A"/>
    <w:rsid w:val="002E2B52"/>
    <w:rsid w:val="002E2B60"/>
    <w:rsid w:val="002E2E9F"/>
    <w:rsid w:val="002E311D"/>
    <w:rsid w:val="002E33C9"/>
    <w:rsid w:val="002E33CB"/>
    <w:rsid w:val="002E3730"/>
    <w:rsid w:val="002E38AA"/>
    <w:rsid w:val="002E3F7E"/>
    <w:rsid w:val="002E3F9F"/>
    <w:rsid w:val="002E42A2"/>
    <w:rsid w:val="002E43B9"/>
    <w:rsid w:val="002E4486"/>
    <w:rsid w:val="002E4620"/>
    <w:rsid w:val="002E4C0E"/>
    <w:rsid w:val="002E4DB7"/>
    <w:rsid w:val="002E4DDC"/>
    <w:rsid w:val="002E5469"/>
    <w:rsid w:val="002E58B2"/>
    <w:rsid w:val="002E6087"/>
    <w:rsid w:val="002E6419"/>
    <w:rsid w:val="002E67B3"/>
    <w:rsid w:val="002E6860"/>
    <w:rsid w:val="002E69BC"/>
    <w:rsid w:val="002E6C5F"/>
    <w:rsid w:val="002E6CB9"/>
    <w:rsid w:val="002E6EEE"/>
    <w:rsid w:val="002E6F58"/>
    <w:rsid w:val="002E76B1"/>
    <w:rsid w:val="002E77E1"/>
    <w:rsid w:val="002E7AB2"/>
    <w:rsid w:val="002F042B"/>
    <w:rsid w:val="002F08EB"/>
    <w:rsid w:val="002F0A1F"/>
    <w:rsid w:val="002F0C9C"/>
    <w:rsid w:val="002F16A5"/>
    <w:rsid w:val="002F16D4"/>
    <w:rsid w:val="002F1741"/>
    <w:rsid w:val="002F183A"/>
    <w:rsid w:val="002F1E18"/>
    <w:rsid w:val="002F277D"/>
    <w:rsid w:val="002F2969"/>
    <w:rsid w:val="002F2AA2"/>
    <w:rsid w:val="002F30A2"/>
    <w:rsid w:val="002F38E6"/>
    <w:rsid w:val="002F3F05"/>
    <w:rsid w:val="002F3FD2"/>
    <w:rsid w:val="002F43FB"/>
    <w:rsid w:val="002F461B"/>
    <w:rsid w:val="002F4840"/>
    <w:rsid w:val="002F4AE7"/>
    <w:rsid w:val="002F527A"/>
    <w:rsid w:val="002F53B1"/>
    <w:rsid w:val="002F5554"/>
    <w:rsid w:val="002F5AF0"/>
    <w:rsid w:val="002F5CAB"/>
    <w:rsid w:val="002F66E0"/>
    <w:rsid w:val="002F68D7"/>
    <w:rsid w:val="002F717D"/>
    <w:rsid w:val="002F7410"/>
    <w:rsid w:val="002F743B"/>
    <w:rsid w:val="002F7443"/>
    <w:rsid w:val="002F781A"/>
    <w:rsid w:val="002F7A78"/>
    <w:rsid w:val="002F7E83"/>
    <w:rsid w:val="003001B6"/>
    <w:rsid w:val="00300324"/>
    <w:rsid w:val="003004AD"/>
    <w:rsid w:val="0030083B"/>
    <w:rsid w:val="0030085F"/>
    <w:rsid w:val="00300C35"/>
    <w:rsid w:val="00300C6C"/>
    <w:rsid w:val="00300EF0"/>
    <w:rsid w:val="00301327"/>
    <w:rsid w:val="00302633"/>
    <w:rsid w:val="00302A45"/>
    <w:rsid w:val="00303259"/>
    <w:rsid w:val="00303626"/>
    <w:rsid w:val="00303B53"/>
    <w:rsid w:val="00303C0E"/>
    <w:rsid w:val="00303CBA"/>
    <w:rsid w:val="00303D17"/>
    <w:rsid w:val="00303E53"/>
    <w:rsid w:val="003040BF"/>
    <w:rsid w:val="0030494D"/>
    <w:rsid w:val="00304CF3"/>
    <w:rsid w:val="00304DA0"/>
    <w:rsid w:val="00305889"/>
    <w:rsid w:val="003065B4"/>
    <w:rsid w:val="003069EA"/>
    <w:rsid w:val="0030797D"/>
    <w:rsid w:val="00310194"/>
    <w:rsid w:val="003102AF"/>
    <w:rsid w:val="003103B4"/>
    <w:rsid w:val="00310501"/>
    <w:rsid w:val="003107C1"/>
    <w:rsid w:val="003108C3"/>
    <w:rsid w:val="00310AE1"/>
    <w:rsid w:val="00310AF7"/>
    <w:rsid w:val="00311CF1"/>
    <w:rsid w:val="00311E79"/>
    <w:rsid w:val="00312084"/>
    <w:rsid w:val="0031253F"/>
    <w:rsid w:val="0031260E"/>
    <w:rsid w:val="003128EC"/>
    <w:rsid w:val="00312B2D"/>
    <w:rsid w:val="00312B48"/>
    <w:rsid w:val="003134A2"/>
    <w:rsid w:val="003139B8"/>
    <w:rsid w:val="00313A9E"/>
    <w:rsid w:val="0031433C"/>
    <w:rsid w:val="003144AB"/>
    <w:rsid w:val="00314865"/>
    <w:rsid w:val="00314D68"/>
    <w:rsid w:val="0031506E"/>
    <w:rsid w:val="0031518D"/>
    <w:rsid w:val="00315893"/>
    <w:rsid w:val="0031596B"/>
    <w:rsid w:val="00315996"/>
    <w:rsid w:val="0031599D"/>
    <w:rsid w:val="00315A26"/>
    <w:rsid w:val="00315AB3"/>
    <w:rsid w:val="00315CAA"/>
    <w:rsid w:val="00316275"/>
    <w:rsid w:val="00316479"/>
    <w:rsid w:val="003164B2"/>
    <w:rsid w:val="00316624"/>
    <w:rsid w:val="003168BC"/>
    <w:rsid w:val="00316913"/>
    <w:rsid w:val="00316D92"/>
    <w:rsid w:val="0031705A"/>
    <w:rsid w:val="00317553"/>
    <w:rsid w:val="003175B6"/>
    <w:rsid w:val="00317A20"/>
    <w:rsid w:val="00317A7E"/>
    <w:rsid w:val="00317DFA"/>
    <w:rsid w:val="00317FAC"/>
    <w:rsid w:val="00320058"/>
    <w:rsid w:val="003201AC"/>
    <w:rsid w:val="003207C7"/>
    <w:rsid w:val="003207FD"/>
    <w:rsid w:val="0032096D"/>
    <w:rsid w:val="0032098E"/>
    <w:rsid w:val="00320C1C"/>
    <w:rsid w:val="00320F6A"/>
    <w:rsid w:val="00321A36"/>
    <w:rsid w:val="00321ED2"/>
    <w:rsid w:val="003220DA"/>
    <w:rsid w:val="003224EF"/>
    <w:rsid w:val="003225E1"/>
    <w:rsid w:val="003226D6"/>
    <w:rsid w:val="0032274C"/>
    <w:rsid w:val="003235E8"/>
    <w:rsid w:val="0032394C"/>
    <w:rsid w:val="0032395E"/>
    <w:rsid w:val="00323AC7"/>
    <w:rsid w:val="00323CE5"/>
    <w:rsid w:val="00323D28"/>
    <w:rsid w:val="003242FE"/>
    <w:rsid w:val="0032451F"/>
    <w:rsid w:val="003245CD"/>
    <w:rsid w:val="00324759"/>
    <w:rsid w:val="00324BC6"/>
    <w:rsid w:val="00325465"/>
    <w:rsid w:val="00325919"/>
    <w:rsid w:val="00325B51"/>
    <w:rsid w:val="00325E58"/>
    <w:rsid w:val="003262C2"/>
    <w:rsid w:val="0032644D"/>
    <w:rsid w:val="003266D8"/>
    <w:rsid w:val="00326895"/>
    <w:rsid w:val="00326BD9"/>
    <w:rsid w:val="00326D08"/>
    <w:rsid w:val="003273A1"/>
    <w:rsid w:val="003301AC"/>
    <w:rsid w:val="003306EC"/>
    <w:rsid w:val="0033086A"/>
    <w:rsid w:val="0033097E"/>
    <w:rsid w:val="00330BC2"/>
    <w:rsid w:val="00330CD5"/>
    <w:rsid w:val="00330F10"/>
    <w:rsid w:val="003310EC"/>
    <w:rsid w:val="003312EE"/>
    <w:rsid w:val="003314C1"/>
    <w:rsid w:val="003314ED"/>
    <w:rsid w:val="0033162A"/>
    <w:rsid w:val="00331836"/>
    <w:rsid w:val="00331EA5"/>
    <w:rsid w:val="003321DB"/>
    <w:rsid w:val="003326DE"/>
    <w:rsid w:val="00332B6A"/>
    <w:rsid w:val="00332E38"/>
    <w:rsid w:val="00332FF5"/>
    <w:rsid w:val="003332EA"/>
    <w:rsid w:val="003333D1"/>
    <w:rsid w:val="00333CF4"/>
    <w:rsid w:val="003346BB"/>
    <w:rsid w:val="00334A00"/>
    <w:rsid w:val="00334B6E"/>
    <w:rsid w:val="00334D39"/>
    <w:rsid w:val="003352DA"/>
    <w:rsid w:val="0033530A"/>
    <w:rsid w:val="00335605"/>
    <w:rsid w:val="0033585F"/>
    <w:rsid w:val="00336441"/>
    <w:rsid w:val="003366FF"/>
    <w:rsid w:val="00336ECA"/>
    <w:rsid w:val="003371B3"/>
    <w:rsid w:val="003376BC"/>
    <w:rsid w:val="00337A7E"/>
    <w:rsid w:val="00337B0D"/>
    <w:rsid w:val="00337FA3"/>
    <w:rsid w:val="0034010A"/>
    <w:rsid w:val="0034024D"/>
    <w:rsid w:val="003402A2"/>
    <w:rsid w:val="003404D5"/>
    <w:rsid w:val="00340584"/>
    <w:rsid w:val="00340816"/>
    <w:rsid w:val="00341112"/>
    <w:rsid w:val="003414FA"/>
    <w:rsid w:val="003418D3"/>
    <w:rsid w:val="003419A3"/>
    <w:rsid w:val="00341FA0"/>
    <w:rsid w:val="003424E9"/>
    <w:rsid w:val="0034261C"/>
    <w:rsid w:val="0034267E"/>
    <w:rsid w:val="003427BE"/>
    <w:rsid w:val="00342910"/>
    <w:rsid w:val="00342979"/>
    <w:rsid w:val="00342BDB"/>
    <w:rsid w:val="003436F0"/>
    <w:rsid w:val="00344257"/>
    <w:rsid w:val="003448F0"/>
    <w:rsid w:val="003451D4"/>
    <w:rsid w:val="003454BB"/>
    <w:rsid w:val="00345564"/>
    <w:rsid w:val="003455DB"/>
    <w:rsid w:val="00345921"/>
    <w:rsid w:val="00346113"/>
    <w:rsid w:val="003461CE"/>
    <w:rsid w:val="00346589"/>
    <w:rsid w:val="003469BC"/>
    <w:rsid w:val="00346A31"/>
    <w:rsid w:val="00346AEE"/>
    <w:rsid w:val="00346E12"/>
    <w:rsid w:val="00347516"/>
    <w:rsid w:val="00347A0B"/>
    <w:rsid w:val="00347B3A"/>
    <w:rsid w:val="00347E8B"/>
    <w:rsid w:val="00350588"/>
    <w:rsid w:val="00350BE4"/>
    <w:rsid w:val="00351AD9"/>
    <w:rsid w:val="00351B0A"/>
    <w:rsid w:val="00351D12"/>
    <w:rsid w:val="00351FDC"/>
    <w:rsid w:val="00352A93"/>
    <w:rsid w:val="00352D15"/>
    <w:rsid w:val="00352EF4"/>
    <w:rsid w:val="00353B2B"/>
    <w:rsid w:val="00353F3B"/>
    <w:rsid w:val="00353F63"/>
    <w:rsid w:val="00353FF9"/>
    <w:rsid w:val="00354B81"/>
    <w:rsid w:val="00354CD8"/>
    <w:rsid w:val="0035539A"/>
    <w:rsid w:val="0035599B"/>
    <w:rsid w:val="00355FED"/>
    <w:rsid w:val="00356491"/>
    <w:rsid w:val="003565B4"/>
    <w:rsid w:val="003566BD"/>
    <w:rsid w:val="003566F2"/>
    <w:rsid w:val="00356DC1"/>
    <w:rsid w:val="00356E0A"/>
    <w:rsid w:val="00356ED0"/>
    <w:rsid w:val="003575F9"/>
    <w:rsid w:val="003578E2"/>
    <w:rsid w:val="00357A8D"/>
    <w:rsid w:val="00357AD3"/>
    <w:rsid w:val="00357DD1"/>
    <w:rsid w:val="003600EA"/>
    <w:rsid w:val="00360179"/>
    <w:rsid w:val="003601BF"/>
    <w:rsid w:val="0036033C"/>
    <w:rsid w:val="003606AF"/>
    <w:rsid w:val="00360B34"/>
    <w:rsid w:val="00360C8A"/>
    <w:rsid w:val="00361145"/>
    <w:rsid w:val="00361315"/>
    <w:rsid w:val="0036158B"/>
    <w:rsid w:val="00361601"/>
    <w:rsid w:val="00361750"/>
    <w:rsid w:val="0036193E"/>
    <w:rsid w:val="00361DBD"/>
    <w:rsid w:val="00362126"/>
    <w:rsid w:val="003624AD"/>
    <w:rsid w:val="003627CF"/>
    <w:rsid w:val="00362DBF"/>
    <w:rsid w:val="00362FA0"/>
    <w:rsid w:val="00363579"/>
    <w:rsid w:val="00363590"/>
    <w:rsid w:val="003638CF"/>
    <w:rsid w:val="00363BA1"/>
    <w:rsid w:val="00363FD9"/>
    <w:rsid w:val="00364219"/>
    <w:rsid w:val="003643C0"/>
    <w:rsid w:val="00364806"/>
    <w:rsid w:val="00364F1D"/>
    <w:rsid w:val="00365026"/>
    <w:rsid w:val="00365CE2"/>
    <w:rsid w:val="00365F2C"/>
    <w:rsid w:val="003664C2"/>
    <w:rsid w:val="003665C4"/>
    <w:rsid w:val="0036670D"/>
    <w:rsid w:val="00366B3D"/>
    <w:rsid w:val="00367A77"/>
    <w:rsid w:val="00367BC2"/>
    <w:rsid w:val="00367E6B"/>
    <w:rsid w:val="003700DA"/>
    <w:rsid w:val="00370179"/>
    <w:rsid w:val="00370559"/>
    <w:rsid w:val="003708FC"/>
    <w:rsid w:val="00370B28"/>
    <w:rsid w:val="00370F9E"/>
    <w:rsid w:val="00371136"/>
    <w:rsid w:val="00371918"/>
    <w:rsid w:val="00371EFE"/>
    <w:rsid w:val="003723C6"/>
    <w:rsid w:val="00372462"/>
    <w:rsid w:val="00372AA7"/>
    <w:rsid w:val="00372CC1"/>
    <w:rsid w:val="00372D4E"/>
    <w:rsid w:val="00372DAF"/>
    <w:rsid w:val="003730FD"/>
    <w:rsid w:val="00373144"/>
    <w:rsid w:val="00373553"/>
    <w:rsid w:val="0037367E"/>
    <w:rsid w:val="0037397A"/>
    <w:rsid w:val="00373AC7"/>
    <w:rsid w:val="00373D76"/>
    <w:rsid w:val="00373DDE"/>
    <w:rsid w:val="0037406F"/>
    <w:rsid w:val="003742C3"/>
    <w:rsid w:val="0037484F"/>
    <w:rsid w:val="00374BA6"/>
    <w:rsid w:val="00374DEC"/>
    <w:rsid w:val="0037506A"/>
    <w:rsid w:val="00375292"/>
    <w:rsid w:val="003755B1"/>
    <w:rsid w:val="003755E4"/>
    <w:rsid w:val="00375990"/>
    <w:rsid w:val="00375FA4"/>
    <w:rsid w:val="003760FA"/>
    <w:rsid w:val="00376134"/>
    <w:rsid w:val="0037619F"/>
    <w:rsid w:val="00376947"/>
    <w:rsid w:val="00377243"/>
    <w:rsid w:val="003772F4"/>
    <w:rsid w:val="0037780E"/>
    <w:rsid w:val="003802C5"/>
    <w:rsid w:val="00380514"/>
    <w:rsid w:val="0038085F"/>
    <w:rsid w:val="00380FC9"/>
    <w:rsid w:val="003817BA"/>
    <w:rsid w:val="003817F8"/>
    <w:rsid w:val="003819A3"/>
    <w:rsid w:val="00381F3A"/>
    <w:rsid w:val="003821DE"/>
    <w:rsid w:val="003822D5"/>
    <w:rsid w:val="003823FD"/>
    <w:rsid w:val="00382717"/>
    <w:rsid w:val="00382D6C"/>
    <w:rsid w:val="0038320B"/>
    <w:rsid w:val="00383249"/>
    <w:rsid w:val="00383928"/>
    <w:rsid w:val="00383996"/>
    <w:rsid w:val="003839F1"/>
    <w:rsid w:val="0038421A"/>
    <w:rsid w:val="0038430F"/>
    <w:rsid w:val="00384509"/>
    <w:rsid w:val="0038501A"/>
    <w:rsid w:val="0038516F"/>
    <w:rsid w:val="003851C1"/>
    <w:rsid w:val="0038528B"/>
    <w:rsid w:val="003852B8"/>
    <w:rsid w:val="003853E8"/>
    <w:rsid w:val="00385A80"/>
    <w:rsid w:val="00385C4A"/>
    <w:rsid w:val="00385F4F"/>
    <w:rsid w:val="0038609D"/>
    <w:rsid w:val="003866BD"/>
    <w:rsid w:val="00386976"/>
    <w:rsid w:val="00386C7B"/>
    <w:rsid w:val="003872F6"/>
    <w:rsid w:val="003874BC"/>
    <w:rsid w:val="003877A3"/>
    <w:rsid w:val="00387943"/>
    <w:rsid w:val="00387B79"/>
    <w:rsid w:val="00387D29"/>
    <w:rsid w:val="003903BD"/>
    <w:rsid w:val="00390756"/>
    <w:rsid w:val="00390B4C"/>
    <w:rsid w:val="003913EE"/>
    <w:rsid w:val="003917D4"/>
    <w:rsid w:val="003919E7"/>
    <w:rsid w:val="00392297"/>
    <w:rsid w:val="0039277C"/>
    <w:rsid w:val="003929C3"/>
    <w:rsid w:val="00392B75"/>
    <w:rsid w:val="00392EC8"/>
    <w:rsid w:val="003930B7"/>
    <w:rsid w:val="003940C7"/>
    <w:rsid w:val="0039441B"/>
    <w:rsid w:val="003944F8"/>
    <w:rsid w:val="003945FE"/>
    <w:rsid w:val="00394A0F"/>
    <w:rsid w:val="00394E0D"/>
    <w:rsid w:val="00394E86"/>
    <w:rsid w:val="00394F2C"/>
    <w:rsid w:val="00395294"/>
    <w:rsid w:val="0039564F"/>
    <w:rsid w:val="00395A64"/>
    <w:rsid w:val="00395CB8"/>
    <w:rsid w:val="00395FF5"/>
    <w:rsid w:val="00396511"/>
    <w:rsid w:val="00396686"/>
    <w:rsid w:val="003969D8"/>
    <w:rsid w:val="00396AB7"/>
    <w:rsid w:val="00397218"/>
    <w:rsid w:val="00397343"/>
    <w:rsid w:val="0039757C"/>
    <w:rsid w:val="00397769"/>
    <w:rsid w:val="00397E86"/>
    <w:rsid w:val="003A05A8"/>
    <w:rsid w:val="003A0857"/>
    <w:rsid w:val="003A0B9F"/>
    <w:rsid w:val="003A0E73"/>
    <w:rsid w:val="003A1008"/>
    <w:rsid w:val="003A13D2"/>
    <w:rsid w:val="003A1A34"/>
    <w:rsid w:val="003A1E9F"/>
    <w:rsid w:val="003A1EE4"/>
    <w:rsid w:val="003A1F74"/>
    <w:rsid w:val="003A2309"/>
    <w:rsid w:val="003A2327"/>
    <w:rsid w:val="003A2675"/>
    <w:rsid w:val="003A2A37"/>
    <w:rsid w:val="003A2B24"/>
    <w:rsid w:val="003A2D62"/>
    <w:rsid w:val="003A30C3"/>
    <w:rsid w:val="003A3317"/>
    <w:rsid w:val="003A33E2"/>
    <w:rsid w:val="003A3CE1"/>
    <w:rsid w:val="003A4169"/>
    <w:rsid w:val="003A41F9"/>
    <w:rsid w:val="003A445E"/>
    <w:rsid w:val="003A4544"/>
    <w:rsid w:val="003A4F09"/>
    <w:rsid w:val="003A4FEE"/>
    <w:rsid w:val="003A5F98"/>
    <w:rsid w:val="003A6702"/>
    <w:rsid w:val="003A6B74"/>
    <w:rsid w:val="003A7084"/>
    <w:rsid w:val="003A71B2"/>
    <w:rsid w:val="003A72EF"/>
    <w:rsid w:val="003A7517"/>
    <w:rsid w:val="003A7659"/>
    <w:rsid w:val="003A79EA"/>
    <w:rsid w:val="003A7A0B"/>
    <w:rsid w:val="003A7B86"/>
    <w:rsid w:val="003A7FE7"/>
    <w:rsid w:val="003B0566"/>
    <w:rsid w:val="003B097A"/>
    <w:rsid w:val="003B0C13"/>
    <w:rsid w:val="003B1723"/>
    <w:rsid w:val="003B1A7D"/>
    <w:rsid w:val="003B2058"/>
    <w:rsid w:val="003B2080"/>
    <w:rsid w:val="003B2549"/>
    <w:rsid w:val="003B2734"/>
    <w:rsid w:val="003B2CD1"/>
    <w:rsid w:val="003B2CD4"/>
    <w:rsid w:val="003B2D03"/>
    <w:rsid w:val="003B2F18"/>
    <w:rsid w:val="003B3011"/>
    <w:rsid w:val="003B3182"/>
    <w:rsid w:val="003B38C6"/>
    <w:rsid w:val="003B3AAD"/>
    <w:rsid w:val="003B3E29"/>
    <w:rsid w:val="003B3EFF"/>
    <w:rsid w:val="003B4266"/>
    <w:rsid w:val="003B4463"/>
    <w:rsid w:val="003B486D"/>
    <w:rsid w:val="003B4A03"/>
    <w:rsid w:val="003B4ACE"/>
    <w:rsid w:val="003B4CFD"/>
    <w:rsid w:val="003B5074"/>
    <w:rsid w:val="003B53BD"/>
    <w:rsid w:val="003B5505"/>
    <w:rsid w:val="003B56E9"/>
    <w:rsid w:val="003B56F0"/>
    <w:rsid w:val="003B5915"/>
    <w:rsid w:val="003B5A2F"/>
    <w:rsid w:val="003B5A75"/>
    <w:rsid w:val="003B5F13"/>
    <w:rsid w:val="003B63C7"/>
    <w:rsid w:val="003B70E8"/>
    <w:rsid w:val="003B7494"/>
    <w:rsid w:val="003B74CE"/>
    <w:rsid w:val="003B7C53"/>
    <w:rsid w:val="003B7FF8"/>
    <w:rsid w:val="003C0069"/>
    <w:rsid w:val="003C06B6"/>
    <w:rsid w:val="003C0737"/>
    <w:rsid w:val="003C0910"/>
    <w:rsid w:val="003C0950"/>
    <w:rsid w:val="003C0B2D"/>
    <w:rsid w:val="003C1062"/>
    <w:rsid w:val="003C16C1"/>
    <w:rsid w:val="003C1A18"/>
    <w:rsid w:val="003C1D10"/>
    <w:rsid w:val="003C2007"/>
    <w:rsid w:val="003C200B"/>
    <w:rsid w:val="003C2037"/>
    <w:rsid w:val="003C2356"/>
    <w:rsid w:val="003C25FB"/>
    <w:rsid w:val="003C2954"/>
    <w:rsid w:val="003C2979"/>
    <w:rsid w:val="003C29F0"/>
    <w:rsid w:val="003C2B17"/>
    <w:rsid w:val="003C3258"/>
    <w:rsid w:val="003C3B09"/>
    <w:rsid w:val="003C428D"/>
    <w:rsid w:val="003C42CC"/>
    <w:rsid w:val="003C43FC"/>
    <w:rsid w:val="003C47A9"/>
    <w:rsid w:val="003C48AA"/>
    <w:rsid w:val="003C4DE8"/>
    <w:rsid w:val="003C51BD"/>
    <w:rsid w:val="003C531D"/>
    <w:rsid w:val="003C5ADE"/>
    <w:rsid w:val="003C65A4"/>
    <w:rsid w:val="003C667D"/>
    <w:rsid w:val="003C688C"/>
    <w:rsid w:val="003C6F98"/>
    <w:rsid w:val="003C7106"/>
    <w:rsid w:val="003C76AD"/>
    <w:rsid w:val="003C771C"/>
    <w:rsid w:val="003C7C27"/>
    <w:rsid w:val="003C7CC3"/>
    <w:rsid w:val="003D0C9A"/>
    <w:rsid w:val="003D0D10"/>
    <w:rsid w:val="003D119B"/>
    <w:rsid w:val="003D1753"/>
    <w:rsid w:val="003D17BC"/>
    <w:rsid w:val="003D1BC1"/>
    <w:rsid w:val="003D1DF8"/>
    <w:rsid w:val="003D250F"/>
    <w:rsid w:val="003D2587"/>
    <w:rsid w:val="003D25BE"/>
    <w:rsid w:val="003D2AED"/>
    <w:rsid w:val="003D34A8"/>
    <w:rsid w:val="003D3882"/>
    <w:rsid w:val="003D3A29"/>
    <w:rsid w:val="003D3A47"/>
    <w:rsid w:val="003D3D9B"/>
    <w:rsid w:val="003D42A5"/>
    <w:rsid w:val="003D4320"/>
    <w:rsid w:val="003D4327"/>
    <w:rsid w:val="003D43AA"/>
    <w:rsid w:val="003D4A41"/>
    <w:rsid w:val="003D4B28"/>
    <w:rsid w:val="003D4DE7"/>
    <w:rsid w:val="003D53A3"/>
    <w:rsid w:val="003D5C02"/>
    <w:rsid w:val="003D6209"/>
    <w:rsid w:val="003D6AD2"/>
    <w:rsid w:val="003D6C97"/>
    <w:rsid w:val="003D70A1"/>
    <w:rsid w:val="003D71DD"/>
    <w:rsid w:val="003D74ED"/>
    <w:rsid w:val="003D76AE"/>
    <w:rsid w:val="003D790E"/>
    <w:rsid w:val="003E026B"/>
    <w:rsid w:val="003E044B"/>
    <w:rsid w:val="003E0E46"/>
    <w:rsid w:val="003E1693"/>
    <w:rsid w:val="003E19C4"/>
    <w:rsid w:val="003E1C4C"/>
    <w:rsid w:val="003E1C53"/>
    <w:rsid w:val="003E1F59"/>
    <w:rsid w:val="003E1F6B"/>
    <w:rsid w:val="003E2789"/>
    <w:rsid w:val="003E29E8"/>
    <w:rsid w:val="003E2EAC"/>
    <w:rsid w:val="003E2F6E"/>
    <w:rsid w:val="003E322E"/>
    <w:rsid w:val="003E343B"/>
    <w:rsid w:val="003E3883"/>
    <w:rsid w:val="003E3935"/>
    <w:rsid w:val="003E3A86"/>
    <w:rsid w:val="003E3CB6"/>
    <w:rsid w:val="003E3CBD"/>
    <w:rsid w:val="003E4340"/>
    <w:rsid w:val="003E446B"/>
    <w:rsid w:val="003E45CE"/>
    <w:rsid w:val="003E4644"/>
    <w:rsid w:val="003E4691"/>
    <w:rsid w:val="003E4769"/>
    <w:rsid w:val="003E477E"/>
    <w:rsid w:val="003E49C5"/>
    <w:rsid w:val="003E4D08"/>
    <w:rsid w:val="003E4EEE"/>
    <w:rsid w:val="003E542A"/>
    <w:rsid w:val="003E54AA"/>
    <w:rsid w:val="003E555B"/>
    <w:rsid w:val="003E6B08"/>
    <w:rsid w:val="003E6B0F"/>
    <w:rsid w:val="003E6B71"/>
    <w:rsid w:val="003E6DA1"/>
    <w:rsid w:val="003E70B8"/>
    <w:rsid w:val="003E7521"/>
    <w:rsid w:val="003E7EF3"/>
    <w:rsid w:val="003F003A"/>
    <w:rsid w:val="003F046D"/>
    <w:rsid w:val="003F06D2"/>
    <w:rsid w:val="003F08F0"/>
    <w:rsid w:val="003F08FF"/>
    <w:rsid w:val="003F0B0F"/>
    <w:rsid w:val="003F1547"/>
    <w:rsid w:val="003F1F5B"/>
    <w:rsid w:val="003F24D7"/>
    <w:rsid w:val="003F26CB"/>
    <w:rsid w:val="003F26F9"/>
    <w:rsid w:val="003F2DAC"/>
    <w:rsid w:val="003F2E0C"/>
    <w:rsid w:val="003F3000"/>
    <w:rsid w:val="003F3136"/>
    <w:rsid w:val="003F338F"/>
    <w:rsid w:val="003F3600"/>
    <w:rsid w:val="003F362E"/>
    <w:rsid w:val="003F391F"/>
    <w:rsid w:val="003F3D2D"/>
    <w:rsid w:val="003F3F2B"/>
    <w:rsid w:val="003F4200"/>
    <w:rsid w:val="003F4241"/>
    <w:rsid w:val="003F46A2"/>
    <w:rsid w:val="003F47E2"/>
    <w:rsid w:val="003F4C84"/>
    <w:rsid w:val="003F4E54"/>
    <w:rsid w:val="003F54DA"/>
    <w:rsid w:val="003F57DB"/>
    <w:rsid w:val="003F5AE0"/>
    <w:rsid w:val="003F5E1F"/>
    <w:rsid w:val="003F62C6"/>
    <w:rsid w:val="003F646F"/>
    <w:rsid w:val="003F773D"/>
    <w:rsid w:val="003F78F7"/>
    <w:rsid w:val="0040007C"/>
    <w:rsid w:val="00400493"/>
    <w:rsid w:val="00400D5E"/>
    <w:rsid w:val="00400E03"/>
    <w:rsid w:val="00400FF4"/>
    <w:rsid w:val="0040112D"/>
    <w:rsid w:val="00401150"/>
    <w:rsid w:val="00401C4E"/>
    <w:rsid w:val="00402563"/>
    <w:rsid w:val="0040259C"/>
    <w:rsid w:val="004026DD"/>
    <w:rsid w:val="00402727"/>
    <w:rsid w:val="004031D7"/>
    <w:rsid w:val="004031EB"/>
    <w:rsid w:val="00403202"/>
    <w:rsid w:val="004036E5"/>
    <w:rsid w:val="00403A45"/>
    <w:rsid w:val="00403AC5"/>
    <w:rsid w:val="00403CC5"/>
    <w:rsid w:val="00403E6A"/>
    <w:rsid w:val="004042D9"/>
    <w:rsid w:val="00404579"/>
    <w:rsid w:val="00404733"/>
    <w:rsid w:val="00404BF3"/>
    <w:rsid w:val="00405229"/>
    <w:rsid w:val="004053DF"/>
    <w:rsid w:val="00405AC6"/>
    <w:rsid w:val="00405BF4"/>
    <w:rsid w:val="00406375"/>
    <w:rsid w:val="00406430"/>
    <w:rsid w:val="00406642"/>
    <w:rsid w:val="004066F6"/>
    <w:rsid w:val="00406702"/>
    <w:rsid w:val="00406B02"/>
    <w:rsid w:val="00406E6C"/>
    <w:rsid w:val="00407348"/>
    <w:rsid w:val="004073C2"/>
    <w:rsid w:val="0040792D"/>
    <w:rsid w:val="00407A26"/>
    <w:rsid w:val="00407E15"/>
    <w:rsid w:val="00410DF1"/>
    <w:rsid w:val="004114EE"/>
    <w:rsid w:val="00411D2C"/>
    <w:rsid w:val="004128E4"/>
    <w:rsid w:val="00412F8E"/>
    <w:rsid w:val="00413A76"/>
    <w:rsid w:val="00414103"/>
    <w:rsid w:val="0041424C"/>
    <w:rsid w:val="00414320"/>
    <w:rsid w:val="0041433C"/>
    <w:rsid w:val="004144BB"/>
    <w:rsid w:val="00414596"/>
    <w:rsid w:val="00414AF1"/>
    <w:rsid w:val="00414E58"/>
    <w:rsid w:val="00414F24"/>
    <w:rsid w:val="00415268"/>
    <w:rsid w:val="0041566A"/>
    <w:rsid w:val="0041566D"/>
    <w:rsid w:val="0041569F"/>
    <w:rsid w:val="00415B91"/>
    <w:rsid w:val="00415D56"/>
    <w:rsid w:val="00415F4F"/>
    <w:rsid w:val="00416323"/>
    <w:rsid w:val="004163D2"/>
    <w:rsid w:val="00417645"/>
    <w:rsid w:val="0041792C"/>
    <w:rsid w:val="00417A9C"/>
    <w:rsid w:val="00417AFC"/>
    <w:rsid w:val="00417CBF"/>
    <w:rsid w:val="00417E43"/>
    <w:rsid w:val="00417FB7"/>
    <w:rsid w:val="004200CF"/>
    <w:rsid w:val="00420A6A"/>
    <w:rsid w:val="004218C2"/>
    <w:rsid w:val="00421CB2"/>
    <w:rsid w:val="0042222B"/>
    <w:rsid w:val="004229FB"/>
    <w:rsid w:val="00422DD2"/>
    <w:rsid w:val="00422FA6"/>
    <w:rsid w:val="0042320E"/>
    <w:rsid w:val="00423C53"/>
    <w:rsid w:val="00423D63"/>
    <w:rsid w:val="00423DD4"/>
    <w:rsid w:val="004240D4"/>
    <w:rsid w:val="00424278"/>
    <w:rsid w:val="00424500"/>
    <w:rsid w:val="00424865"/>
    <w:rsid w:val="00424C09"/>
    <w:rsid w:val="00424CE3"/>
    <w:rsid w:val="00424E8B"/>
    <w:rsid w:val="0042540C"/>
    <w:rsid w:val="0042557C"/>
    <w:rsid w:val="00425A0C"/>
    <w:rsid w:val="00426141"/>
    <w:rsid w:val="004262E8"/>
    <w:rsid w:val="00426DAC"/>
    <w:rsid w:val="00426E38"/>
    <w:rsid w:val="004278F5"/>
    <w:rsid w:val="00427D68"/>
    <w:rsid w:val="00427FE9"/>
    <w:rsid w:val="004301CE"/>
    <w:rsid w:val="004303E2"/>
    <w:rsid w:val="00430514"/>
    <w:rsid w:val="00430573"/>
    <w:rsid w:val="0043063E"/>
    <w:rsid w:val="004309BF"/>
    <w:rsid w:val="00430C95"/>
    <w:rsid w:val="00430E56"/>
    <w:rsid w:val="00431053"/>
    <w:rsid w:val="00431353"/>
    <w:rsid w:val="004318B5"/>
    <w:rsid w:val="00431C36"/>
    <w:rsid w:val="00431D55"/>
    <w:rsid w:val="00431E84"/>
    <w:rsid w:val="00431FBE"/>
    <w:rsid w:val="00431FF8"/>
    <w:rsid w:val="004322D6"/>
    <w:rsid w:val="004324FB"/>
    <w:rsid w:val="00432741"/>
    <w:rsid w:val="00432760"/>
    <w:rsid w:val="00432D45"/>
    <w:rsid w:val="00433A7B"/>
    <w:rsid w:val="00433EBD"/>
    <w:rsid w:val="00433FF8"/>
    <w:rsid w:val="00434347"/>
    <w:rsid w:val="00434A61"/>
    <w:rsid w:val="00435653"/>
    <w:rsid w:val="00435B05"/>
    <w:rsid w:val="00435B83"/>
    <w:rsid w:val="00435F37"/>
    <w:rsid w:val="00436745"/>
    <w:rsid w:val="00436D97"/>
    <w:rsid w:val="00436FFA"/>
    <w:rsid w:val="004371C9"/>
    <w:rsid w:val="00437745"/>
    <w:rsid w:val="004377E8"/>
    <w:rsid w:val="004379A3"/>
    <w:rsid w:val="00437E08"/>
    <w:rsid w:val="00437F14"/>
    <w:rsid w:val="00440080"/>
    <w:rsid w:val="004407F7"/>
    <w:rsid w:val="00440D08"/>
    <w:rsid w:val="00440EA7"/>
    <w:rsid w:val="0044134D"/>
    <w:rsid w:val="00441963"/>
    <w:rsid w:val="00441B66"/>
    <w:rsid w:val="00441CF3"/>
    <w:rsid w:val="00441EE0"/>
    <w:rsid w:val="00442539"/>
    <w:rsid w:val="004425B2"/>
    <w:rsid w:val="00442B9B"/>
    <w:rsid w:val="00442BBD"/>
    <w:rsid w:val="00442C6A"/>
    <w:rsid w:val="00443426"/>
    <w:rsid w:val="00443977"/>
    <w:rsid w:val="004439A4"/>
    <w:rsid w:val="00443BBB"/>
    <w:rsid w:val="00443F08"/>
    <w:rsid w:val="00444693"/>
    <w:rsid w:val="004446D8"/>
    <w:rsid w:val="0044499B"/>
    <w:rsid w:val="00444CEC"/>
    <w:rsid w:val="00444F9D"/>
    <w:rsid w:val="00444FA3"/>
    <w:rsid w:val="004450F5"/>
    <w:rsid w:val="00445242"/>
    <w:rsid w:val="00445A52"/>
    <w:rsid w:val="00445A85"/>
    <w:rsid w:val="004460CC"/>
    <w:rsid w:val="00446719"/>
    <w:rsid w:val="00446AF5"/>
    <w:rsid w:val="004474BD"/>
    <w:rsid w:val="004476DC"/>
    <w:rsid w:val="0044777F"/>
    <w:rsid w:val="004477EF"/>
    <w:rsid w:val="00447922"/>
    <w:rsid w:val="00447E00"/>
    <w:rsid w:val="00447EF0"/>
    <w:rsid w:val="00450002"/>
    <w:rsid w:val="0045016A"/>
    <w:rsid w:val="00450585"/>
    <w:rsid w:val="004508BC"/>
    <w:rsid w:val="00450975"/>
    <w:rsid w:val="00450D83"/>
    <w:rsid w:val="00450FAC"/>
    <w:rsid w:val="00451043"/>
    <w:rsid w:val="004511D6"/>
    <w:rsid w:val="004511FE"/>
    <w:rsid w:val="0045156C"/>
    <w:rsid w:val="00451772"/>
    <w:rsid w:val="0045197E"/>
    <w:rsid w:val="00451BC4"/>
    <w:rsid w:val="00451BF3"/>
    <w:rsid w:val="00452638"/>
    <w:rsid w:val="004528EC"/>
    <w:rsid w:val="00452A38"/>
    <w:rsid w:val="00452C0A"/>
    <w:rsid w:val="00452C63"/>
    <w:rsid w:val="004530C5"/>
    <w:rsid w:val="004530CD"/>
    <w:rsid w:val="00453270"/>
    <w:rsid w:val="00453A45"/>
    <w:rsid w:val="00453E28"/>
    <w:rsid w:val="00453F1D"/>
    <w:rsid w:val="00454029"/>
    <w:rsid w:val="0045414C"/>
    <w:rsid w:val="0045483C"/>
    <w:rsid w:val="00454ADF"/>
    <w:rsid w:val="00454C70"/>
    <w:rsid w:val="00454C95"/>
    <w:rsid w:val="00454E4B"/>
    <w:rsid w:val="00454E72"/>
    <w:rsid w:val="00454EA4"/>
    <w:rsid w:val="004551B9"/>
    <w:rsid w:val="00455233"/>
    <w:rsid w:val="004554AC"/>
    <w:rsid w:val="004554F4"/>
    <w:rsid w:val="00455608"/>
    <w:rsid w:val="00455641"/>
    <w:rsid w:val="00455AF0"/>
    <w:rsid w:val="00455B7F"/>
    <w:rsid w:val="00455FD9"/>
    <w:rsid w:val="00456066"/>
    <w:rsid w:val="004566C5"/>
    <w:rsid w:val="004569A2"/>
    <w:rsid w:val="00456B97"/>
    <w:rsid w:val="00456CEA"/>
    <w:rsid w:val="00457011"/>
    <w:rsid w:val="00457240"/>
    <w:rsid w:val="004574BC"/>
    <w:rsid w:val="004574E2"/>
    <w:rsid w:val="00457681"/>
    <w:rsid w:val="00457919"/>
    <w:rsid w:val="00460140"/>
    <w:rsid w:val="004607BB"/>
    <w:rsid w:val="00460825"/>
    <w:rsid w:val="00460973"/>
    <w:rsid w:val="004609EF"/>
    <w:rsid w:val="00460A6A"/>
    <w:rsid w:val="00460B8B"/>
    <w:rsid w:val="00460C4F"/>
    <w:rsid w:val="00460ECB"/>
    <w:rsid w:val="0046119F"/>
    <w:rsid w:val="00461208"/>
    <w:rsid w:val="0046146E"/>
    <w:rsid w:val="004614A0"/>
    <w:rsid w:val="00461607"/>
    <w:rsid w:val="004617E4"/>
    <w:rsid w:val="00461B08"/>
    <w:rsid w:val="00461DB4"/>
    <w:rsid w:val="00461FAB"/>
    <w:rsid w:val="00462049"/>
    <w:rsid w:val="00462187"/>
    <w:rsid w:val="00462CCD"/>
    <w:rsid w:val="004631F8"/>
    <w:rsid w:val="00463E0F"/>
    <w:rsid w:val="00463FC0"/>
    <w:rsid w:val="00464E57"/>
    <w:rsid w:val="00465047"/>
    <w:rsid w:val="00465818"/>
    <w:rsid w:val="004658D3"/>
    <w:rsid w:val="00465D98"/>
    <w:rsid w:val="00465F07"/>
    <w:rsid w:val="0046604C"/>
    <w:rsid w:val="00466A10"/>
    <w:rsid w:val="00466C0D"/>
    <w:rsid w:val="00466C8C"/>
    <w:rsid w:val="00466F5B"/>
    <w:rsid w:val="00467231"/>
    <w:rsid w:val="00467447"/>
    <w:rsid w:val="00467757"/>
    <w:rsid w:val="00467B55"/>
    <w:rsid w:val="00467B8C"/>
    <w:rsid w:val="00467EB9"/>
    <w:rsid w:val="00470016"/>
    <w:rsid w:val="0047051F"/>
    <w:rsid w:val="004709E5"/>
    <w:rsid w:val="00470AE7"/>
    <w:rsid w:val="00470BCD"/>
    <w:rsid w:val="00470D03"/>
    <w:rsid w:val="004711B2"/>
    <w:rsid w:val="004714A0"/>
    <w:rsid w:val="004714CE"/>
    <w:rsid w:val="004714F2"/>
    <w:rsid w:val="00471613"/>
    <w:rsid w:val="004719B8"/>
    <w:rsid w:val="00471A27"/>
    <w:rsid w:val="00471DEE"/>
    <w:rsid w:val="0047212C"/>
    <w:rsid w:val="00472214"/>
    <w:rsid w:val="00472A44"/>
    <w:rsid w:val="00472B2F"/>
    <w:rsid w:val="00473264"/>
    <w:rsid w:val="00473267"/>
    <w:rsid w:val="00473AE0"/>
    <w:rsid w:val="00474061"/>
    <w:rsid w:val="004742D0"/>
    <w:rsid w:val="00474502"/>
    <w:rsid w:val="00474A76"/>
    <w:rsid w:val="00474C96"/>
    <w:rsid w:val="004751BD"/>
    <w:rsid w:val="00475205"/>
    <w:rsid w:val="00475635"/>
    <w:rsid w:val="00475A78"/>
    <w:rsid w:val="00475B72"/>
    <w:rsid w:val="00475DDF"/>
    <w:rsid w:val="004761A7"/>
    <w:rsid w:val="00476238"/>
    <w:rsid w:val="004762C5"/>
    <w:rsid w:val="00476337"/>
    <w:rsid w:val="0047640A"/>
    <w:rsid w:val="00476415"/>
    <w:rsid w:val="00477219"/>
    <w:rsid w:val="00477522"/>
    <w:rsid w:val="0047754F"/>
    <w:rsid w:val="004776C2"/>
    <w:rsid w:val="00477C9B"/>
    <w:rsid w:val="00477CCB"/>
    <w:rsid w:val="00480073"/>
    <w:rsid w:val="00480449"/>
    <w:rsid w:val="004804B7"/>
    <w:rsid w:val="004804CB"/>
    <w:rsid w:val="00480655"/>
    <w:rsid w:val="00481547"/>
    <w:rsid w:val="00481B65"/>
    <w:rsid w:val="00482003"/>
    <w:rsid w:val="004820B7"/>
    <w:rsid w:val="00482399"/>
    <w:rsid w:val="0048253F"/>
    <w:rsid w:val="0048255D"/>
    <w:rsid w:val="00482679"/>
    <w:rsid w:val="00482690"/>
    <w:rsid w:val="00482725"/>
    <w:rsid w:val="00482AFC"/>
    <w:rsid w:val="004832F4"/>
    <w:rsid w:val="00483315"/>
    <w:rsid w:val="00483561"/>
    <w:rsid w:val="0048374E"/>
    <w:rsid w:val="00483783"/>
    <w:rsid w:val="00483A68"/>
    <w:rsid w:val="00483CD4"/>
    <w:rsid w:val="0048422F"/>
    <w:rsid w:val="00484356"/>
    <w:rsid w:val="004843CF"/>
    <w:rsid w:val="0048489E"/>
    <w:rsid w:val="00484ADB"/>
    <w:rsid w:val="00484C69"/>
    <w:rsid w:val="0048513F"/>
    <w:rsid w:val="00485515"/>
    <w:rsid w:val="0048569F"/>
    <w:rsid w:val="0048584E"/>
    <w:rsid w:val="00485D1B"/>
    <w:rsid w:val="00485FCF"/>
    <w:rsid w:val="004866E6"/>
    <w:rsid w:val="00486D39"/>
    <w:rsid w:val="004870A5"/>
    <w:rsid w:val="00487366"/>
    <w:rsid w:val="004875F7"/>
    <w:rsid w:val="0048766E"/>
    <w:rsid w:val="00487707"/>
    <w:rsid w:val="004878C6"/>
    <w:rsid w:val="00487A0C"/>
    <w:rsid w:val="00490010"/>
    <w:rsid w:val="0049045A"/>
    <w:rsid w:val="004905AB"/>
    <w:rsid w:val="00490A53"/>
    <w:rsid w:val="00490A61"/>
    <w:rsid w:val="004911C7"/>
    <w:rsid w:val="004911E0"/>
    <w:rsid w:val="004916F6"/>
    <w:rsid w:val="004917CB"/>
    <w:rsid w:val="00491EEF"/>
    <w:rsid w:val="00492268"/>
    <w:rsid w:val="00493008"/>
    <w:rsid w:val="00493137"/>
    <w:rsid w:val="00493A02"/>
    <w:rsid w:val="00493C8C"/>
    <w:rsid w:val="00493DB1"/>
    <w:rsid w:val="004946DA"/>
    <w:rsid w:val="00494923"/>
    <w:rsid w:val="00495CD6"/>
    <w:rsid w:val="00495CEF"/>
    <w:rsid w:val="00496083"/>
    <w:rsid w:val="00496614"/>
    <w:rsid w:val="00496837"/>
    <w:rsid w:val="00496B11"/>
    <w:rsid w:val="00496B9F"/>
    <w:rsid w:val="00496C80"/>
    <w:rsid w:val="00497544"/>
    <w:rsid w:val="00497E97"/>
    <w:rsid w:val="004A0133"/>
    <w:rsid w:val="004A0246"/>
    <w:rsid w:val="004A02F5"/>
    <w:rsid w:val="004A05DD"/>
    <w:rsid w:val="004A0E35"/>
    <w:rsid w:val="004A120C"/>
    <w:rsid w:val="004A1321"/>
    <w:rsid w:val="004A13E0"/>
    <w:rsid w:val="004A15E1"/>
    <w:rsid w:val="004A1C6B"/>
    <w:rsid w:val="004A1F46"/>
    <w:rsid w:val="004A23D0"/>
    <w:rsid w:val="004A2583"/>
    <w:rsid w:val="004A291E"/>
    <w:rsid w:val="004A2A2C"/>
    <w:rsid w:val="004A2BFD"/>
    <w:rsid w:val="004A3531"/>
    <w:rsid w:val="004A36A7"/>
    <w:rsid w:val="004A3B28"/>
    <w:rsid w:val="004A3E8B"/>
    <w:rsid w:val="004A3F6D"/>
    <w:rsid w:val="004A442A"/>
    <w:rsid w:val="004A44E4"/>
    <w:rsid w:val="004A469B"/>
    <w:rsid w:val="004A49D1"/>
    <w:rsid w:val="004A4B4D"/>
    <w:rsid w:val="004A4CA9"/>
    <w:rsid w:val="004A4E02"/>
    <w:rsid w:val="004A513E"/>
    <w:rsid w:val="004A53B3"/>
    <w:rsid w:val="004A551E"/>
    <w:rsid w:val="004A5C16"/>
    <w:rsid w:val="004A5E14"/>
    <w:rsid w:val="004A61F4"/>
    <w:rsid w:val="004A6322"/>
    <w:rsid w:val="004A67EB"/>
    <w:rsid w:val="004A683C"/>
    <w:rsid w:val="004A6916"/>
    <w:rsid w:val="004A6A85"/>
    <w:rsid w:val="004A6D37"/>
    <w:rsid w:val="004A6DDB"/>
    <w:rsid w:val="004A6E0D"/>
    <w:rsid w:val="004A7025"/>
    <w:rsid w:val="004A72CB"/>
    <w:rsid w:val="004A77A2"/>
    <w:rsid w:val="004A7AB6"/>
    <w:rsid w:val="004A7D3A"/>
    <w:rsid w:val="004A7D44"/>
    <w:rsid w:val="004B03DD"/>
    <w:rsid w:val="004B10C3"/>
    <w:rsid w:val="004B1182"/>
    <w:rsid w:val="004B14FE"/>
    <w:rsid w:val="004B1ACE"/>
    <w:rsid w:val="004B1DB1"/>
    <w:rsid w:val="004B2197"/>
    <w:rsid w:val="004B2724"/>
    <w:rsid w:val="004B2C21"/>
    <w:rsid w:val="004B2F02"/>
    <w:rsid w:val="004B3454"/>
    <w:rsid w:val="004B3566"/>
    <w:rsid w:val="004B3BEB"/>
    <w:rsid w:val="004B3E29"/>
    <w:rsid w:val="004B42FA"/>
    <w:rsid w:val="004B461D"/>
    <w:rsid w:val="004B4678"/>
    <w:rsid w:val="004B4817"/>
    <w:rsid w:val="004B5274"/>
    <w:rsid w:val="004B555F"/>
    <w:rsid w:val="004B55E8"/>
    <w:rsid w:val="004B5770"/>
    <w:rsid w:val="004B5A17"/>
    <w:rsid w:val="004B5DB3"/>
    <w:rsid w:val="004B67CF"/>
    <w:rsid w:val="004B6B47"/>
    <w:rsid w:val="004B6F57"/>
    <w:rsid w:val="004B6FF7"/>
    <w:rsid w:val="004B72C2"/>
    <w:rsid w:val="004B732B"/>
    <w:rsid w:val="004B79C1"/>
    <w:rsid w:val="004B7EDD"/>
    <w:rsid w:val="004C0170"/>
    <w:rsid w:val="004C0442"/>
    <w:rsid w:val="004C07F7"/>
    <w:rsid w:val="004C0B80"/>
    <w:rsid w:val="004C0CCD"/>
    <w:rsid w:val="004C105C"/>
    <w:rsid w:val="004C1479"/>
    <w:rsid w:val="004C16B8"/>
    <w:rsid w:val="004C1FCE"/>
    <w:rsid w:val="004C2356"/>
    <w:rsid w:val="004C254F"/>
    <w:rsid w:val="004C2747"/>
    <w:rsid w:val="004C2BDB"/>
    <w:rsid w:val="004C2CE6"/>
    <w:rsid w:val="004C2D70"/>
    <w:rsid w:val="004C32B1"/>
    <w:rsid w:val="004C3311"/>
    <w:rsid w:val="004C3874"/>
    <w:rsid w:val="004C38B5"/>
    <w:rsid w:val="004C40D0"/>
    <w:rsid w:val="004C44E4"/>
    <w:rsid w:val="004C45F6"/>
    <w:rsid w:val="004C480C"/>
    <w:rsid w:val="004C5436"/>
    <w:rsid w:val="004C567A"/>
    <w:rsid w:val="004C56F2"/>
    <w:rsid w:val="004C597F"/>
    <w:rsid w:val="004C5E91"/>
    <w:rsid w:val="004C60C5"/>
    <w:rsid w:val="004C6442"/>
    <w:rsid w:val="004C669A"/>
    <w:rsid w:val="004C6785"/>
    <w:rsid w:val="004C6B6F"/>
    <w:rsid w:val="004C6CE0"/>
    <w:rsid w:val="004C73A6"/>
    <w:rsid w:val="004C73D8"/>
    <w:rsid w:val="004C76C8"/>
    <w:rsid w:val="004C79DF"/>
    <w:rsid w:val="004C79EA"/>
    <w:rsid w:val="004D01DA"/>
    <w:rsid w:val="004D02E5"/>
    <w:rsid w:val="004D0AF2"/>
    <w:rsid w:val="004D0EB2"/>
    <w:rsid w:val="004D0FFE"/>
    <w:rsid w:val="004D14B8"/>
    <w:rsid w:val="004D14CA"/>
    <w:rsid w:val="004D1989"/>
    <w:rsid w:val="004D1A67"/>
    <w:rsid w:val="004D1AE1"/>
    <w:rsid w:val="004D1D8F"/>
    <w:rsid w:val="004D1DCB"/>
    <w:rsid w:val="004D20EE"/>
    <w:rsid w:val="004D247A"/>
    <w:rsid w:val="004D2821"/>
    <w:rsid w:val="004D2DC2"/>
    <w:rsid w:val="004D2F46"/>
    <w:rsid w:val="004D396B"/>
    <w:rsid w:val="004D3ACF"/>
    <w:rsid w:val="004D3B59"/>
    <w:rsid w:val="004D3C90"/>
    <w:rsid w:val="004D3E68"/>
    <w:rsid w:val="004D46B2"/>
    <w:rsid w:val="004D4928"/>
    <w:rsid w:val="004D5540"/>
    <w:rsid w:val="004D5A4F"/>
    <w:rsid w:val="004D5ECA"/>
    <w:rsid w:val="004D5FA0"/>
    <w:rsid w:val="004D6231"/>
    <w:rsid w:val="004D64C5"/>
    <w:rsid w:val="004D64ED"/>
    <w:rsid w:val="004D6D60"/>
    <w:rsid w:val="004D72CB"/>
    <w:rsid w:val="004D7487"/>
    <w:rsid w:val="004D7517"/>
    <w:rsid w:val="004D78FE"/>
    <w:rsid w:val="004D7A33"/>
    <w:rsid w:val="004D7AEF"/>
    <w:rsid w:val="004D7B6F"/>
    <w:rsid w:val="004E015A"/>
    <w:rsid w:val="004E0541"/>
    <w:rsid w:val="004E0B67"/>
    <w:rsid w:val="004E1547"/>
    <w:rsid w:val="004E155A"/>
    <w:rsid w:val="004E1611"/>
    <w:rsid w:val="004E16D2"/>
    <w:rsid w:val="004E2000"/>
    <w:rsid w:val="004E23C1"/>
    <w:rsid w:val="004E2481"/>
    <w:rsid w:val="004E24AF"/>
    <w:rsid w:val="004E2680"/>
    <w:rsid w:val="004E273B"/>
    <w:rsid w:val="004E2DBD"/>
    <w:rsid w:val="004E2E79"/>
    <w:rsid w:val="004E3565"/>
    <w:rsid w:val="004E3BD4"/>
    <w:rsid w:val="004E3CDA"/>
    <w:rsid w:val="004E3D00"/>
    <w:rsid w:val="004E40D2"/>
    <w:rsid w:val="004E41C2"/>
    <w:rsid w:val="004E4BB3"/>
    <w:rsid w:val="004E4BC6"/>
    <w:rsid w:val="004E50A3"/>
    <w:rsid w:val="004E5423"/>
    <w:rsid w:val="004E561B"/>
    <w:rsid w:val="004E60A5"/>
    <w:rsid w:val="004E6D3E"/>
    <w:rsid w:val="004E7726"/>
    <w:rsid w:val="004E7949"/>
    <w:rsid w:val="004E799F"/>
    <w:rsid w:val="004E7FEC"/>
    <w:rsid w:val="004F0088"/>
    <w:rsid w:val="004F0297"/>
    <w:rsid w:val="004F02F0"/>
    <w:rsid w:val="004F0398"/>
    <w:rsid w:val="004F0500"/>
    <w:rsid w:val="004F0805"/>
    <w:rsid w:val="004F08AD"/>
    <w:rsid w:val="004F0A5D"/>
    <w:rsid w:val="004F0ECD"/>
    <w:rsid w:val="004F11AC"/>
    <w:rsid w:val="004F1473"/>
    <w:rsid w:val="004F16B1"/>
    <w:rsid w:val="004F1A87"/>
    <w:rsid w:val="004F1AC6"/>
    <w:rsid w:val="004F273B"/>
    <w:rsid w:val="004F28C3"/>
    <w:rsid w:val="004F2EFB"/>
    <w:rsid w:val="004F31F1"/>
    <w:rsid w:val="004F35DF"/>
    <w:rsid w:val="004F3791"/>
    <w:rsid w:val="004F3800"/>
    <w:rsid w:val="004F3B32"/>
    <w:rsid w:val="004F3BC6"/>
    <w:rsid w:val="004F440A"/>
    <w:rsid w:val="004F4D59"/>
    <w:rsid w:val="004F4D77"/>
    <w:rsid w:val="004F5662"/>
    <w:rsid w:val="004F5BCD"/>
    <w:rsid w:val="004F6076"/>
    <w:rsid w:val="004F6077"/>
    <w:rsid w:val="004F62F6"/>
    <w:rsid w:val="004F64A1"/>
    <w:rsid w:val="004F6AA5"/>
    <w:rsid w:val="004F6ED0"/>
    <w:rsid w:val="004F7E95"/>
    <w:rsid w:val="00500030"/>
    <w:rsid w:val="00500200"/>
    <w:rsid w:val="00500799"/>
    <w:rsid w:val="00500B9D"/>
    <w:rsid w:val="00500F8C"/>
    <w:rsid w:val="00500FDC"/>
    <w:rsid w:val="005019AB"/>
    <w:rsid w:val="00501AA6"/>
    <w:rsid w:val="00501BDA"/>
    <w:rsid w:val="00501CF3"/>
    <w:rsid w:val="00501DE5"/>
    <w:rsid w:val="005020E4"/>
    <w:rsid w:val="00502130"/>
    <w:rsid w:val="005022A7"/>
    <w:rsid w:val="00502500"/>
    <w:rsid w:val="00502523"/>
    <w:rsid w:val="005034C1"/>
    <w:rsid w:val="0050376F"/>
    <w:rsid w:val="00503825"/>
    <w:rsid w:val="005038C2"/>
    <w:rsid w:val="00503ADD"/>
    <w:rsid w:val="00503C3A"/>
    <w:rsid w:val="00503EF5"/>
    <w:rsid w:val="00503F77"/>
    <w:rsid w:val="00503FE8"/>
    <w:rsid w:val="005042E9"/>
    <w:rsid w:val="0050462A"/>
    <w:rsid w:val="00504ACD"/>
    <w:rsid w:val="00504EAB"/>
    <w:rsid w:val="00505262"/>
    <w:rsid w:val="00505738"/>
    <w:rsid w:val="00505B9B"/>
    <w:rsid w:val="00505C9D"/>
    <w:rsid w:val="00505F22"/>
    <w:rsid w:val="00506338"/>
    <w:rsid w:val="005066DC"/>
    <w:rsid w:val="0050676B"/>
    <w:rsid w:val="00506ADC"/>
    <w:rsid w:val="005070E1"/>
    <w:rsid w:val="005072E3"/>
    <w:rsid w:val="00507369"/>
    <w:rsid w:val="00507877"/>
    <w:rsid w:val="00507B7F"/>
    <w:rsid w:val="005109ED"/>
    <w:rsid w:val="00510FDC"/>
    <w:rsid w:val="0051189E"/>
    <w:rsid w:val="00511E9E"/>
    <w:rsid w:val="005121EB"/>
    <w:rsid w:val="005123C8"/>
    <w:rsid w:val="00512659"/>
    <w:rsid w:val="00513138"/>
    <w:rsid w:val="005135DB"/>
    <w:rsid w:val="0051390E"/>
    <w:rsid w:val="00513B51"/>
    <w:rsid w:val="005146CE"/>
    <w:rsid w:val="005148E2"/>
    <w:rsid w:val="005149B1"/>
    <w:rsid w:val="00514BE1"/>
    <w:rsid w:val="00514CCB"/>
    <w:rsid w:val="005156C5"/>
    <w:rsid w:val="00515FA8"/>
    <w:rsid w:val="0051619A"/>
    <w:rsid w:val="00516292"/>
    <w:rsid w:val="005168C5"/>
    <w:rsid w:val="00516C81"/>
    <w:rsid w:val="00516FBE"/>
    <w:rsid w:val="00517212"/>
    <w:rsid w:val="005178CD"/>
    <w:rsid w:val="00517A78"/>
    <w:rsid w:val="00517A80"/>
    <w:rsid w:val="00517C50"/>
    <w:rsid w:val="0052037B"/>
    <w:rsid w:val="00520AC1"/>
    <w:rsid w:val="00520D5A"/>
    <w:rsid w:val="00520D97"/>
    <w:rsid w:val="00520DBA"/>
    <w:rsid w:val="00520DD5"/>
    <w:rsid w:val="00520F25"/>
    <w:rsid w:val="00520F80"/>
    <w:rsid w:val="00521C57"/>
    <w:rsid w:val="00521D1C"/>
    <w:rsid w:val="00521D5B"/>
    <w:rsid w:val="00521DE1"/>
    <w:rsid w:val="00521F12"/>
    <w:rsid w:val="0052224F"/>
    <w:rsid w:val="00522304"/>
    <w:rsid w:val="0052257D"/>
    <w:rsid w:val="00522936"/>
    <w:rsid w:val="00522A4E"/>
    <w:rsid w:val="00522D5B"/>
    <w:rsid w:val="00522DB4"/>
    <w:rsid w:val="00522F27"/>
    <w:rsid w:val="005230AC"/>
    <w:rsid w:val="0052337F"/>
    <w:rsid w:val="00523394"/>
    <w:rsid w:val="00523714"/>
    <w:rsid w:val="00523A50"/>
    <w:rsid w:val="00523F14"/>
    <w:rsid w:val="00523FEF"/>
    <w:rsid w:val="005245E5"/>
    <w:rsid w:val="00524668"/>
    <w:rsid w:val="005248F4"/>
    <w:rsid w:val="00524B34"/>
    <w:rsid w:val="00524C8A"/>
    <w:rsid w:val="00525015"/>
    <w:rsid w:val="00525390"/>
    <w:rsid w:val="00525B0A"/>
    <w:rsid w:val="00525F0F"/>
    <w:rsid w:val="00525F7B"/>
    <w:rsid w:val="00526212"/>
    <w:rsid w:val="00526267"/>
    <w:rsid w:val="0052690F"/>
    <w:rsid w:val="00526991"/>
    <w:rsid w:val="0052719A"/>
    <w:rsid w:val="00527643"/>
    <w:rsid w:val="00527BA0"/>
    <w:rsid w:val="00527D23"/>
    <w:rsid w:val="00527EED"/>
    <w:rsid w:val="00530134"/>
    <w:rsid w:val="0053027D"/>
    <w:rsid w:val="005308E4"/>
    <w:rsid w:val="005309B8"/>
    <w:rsid w:val="00530A0A"/>
    <w:rsid w:val="00530AB5"/>
    <w:rsid w:val="00531004"/>
    <w:rsid w:val="005316AC"/>
    <w:rsid w:val="00531A23"/>
    <w:rsid w:val="00531C4F"/>
    <w:rsid w:val="00531DFC"/>
    <w:rsid w:val="0053202E"/>
    <w:rsid w:val="005321B3"/>
    <w:rsid w:val="0053300D"/>
    <w:rsid w:val="00533BA9"/>
    <w:rsid w:val="005342DE"/>
    <w:rsid w:val="00534304"/>
    <w:rsid w:val="005344E7"/>
    <w:rsid w:val="0053469A"/>
    <w:rsid w:val="00534721"/>
    <w:rsid w:val="00534796"/>
    <w:rsid w:val="00534A9D"/>
    <w:rsid w:val="00535261"/>
    <w:rsid w:val="00535487"/>
    <w:rsid w:val="0053555A"/>
    <w:rsid w:val="00535B5B"/>
    <w:rsid w:val="00535F7F"/>
    <w:rsid w:val="00535F8A"/>
    <w:rsid w:val="005362C7"/>
    <w:rsid w:val="00536641"/>
    <w:rsid w:val="00537022"/>
    <w:rsid w:val="00537116"/>
    <w:rsid w:val="0053744C"/>
    <w:rsid w:val="0053767B"/>
    <w:rsid w:val="0053798D"/>
    <w:rsid w:val="0054010E"/>
    <w:rsid w:val="00540A89"/>
    <w:rsid w:val="00541059"/>
    <w:rsid w:val="00541220"/>
    <w:rsid w:val="0054139B"/>
    <w:rsid w:val="0054165D"/>
    <w:rsid w:val="00541DAE"/>
    <w:rsid w:val="00541F35"/>
    <w:rsid w:val="00542252"/>
    <w:rsid w:val="00542499"/>
    <w:rsid w:val="00542854"/>
    <w:rsid w:val="00542914"/>
    <w:rsid w:val="00542962"/>
    <w:rsid w:val="00542C6D"/>
    <w:rsid w:val="00542C72"/>
    <w:rsid w:val="00542C8C"/>
    <w:rsid w:val="00543620"/>
    <w:rsid w:val="00543D19"/>
    <w:rsid w:val="00543D33"/>
    <w:rsid w:val="005442C4"/>
    <w:rsid w:val="0054454B"/>
    <w:rsid w:val="00544633"/>
    <w:rsid w:val="00544728"/>
    <w:rsid w:val="00544995"/>
    <w:rsid w:val="00544AAF"/>
    <w:rsid w:val="00544E6A"/>
    <w:rsid w:val="00545103"/>
    <w:rsid w:val="0054516E"/>
    <w:rsid w:val="0054530C"/>
    <w:rsid w:val="0054546E"/>
    <w:rsid w:val="005454F8"/>
    <w:rsid w:val="0054555F"/>
    <w:rsid w:val="00545793"/>
    <w:rsid w:val="00545973"/>
    <w:rsid w:val="00545AB2"/>
    <w:rsid w:val="00545B17"/>
    <w:rsid w:val="00545D71"/>
    <w:rsid w:val="005463DD"/>
    <w:rsid w:val="00546731"/>
    <w:rsid w:val="00546850"/>
    <w:rsid w:val="00546EFD"/>
    <w:rsid w:val="00547341"/>
    <w:rsid w:val="005474C1"/>
    <w:rsid w:val="0054762D"/>
    <w:rsid w:val="0054774E"/>
    <w:rsid w:val="00547822"/>
    <w:rsid w:val="00547A18"/>
    <w:rsid w:val="00547B37"/>
    <w:rsid w:val="00547B43"/>
    <w:rsid w:val="00547D04"/>
    <w:rsid w:val="00547EE0"/>
    <w:rsid w:val="005501B9"/>
    <w:rsid w:val="005507AC"/>
    <w:rsid w:val="0055092D"/>
    <w:rsid w:val="00550975"/>
    <w:rsid w:val="00550A57"/>
    <w:rsid w:val="00550B6D"/>
    <w:rsid w:val="00550BD3"/>
    <w:rsid w:val="00550E2B"/>
    <w:rsid w:val="00550F71"/>
    <w:rsid w:val="005512A1"/>
    <w:rsid w:val="0055138E"/>
    <w:rsid w:val="005514B8"/>
    <w:rsid w:val="00551679"/>
    <w:rsid w:val="00551ACE"/>
    <w:rsid w:val="00552012"/>
    <w:rsid w:val="0055237F"/>
    <w:rsid w:val="00552AD0"/>
    <w:rsid w:val="00552CB0"/>
    <w:rsid w:val="005530E9"/>
    <w:rsid w:val="005535C9"/>
    <w:rsid w:val="005535E7"/>
    <w:rsid w:val="00553B2A"/>
    <w:rsid w:val="00553BB2"/>
    <w:rsid w:val="00554121"/>
    <w:rsid w:val="00554936"/>
    <w:rsid w:val="00554BF4"/>
    <w:rsid w:val="00555128"/>
    <w:rsid w:val="005559A9"/>
    <w:rsid w:val="00555A20"/>
    <w:rsid w:val="00555B00"/>
    <w:rsid w:val="00555B59"/>
    <w:rsid w:val="005562CE"/>
    <w:rsid w:val="005566A6"/>
    <w:rsid w:val="00556EDA"/>
    <w:rsid w:val="0055719E"/>
    <w:rsid w:val="005576E4"/>
    <w:rsid w:val="00557807"/>
    <w:rsid w:val="00557B45"/>
    <w:rsid w:val="00560552"/>
    <w:rsid w:val="005606C7"/>
    <w:rsid w:val="0056086D"/>
    <w:rsid w:val="005608DF"/>
    <w:rsid w:val="00560C52"/>
    <w:rsid w:val="00560E65"/>
    <w:rsid w:val="0056119B"/>
    <w:rsid w:val="0056146C"/>
    <w:rsid w:val="0056196B"/>
    <w:rsid w:val="005620CB"/>
    <w:rsid w:val="00562298"/>
    <w:rsid w:val="00562500"/>
    <w:rsid w:val="00562766"/>
    <w:rsid w:val="00562779"/>
    <w:rsid w:val="00562E53"/>
    <w:rsid w:val="0056308C"/>
    <w:rsid w:val="0056313B"/>
    <w:rsid w:val="00563883"/>
    <w:rsid w:val="00563A0A"/>
    <w:rsid w:val="00563B4C"/>
    <w:rsid w:val="00563CF3"/>
    <w:rsid w:val="00564218"/>
    <w:rsid w:val="005644C6"/>
    <w:rsid w:val="005644C9"/>
    <w:rsid w:val="0056470A"/>
    <w:rsid w:val="00564A4C"/>
    <w:rsid w:val="00564EA6"/>
    <w:rsid w:val="00565581"/>
    <w:rsid w:val="005655C7"/>
    <w:rsid w:val="0056593D"/>
    <w:rsid w:val="00565D74"/>
    <w:rsid w:val="005662CE"/>
    <w:rsid w:val="00566489"/>
    <w:rsid w:val="00566664"/>
    <w:rsid w:val="00566E3B"/>
    <w:rsid w:val="00566E9F"/>
    <w:rsid w:val="005677CB"/>
    <w:rsid w:val="00567AB5"/>
    <w:rsid w:val="00567E77"/>
    <w:rsid w:val="0057025E"/>
    <w:rsid w:val="005708B8"/>
    <w:rsid w:val="005708E9"/>
    <w:rsid w:val="00570929"/>
    <w:rsid w:val="00570A71"/>
    <w:rsid w:val="00570CAC"/>
    <w:rsid w:val="00571B60"/>
    <w:rsid w:val="00571C49"/>
    <w:rsid w:val="0057212F"/>
    <w:rsid w:val="005721B3"/>
    <w:rsid w:val="00572628"/>
    <w:rsid w:val="00572733"/>
    <w:rsid w:val="00572DAD"/>
    <w:rsid w:val="00572DDD"/>
    <w:rsid w:val="00572EA9"/>
    <w:rsid w:val="00572EEF"/>
    <w:rsid w:val="005730E3"/>
    <w:rsid w:val="005731D1"/>
    <w:rsid w:val="00573337"/>
    <w:rsid w:val="00573517"/>
    <w:rsid w:val="005737D9"/>
    <w:rsid w:val="00573ACC"/>
    <w:rsid w:val="00573C97"/>
    <w:rsid w:val="00573CCC"/>
    <w:rsid w:val="00573E41"/>
    <w:rsid w:val="00573F73"/>
    <w:rsid w:val="0057434D"/>
    <w:rsid w:val="005745A1"/>
    <w:rsid w:val="005747BD"/>
    <w:rsid w:val="00574851"/>
    <w:rsid w:val="005749FB"/>
    <w:rsid w:val="00574D67"/>
    <w:rsid w:val="00574DC6"/>
    <w:rsid w:val="00574E62"/>
    <w:rsid w:val="00575CFC"/>
    <w:rsid w:val="00575D0B"/>
    <w:rsid w:val="005763E1"/>
    <w:rsid w:val="005764A4"/>
    <w:rsid w:val="00576A63"/>
    <w:rsid w:val="00576F07"/>
    <w:rsid w:val="00577073"/>
    <w:rsid w:val="00577746"/>
    <w:rsid w:val="00577B23"/>
    <w:rsid w:val="00577DBA"/>
    <w:rsid w:val="005807E9"/>
    <w:rsid w:val="00580814"/>
    <w:rsid w:val="00580C4F"/>
    <w:rsid w:val="005811C7"/>
    <w:rsid w:val="005813E9"/>
    <w:rsid w:val="0058152A"/>
    <w:rsid w:val="0058187C"/>
    <w:rsid w:val="005818F3"/>
    <w:rsid w:val="00581F29"/>
    <w:rsid w:val="00581F60"/>
    <w:rsid w:val="0058221F"/>
    <w:rsid w:val="0058251D"/>
    <w:rsid w:val="0058263F"/>
    <w:rsid w:val="0058291B"/>
    <w:rsid w:val="005829DB"/>
    <w:rsid w:val="0058311C"/>
    <w:rsid w:val="00583A07"/>
    <w:rsid w:val="005841C7"/>
    <w:rsid w:val="005843A9"/>
    <w:rsid w:val="00584B43"/>
    <w:rsid w:val="00584DC7"/>
    <w:rsid w:val="00585675"/>
    <w:rsid w:val="005857F3"/>
    <w:rsid w:val="00585BD7"/>
    <w:rsid w:val="00585D03"/>
    <w:rsid w:val="00585E6E"/>
    <w:rsid w:val="0058642F"/>
    <w:rsid w:val="005865B6"/>
    <w:rsid w:val="0058669D"/>
    <w:rsid w:val="005869D4"/>
    <w:rsid w:val="00586A64"/>
    <w:rsid w:val="00586E0A"/>
    <w:rsid w:val="00587CC0"/>
    <w:rsid w:val="00587E2D"/>
    <w:rsid w:val="00590058"/>
    <w:rsid w:val="005903C0"/>
    <w:rsid w:val="00590A61"/>
    <w:rsid w:val="00590C5C"/>
    <w:rsid w:val="00591136"/>
    <w:rsid w:val="005916FB"/>
    <w:rsid w:val="005917EB"/>
    <w:rsid w:val="00591922"/>
    <w:rsid w:val="005927D5"/>
    <w:rsid w:val="005929E4"/>
    <w:rsid w:val="00593051"/>
    <w:rsid w:val="00593059"/>
    <w:rsid w:val="00593309"/>
    <w:rsid w:val="00593CD0"/>
    <w:rsid w:val="00593DCB"/>
    <w:rsid w:val="00593EAE"/>
    <w:rsid w:val="00594389"/>
    <w:rsid w:val="0059478E"/>
    <w:rsid w:val="00594E80"/>
    <w:rsid w:val="00594FCC"/>
    <w:rsid w:val="005951E5"/>
    <w:rsid w:val="00595A01"/>
    <w:rsid w:val="00595F56"/>
    <w:rsid w:val="00595FBB"/>
    <w:rsid w:val="0059617B"/>
    <w:rsid w:val="00596B60"/>
    <w:rsid w:val="00596B8F"/>
    <w:rsid w:val="00596BA7"/>
    <w:rsid w:val="00596DDE"/>
    <w:rsid w:val="00596E4F"/>
    <w:rsid w:val="005977BA"/>
    <w:rsid w:val="005979AA"/>
    <w:rsid w:val="00597C3C"/>
    <w:rsid w:val="005A02F3"/>
    <w:rsid w:val="005A0357"/>
    <w:rsid w:val="005A04BF"/>
    <w:rsid w:val="005A0AB7"/>
    <w:rsid w:val="005A16AE"/>
    <w:rsid w:val="005A17BA"/>
    <w:rsid w:val="005A1BF9"/>
    <w:rsid w:val="005A1E3B"/>
    <w:rsid w:val="005A25C0"/>
    <w:rsid w:val="005A26B6"/>
    <w:rsid w:val="005A27BA"/>
    <w:rsid w:val="005A2CCD"/>
    <w:rsid w:val="005A2F11"/>
    <w:rsid w:val="005A322D"/>
    <w:rsid w:val="005A3240"/>
    <w:rsid w:val="005A346D"/>
    <w:rsid w:val="005A3495"/>
    <w:rsid w:val="005A367B"/>
    <w:rsid w:val="005A3838"/>
    <w:rsid w:val="005A3876"/>
    <w:rsid w:val="005A3972"/>
    <w:rsid w:val="005A3C57"/>
    <w:rsid w:val="005A3E4A"/>
    <w:rsid w:val="005A44AE"/>
    <w:rsid w:val="005A4B2E"/>
    <w:rsid w:val="005A4F84"/>
    <w:rsid w:val="005A4FBD"/>
    <w:rsid w:val="005A59A2"/>
    <w:rsid w:val="005A5CE4"/>
    <w:rsid w:val="005A6238"/>
    <w:rsid w:val="005A65CA"/>
    <w:rsid w:val="005A729C"/>
    <w:rsid w:val="005A767A"/>
    <w:rsid w:val="005A796D"/>
    <w:rsid w:val="005B04D2"/>
    <w:rsid w:val="005B0F2B"/>
    <w:rsid w:val="005B1065"/>
    <w:rsid w:val="005B118E"/>
    <w:rsid w:val="005B181A"/>
    <w:rsid w:val="005B1A47"/>
    <w:rsid w:val="005B1B2E"/>
    <w:rsid w:val="005B1C6A"/>
    <w:rsid w:val="005B1F0F"/>
    <w:rsid w:val="005B2431"/>
    <w:rsid w:val="005B2951"/>
    <w:rsid w:val="005B2A44"/>
    <w:rsid w:val="005B2F78"/>
    <w:rsid w:val="005B30D2"/>
    <w:rsid w:val="005B3D16"/>
    <w:rsid w:val="005B3FD7"/>
    <w:rsid w:val="005B4179"/>
    <w:rsid w:val="005B43C5"/>
    <w:rsid w:val="005B43D3"/>
    <w:rsid w:val="005B491C"/>
    <w:rsid w:val="005B5341"/>
    <w:rsid w:val="005B5504"/>
    <w:rsid w:val="005B5785"/>
    <w:rsid w:val="005B59C4"/>
    <w:rsid w:val="005B5A15"/>
    <w:rsid w:val="005B5C08"/>
    <w:rsid w:val="005B5CA3"/>
    <w:rsid w:val="005B5FF5"/>
    <w:rsid w:val="005B6501"/>
    <w:rsid w:val="005B655E"/>
    <w:rsid w:val="005B6725"/>
    <w:rsid w:val="005B6CEB"/>
    <w:rsid w:val="005B70E2"/>
    <w:rsid w:val="005B7477"/>
    <w:rsid w:val="005B7C6F"/>
    <w:rsid w:val="005B7D48"/>
    <w:rsid w:val="005C071B"/>
    <w:rsid w:val="005C08F7"/>
    <w:rsid w:val="005C0ABF"/>
    <w:rsid w:val="005C0C24"/>
    <w:rsid w:val="005C15E5"/>
    <w:rsid w:val="005C16BE"/>
    <w:rsid w:val="005C1D20"/>
    <w:rsid w:val="005C1E8F"/>
    <w:rsid w:val="005C1F78"/>
    <w:rsid w:val="005C2046"/>
    <w:rsid w:val="005C2531"/>
    <w:rsid w:val="005C26EA"/>
    <w:rsid w:val="005C2981"/>
    <w:rsid w:val="005C2A75"/>
    <w:rsid w:val="005C2B9F"/>
    <w:rsid w:val="005C3B7C"/>
    <w:rsid w:val="005C4502"/>
    <w:rsid w:val="005C460E"/>
    <w:rsid w:val="005C46D5"/>
    <w:rsid w:val="005C4C07"/>
    <w:rsid w:val="005C4D5A"/>
    <w:rsid w:val="005C5B2D"/>
    <w:rsid w:val="005C5BD9"/>
    <w:rsid w:val="005C5F67"/>
    <w:rsid w:val="005C5FAE"/>
    <w:rsid w:val="005C6271"/>
    <w:rsid w:val="005C6400"/>
    <w:rsid w:val="005C6548"/>
    <w:rsid w:val="005C6B9D"/>
    <w:rsid w:val="005C6CBE"/>
    <w:rsid w:val="005C7289"/>
    <w:rsid w:val="005C7731"/>
    <w:rsid w:val="005C7E05"/>
    <w:rsid w:val="005D0166"/>
    <w:rsid w:val="005D0479"/>
    <w:rsid w:val="005D08D6"/>
    <w:rsid w:val="005D096E"/>
    <w:rsid w:val="005D0B4E"/>
    <w:rsid w:val="005D0DA1"/>
    <w:rsid w:val="005D0DC8"/>
    <w:rsid w:val="005D0EF8"/>
    <w:rsid w:val="005D10F2"/>
    <w:rsid w:val="005D1B64"/>
    <w:rsid w:val="005D1D77"/>
    <w:rsid w:val="005D1D7F"/>
    <w:rsid w:val="005D2059"/>
    <w:rsid w:val="005D218F"/>
    <w:rsid w:val="005D238A"/>
    <w:rsid w:val="005D245C"/>
    <w:rsid w:val="005D2509"/>
    <w:rsid w:val="005D2D8F"/>
    <w:rsid w:val="005D2DED"/>
    <w:rsid w:val="005D3537"/>
    <w:rsid w:val="005D368C"/>
    <w:rsid w:val="005D38CB"/>
    <w:rsid w:val="005D40DE"/>
    <w:rsid w:val="005D4412"/>
    <w:rsid w:val="005D45E0"/>
    <w:rsid w:val="005D4621"/>
    <w:rsid w:val="005D49C4"/>
    <w:rsid w:val="005D4A19"/>
    <w:rsid w:val="005D4DEE"/>
    <w:rsid w:val="005D4E0C"/>
    <w:rsid w:val="005D5504"/>
    <w:rsid w:val="005D56CF"/>
    <w:rsid w:val="005D5750"/>
    <w:rsid w:val="005D580E"/>
    <w:rsid w:val="005D5B88"/>
    <w:rsid w:val="005D5C59"/>
    <w:rsid w:val="005D6D13"/>
    <w:rsid w:val="005D6F9C"/>
    <w:rsid w:val="005D6FEA"/>
    <w:rsid w:val="005D734D"/>
    <w:rsid w:val="005D7817"/>
    <w:rsid w:val="005D7857"/>
    <w:rsid w:val="005D7AA9"/>
    <w:rsid w:val="005D7B06"/>
    <w:rsid w:val="005D7FCA"/>
    <w:rsid w:val="005E00B1"/>
    <w:rsid w:val="005E0252"/>
    <w:rsid w:val="005E0486"/>
    <w:rsid w:val="005E06D8"/>
    <w:rsid w:val="005E0963"/>
    <w:rsid w:val="005E0DE3"/>
    <w:rsid w:val="005E1267"/>
    <w:rsid w:val="005E1507"/>
    <w:rsid w:val="005E1566"/>
    <w:rsid w:val="005E15A6"/>
    <w:rsid w:val="005E1662"/>
    <w:rsid w:val="005E1786"/>
    <w:rsid w:val="005E1949"/>
    <w:rsid w:val="005E19A7"/>
    <w:rsid w:val="005E1ACE"/>
    <w:rsid w:val="005E1BC9"/>
    <w:rsid w:val="005E1E8D"/>
    <w:rsid w:val="005E23CC"/>
    <w:rsid w:val="005E24D8"/>
    <w:rsid w:val="005E279E"/>
    <w:rsid w:val="005E2A9D"/>
    <w:rsid w:val="005E2DB8"/>
    <w:rsid w:val="005E2F48"/>
    <w:rsid w:val="005E3085"/>
    <w:rsid w:val="005E34BA"/>
    <w:rsid w:val="005E38B7"/>
    <w:rsid w:val="005E3CD5"/>
    <w:rsid w:val="005E3DB5"/>
    <w:rsid w:val="005E3E2A"/>
    <w:rsid w:val="005E3F32"/>
    <w:rsid w:val="005E40D1"/>
    <w:rsid w:val="005E410C"/>
    <w:rsid w:val="005E4DDA"/>
    <w:rsid w:val="005E4EDA"/>
    <w:rsid w:val="005E4FA3"/>
    <w:rsid w:val="005E4FF6"/>
    <w:rsid w:val="005E57B7"/>
    <w:rsid w:val="005E5D0E"/>
    <w:rsid w:val="005E607A"/>
    <w:rsid w:val="005E65C4"/>
    <w:rsid w:val="005E6A41"/>
    <w:rsid w:val="005E6B6A"/>
    <w:rsid w:val="005E6CC5"/>
    <w:rsid w:val="005E6ECF"/>
    <w:rsid w:val="005E6EFD"/>
    <w:rsid w:val="005E72CC"/>
    <w:rsid w:val="005E7B03"/>
    <w:rsid w:val="005E7C64"/>
    <w:rsid w:val="005E7EFF"/>
    <w:rsid w:val="005E7F9D"/>
    <w:rsid w:val="005F03EF"/>
    <w:rsid w:val="005F07A2"/>
    <w:rsid w:val="005F0A7B"/>
    <w:rsid w:val="005F0C0D"/>
    <w:rsid w:val="005F1791"/>
    <w:rsid w:val="005F1987"/>
    <w:rsid w:val="005F1B02"/>
    <w:rsid w:val="005F2277"/>
    <w:rsid w:val="005F28B3"/>
    <w:rsid w:val="005F29AC"/>
    <w:rsid w:val="005F2E71"/>
    <w:rsid w:val="005F301E"/>
    <w:rsid w:val="005F32E2"/>
    <w:rsid w:val="005F3699"/>
    <w:rsid w:val="005F3800"/>
    <w:rsid w:val="005F3C6E"/>
    <w:rsid w:val="005F3C98"/>
    <w:rsid w:val="005F3E4E"/>
    <w:rsid w:val="005F3E57"/>
    <w:rsid w:val="005F3F4A"/>
    <w:rsid w:val="005F43A6"/>
    <w:rsid w:val="005F4A30"/>
    <w:rsid w:val="005F4EF7"/>
    <w:rsid w:val="005F4F3B"/>
    <w:rsid w:val="005F4FE8"/>
    <w:rsid w:val="005F53C8"/>
    <w:rsid w:val="005F5474"/>
    <w:rsid w:val="005F589C"/>
    <w:rsid w:val="005F593E"/>
    <w:rsid w:val="005F5AED"/>
    <w:rsid w:val="005F5B17"/>
    <w:rsid w:val="005F5F3D"/>
    <w:rsid w:val="005F6276"/>
    <w:rsid w:val="005F638F"/>
    <w:rsid w:val="005F65AA"/>
    <w:rsid w:val="005F67FF"/>
    <w:rsid w:val="005F6924"/>
    <w:rsid w:val="005F696B"/>
    <w:rsid w:val="005F6FEC"/>
    <w:rsid w:val="005F7291"/>
    <w:rsid w:val="005F739E"/>
    <w:rsid w:val="005F7B8D"/>
    <w:rsid w:val="00600092"/>
    <w:rsid w:val="0060024E"/>
    <w:rsid w:val="00600763"/>
    <w:rsid w:val="0060077F"/>
    <w:rsid w:val="006009C5"/>
    <w:rsid w:val="006009F0"/>
    <w:rsid w:val="00600CA9"/>
    <w:rsid w:val="006012E3"/>
    <w:rsid w:val="0060167C"/>
    <w:rsid w:val="00601CC1"/>
    <w:rsid w:val="00601F2B"/>
    <w:rsid w:val="006022C5"/>
    <w:rsid w:val="00602B1E"/>
    <w:rsid w:val="00602E7D"/>
    <w:rsid w:val="006030A0"/>
    <w:rsid w:val="006035C6"/>
    <w:rsid w:val="00603773"/>
    <w:rsid w:val="006037DE"/>
    <w:rsid w:val="00603D3F"/>
    <w:rsid w:val="00603F75"/>
    <w:rsid w:val="00604288"/>
    <w:rsid w:val="006043B6"/>
    <w:rsid w:val="00604432"/>
    <w:rsid w:val="0060460B"/>
    <w:rsid w:val="00604EAA"/>
    <w:rsid w:val="00605699"/>
    <w:rsid w:val="00605B7C"/>
    <w:rsid w:val="00606077"/>
    <w:rsid w:val="00606169"/>
    <w:rsid w:val="0060633E"/>
    <w:rsid w:val="00606C16"/>
    <w:rsid w:val="006071A6"/>
    <w:rsid w:val="006071AE"/>
    <w:rsid w:val="00607481"/>
    <w:rsid w:val="006074C1"/>
    <w:rsid w:val="0060766D"/>
    <w:rsid w:val="0060769F"/>
    <w:rsid w:val="00610305"/>
    <w:rsid w:val="00610B21"/>
    <w:rsid w:val="00610E84"/>
    <w:rsid w:val="00611038"/>
    <w:rsid w:val="00611779"/>
    <w:rsid w:val="006117C5"/>
    <w:rsid w:val="00611952"/>
    <w:rsid w:val="00612195"/>
    <w:rsid w:val="00612283"/>
    <w:rsid w:val="00612596"/>
    <w:rsid w:val="006125D1"/>
    <w:rsid w:val="006127E1"/>
    <w:rsid w:val="00612950"/>
    <w:rsid w:val="00612AFF"/>
    <w:rsid w:val="0061329C"/>
    <w:rsid w:val="006134AC"/>
    <w:rsid w:val="00613795"/>
    <w:rsid w:val="0061417A"/>
    <w:rsid w:val="006142D5"/>
    <w:rsid w:val="006145BD"/>
    <w:rsid w:val="0061471A"/>
    <w:rsid w:val="006148E7"/>
    <w:rsid w:val="00614B2D"/>
    <w:rsid w:val="00614BF7"/>
    <w:rsid w:val="00615885"/>
    <w:rsid w:val="00615D51"/>
    <w:rsid w:val="006161BE"/>
    <w:rsid w:val="006166CB"/>
    <w:rsid w:val="006167AE"/>
    <w:rsid w:val="00616800"/>
    <w:rsid w:val="00616B8D"/>
    <w:rsid w:val="00616EB8"/>
    <w:rsid w:val="006170C1"/>
    <w:rsid w:val="00617E99"/>
    <w:rsid w:val="00617EBC"/>
    <w:rsid w:val="0062007C"/>
    <w:rsid w:val="00620320"/>
    <w:rsid w:val="0062089F"/>
    <w:rsid w:val="00620CE3"/>
    <w:rsid w:val="006219A0"/>
    <w:rsid w:val="00621AEE"/>
    <w:rsid w:val="00621B48"/>
    <w:rsid w:val="006220B5"/>
    <w:rsid w:val="00622692"/>
    <w:rsid w:val="00622F08"/>
    <w:rsid w:val="006231FB"/>
    <w:rsid w:val="006238E7"/>
    <w:rsid w:val="00623A76"/>
    <w:rsid w:val="00624598"/>
    <w:rsid w:val="00624648"/>
    <w:rsid w:val="00624989"/>
    <w:rsid w:val="00624B2D"/>
    <w:rsid w:val="00624E80"/>
    <w:rsid w:val="00625640"/>
    <w:rsid w:val="00625A06"/>
    <w:rsid w:val="00625DB8"/>
    <w:rsid w:val="00625F45"/>
    <w:rsid w:val="006263FD"/>
    <w:rsid w:val="006269DA"/>
    <w:rsid w:val="0062744F"/>
    <w:rsid w:val="00627523"/>
    <w:rsid w:val="006302EF"/>
    <w:rsid w:val="006303AF"/>
    <w:rsid w:val="00630AB2"/>
    <w:rsid w:val="006315F0"/>
    <w:rsid w:val="00631778"/>
    <w:rsid w:val="0063194B"/>
    <w:rsid w:val="00631C0C"/>
    <w:rsid w:val="00631DF0"/>
    <w:rsid w:val="00631F81"/>
    <w:rsid w:val="00632019"/>
    <w:rsid w:val="0063238F"/>
    <w:rsid w:val="006328DC"/>
    <w:rsid w:val="006329EC"/>
    <w:rsid w:val="00632CBE"/>
    <w:rsid w:val="00632D6E"/>
    <w:rsid w:val="00632FCC"/>
    <w:rsid w:val="00633272"/>
    <w:rsid w:val="006339AA"/>
    <w:rsid w:val="00633EFA"/>
    <w:rsid w:val="00633FB4"/>
    <w:rsid w:val="00634426"/>
    <w:rsid w:val="006344BF"/>
    <w:rsid w:val="00634615"/>
    <w:rsid w:val="00634732"/>
    <w:rsid w:val="006349B0"/>
    <w:rsid w:val="00634BB8"/>
    <w:rsid w:val="00634C3A"/>
    <w:rsid w:val="006355E2"/>
    <w:rsid w:val="0063577D"/>
    <w:rsid w:val="00635EE5"/>
    <w:rsid w:val="00635F43"/>
    <w:rsid w:val="0063620A"/>
    <w:rsid w:val="00636882"/>
    <w:rsid w:val="00636936"/>
    <w:rsid w:val="00636B57"/>
    <w:rsid w:val="0063737E"/>
    <w:rsid w:val="006375B9"/>
    <w:rsid w:val="00637979"/>
    <w:rsid w:val="00637C02"/>
    <w:rsid w:val="006400FB"/>
    <w:rsid w:val="006404F0"/>
    <w:rsid w:val="00640CC2"/>
    <w:rsid w:val="006410FE"/>
    <w:rsid w:val="00641105"/>
    <w:rsid w:val="00641FE5"/>
    <w:rsid w:val="006424F1"/>
    <w:rsid w:val="00642628"/>
    <w:rsid w:val="006427F3"/>
    <w:rsid w:val="00642821"/>
    <w:rsid w:val="00642BF2"/>
    <w:rsid w:val="00643185"/>
    <w:rsid w:val="00643505"/>
    <w:rsid w:val="00644B8E"/>
    <w:rsid w:val="00644E2A"/>
    <w:rsid w:val="00644FA6"/>
    <w:rsid w:val="006453D6"/>
    <w:rsid w:val="006456CF"/>
    <w:rsid w:val="00645706"/>
    <w:rsid w:val="006458BA"/>
    <w:rsid w:val="0064623C"/>
    <w:rsid w:val="0064661A"/>
    <w:rsid w:val="00646669"/>
    <w:rsid w:val="00646B81"/>
    <w:rsid w:val="00646CDF"/>
    <w:rsid w:val="0064763C"/>
    <w:rsid w:val="00647B9B"/>
    <w:rsid w:val="006502EA"/>
    <w:rsid w:val="00650378"/>
    <w:rsid w:val="006507B8"/>
    <w:rsid w:val="0065108D"/>
    <w:rsid w:val="00651967"/>
    <w:rsid w:val="00651BEF"/>
    <w:rsid w:val="00651D58"/>
    <w:rsid w:val="006529EA"/>
    <w:rsid w:val="00652B94"/>
    <w:rsid w:val="006530D4"/>
    <w:rsid w:val="006535E3"/>
    <w:rsid w:val="006536CF"/>
    <w:rsid w:val="006539E1"/>
    <w:rsid w:val="00653B0B"/>
    <w:rsid w:val="00653B29"/>
    <w:rsid w:val="00653E5A"/>
    <w:rsid w:val="00653F2E"/>
    <w:rsid w:val="00654180"/>
    <w:rsid w:val="00654785"/>
    <w:rsid w:val="00654A04"/>
    <w:rsid w:val="00654C36"/>
    <w:rsid w:val="00654D78"/>
    <w:rsid w:val="00654EFE"/>
    <w:rsid w:val="0065506A"/>
    <w:rsid w:val="006550D6"/>
    <w:rsid w:val="00655D17"/>
    <w:rsid w:val="00655ED8"/>
    <w:rsid w:val="00656819"/>
    <w:rsid w:val="00656B48"/>
    <w:rsid w:val="00656CDD"/>
    <w:rsid w:val="00657077"/>
    <w:rsid w:val="006572D1"/>
    <w:rsid w:val="0065771B"/>
    <w:rsid w:val="00657B2E"/>
    <w:rsid w:val="00657FC8"/>
    <w:rsid w:val="006602D9"/>
    <w:rsid w:val="006606CA"/>
    <w:rsid w:val="00660913"/>
    <w:rsid w:val="00660D29"/>
    <w:rsid w:val="00660D2D"/>
    <w:rsid w:val="00660D6C"/>
    <w:rsid w:val="00660DA5"/>
    <w:rsid w:val="00661B6F"/>
    <w:rsid w:val="00661B99"/>
    <w:rsid w:val="00661EB8"/>
    <w:rsid w:val="006621FC"/>
    <w:rsid w:val="0066240C"/>
    <w:rsid w:val="00662717"/>
    <w:rsid w:val="00662DB0"/>
    <w:rsid w:val="00662FBC"/>
    <w:rsid w:val="006630A6"/>
    <w:rsid w:val="00663634"/>
    <w:rsid w:val="0066388C"/>
    <w:rsid w:val="006646A5"/>
    <w:rsid w:val="0066486E"/>
    <w:rsid w:val="00664A8F"/>
    <w:rsid w:val="00664AD5"/>
    <w:rsid w:val="00665047"/>
    <w:rsid w:val="006650C4"/>
    <w:rsid w:val="00665168"/>
    <w:rsid w:val="0066517E"/>
    <w:rsid w:val="006651EA"/>
    <w:rsid w:val="0066565C"/>
    <w:rsid w:val="00665AB4"/>
    <w:rsid w:val="00665C7B"/>
    <w:rsid w:val="00665CDD"/>
    <w:rsid w:val="00665FA3"/>
    <w:rsid w:val="00665FC7"/>
    <w:rsid w:val="00666171"/>
    <w:rsid w:val="0066667D"/>
    <w:rsid w:val="0066672F"/>
    <w:rsid w:val="00666982"/>
    <w:rsid w:val="00666F4F"/>
    <w:rsid w:val="006676BA"/>
    <w:rsid w:val="0066786D"/>
    <w:rsid w:val="00667B88"/>
    <w:rsid w:val="00670046"/>
    <w:rsid w:val="006703BD"/>
    <w:rsid w:val="0067044F"/>
    <w:rsid w:val="00670503"/>
    <w:rsid w:val="006706B7"/>
    <w:rsid w:val="00670BB8"/>
    <w:rsid w:val="00670DDA"/>
    <w:rsid w:val="00671116"/>
    <w:rsid w:val="00671352"/>
    <w:rsid w:val="00671366"/>
    <w:rsid w:val="006718C2"/>
    <w:rsid w:val="00671BC5"/>
    <w:rsid w:val="00671E23"/>
    <w:rsid w:val="00672117"/>
    <w:rsid w:val="006723AB"/>
    <w:rsid w:val="00672680"/>
    <w:rsid w:val="006728F8"/>
    <w:rsid w:val="00672E38"/>
    <w:rsid w:val="00672F8B"/>
    <w:rsid w:val="006735B2"/>
    <w:rsid w:val="00673889"/>
    <w:rsid w:val="00673AC5"/>
    <w:rsid w:val="00673AEB"/>
    <w:rsid w:val="00673CE9"/>
    <w:rsid w:val="00673D01"/>
    <w:rsid w:val="0067421D"/>
    <w:rsid w:val="00674941"/>
    <w:rsid w:val="00674FDA"/>
    <w:rsid w:val="00675185"/>
    <w:rsid w:val="006751F5"/>
    <w:rsid w:val="006756AA"/>
    <w:rsid w:val="006758D5"/>
    <w:rsid w:val="00675C8E"/>
    <w:rsid w:val="006763E2"/>
    <w:rsid w:val="006764E5"/>
    <w:rsid w:val="00676660"/>
    <w:rsid w:val="006769DC"/>
    <w:rsid w:val="006769DD"/>
    <w:rsid w:val="00676AC5"/>
    <w:rsid w:val="00676AF4"/>
    <w:rsid w:val="00676D1D"/>
    <w:rsid w:val="00676E5F"/>
    <w:rsid w:val="00677289"/>
    <w:rsid w:val="006774F3"/>
    <w:rsid w:val="00677964"/>
    <w:rsid w:val="0068004A"/>
    <w:rsid w:val="00680958"/>
    <w:rsid w:val="00680F5C"/>
    <w:rsid w:val="006813D3"/>
    <w:rsid w:val="0068179E"/>
    <w:rsid w:val="006819C1"/>
    <w:rsid w:val="00681D10"/>
    <w:rsid w:val="0068258E"/>
    <w:rsid w:val="00683110"/>
    <w:rsid w:val="00683363"/>
    <w:rsid w:val="006836BA"/>
    <w:rsid w:val="006836BC"/>
    <w:rsid w:val="0068385C"/>
    <w:rsid w:val="0068395E"/>
    <w:rsid w:val="00683FC1"/>
    <w:rsid w:val="0068429F"/>
    <w:rsid w:val="0068475E"/>
    <w:rsid w:val="006849B0"/>
    <w:rsid w:val="00684BF6"/>
    <w:rsid w:val="00684D4E"/>
    <w:rsid w:val="00684F21"/>
    <w:rsid w:val="006850DF"/>
    <w:rsid w:val="006861F1"/>
    <w:rsid w:val="006863C4"/>
    <w:rsid w:val="006863F1"/>
    <w:rsid w:val="00686814"/>
    <w:rsid w:val="00686C70"/>
    <w:rsid w:val="00686F70"/>
    <w:rsid w:val="006873CD"/>
    <w:rsid w:val="006875F4"/>
    <w:rsid w:val="00687B1E"/>
    <w:rsid w:val="006901F9"/>
    <w:rsid w:val="006904CA"/>
    <w:rsid w:val="00690C6E"/>
    <w:rsid w:val="00690DCD"/>
    <w:rsid w:val="006915D7"/>
    <w:rsid w:val="0069183D"/>
    <w:rsid w:val="00691C1B"/>
    <w:rsid w:val="00691C2C"/>
    <w:rsid w:val="0069277C"/>
    <w:rsid w:val="00692809"/>
    <w:rsid w:val="006929D6"/>
    <w:rsid w:val="00693358"/>
    <w:rsid w:val="00693780"/>
    <w:rsid w:val="00693A42"/>
    <w:rsid w:val="00693BA5"/>
    <w:rsid w:val="00693CB6"/>
    <w:rsid w:val="00693FEE"/>
    <w:rsid w:val="006941B1"/>
    <w:rsid w:val="0069437E"/>
    <w:rsid w:val="006943E9"/>
    <w:rsid w:val="0069495A"/>
    <w:rsid w:val="00694A20"/>
    <w:rsid w:val="00694A94"/>
    <w:rsid w:val="00695679"/>
    <w:rsid w:val="00695A55"/>
    <w:rsid w:val="00695F2F"/>
    <w:rsid w:val="00695FBA"/>
    <w:rsid w:val="00696960"/>
    <w:rsid w:val="00696AE8"/>
    <w:rsid w:val="00696CDA"/>
    <w:rsid w:val="00697135"/>
    <w:rsid w:val="006971C3"/>
    <w:rsid w:val="006972AB"/>
    <w:rsid w:val="00697331"/>
    <w:rsid w:val="00697421"/>
    <w:rsid w:val="006974A6"/>
    <w:rsid w:val="00697663"/>
    <w:rsid w:val="00697768"/>
    <w:rsid w:val="006977B5"/>
    <w:rsid w:val="006977CB"/>
    <w:rsid w:val="006978C0"/>
    <w:rsid w:val="00697B04"/>
    <w:rsid w:val="00697ED4"/>
    <w:rsid w:val="006A0305"/>
    <w:rsid w:val="006A03CF"/>
    <w:rsid w:val="006A0612"/>
    <w:rsid w:val="006A07EB"/>
    <w:rsid w:val="006A083F"/>
    <w:rsid w:val="006A0AD7"/>
    <w:rsid w:val="006A0DAA"/>
    <w:rsid w:val="006A0DDE"/>
    <w:rsid w:val="006A0F1F"/>
    <w:rsid w:val="006A1030"/>
    <w:rsid w:val="006A1182"/>
    <w:rsid w:val="006A12E6"/>
    <w:rsid w:val="006A148C"/>
    <w:rsid w:val="006A16CB"/>
    <w:rsid w:val="006A1F60"/>
    <w:rsid w:val="006A2655"/>
    <w:rsid w:val="006A26D2"/>
    <w:rsid w:val="006A2727"/>
    <w:rsid w:val="006A2C8C"/>
    <w:rsid w:val="006A2D0F"/>
    <w:rsid w:val="006A2D1C"/>
    <w:rsid w:val="006A2FDD"/>
    <w:rsid w:val="006A33AC"/>
    <w:rsid w:val="006A37E8"/>
    <w:rsid w:val="006A3982"/>
    <w:rsid w:val="006A3FB0"/>
    <w:rsid w:val="006A40E6"/>
    <w:rsid w:val="006A41E3"/>
    <w:rsid w:val="006A4268"/>
    <w:rsid w:val="006A431C"/>
    <w:rsid w:val="006A4518"/>
    <w:rsid w:val="006A4FD9"/>
    <w:rsid w:val="006A52B6"/>
    <w:rsid w:val="006A52F1"/>
    <w:rsid w:val="006A56F5"/>
    <w:rsid w:val="006A5A82"/>
    <w:rsid w:val="006A5F39"/>
    <w:rsid w:val="006A6426"/>
    <w:rsid w:val="006A6DC2"/>
    <w:rsid w:val="006A6E7A"/>
    <w:rsid w:val="006A6EE2"/>
    <w:rsid w:val="006A712A"/>
    <w:rsid w:val="006A72B9"/>
    <w:rsid w:val="006A7444"/>
    <w:rsid w:val="006A7AF7"/>
    <w:rsid w:val="006A7E08"/>
    <w:rsid w:val="006A7FC4"/>
    <w:rsid w:val="006B020B"/>
    <w:rsid w:val="006B02D7"/>
    <w:rsid w:val="006B09C6"/>
    <w:rsid w:val="006B0D6F"/>
    <w:rsid w:val="006B0E8F"/>
    <w:rsid w:val="006B0FE7"/>
    <w:rsid w:val="006B15F1"/>
    <w:rsid w:val="006B1958"/>
    <w:rsid w:val="006B1AFB"/>
    <w:rsid w:val="006B1B76"/>
    <w:rsid w:val="006B1CDF"/>
    <w:rsid w:val="006B246C"/>
    <w:rsid w:val="006B299A"/>
    <w:rsid w:val="006B2B2C"/>
    <w:rsid w:val="006B2D67"/>
    <w:rsid w:val="006B39AD"/>
    <w:rsid w:val="006B3C16"/>
    <w:rsid w:val="006B460E"/>
    <w:rsid w:val="006B4691"/>
    <w:rsid w:val="006B473F"/>
    <w:rsid w:val="006B478D"/>
    <w:rsid w:val="006B4FBB"/>
    <w:rsid w:val="006B50AD"/>
    <w:rsid w:val="006B5457"/>
    <w:rsid w:val="006B5B7E"/>
    <w:rsid w:val="006B5C23"/>
    <w:rsid w:val="006B5D8D"/>
    <w:rsid w:val="006B6082"/>
    <w:rsid w:val="006B61F3"/>
    <w:rsid w:val="006B61F7"/>
    <w:rsid w:val="006B66B0"/>
    <w:rsid w:val="006B6754"/>
    <w:rsid w:val="006B68EB"/>
    <w:rsid w:val="006B6FA5"/>
    <w:rsid w:val="006B7163"/>
    <w:rsid w:val="006B7367"/>
    <w:rsid w:val="006B73AB"/>
    <w:rsid w:val="006B748F"/>
    <w:rsid w:val="006B7A02"/>
    <w:rsid w:val="006B7AAA"/>
    <w:rsid w:val="006B7C6C"/>
    <w:rsid w:val="006B7FA0"/>
    <w:rsid w:val="006C051D"/>
    <w:rsid w:val="006C0848"/>
    <w:rsid w:val="006C0C93"/>
    <w:rsid w:val="006C0D68"/>
    <w:rsid w:val="006C1425"/>
    <w:rsid w:val="006C1452"/>
    <w:rsid w:val="006C1729"/>
    <w:rsid w:val="006C1E99"/>
    <w:rsid w:val="006C1F1B"/>
    <w:rsid w:val="006C21D7"/>
    <w:rsid w:val="006C24A3"/>
    <w:rsid w:val="006C294D"/>
    <w:rsid w:val="006C2A5E"/>
    <w:rsid w:val="006C2FFF"/>
    <w:rsid w:val="006C347B"/>
    <w:rsid w:val="006C34AA"/>
    <w:rsid w:val="006C3587"/>
    <w:rsid w:val="006C3E62"/>
    <w:rsid w:val="006C4202"/>
    <w:rsid w:val="006C4B51"/>
    <w:rsid w:val="006C4B8B"/>
    <w:rsid w:val="006C56ED"/>
    <w:rsid w:val="006C583B"/>
    <w:rsid w:val="006C5FAC"/>
    <w:rsid w:val="006C5FBB"/>
    <w:rsid w:val="006C61B8"/>
    <w:rsid w:val="006C6D75"/>
    <w:rsid w:val="006C705E"/>
    <w:rsid w:val="006C78BE"/>
    <w:rsid w:val="006C7998"/>
    <w:rsid w:val="006C7B0A"/>
    <w:rsid w:val="006D0819"/>
    <w:rsid w:val="006D0826"/>
    <w:rsid w:val="006D0CE4"/>
    <w:rsid w:val="006D1520"/>
    <w:rsid w:val="006D1669"/>
    <w:rsid w:val="006D1B02"/>
    <w:rsid w:val="006D2394"/>
    <w:rsid w:val="006D26E4"/>
    <w:rsid w:val="006D275F"/>
    <w:rsid w:val="006D28C7"/>
    <w:rsid w:val="006D2AD7"/>
    <w:rsid w:val="006D2BAB"/>
    <w:rsid w:val="006D2C06"/>
    <w:rsid w:val="006D3164"/>
    <w:rsid w:val="006D3386"/>
    <w:rsid w:val="006D3720"/>
    <w:rsid w:val="006D3AC8"/>
    <w:rsid w:val="006D3BB0"/>
    <w:rsid w:val="006D3BB2"/>
    <w:rsid w:val="006D3C5C"/>
    <w:rsid w:val="006D3CAC"/>
    <w:rsid w:val="006D3D2A"/>
    <w:rsid w:val="006D3D9B"/>
    <w:rsid w:val="006D4157"/>
    <w:rsid w:val="006D4502"/>
    <w:rsid w:val="006D5836"/>
    <w:rsid w:val="006D59BE"/>
    <w:rsid w:val="006D5BA0"/>
    <w:rsid w:val="006D5E6D"/>
    <w:rsid w:val="006D5EA8"/>
    <w:rsid w:val="006D600F"/>
    <w:rsid w:val="006D696D"/>
    <w:rsid w:val="006D6C37"/>
    <w:rsid w:val="006D6F0C"/>
    <w:rsid w:val="006D7D58"/>
    <w:rsid w:val="006D7EF4"/>
    <w:rsid w:val="006E0401"/>
    <w:rsid w:val="006E054E"/>
    <w:rsid w:val="006E082C"/>
    <w:rsid w:val="006E08E1"/>
    <w:rsid w:val="006E0ACB"/>
    <w:rsid w:val="006E1078"/>
    <w:rsid w:val="006E10D9"/>
    <w:rsid w:val="006E10ED"/>
    <w:rsid w:val="006E1B30"/>
    <w:rsid w:val="006E1C94"/>
    <w:rsid w:val="006E2389"/>
    <w:rsid w:val="006E2713"/>
    <w:rsid w:val="006E2732"/>
    <w:rsid w:val="006E27EE"/>
    <w:rsid w:val="006E2C29"/>
    <w:rsid w:val="006E2E45"/>
    <w:rsid w:val="006E3135"/>
    <w:rsid w:val="006E3140"/>
    <w:rsid w:val="006E33C4"/>
    <w:rsid w:val="006E3C4B"/>
    <w:rsid w:val="006E3E3E"/>
    <w:rsid w:val="006E3EDC"/>
    <w:rsid w:val="006E41A0"/>
    <w:rsid w:val="006E434E"/>
    <w:rsid w:val="006E4498"/>
    <w:rsid w:val="006E45D6"/>
    <w:rsid w:val="006E4809"/>
    <w:rsid w:val="006E4ACE"/>
    <w:rsid w:val="006E5DEA"/>
    <w:rsid w:val="006E5F00"/>
    <w:rsid w:val="006E653D"/>
    <w:rsid w:val="006E65BC"/>
    <w:rsid w:val="006E661D"/>
    <w:rsid w:val="006E668A"/>
    <w:rsid w:val="006E6706"/>
    <w:rsid w:val="006E6B56"/>
    <w:rsid w:val="006E6F26"/>
    <w:rsid w:val="006E718B"/>
    <w:rsid w:val="006E7192"/>
    <w:rsid w:val="006E7426"/>
    <w:rsid w:val="006E7B9B"/>
    <w:rsid w:val="006E7D52"/>
    <w:rsid w:val="006E7F05"/>
    <w:rsid w:val="006F0043"/>
    <w:rsid w:val="006F0050"/>
    <w:rsid w:val="006F022D"/>
    <w:rsid w:val="006F03B9"/>
    <w:rsid w:val="006F071C"/>
    <w:rsid w:val="006F07CF"/>
    <w:rsid w:val="006F0942"/>
    <w:rsid w:val="006F0F59"/>
    <w:rsid w:val="006F197A"/>
    <w:rsid w:val="006F19B6"/>
    <w:rsid w:val="006F1BBF"/>
    <w:rsid w:val="006F2025"/>
    <w:rsid w:val="006F2111"/>
    <w:rsid w:val="006F2CD7"/>
    <w:rsid w:val="006F2D9B"/>
    <w:rsid w:val="006F2E42"/>
    <w:rsid w:val="006F2E9C"/>
    <w:rsid w:val="006F2FF5"/>
    <w:rsid w:val="006F2FF7"/>
    <w:rsid w:val="006F3371"/>
    <w:rsid w:val="006F3593"/>
    <w:rsid w:val="006F3838"/>
    <w:rsid w:val="006F3A1D"/>
    <w:rsid w:val="006F3A9D"/>
    <w:rsid w:val="006F43B9"/>
    <w:rsid w:val="006F49B4"/>
    <w:rsid w:val="006F49C9"/>
    <w:rsid w:val="006F4CAD"/>
    <w:rsid w:val="006F4F39"/>
    <w:rsid w:val="006F50D7"/>
    <w:rsid w:val="006F50F2"/>
    <w:rsid w:val="006F5617"/>
    <w:rsid w:val="006F5CA0"/>
    <w:rsid w:val="006F5DB5"/>
    <w:rsid w:val="006F5EC2"/>
    <w:rsid w:val="006F5F6D"/>
    <w:rsid w:val="006F650A"/>
    <w:rsid w:val="006F652E"/>
    <w:rsid w:val="006F6679"/>
    <w:rsid w:val="006F6780"/>
    <w:rsid w:val="006F67AB"/>
    <w:rsid w:val="006F6961"/>
    <w:rsid w:val="006F6CEE"/>
    <w:rsid w:val="006F6E4B"/>
    <w:rsid w:val="006F6E54"/>
    <w:rsid w:val="006F7464"/>
    <w:rsid w:val="006F7A20"/>
    <w:rsid w:val="006F7E2D"/>
    <w:rsid w:val="006F7EA4"/>
    <w:rsid w:val="0070023C"/>
    <w:rsid w:val="00700857"/>
    <w:rsid w:val="00700D38"/>
    <w:rsid w:val="00700D93"/>
    <w:rsid w:val="00700F2C"/>
    <w:rsid w:val="0070119E"/>
    <w:rsid w:val="007018C4"/>
    <w:rsid w:val="00701A52"/>
    <w:rsid w:val="00702BB8"/>
    <w:rsid w:val="00702E0D"/>
    <w:rsid w:val="0070379C"/>
    <w:rsid w:val="00703B95"/>
    <w:rsid w:val="007045FE"/>
    <w:rsid w:val="00704902"/>
    <w:rsid w:val="00704BCB"/>
    <w:rsid w:val="00704C60"/>
    <w:rsid w:val="00704DD8"/>
    <w:rsid w:val="00704FA9"/>
    <w:rsid w:val="00705457"/>
    <w:rsid w:val="00705BB5"/>
    <w:rsid w:val="00705DEE"/>
    <w:rsid w:val="007062E3"/>
    <w:rsid w:val="0070668D"/>
    <w:rsid w:val="007070D2"/>
    <w:rsid w:val="00707349"/>
    <w:rsid w:val="007074E3"/>
    <w:rsid w:val="0070763A"/>
    <w:rsid w:val="007077E2"/>
    <w:rsid w:val="007103A2"/>
    <w:rsid w:val="0071052D"/>
    <w:rsid w:val="00710611"/>
    <w:rsid w:val="007107DF"/>
    <w:rsid w:val="00710A91"/>
    <w:rsid w:val="00710DFD"/>
    <w:rsid w:val="00710E40"/>
    <w:rsid w:val="00710E80"/>
    <w:rsid w:val="00710EC2"/>
    <w:rsid w:val="00711040"/>
    <w:rsid w:val="00711231"/>
    <w:rsid w:val="00711385"/>
    <w:rsid w:val="0071179E"/>
    <w:rsid w:val="007119DE"/>
    <w:rsid w:val="00711F8D"/>
    <w:rsid w:val="00712024"/>
    <w:rsid w:val="007121DF"/>
    <w:rsid w:val="00712999"/>
    <w:rsid w:val="00712F0D"/>
    <w:rsid w:val="00713FCD"/>
    <w:rsid w:val="00714D25"/>
    <w:rsid w:val="00715260"/>
    <w:rsid w:val="0071528B"/>
    <w:rsid w:val="007152F3"/>
    <w:rsid w:val="00715459"/>
    <w:rsid w:val="00715526"/>
    <w:rsid w:val="00715A13"/>
    <w:rsid w:val="00716471"/>
    <w:rsid w:val="007164F2"/>
    <w:rsid w:val="007166E0"/>
    <w:rsid w:val="00716AF5"/>
    <w:rsid w:val="007171DF"/>
    <w:rsid w:val="00717655"/>
    <w:rsid w:val="0071765B"/>
    <w:rsid w:val="00717D0D"/>
    <w:rsid w:val="007200A2"/>
    <w:rsid w:val="007204ED"/>
    <w:rsid w:val="00720663"/>
    <w:rsid w:val="00720AFD"/>
    <w:rsid w:val="00720B01"/>
    <w:rsid w:val="00720DD0"/>
    <w:rsid w:val="00721922"/>
    <w:rsid w:val="00721E6B"/>
    <w:rsid w:val="00721EB4"/>
    <w:rsid w:val="00721EDE"/>
    <w:rsid w:val="00721F64"/>
    <w:rsid w:val="007222C4"/>
    <w:rsid w:val="00722406"/>
    <w:rsid w:val="007228AF"/>
    <w:rsid w:val="007229C2"/>
    <w:rsid w:val="00722A52"/>
    <w:rsid w:val="00722BA8"/>
    <w:rsid w:val="00722C8C"/>
    <w:rsid w:val="007233C3"/>
    <w:rsid w:val="00723A70"/>
    <w:rsid w:val="00723DAA"/>
    <w:rsid w:val="00723E3E"/>
    <w:rsid w:val="00723F7D"/>
    <w:rsid w:val="00724032"/>
    <w:rsid w:val="0072473C"/>
    <w:rsid w:val="0072474E"/>
    <w:rsid w:val="00724D8A"/>
    <w:rsid w:val="00725099"/>
    <w:rsid w:val="007251B3"/>
    <w:rsid w:val="007252A1"/>
    <w:rsid w:val="00725342"/>
    <w:rsid w:val="0072536D"/>
    <w:rsid w:val="00725489"/>
    <w:rsid w:val="0072575B"/>
    <w:rsid w:val="0072599F"/>
    <w:rsid w:val="007259E7"/>
    <w:rsid w:val="00725D22"/>
    <w:rsid w:val="007260A4"/>
    <w:rsid w:val="0072688C"/>
    <w:rsid w:val="00726D60"/>
    <w:rsid w:val="0072761D"/>
    <w:rsid w:val="00727950"/>
    <w:rsid w:val="00727AF7"/>
    <w:rsid w:val="00727BC1"/>
    <w:rsid w:val="00727F24"/>
    <w:rsid w:val="0073052A"/>
    <w:rsid w:val="00730945"/>
    <w:rsid w:val="00730ABD"/>
    <w:rsid w:val="00730CB6"/>
    <w:rsid w:val="00730EAE"/>
    <w:rsid w:val="00731403"/>
    <w:rsid w:val="00731479"/>
    <w:rsid w:val="00731578"/>
    <w:rsid w:val="007318BB"/>
    <w:rsid w:val="00731ACC"/>
    <w:rsid w:val="00731AE0"/>
    <w:rsid w:val="00731B34"/>
    <w:rsid w:val="00731E1A"/>
    <w:rsid w:val="00731FFC"/>
    <w:rsid w:val="00732102"/>
    <w:rsid w:val="00732C18"/>
    <w:rsid w:val="0073302E"/>
    <w:rsid w:val="0073347F"/>
    <w:rsid w:val="00733F54"/>
    <w:rsid w:val="00733F72"/>
    <w:rsid w:val="0073435F"/>
    <w:rsid w:val="007344E8"/>
    <w:rsid w:val="00734621"/>
    <w:rsid w:val="007347DF"/>
    <w:rsid w:val="00734829"/>
    <w:rsid w:val="00734840"/>
    <w:rsid w:val="007348DF"/>
    <w:rsid w:val="00734A1B"/>
    <w:rsid w:val="00734C9F"/>
    <w:rsid w:val="00734FE3"/>
    <w:rsid w:val="007354FD"/>
    <w:rsid w:val="00735868"/>
    <w:rsid w:val="00735B4A"/>
    <w:rsid w:val="0073607C"/>
    <w:rsid w:val="00736AC3"/>
    <w:rsid w:val="00736E0A"/>
    <w:rsid w:val="00736E56"/>
    <w:rsid w:val="00737028"/>
    <w:rsid w:val="0073792B"/>
    <w:rsid w:val="00737B0D"/>
    <w:rsid w:val="00737E4F"/>
    <w:rsid w:val="0074001C"/>
    <w:rsid w:val="00740285"/>
    <w:rsid w:val="0074099E"/>
    <w:rsid w:val="00740CE4"/>
    <w:rsid w:val="007410A0"/>
    <w:rsid w:val="00741175"/>
    <w:rsid w:val="007415E1"/>
    <w:rsid w:val="00741E76"/>
    <w:rsid w:val="00742113"/>
    <w:rsid w:val="00742853"/>
    <w:rsid w:val="007428C9"/>
    <w:rsid w:val="00742A21"/>
    <w:rsid w:val="00743003"/>
    <w:rsid w:val="00743401"/>
    <w:rsid w:val="007436E4"/>
    <w:rsid w:val="00744073"/>
    <w:rsid w:val="00744202"/>
    <w:rsid w:val="007447DB"/>
    <w:rsid w:val="00744888"/>
    <w:rsid w:val="00744C45"/>
    <w:rsid w:val="00744CC7"/>
    <w:rsid w:val="00744EC2"/>
    <w:rsid w:val="007452DD"/>
    <w:rsid w:val="00745351"/>
    <w:rsid w:val="00745659"/>
    <w:rsid w:val="00745678"/>
    <w:rsid w:val="007456A3"/>
    <w:rsid w:val="00745770"/>
    <w:rsid w:val="00745795"/>
    <w:rsid w:val="007458F5"/>
    <w:rsid w:val="00745962"/>
    <w:rsid w:val="0074607E"/>
    <w:rsid w:val="0074648A"/>
    <w:rsid w:val="0074665E"/>
    <w:rsid w:val="007468EE"/>
    <w:rsid w:val="007479EC"/>
    <w:rsid w:val="00750186"/>
    <w:rsid w:val="00750327"/>
    <w:rsid w:val="00750360"/>
    <w:rsid w:val="00750BC0"/>
    <w:rsid w:val="00750C7B"/>
    <w:rsid w:val="00750D37"/>
    <w:rsid w:val="007517D0"/>
    <w:rsid w:val="00751800"/>
    <w:rsid w:val="00751937"/>
    <w:rsid w:val="00751963"/>
    <w:rsid w:val="00751CFC"/>
    <w:rsid w:val="00752478"/>
    <w:rsid w:val="00752975"/>
    <w:rsid w:val="00753344"/>
    <w:rsid w:val="007538DB"/>
    <w:rsid w:val="00753B93"/>
    <w:rsid w:val="00753BD2"/>
    <w:rsid w:val="00753D5C"/>
    <w:rsid w:val="00754874"/>
    <w:rsid w:val="00754D02"/>
    <w:rsid w:val="00754F4D"/>
    <w:rsid w:val="007555AA"/>
    <w:rsid w:val="00755E1B"/>
    <w:rsid w:val="007562EC"/>
    <w:rsid w:val="0075649F"/>
    <w:rsid w:val="00756CFE"/>
    <w:rsid w:val="007571C2"/>
    <w:rsid w:val="007577C8"/>
    <w:rsid w:val="0076044D"/>
    <w:rsid w:val="007604F3"/>
    <w:rsid w:val="00760959"/>
    <w:rsid w:val="00760A6C"/>
    <w:rsid w:val="00760CCF"/>
    <w:rsid w:val="00760E00"/>
    <w:rsid w:val="00760E4F"/>
    <w:rsid w:val="00761049"/>
    <w:rsid w:val="00761705"/>
    <w:rsid w:val="00761D5B"/>
    <w:rsid w:val="00761D8A"/>
    <w:rsid w:val="00761EE7"/>
    <w:rsid w:val="00762103"/>
    <w:rsid w:val="00762504"/>
    <w:rsid w:val="007625A2"/>
    <w:rsid w:val="00762B15"/>
    <w:rsid w:val="007633AF"/>
    <w:rsid w:val="007636F2"/>
    <w:rsid w:val="007636FA"/>
    <w:rsid w:val="00763995"/>
    <w:rsid w:val="00763A03"/>
    <w:rsid w:val="00763B2A"/>
    <w:rsid w:val="007641AF"/>
    <w:rsid w:val="007647FA"/>
    <w:rsid w:val="00764A67"/>
    <w:rsid w:val="00764D7F"/>
    <w:rsid w:val="007652BE"/>
    <w:rsid w:val="00765526"/>
    <w:rsid w:val="007659C4"/>
    <w:rsid w:val="00765A97"/>
    <w:rsid w:val="00765BE3"/>
    <w:rsid w:val="007662A3"/>
    <w:rsid w:val="00766408"/>
    <w:rsid w:val="00766A3D"/>
    <w:rsid w:val="00767062"/>
    <w:rsid w:val="007670E4"/>
    <w:rsid w:val="00767351"/>
    <w:rsid w:val="00767549"/>
    <w:rsid w:val="00767ACF"/>
    <w:rsid w:val="00767D22"/>
    <w:rsid w:val="00767DF5"/>
    <w:rsid w:val="00767E61"/>
    <w:rsid w:val="007704AF"/>
    <w:rsid w:val="007704F4"/>
    <w:rsid w:val="0077057A"/>
    <w:rsid w:val="007706C0"/>
    <w:rsid w:val="007706DF"/>
    <w:rsid w:val="00770BB1"/>
    <w:rsid w:val="00771173"/>
    <w:rsid w:val="007711F5"/>
    <w:rsid w:val="007712B3"/>
    <w:rsid w:val="00771386"/>
    <w:rsid w:val="00771DF0"/>
    <w:rsid w:val="00771FA6"/>
    <w:rsid w:val="00772295"/>
    <w:rsid w:val="0077280E"/>
    <w:rsid w:val="00772B3E"/>
    <w:rsid w:val="00772D3D"/>
    <w:rsid w:val="007734C0"/>
    <w:rsid w:val="0077374D"/>
    <w:rsid w:val="007737BC"/>
    <w:rsid w:val="00773801"/>
    <w:rsid w:val="007739EC"/>
    <w:rsid w:val="00773FA1"/>
    <w:rsid w:val="007741A8"/>
    <w:rsid w:val="00774985"/>
    <w:rsid w:val="00774ED3"/>
    <w:rsid w:val="00774F57"/>
    <w:rsid w:val="007750A3"/>
    <w:rsid w:val="00775820"/>
    <w:rsid w:val="00775B27"/>
    <w:rsid w:val="007760D9"/>
    <w:rsid w:val="00776EAB"/>
    <w:rsid w:val="0077721F"/>
    <w:rsid w:val="0077762C"/>
    <w:rsid w:val="00777AC5"/>
    <w:rsid w:val="00777B16"/>
    <w:rsid w:val="00777E65"/>
    <w:rsid w:val="00780063"/>
    <w:rsid w:val="0078059B"/>
    <w:rsid w:val="00780843"/>
    <w:rsid w:val="0078136B"/>
    <w:rsid w:val="007816A5"/>
    <w:rsid w:val="00781AB0"/>
    <w:rsid w:val="00781B47"/>
    <w:rsid w:val="00781CE4"/>
    <w:rsid w:val="00782315"/>
    <w:rsid w:val="0078298F"/>
    <w:rsid w:val="007829C3"/>
    <w:rsid w:val="00782B2F"/>
    <w:rsid w:val="00783199"/>
    <w:rsid w:val="00783390"/>
    <w:rsid w:val="00783519"/>
    <w:rsid w:val="00783D13"/>
    <w:rsid w:val="0078425C"/>
    <w:rsid w:val="007846DB"/>
    <w:rsid w:val="00784719"/>
    <w:rsid w:val="007847CE"/>
    <w:rsid w:val="00784977"/>
    <w:rsid w:val="0078498A"/>
    <w:rsid w:val="00784A47"/>
    <w:rsid w:val="00784ED9"/>
    <w:rsid w:val="007857C5"/>
    <w:rsid w:val="0078594C"/>
    <w:rsid w:val="00785A44"/>
    <w:rsid w:val="00785A48"/>
    <w:rsid w:val="0078603B"/>
    <w:rsid w:val="00786349"/>
    <w:rsid w:val="007864FE"/>
    <w:rsid w:val="007865EA"/>
    <w:rsid w:val="007868B9"/>
    <w:rsid w:val="00786BAB"/>
    <w:rsid w:val="00786BBD"/>
    <w:rsid w:val="00786CA3"/>
    <w:rsid w:val="00786D40"/>
    <w:rsid w:val="00786EE2"/>
    <w:rsid w:val="007870DA"/>
    <w:rsid w:val="00787312"/>
    <w:rsid w:val="00787322"/>
    <w:rsid w:val="007875F3"/>
    <w:rsid w:val="0078770B"/>
    <w:rsid w:val="0078770C"/>
    <w:rsid w:val="00787854"/>
    <w:rsid w:val="00787855"/>
    <w:rsid w:val="00787A4B"/>
    <w:rsid w:val="00787F27"/>
    <w:rsid w:val="007908FD"/>
    <w:rsid w:val="00790A59"/>
    <w:rsid w:val="00790A5C"/>
    <w:rsid w:val="00791116"/>
    <w:rsid w:val="0079122B"/>
    <w:rsid w:val="0079133F"/>
    <w:rsid w:val="007914FA"/>
    <w:rsid w:val="00791572"/>
    <w:rsid w:val="007915F7"/>
    <w:rsid w:val="007917DC"/>
    <w:rsid w:val="0079193E"/>
    <w:rsid w:val="00791B18"/>
    <w:rsid w:val="00791D26"/>
    <w:rsid w:val="00791FCC"/>
    <w:rsid w:val="007920B2"/>
    <w:rsid w:val="007922EF"/>
    <w:rsid w:val="007924C2"/>
    <w:rsid w:val="0079278A"/>
    <w:rsid w:val="00792A70"/>
    <w:rsid w:val="00792AE0"/>
    <w:rsid w:val="00792C75"/>
    <w:rsid w:val="007934A7"/>
    <w:rsid w:val="00793634"/>
    <w:rsid w:val="00793916"/>
    <w:rsid w:val="00793BCF"/>
    <w:rsid w:val="00793E5E"/>
    <w:rsid w:val="00793FD9"/>
    <w:rsid w:val="007940CF"/>
    <w:rsid w:val="00794D47"/>
    <w:rsid w:val="00794FDF"/>
    <w:rsid w:val="007951E6"/>
    <w:rsid w:val="007958F4"/>
    <w:rsid w:val="00795AFE"/>
    <w:rsid w:val="007963D9"/>
    <w:rsid w:val="007965AC"/>
    <w:rsid w:val="00796748"/>
    <w:rsid w:val="00796E96"/>
    <w:rsid w:val="00796F2E"/>
    <w:rsid w:val="007973FA"/>
    <w:rsid w:val="00797876"/>
    <w:rsid w:val="00797B00"/>
    <w:rsid w:val="007A019C"/>
    <w:rsid w:val="007A03F6"/>
    <w:rsid w:val="007A0B4F"/>
    <w:rsid w:val="007A0CF7"/>
    <w:rsid w:val="007A125A"/>
    <w:rsid w:val="007A1615"/>
    <w:rsid w:val="007A19A4"/>
    <w:rsid w:val="007A1A87"/>
    <w:rsid w:val="007A1E7B"/>
    <w:rsid w:val="007A21D4"/>
    <w:rsid w:val="007A21F6"/>
    <w:rsid w:val="007A27DA"/>
    <w:rsid w:val="007A2B05"/>
    <w:rsid w:val="007A2B33"/>
    <w:rsid w:val="007A2BAE"/>
    <w:rsid w:val="007A2ECD"/>
    <w:rsid w:val="007A2FCF"/>
    <w:rsid w:val="007A3323"/>
    <w:rsid w:val="007A3742"/>
    <w:rsid w:val="007A3BB0"/>
    <w:rsid w:val="007A43FF"/>
    <w:rsid w:val="007A4768"/>
    <w:rsid w:val="007A47E7"/>
    <w:rsid w:val="007A4831"/>
    <w:rsid w:val="007A49DA"/>
    <w:rsid w:val="007A5595"/>
    <w:rsid w:val="007A5676"/>
    <w:rsid w:val="007A5A8F"/>
    <w:rsid w:val="007A5AB8"/>
    <w:rsid w:val="007A5ECD"/>
    <w:rsid w:val="007A66BC"/>
    <w:rsid w:val="007A679E"/>
    <w:rsid w:val="007A6A68"/>
    <w:rsid w:val="007A6C3A"/>
    <w:rsid w:val="007A6D6C"/>
    <w:rsid w:val="007A6D9B"/>
    <w:rsid w:val="007A76EA"/>
    <w:rsid w:val="007A7768"/>
    <w:rsid w:val="007A7841"/>
    <w:rsid w:val="007A7D4C"/>
    <w:rsid w:val="007A7DE6"/>
    <w:rsid w:val="007A7E1D"/>
    <w:rsid w:val="007A7ECF"/>
    <w:rsid w:val="007B0654"/>
    <w:rsid w:val="007B07DD"/>
    <w:rsid w:val="007B0C1F"/>
    <w:rsid w:val="007B0C7B"/>
    <w:rsid w:val="007B0EFA"/>
    <w:rsid w:val="007B1439"/>
    <w:rsid w:val="007B17E2"/>
    <w:rsid w:val="007B2195"/>
    <w:rsid w:val="007B226C"/>
    <w:rsid w:val="007B2514"/>
    <w:rsid w:val="007B25DE"/>
    <w:rsid w:val="007B2C0E"/>
    <w:rsid w:val="007B2EA6"/>
    <w:rsid w:val="007B38A2"/>
    <w:rsid w:val="007B39EC"/>
    <w:rsid w:val="007B4037"/>
    <w:rsid w:val="007B4217"/>
    <w:rsid w:val="007B47AC"/>
    <w:rsid w:val="007B4911"/>
    <w:rsid w:val="007B4AC7"/>
    <w:rsid w:val="007B4D70"/>
    <w:rsid w:val="007B670A"/>
    <w:rsid w:val="007B69E9"/>
    <w:rsid w:val="007B6BA7"/>
    <w:rsid w:val="007B6F24"/>
    <w:rsid w:val="007B7633"/>
    <w:rsid w:val="007B76AC"/>
    <w:rsid w:val="007C00DE"/>
    <w:rsid w:val="007C01A1"/>
    <w:rsid w:val="007C06FB"/>
    <w:rsid w:val="007C0CD7"/>
    <w:rsid w:val="007C0E92"/>
    <w:rsid w:val="007C1017"/>
    <w:rsid w:val="007C12F9"/>
    <w:rsid w:val="007C1991"/>
    <w:rsid w:val="007C1ABA"/>
    <w:rsid w:val="007C1BAA"/>
    <w:rsid w:val="007C1D99"/>
    <w:rsid w:val="007C2465"/>
    <w:rsid w:val="007C248E"/>
    <w:rsid w:val="007C25B6"/>
    <w:rsid w:val="007C2990"/>
    <w:rsid w:val="007C3128"/>
    <w:rsid w:val="007C3687"/>
    <w:rsid w:val="007C3F52"/>
    <w:rsid w:val="007C3F7B"/>
    <w:rsid w:val="007C3FD0"/>
    <w:rsid w:val="007C430B"/>
    <w:rsid w:val="007C46B0"/>
    <w:rsid w:val="007C47E7"/>
    <w:rsid w:val="007C49AB"/>
    <w:rsid w:val="007C4BC5"/>
    <w:rsid w:val="007C5451"/>
    <w:rsid w:val="007C5536"/>
    <w:rsid w:val="007C5644"/>
    <w:rsid w:val="007C598E"/>
    <w:rsid w:val="007C5994"/>
    <w:rsid w:val="007C5CDD"/>
    <w:rsid w:val="007C5E32"/>
    <w:rsid w:val="007C5E57"/>
    <w:rsid w:val="007C6138"/>
    <w:rsid w:val="007C63D1"/>
    <w:rsid w:val="007C6466"/>
    <w:rsid w:val="007C6AF3"/>
    <w:rsid w:val="007C6F44"/>
    <w:rsid w:val="007C715C"/>
    <w:rsid w:val="007C71E9"/>
    <w:rsid w:val="007C73F9"/>
    <w:rsid w:val="007C7BEB"/>
    <w:rsid w:val="007D02F7"/>
    <w:rsid w:val="007D052E"/>
    <w:rsid w:val="007D05AC"/>
    <w:rsid w:val="007D087E"/>
    <w:rsid w:val="007D0E54"/>
    <w:rsid w:val="007D172D"/>
    <w:rsid w:val="007D1A01"/>
    <w:rsid w:val="007D1D0A"/>
    <w:rsid w:val="007D1EF1"/>
    <w:rsid w:val="007D2071"/>
    <w:rsid w:val="007D209F"/>
    <w:rsid w:val="007D21E3"/>
    <w:rsid w:val="007D224A"/>
    <w:rsid w:val="007D293A"/>
    <w:rsid w:val="007D2C34"/>
    <w:rsid w:val="007D2DD7"/>
    <w:rsid w:val="007D2E42"/>
    <w:rsid w:val="007D3417"/>
    <w:rsid w:val="007D3839"/>
    <w:rsid w:val="007D3C84"/>
    <w:rsid w:val="007D3DF7"/>
    <w:rsid w:val="007D409C"/>
    <w:rsid w:val="007D4853"/>
    <w:rsid w:val="007D49E3"/>
    <w:rsid w:val="007D4C3B"/>
    <w:rsid w:val="007D4E43"/>
    <w:rsid w:val="007D5074"/>
    <w:rsid w:val="007D5343"/>
    <w:rsid w:val="007D5642"/>
    <w:rsid w:val="007D5B2C"/>
    <w:rsid w:val="007D5CAC"/>
    <w:rsid w:val="007D61DA"/>
    <w:rsid w:val="007D7315"/>
    <w:rsid w:val="007D742A"/>
    <w:rsid w:val="007D7A19"/>
    <w:rsid w:val="007D7BDE"/>
    <w:rsid w:val="007D7BFC"/>
    <w:rsid w:val="007D7CA0"/>
    <w:rsid w:val="007D7E00"/>
    <w:rsid w:val="007D7EEC"/>
    <w:rsid w:val="007E0147"/>
    <w:rsid w:val="007E05E5"/>
    <w:rsid w:val="007E07CA"/>
    <w:rsid w:val="007E0A78"/>
    <w:rsid w:val="007E0BD6"/>
    <w:rsid w:val="007E0D1E"/>
    <w:rsid w:val="007E0ECF"/>
    <w:rsid w:val="007E109B"/>
    <w:rsid w:val="007E1426"/>
    <w:rsid w:val="007E14C0"/>
    <w:rsid w:val="007E1695"/>
    <w:rsid w:val="007E173F"/>
    <w:rsid w:val="007E188A"/>
    <w:rsid w:val="007E1998"/>
    <w:rsid w:val="007E229C"/>
    <w:rsid w:val="007E2639"/>
    <w:rsid w:val="007E27BA"/>
    <w:rsid w:val="007E2822"/>
    <w:rsid w:val="007E3238"/>
    <w:rsid w:val="007E33C8"/>
    <w:rsid w:val="007E351D"/>
    <w:rsid w:val="007E4716"/>
    <w:rsid w:val="007E4728"/>
    <w:rsid w:val="007E47EF"/>
    <w:rsid w:val="007E4FAA"/>
    <w:rsid w:val="007E5041"/>
    <w:rsid w:val="007E5C46"/>
    <w:rsid w:val="007E5EB3"/>
    <w:rsid w:val="007E6064"/>
    <w:rsid w:val="007E645A"/>
    <w:rsid w:val="007E70A7"/>
    <w:rsid w:val="007E7585"/>
    <w:rsid w:val="007E7672"/>
    <w:rsid w:val="007E7A25"/>
    <w:rsid w:val="007F0114"/>
    <w:rsid w:val="007F081E"/>
    <w:rsid w:val="007F0955"/>
    <w:rsid w:val="007F0DE4"/>
    <w:rsid w:val="007F0DEE"/>
    <w:rsid w:val="007F12F7"/>
    <w:rsid w:val="007F149A"/>
    <w:rsid w:val="007F14E4"/>
    <w:rsid w:val="007F157A"/>
    <w:rsid w:val="007F15F4"/>
    <w:rsid w:val="007F1AF4"/>
    <w:rsid w:val="007F1F48"/>
    <w:rsid w:val="007F1F90"/>
    <w:rsid w:val="007F2523"/>
    <w:rsid w:val="007F26F9"/>
    <w:rsid w:val="007F27D8"/>
    <w:rsid w:val="007F304C"/>
    <w:rsid w:val="007F33C1"/>
    <w:rsid w:val="007F346A"/>
    <w:rsid w:val="007F37D0"/>
    <w:rsid w:val="007F3F5F"/>
    <w:rsid w:val="007F4161"/>
    <w:rsid w:val="007F46F5"/>
    <w:rsid w:val="007F4F3F"/>
    <w:rsid w:val="007F50FF"/>
    <w:rsid w:val="007F538A"/>
    <w:rsid w:val="007F5441"/>
    <w:rsid w:val="007F5B54"/>
    <w:rsid w:val="007F5CB9"/>
    <w:rsid w:val="007F6271"/>
    <w:rsid w:val="007F64A3"/>
    <w:rsid w:val="007F74E9"/>
    <w:rsid w:val="007F76C9"/>
    <w:rsid w:val="007F7C58"/>
    <w:rsid w:val="007F7D1D"/>
    <w:rsid w:val="007F7D5B"/>
    <w:rsid w:val="007F7E1C"/>
    <w:rsid w:val="00800271"/>
    <w:rsid w:val="0080054E"/>
    <w:rsid w:val="008009D6"/>
    <w:rsid w:val="00800FB4"/>
    <w:rsid w:val="00801306"/>
    <w:rsid w:val="00801954"/>
    <w:rsid w:val="008019EB"/>
    <w:rsid w:val="00801D27"/>
    <w:rsid w:val="00802217"/>
    <w:rsid w:val="00802901"/>
    <w:rsid w:val="0080294A"/>
    <w:rsid w:val="00802ADC"/>
    <w:rsid w:val="00802B3A"/>
    <w:rsid w:val="00802FF6"/>
    <w:rsid w:val="00803086"/>
    <w:rsid w:val="008031A2"/>
    <w:rsid w:val="00803385"/>
    <w:rsid w:val="008035C9"/>
    <w:rsid w:val="008039A8"/>
    <w:rsid w:val="00803D62"/>
    <w:rsid w:val="00803E20"/>
    <w:rsid w:val="008040A4"/>
    <w:rsid w:val="00804325"/>
    <w:rsid w:val="008043C8"/>
    <w:rsid w:val="008046A2"/>
    <w:rsid w:val="00804ACF"/>
    <w:rsid w:val="00804DCB"/>
    <w:rsid w:val="00805467"/>
    <w:rsid w:val="0080547F"/>
    <w:rsid w:val="008059E9"/>
    <w:rsid w:val="00805DE1"/>
    <w:rsid w:val="00805E8D"/>
    <w:rsid w:val="00806360"/>
    <w:rsid w:val="00806473"/>
    <w:rsid w:val="008065FA"/>
    <w:rsid w:val="0080669D"/>
    <w:rsid w:val="00806D2D"/>
    <w:rsid w:val="00806D49"/>
    <w:rsid w:val="008071AB"/>
    <w:rsid w:val="008075C7"/>
    <w:rsid w:val="00807C0D"/>
    <w:rsid w:val="00810085"/>
    <w:rsid w:val="008100F6"/>
    <w:rsid w:val="00810178"/>
    <w:rsid w:val="008101BB"/>
    <w:rsid w:val="008102B8"/>
    <w:rsid w:val="00810359"/>
    <w:rsid w:val="00810618"/>
    <w:rsid w:val="0081074F"/>
    <w:rsid w:val="00810EFB"/>
    <w:rsid w:val="00810F00"/>
    <w:rsid w:val="0081169F"/>
    <w:rsid w:val="00811769"/>
    <w:rsid w:val="00811DD4"/>
    <w:rsid w:val="00811F8A"/>
    <w:rsid w:val="00811FFB"/>
    <w:rsid w:val="00812824"/>
    <w:rsid w:val="008129D2"/>
    <w:rsid w:val="00812D67"/>
    <w:rsid w:val="00812DAF"/>
    <w:rsid w:val="00813348"/>
    <w:rsid w:val="008137A4"/>
    <w:rsid w:val="008137E1"/>
    <w:rsid w:val="008139B8"/>
    <w:rsid w:val="008139FB"/>
    <w:rsid w:val="00813A1B"/>
    <w:rsid w:val="00813B87"/>
    <w:rsid w:val="00813BF1"/>
    <w:rsid w:val="00813CED"/>
    <w:rsid w:val="00813DF9"/>
    <w:rsid w:val="00813EEA"/>
    <w:rsid w:val="00813F81"/>
    <w:rsid w:val="00814031"/>
    <w:rsid w:val="00814396"/>
    <w:rsid w:val="00814428"/>
    <w:rsid w:val="00814436"/>
    <w:rsid w:val="008145A1"/>
    <w:rsid w:val="008147E9"/>
    <w:rsid w:val="00814986"/>
    <w:rsid w:val="00814B1F"/>
    <w:rsid w:val="00814B2A"/>
    <w:rsid w:val="00814C58"/>
    <w:rsid w:val="00815B8C"/>
    <w:rsid w:val="00815EF9"/>
    <w:rsid w:val="0081684E"/>
    <w:rsid w:val="00816C0E"/>
    <w:rsid w:val="00816CFC"/>
    <w:rsid w:val="00816D22"/>
    <w:rsid w:val="00816D48"/>
    <w:rsid w:val="00816E3F"/>
    <w:rsid w:val="00817196"/>
    <w:rsid w:val="0081727E"/>
    <w:rsid w:val="00817672"/>
    <w:rsid w:val="008178AA"/>
    <w:rsid w:val="00817B5D"/>
    <w:rsid w:val="00817BB4"/>
    <w:rsid w:val="008200D5"/>
    <w:rsid w:val="00820492"/>
    <w:rsid w:val="008207F4"/>
    <w:rsid w:val="0082091C"/>
    <w:rsid w:val="0082098B"/>
    <w:rsid w:val="00820B3E"/>
    <w:rsid w:val="00820CDE"/>
    <w:rsid w:val="00821109"/>
    <w:rsid w:val="00821111"/>
    <w:rsid w:val="00821265"/>
    <w:rsid w:val="008212EF"/>
    <w:rsid w:val="008214B2"/>
    <w:rsid w:val="00821D76"/>
    <w:rsid w:val="00822838"/>
    <w:rsid w:val="00822DB2"/>
    <w:rsid w:val="00823205"/>
    <w:rsid w:val="00823223"/>
    <w:rsid w:val="00823720"/>
    <w:rsid w:val="0082380F"/>
    <w:rsid w:val="00823AA6"/>
    <w:rsid w:val="00824263"/>
    <w:rsid w:val="00824609"/>
    <w:rsid w:val="008247F6"/>
    <w:rsid w:val="00824A27"/>
    <w:rsid w:val="008254A4"/>
    <w:rsid w:val="00825932"/>
    <w:rsid w:val="00825B12"/>
    <w:rsid w:val="00825B40"/>
    <w:rsid w:val="00825DE6"/>
    <w:rsid w:val="008262EF"/>
    <w:rsid w:val="0082673E"/>
    <w:rsid w:val="00826821"/>
    <w:rsid w:val="00826866"/>
    <w:rsid w:val="00826FD2"/>
    <w:rsid w:val="00827345"/>
    <w:rsid w:val="008277CA"/>
    <w:rsid w:val="00827C32"/>
    <w:rsid w:val="0083001E"/>
    <w:rsid w:val="00830CB4"/>
    <w:rsid w:val="00830D2E"/>
    <w:rsid w:val="00830DCA"/>
    <w:rsid w:val="00831060"/>
    <w:rsid w:val="00831B5A"/>
    <w:rsid w:val="00831E49"/>
    <w:rsid w:val="00832047"/>
    <w:rsid w:val="00832680"/>
    <w:rsid w:val="00832956"/>
    <w:rsid w:val="00832DB8"/>
    <w:rsid w:val="00833141"/>
    <w:rsid w:val="00833529"/>
    <w:rsid w:val="0083377D"/>
    <w:rsid w:val="00833EEE"/>
    <w:rsid w:val="00833F1F"/>
    <w:rsid w:val="008344ED"/>
    <w:rsid w:val="00834EDA"/>
    <w:rsid w:val="00835583"/>
    <w:rsid w:val="008364E1"/>
    <w:rsid w:val="008365D2"/>
    <w:rsid w:val="0083725A"/>
    <w:rsid w:val="008372CE"/>
    <w:rsid w:val="008377EF"/>
    <w:rsid w:val="0084011B"/>
    <w:rsid w:val="0084045C"/>
    <w:rsid w:val="0084078E"/>
    <w:rsid w:val="008410D2"/>
    <w:rsid w:val="00841134"/>
    <w:rsid w:val="008412F5"/>
    <w:rsid w:val="00841A89"/>
    <w:rsid w:val="00842C77"/>
    <w:rsid w:val="00842D4B"/>
    <w:rsid w:val="00842EFC"/>
    <w:rsid w:val="008431E0"/>
    <w:rsid w:val="008433F4"/>
    <w:rsid w:val="0084370C"/>
    <w:rsid w:val="00843B6C"/>
    <w:rsid w:val="0084401C"/>
    <w:rsid w:val="00844417"/>
    <w:rsid w:val="00844785"/>
    <w:rsid w:val="008447A5"/>
    <w:rsid w:val="0084498C"/>
    <w:rsid w:val="00844A80"/>
    <w:rsid w:val="00844C22"/>
    <w:rsid w:val="00844E13"/>
    <w:rsid w:val="00844F6C"/>
    <w:rsid w:val="00845638"/>
    <w:rsid w:val="00845C18"/>
    <w:rsid w:val="0084603F"/>
    <w:rsid w:val="008460D2"/>
    <w:rsid w:val="0084671B"/>
    <w:rsid w:val="00846BE2"/>
    <w:rsid w:val="00846C66"/>
    <w:rsid w:val="00847403"/>
    <w:rsid w:val="008478DB"/>
    <w:rsid w:val="00847B34"/>
    <w:rsid w:val="00847E01"/>
    <w:rsid w:val="00847F64"/>
    <w:rsid w:val="008500A0"/>
    <w:rsid w:val="0085043E"/>
    <w:rsid w:val="008504CD"/>
    <w:rsid w:val="008505FA"/>
    <w:rsid w:val="00850955"/>
    <w:rsid w:val="00850B96"/>
    <w:rsid w:val="00850E35"/>
    <w:rsid w:val="00850F39"/>
    <w:rsid w:val="0085114A"/>
    <w:rsid w:val="0085137D"/>
    <w:rsid w:val="00851B92"/>
    <w:rsid w:val="0085278B"/>
    <w:rsid w:val="00852A11"/>
    <w:rsid w:val="00852AA8"/>
    <w:rsid w:val="00852C86"/>
    <w:rsid w:val="008537A0"/>
    <w:rsid w:val="00853850"/>
    <w:rsid w:val="0085390E"/>
    <w:rsid w:val="00853BFE"/>
    <w:rsid w:val="00854268"/>
    <w:rsid w:val="00854593"/>
    <w:rsid w:val="00854A16"/>
    <w:rsid w:val="00854BEF"/>
    <w:rsid w:val="00854CA1"/>
    <w:rsid w:val="00854DD1"/>
    <w:rsid w:val="00854FBD"/>
    <w:rsid w:val="0085526B"/>
    <w:rsid w:val="00855F57"/>
    <w:rsid w:val="008563F6"/>
    <w:rsid w:val="00856532"/>
    <w:rsid w:val="008567B5"/>
    <w:rsid w:val="00856E76"/>
    <w:rsid w:val="008570AC"/>
    <w:rsid w:val="00857689"/>
    <w:rsid w:val="00857F6A"/>
    <w:rsid w:val="00860035"/>
    <w:rsid w:val="00860C5E"/>
    <w:rsid w:val="00860E8C"/>
    <w:rsid w:val="00861208"/>
    <w:rsid w:val="00861A73"/>
    <w:rsid w:val="00861E31"/>
    <w:rsid w:val="00861EFF"/>
    <w:rsid w:val="00862569"/>
    <w:rsid w:val="008626D0"/>
    <w:rsid w:val="008628D2"/>
    <w:rsid w:val="00862A68"/>
    <w:rsid w:val="00862CBD"/>
    <w:rsid w:val="00862F81"/>
    <w:rsid w:val="0086318A"/>
    <w:rsid w:val="008632A5"/>
    <w:rsid w:val="008632C5"/>
    <w:rsid w:val="0086370A"/>
    <w:rsid w:val="00863D65"/>
    <w:rsid w:val="008640BF"/>
    <w:rsid w:val="00864911"/>
    <w:rsid w:val="008650F2"/>
    <w:rsid w:val="008651BD"/>
    <w:rsid w:val="00865D40"/>
    <w:rsid w:val="00865D85"/>
    <w:rsid w:val="00866313"/>
    <w:rsid w:val="00866332"/>
    <w:rsid w:val="00866981"/>
    <w:rsid w:val="00866B94"/>
    <w:rsid w:val="00866E16"/>
    <w:rsid w:val="00866FCC"/>
    <w:rsid w:val="0086706E"/>
    <w:rsid w:val="008670AA"/>
    <w:rsid w:val="008670C1"/>
    <w:rsid w:val="008670EB"/>
    <w:rsid w:val="008675AF"/>
    <w:rsid w:val="00870023"/>
    <w:rsid w:val="008704F6"/>
    <w:rsid w:val="008705F9"/>
    <w:rsid w:val="00870755"/>
    <w:rsid w:val="00870B29"/>
    <w:rsid w:val="00870EA1"/>
    <w:rsid w:val="0087110D"/>
    <w:rsid w:val="0087124E"/>
    <w:rsid w:val="008713E7"/>
    <w:rsid w:val="0087148D"/>
    <w:rsid w:val="008717F3"/>
    <w:rsid w:val="00871A30"/>
    <w:rsid w:val="00871D9C"/>
    <w:rsid w:val="00871F00"/>
    <w:rsid w:val="00871F82"/>
    <w:rsid w:val="008720DF"/>
    <w:rsid w:val="008720F5"/>
    <w:rsid w:val="008727D2"/>
    <w:rsid w:val="00872E9F"/>
    <w:rsid w:val="00872F99"/>
    <w:rsid w:val="00873004"/>
    <w:rsid w:val="008730C7"/>
    <w:rsid w:val="008732C8"/>
    <w:rsid w:val="00873401"/>
    <w:rsid w:val="008735E4"/>
    <w:rsid w:val="00873684"/>
    <w:rsid w:val="0087376E"/>
    <w:rsid w:val="00873999"/>
    <w:rsid w:val="00873B26"/>
    <w:rsid w:val="00873B83"/>
    <w:rsid w:val="00873E86"/>
    <w:rsid w:val="00874013"/>
    <w:rsid w:val="00874068"/>
    <w:rsid w:val="00874201"/>
    <w:rsid w:val="0087426C"/>
    <w:rsid w:val="00874523"/>
    <w:rsid w:val="00874BE9"/>
    <w:rsid w:val="00874CF1"/>
    <w:rsid w:val="00874D94"/>
    <w:rsid w:val="008750D7"/>
    <w:rsid w:val="00875101"/>
    <w:rsid w:val="008753EF"/>
    <w:rsid w:val="00875468"/>
    <w:rsid w:val="008755F5"/>
    <w:rsid w:val="00875909"/>
    <w:rsid w:val="00875A73"/>
    <w:rsid w:val="00875E86"/>
    <w:rsid w:val="00875F03"/>
    <w:rsid w:val="008768DF"/>
    <w:rsid w:val="00876939"/>
    <w:rsid w:val="00877761"/>
    <w:rsid w:val="00877EF3"/>
    <w:rsid w:val="0088053D"/>
    <w:rsid w:val="008805E6"/>
    <w:rsid w:val="00881061"/>
    <w:rsid w:val="00881667"/>
    <w:rsid w:val="008818F8"/>
    <w:rsid w:val="00881B43"/>
    <w:rsid w:val="008821F9"/>
    <w:rsid w:val="00882269"/>
    <w:rsid w:val="00882AF8"/>
    <w:rsid w:val="00882F6E"/>
    <w:rsid w:val="00883144"/>
    <w:rsid w:val="008832E3"/>
    <w:rsid w:val="008834AA"/>
    <w:rsid w:val="008835BE"/>
    <w:rsid w:val="00883DE7"/>
    <w:rsid w:val="0088449F"/>
    <w:rsid w:val="00884FEC"/>
    <w:rsid w:val="00885E1E"/>
    <w:rsid w:val="00886210"/>
    <w:rsid w:val="008863B1"/>
    <w:rsid w:val="0088671C"/>
    <w:rsid w:val="00886777"/>
    <w:rsid w:val="00886B6D"/>
    <w:rsid w:val="00886EE6"/>
    <w:rsid w:val="008872CE"/>
    <w:rsid w:val="00887401"/>
    <w:rsid w:val="00887A8B"/>
    <w:rsid w:val="00887BC0"/>
    <w:rsid w:val="00891067"/>
    <w:rsid w:val="00891277"/>
    <w:rsid w:val="00891508"/>
    <w:rsid w:val="008917DC"/>
    <w:rsid w:val="00891844"/>
    <w:rsid w:val="00891AB0"/>
    <w:rsid w:val="00891DD3"/>
    <w:rsid w:val="00891E69"/>
    <w:rsid w:val="00891FA0"/>
    <w:rsid w:val="00892210"/>
    <w:rsid w:val="008926DB"/>
    <w:rsid w:val="008928F8"/>
    <w:rsid w:val="00892A89"/>
    <w:rsid w:val="00892BDB"/>
    <w:rsid w:val="00892CFF"/>
    <w:rsid w:val="00893365"/>
    <w:rsid w:val="008933AA"/>
    <w:rsid w:val="008939C8"/>
    <w:rsid w:val="00893B77"/>
    <w:rsid w:val="00893DF0"/>
    <w:rsid w:val="008945E6"/>
    <w:rsid w:val="008946E2"/>
    <w:rsid w:val="00894B07"/>
    <w:rsid w:val="00894CEA"/>
    <w:rsid w:val="00894E77"/>
    <w:rsid w:val="00895026"/>
    <w:rsid w:val="008952E1"/>
    <w:rsid w:val="008953BC"/>
    <w:rsid w:val="008955A8"/>
    <w:rsid w:val="00895703"/>
    <w:rsid w:val="00895AF9"/>
    <w:rsid w:val="00895CA0"/>
    <w:rsid w:val="00895ECE"/>
    <w:rsid w:val="0089604F"/>
    <w:rsid w:val="008961E1"/>
    <w:rsid w:val="00896201"/>
    <w:rsid w:val="00896D7F"/>
    <w:rsid w:val="00896ED7"/>
    <w:rsid w:val="00896FEF"/>
    <w:rsid w:val="008973A2"/>
    <w:rsid w:val="0089740F"/>
    <w:rsid w:val="008974FD"/>
    <w:rsid w:val="0089791B"/>
    <w:rsid w:val="00897933"/>
    <w:rsid w:val="0089795F"/>
    <w:rsid w:val="00897A1F"/>
    <w:rsid w:val="008A02EA"/>
    <w:rsid w:val="008A0400"/>
    <w:rsid w:val="008A0AA8"/>
    <w:rsid w:val="008A13A4"/>
    <w:rsid w:val="008A1492"/>
    <w:rsid w:val="008A1604"/>
    <w:rsid w:val="008A1674"/>
    <w:rsid w:val="008A1B2A"/>
    <w:rsid w:val="008A1EF8"/>
    <w:rsid w:val="008A230A"/>
    <w:rsid w:val="008A231A"/>
    <w:rsid w:val="008A288C"/>
    <w:rsid w:val="008A2BFA"/>
    <w:rsid w:val="008A2DB9"/>
    <w:rsid w:val="008A3061"/>
    <w:rsid w:val="008A3D61"/>
    <w:rsid w:val="008A3E29"/>
    <w:rsid w:val="008A439F"/>
    <w:rsid w:val="008A4A3B"/>
    <w:rsid w:val="008A4B7B"/>
    <w:rsid w:val="008A4C91"/>
    <w:rsid w:val="008A519D"/>
    <w:rsid w:val="008A529A"/>
    <w:rsid w:val="008A5330"/>
    <w:rsid w:val="008A54BD"/>
    <w:rsid w:val="008A55AF"/>
    <w:rsid w:val="008A5CEA"/>
    <w:rsid w:val="008A5DA1"/>
    <w:rsid w:val="008A5DCA"/>
    <w:rsid w:val="008A640F"/>
    <w:rsid w:val="008A7684"/>
    <w:rsid w:val="008A7805"/>
    <w:rsid w:val="008A7A7F"/>
    <w:rsid w:val="008A7C58"/>
    <w:rsid w:val="008A7DBB"/>
    <w:rsid w:val="008A7FAD"/>
    <w:rsid w:val="008B0569"/>
    <w:rsid w:val="008B0D97"/>
    <w:rsid w:val="008B1406"/>
    <w:rsid w:val="008B1B87"/>
    <w:rsid w:val="008B1F78"/>
    <w:rsid w:val="008B2058"/>
    <w:rsid w:val="008B2568"/>
    <w:rsid w:val="008B2C90"/>
    <w:rsid w:val="008B2E4D"/>
    <w:rsid w:val="008B2EB4"/>
    <w:rsid w:val="008B2EBB"/>
    <w:rsid w:val="008B2F77"/>
    <w:rsid w:val="008B326C"/>
    <w:rsid w:val="008B3755"/>
    <w:rsid w:val="008B3926"/>
    <w:rsid w:val="008B3969"/>
    <w:rsid w:val="008B43C0"/>
    <w:rsid w:val="008B4B3F"/>
    <w:rsid w:val="008B4EEA"/>
    <w:rsid w:val="008B5080"/>
    <w:rsid w:val="008B57F6"/>
    <w:rsid w:val="008B582D"/>
    <w:rsid w:val="008B5B6B"/>
    <w:rsid w:val="008B5C97"/>
    <w:rsid w:val="008B5D85"/>
    <w:rsid w:val="008B608C"/>
    <w:rsid w:val="008B6672"/>
    <w:rsid w:val="008B672E"/>
    <w:rsid w:val="008B68C8"/>
    <w:rsid w:val="008B68F4"/>
    <w:rsid w:val="008B6CA6"/>
    <w:rsid w:val="008B728D"/>
    <w:rsid w:val="008B7957"/>
    <w:rsid w:val="008B796E"/>
    <w:rsid w:val="008B7AF9"/>
    <w:rsid w:val="008C012C"/>
    <w:rsid w:val="008C0610"/>
    <w:rsid w:val="008C0830"/>
    <w:rsid w:val="008C0B6B"/>
    <w:rsid w:val="008C0F1C"/>
    <w:rsid w:val="008C1821"/>
    <w:rsid w:val="008C1B39"/>
    <w:rsid w:val="008C1FFE"/>
    <w:rsid w:val="008C2271"/>
    <w:rsid w:val="008C231C"/>
    <w:rsid w:val="008C272D"/>
    <w:rsid w:val="008C27CF"/>
    <w:rsid w:val="008C2A9B"/>
    <w:rsid w:val="008C2E12"/>
    <w:rsid w:val="008C316C"/>
    <w:rsid w:val="008C328D"/>
    <w:rsid w:val="008C3365"/>
    <w:rsid w:val="008C34FE"/>
    <w:rsid w:val="008C3914"/>
    <w:rsid w:val="008C3A72"/>
    <w:rsid w:val="008C3AA0"/>
    <w:rsid w:val="008C3DDE"/>
    <w:rsid w:val="008C3E5E"/>
    <w:rsid w:val="008C4197"/>
    <w:rsid w:val="008C44BD"/>
    <w:rsid w:val="008C4760"/>
    <w:rsid w:val="008C4ADA"/>
    <w:rsid w:val="008C4F5F"/>
    <w:rsid w:val="008C539B"/>
    <w:rsid w:val="008C58C5"/>
    <w:rsid w:val="008C5957"/>
    <w:rsid w:val="008C59DB"/>
    <w:rsid w:val="008C608D"/>
    <w:rsid w:val="008C60E1"/>
    <w:rsid w:val="008C6171"/>
    <w:rsid w:val="008C688F"/>
    <w:rsid w:val="008C68EF"/>
    <w:rsid w:val="008C6D2E"/>
    <w:rsid w:val="008C6EBB"/>
    <w:rsid w:val="008C72A1"/>
    <w:rsid w:val="008C73B4"/>
    <w:rsid w:val="008C73E9"/>
    <w:rsid w:val="008C786B"/>
    <w:rsid w:val="008D0128"/>
    <w:rsid w:val="008D0530"/>
    <w:rsid w:val="008D0569"/>
    <w:rsid w:val="008D08A4"/>
    <w:rsid w:val="008D099D"/>
    <w:rsid w:val="008D099E"/>
    <w:rsid w:val="008D0C60"/>
    <w:rsid w:val="008D10D7"/>
    <w:rsid w:val="008D10E9"/>
    <w:rsid w:val="008D115A"/>
    <w:rsid w:val="008D1374"/>
    <w:rsid w:val="008D1409"/>
    <w:rsid w:val="008D1476"/>
    <w:rsid w:val="008D19EF"/>
    <w:rsid w:val="008D1A08"/>
    <w:rsid w:val="008D1B9A"/>
    <w:rsid w:val="008D2022"/>
    <w:rsid w:val="008D2116"/>
    <w:rsid w:val="008D292F"/>
    <w:rsid w:val="008D29F1"/>
    <w:rsid w:val="008D2BB9"/>
    <w:rsid w:val="008D2FEF"/>
    <w:rsid w:val="008D3582"/>
    <w:rsid w:val="008D3C07"/>
    <w:rsid w:val="008D4077"/>
    <w:rsid w:val="008D413E"/>
    <w:rsid w:val="008D4914"/>
    <w:rsid w:val="008D499F"/>
    <w:rsid w:val="008D4E33"/>
    <w:rsid w:val="008D50F1"/>
    <w:rsid w:val="008D52D8"/>
    <w:rsid w:val="008D5406"/>
    <w:rsid w:val="008D55ED"/>
    <w:rsid w:val="008D683A"/>
    <w:rsid w:val="008D6CE1"/>
    <w:rsid w:val="008D7505"/>
    <w:rsid w:val="008D759E"/>
    <w:rsid w:val="008D79DC"/>
    <w:rsid w:val="008D7A1C"/>
    <w:rsid w:val="008E04C3"/>
    <w:rsid w:val="008E051E"/>
    <w:rsid w:val="008E0747"/>
    <w:rsid w:val="008E0778"/>
    <w:rsid w:val="008E0B0A"/>
    <w:rsid w:val="008E0B5D"/>
    <w:rsid w:val="008E0E8E"/>
    <w:rsid w:val="008E0F12"/>
    <w:rsid w:val="008E1773"/>
    <w:rsid w:val="008E1D18"/>
    <w:rsid w:val="008E1D75"/>
    <w:rsid w:val="008E291A"/>
    <w:rsid w:val="008E29E6"/>
    <w:rsid w:val="008E31AE"/>
    <w:rsid w:val="008E336A"/>
    <w:rsid w:val="008E38E3"/>
    <w:rsid w:val="008E39FB"/>
    <w:rsid w:val="008E3C73"/>
    <w:rsid w:val="008E3E28"/>
    <w:rsid w:val="008E413E"/>
    <w:rsid w:val="008E4476"/>
    <w:rsid w:val="008E4519"/>
    <w:rsid w:val="008E473B"/>
    <w:rsid w:val="008E478A"/>
    <w:rsid w:val="008E4CB3"/>
    <w:rsid w:val="008E4D94"/>
    <w:rsid w:val="008E57C1"/>
    <w:rsid w:val="008E5984"/>
    <w:rsid w:val="008E5A7D"/>
    <w:rsid w:val="008E5E4C"/>
    <w:rsid w:val="008E6359"/>
    <w:rsid w:val="008E6701"/>
    <w:rsid w:val="008E693D"/>
    <w:rsid w:val="008E6DFE"/>
    <w:rsid w:val="008E6E61"/>
    <w:rsid w:val="008E71C2"/>
    <w:rsid w:val="008E79D7"/>
    <w:rsid w:val="008E7F24"/>
    <w:rsid w:val="008F00A8"/>
    <w:rsid w:val="008F022C"/>
    <w:rsid w:val="008F0929"/>
    <w:rsid w:val="008F0995"/>
    <w:rsid w:val="008F09F7"/>
    <w:rsid w:val="008F0A21"/>
    <w:rsid w:val="008F0DC8"/>
    <w:rsid w:val="008F126A"/>
    <w:rsid w:val="008F1437"/>
    <w:rsid w:val="008F19CA"/>
    <w:rsid w:val="008F1D06"/>
    <w:rsid w:val="008F1DD9"/>
    <w:rsid w:val="008F1E52"/>
    <w:rsid w:val="008F21E2"/>
    <w:rsid w:val="008F2837"/>
    <w:rsid w:val="008F2B68"/>
    <w:rsid w:val="008F30E0"/>
    <w:rsid w:val="008F3303"/>
    <w:rsid w:val="008F38AA"/>
    <w:rsid w:val="008F3D8A"/>
    <w:rsid w:val="008F416A"/>
    <w:rsid w:val="008F4815"/>
    <w:rsid w:val="008F4C51"/>
    <w:rsid w:val="008F5215"/>
    <w:rsid w:val="008F5496"/>
    <w:rsid w:val="008F54DD"/>
    <w:rsid w:val="008F5B33"/>
    <w:rsid w:val="008F5F55"/>
    <w:rsid w:val="008F61A5"/>
    <w:rsid w:val="008F6890"/>
    <w:rsid w:val="008F7023"/>
    <w:rsid w:val="008F70EE"/>
    <w:rsid w:val="008F71CC"/>
    <w:rsid w:val="008F73DD"/>
    <w:rsid w:val="008F7DB8"/>
    <w:rsid w:val="008F7DCB"/>
    <w:rsid w:val="008F7F8E"/>
    <w:rsid w:val="00900105"/>
    <w:rsid w:val="00900419"/>
    <w:rsid w:val="009004BF"/>
    <w:rsid w:val="00901774"/>
    <w:rsid w:val="00901A2A"/>
    <w:rsid w:val="00901AC7"/>
    <w:rsid w:val="00901CD4"/>
    <w:rsid w:val="009022CF"/>
    <w:rsid w:val="0090271C"/>
    <w:rsid w:val="00902822"/>
    <w:rsid w:val="00902853"/>
    <w:rsid w:val="00902974"/>
    <w:rsid w:val="00902F19"/>
    <w:rsid w:val="009038F8"/>
    <w:rsid w:val="0090399C"/>
    <w:rsid w:val="00903A04"/>
    <w:rsid w:val="00903AB7"/>
    <w:rsid w:val="00903B53"/>
    <w:rsid w:val="009046BF"/>
    <w:rsid w:val="00904721"/>
    <w:rsid w:val="0090478F"/>
    <w:rsid w:val="00904A7E"/>
    <w:rsid w:val="00904F1D"/>
    <w:rsid w:val="0090528B"/>
    <w:rsid w:val="009057AF"/>
    <w:rsid w:val="009059F7"/>
    <w:rsid w:val="00905B4D"/>
    <w:rsid w:val="00906807"/>
    <w:rsid w:val="00906B25"/>
    <w:rsid w:val="00906DA3"/>
    <w:rsid w:val="00906DB3"/>
    <w:rsid w:val="00906DD3"/>
    <w:rsid w:val="00906F3B"/>
    <w:rsid w:val="009077BC"/>
    <w:rsid w:val="0090796C"/>
    <w:rsid w:val="00907A38"/>
    <w:rsid w:val="00907DC9"/>
    <w:rsid w:val="009109E2"/>
    <w:rsid w:val="00910A32"/>
    <w:rsid w:val="00910B89"/>
    <w:rsid w:val="00910CF1"/>
    <w:rsid w:val="00910EB0"/>
    <w:rsid w:val="00910F3A"/>
    <w:rsid w:val="00910FF4"/>
    <w:rsid w:val="00911359"/>
    <w:rsid w:val="00911614"/>
    <w:rsid w:val="00911E68"/>
    <w:rsid w:val="00911F97"/>
    <w:rsid w:val="009127EC"/>
    <w:rsid w:val="00912E9F"/>
    <w:rsid w:val="00913190"/>
    <w:rsid w:val="009131DB"/>
    <w:rsid w:val="0091328C"/>
    <w:rsid w:val="009134BD"/>
    <w:rsid w:val="00913A92"/>
    <w:rsid w:val="00913B4D"/>
    <w:rsid w:val="00913B79"/>
    <w:rsid w:val="00913E74"/>
    <w:rsid w:val="00913F0B"/>
    <w:rsid w:val="00914513"/>
    <w:rsid w:val="0091464A"/>
    <w:rsid w:val="0091479C"/>
    <w:rsid w:val="009149E1"/>
    <w:rsid w:val="00915290"/>
    <w:rsid w:val="009157AE"/>
    <w:rsid w:val="00915A9C"/>
    <w:rsid w:val="00915B7F"/>
    <w:rsid w:val="00915F05"/>
    <w:rsid w:val="00915F58"/>
    <w:rsid w:val="00915FE5"/>
    <w:rsid w:val="0091682B"/>
    <w:rsid w:val="00916AFB"/>
    <w:rsid w:val="009200DE"/>
    <w:rsid w:val="0092017E"/>
    <w:rsid w:val="0092053B"/>
    <w:rsid w:val="00920567"/>
    <w:rsid w:val="00920575"/>
    <w:rsid w:val="00920932"/>
    <w:rsid w:val="009209DB"/>
    <w:rsid w:val="00920BCA"/>
    <w:rsid w:val="00920BDC"/>
    <w:rsid w:val="00920C2E"/>
    <w:rsid w:val="00920FD8"/>
    <w:rsid w:val="00920FF7"/>
    <w:rsid w:val="009210AA"/>
    <w:rsid w:val="009211DF"/>
    <w:rsid w:val="009212C0"/>
    <w:rsid w:val="00921505"/>
    <w:rsid w:val="009217FC"/>
    <w:rsid w:val="0092195E"/>
    <w:rsid w:val="00921D53"/>
    <w:rsid w:val="00921DCB"/>
    <w:rsid w:val="009223FA"/>
    <w:rsid w:val="009226EB"/>
    <w:rsid w:val="0092271C"/>
    <w:rsid w:val="00922E80"/>
    <w:rsid w:val="00922EFB"/>
    <w:rsid w:val="0092318A"/>
    <w:rsid w:val="0092382C"/>
    <w:rsid w:val="00923830"/>
    <w:rsid w:val="00923A5C"/>
    <w:rsid w:val="00923FAC"/>
    <w:rsid w:val="0092433D"/>
    <w:rsid w:val="0092496B"/>
    <w:rsid w:val="00924E08"/>
    <w:rsid w:val="00924E29"/>
    <w:rsid w:val="0092530F"/>
    <w:rsid w:val="00925CC1"/>
    <w:rsid w:val="00925E88"/>
    <w:rsid w:val="00925EA8"/>
    <w:rsid w:val="009260D3"/>
    <w:rsid w:val="0092612D"/>
    <w:rsid w:val="00926189"/>
    <w:rsid w:val="009261A0"/>
    <w:rsid w:val="009261AD"/>
    <w:rsid w:val="00926275"/>
    <w:rsid w:val="009262F7"/>
    <w:rsid w:val="009263A5"/>
    <w:rsid w:val="0092674C"/>
    <w:rsid w:val="0092685A"/>
    <w:rsid w:val="009268AD"/>
    <w:rsid w:val="009268AF"/>
    <w:rsid w:val="00926C07"/>
    <w:rsid w:val="0092710B"/>
    <w:rsid w:val="00927366"/>
    <w:rsid w:val="009274F0"/>
    <w:rsid w:val="00927594"/>
    <w:rsid w:val="00930ED8"/>
    <w:rsid w:val="00931068"/>
    <w:rsid w:val="009311B3"/>
    <w:rsid w:val="00931415"/>
    <w:rsid w:val="009314BC"/>
    <w:rsid w:val="009315B5"/>
    <w:rsid w:val="0093169F"/>
    <w:rsid w:val="009316F8"/>
    <w:rsid w:val="009318B9"/>
    <w:rsid w:val="00931921"/>
    <w:rsid w:val="00931DC2"/>
    <w:rsid w:val="00931EB7"/>
    <w:rsid w:val="00932174"/>
    <w:rsid w:val="009321FB"/>
    <w:rsid w:val="00932949"/>
    <w:rsid w:val="00932999"/>
    <w:rsid w:val="00932E5D"/>
    <w:rsid w:val="00933C38"/>
    <w:rsid w:val="00933E6D"/>
    <w:rsid w:val="00933EE3"/>
    <w:rsid w:val="00934267"/>
    <w:rsid w:val="0093445A"/>
    <w:rsid w:val="0093453E"/>
    <w:rsid w:val="009348BF"/>
    <w:rsid w:val="00934CF8"/>
    <w:rsid w:val="009353F4"/>
    <w:rsid w:val="009355DF"/>
    <w:rsid w:val="009358A3"/>
    <w:rsid w:val="00935B92"/>
    <w:rsid w:val="009369F7"/>
    <w:rsid w:val="00937188"/>
    <w:rsid w:val="0093742C"/>
    <w:rsid w:val="009378DE"/>
    <w:rsid w:val="00937C42"/>
    <w:rsid w:val="00937D9F"/>
    <w:rsid w:val="00937EFC"/>
    <w:rsid w:val="009400E2"/>
    <w:rsid w:val="009415C7"/>
    <w:rsid w:val="00941BCA"/>
    <w:rsid w:val="00942403"/>
    <w:rsid w:val="00942A4B"/>
    <w:rsid w:val="00942ED5"/>
    <w:rsid w:val="00943084"/>
    <w:rsid w:val="009432AC"/>
    <w:rsid w:val="009438EA"/>
    <w:rsid w:val="009448AC"/>
    <w:rsid w:val="009449AF"/>
    <w:rsid w:val="009449F9"/>
    <w:rsid w:val="00944C1E"/>
    <w:rsid w:val="00944C88"/>
    <w:rsid w:val="00944ED2"/>
    <w:rsid w:val="0094577F"/>
    <w:rsid w:val="009459D1"/>
    <w:rsid w:val="00945A52"/>
    <w:rsid w:val="00945F19"/>
    <w:rsid w:val="00945FA3"/>
    <w:rsid w:val="00946222"/>
    <w:rsid w:val="0094640F"/>
    <w:rsid w:val="00947921"/>
    <w:rsid w:val="00947970"/>
    <w:rsid w:val="00950064"/>
    <w:rsid w:val="0095012B"/>
    <w:rsid w:val="0095022B"/>
    <w:rsid w:val="009502FA"/>
    <w:rsid w:val="009507AB"/>
    <w:rsid w:val="009508EE"/>
    <w:rsid w:val="00950924"/>
    <w:rsid w:val="009512B1"/>
    <w:rsid w:val="00951407"/>
    <w:rsid w:val="00951CEE"/>
    <w:rsid w:val="00952676"/>
    <w:rsid w:val="009526E1"/>
    <w:rsid w:val="009527F2"/>
    <w:rsid w:val="00952FD8"/>
    <w:rsid w:val="009535E2"/>
    <w:rsid w:val="00953B3A"/>
    <w:rsid w:val="00953E21"/>
    <w:rsid w:val="0095430A"/>
    <w:rsid w:val="00954464"/>
    <w:rsid w:val="00954D0F"/>
    <w:rsid w:val="00954EC2"/>
    <w:rsid w:val="0095588E"/>
    <w:rsid w:val="00955C8F"/>
    <w:rsid w:val="00955D69"/>
    <w:rsid w:val="00955DA5"/>
    <w:rsid w:val="00955E96"/>
    <w:rsid w:val="00955FA9"/>
    <w:rsid w:val="009560DC"/>
    <w:rsid w:val="00956249"/>
    <w:rsid w:val="00956291"/>
    <w:rsid w:val="009563B8"/>
    <w:rsid w:val="0095640F"/>
    <w:rsid w:val="00956608"/>
    <w:rsid w:val="0095679D"/>
    <w:rsid w:val="00956BD9"/>
    <w:rsid w:val="00956CEB"/>
    <w:rsid w:val="00956D6F"/>
    <w:rsid w:val="0095700A"/>
    <w:rsid w:val="00957079"/>
    <w:rsid w:val="00957166"/>
    <w:rsid w:val="00957304"/>
    <w:rsid w:val="00957353"/>
    <w:rsid w:val="0095762A"/>
    <w:rsid w:val="00957F42"/>
    <w:rsid w:val="00957FBC"/>
    <w:rsid w:val="00960723"/>
    <w:rsid w:val="00960924"/>
    <w:rsid w:val="00960A18"/>
    <w:rsid w:val="00960ADD"/>
    <w:rsid w:val="00960C33"/>
    <w:rsid w:val="009612C6"/>
    <w:rsid w:val="009614C4"/>
    <w:rsid w:val="0096169C"/>
    <w:rsid w:val="00961EAF"/>
    <w:rsid w:val="0096204E"/>
    <w:rsid w:val="00962496"/>
    <w:rsid w:val="0096275F"/>
    <w:rsid w:val="009629B7"/>
    <w:rsid w:val="00962BAC"/>
    <w:rsid w:val="00962EE7"/>
    <w:rsid w:val="00963698"/>
    <w:rsid w:val="0096408E"/>
    <w:rsid w:val="0096416C"/>
    <w:rsid w:val="00964466"/>
    <w:rsid w:val="00964769"/>
    <w:rsid w:val="009648EB"/>
    <w:rsid w:val="00964B72"/>
    <w:rsid w:val="00964C5E"/>
    <w:rsid w:val="00964CC0"/>
    <w:rsid w:val="00964E33"/>
    <w:rsid w:val="00965321"/>
    <w:rsid w:val="00965398"/>
    <w:rsid w:val="0096588F"/>
    <w:rsid w:val="00965C96"/>
    <w:rsid w:val="0096619A"/>
    <w:rsid w:val="009665F4"/>
    <w:rsid w:val="00966ADC"/>
    <w:rsid w:val="00967B64"/>
    <w:rsid w:val="00967CE7"/>
    <w:rsid w:val="00967F5A"/>
    <w:rsid w:val="00967F8A"/>
    <w:rsid w:val="00967FBB"/>
    <w:rsid w:val="00970069"/>
    <w:rsid w:val="0097061F"/>
    <w:rsid w:val="00970A60"/>
    <w:rsid w:val="00970C45"/>
    <w:rsid w:val="00970FDB"/>
    <w:rsid w:val="009713AD"/>
    <w:rsid w:val="00971D82"/>
    <w:rsid w:val="00971FE7"/>
    <w:rsid w:val="00972076"/>
    <w:rsid w:val="0097231A"/>
    <w:rsid w:val="00972394"/>
    <w:rsid w:val="009727DE"/>
    <w:rsid w:val="00972FB8"/>
    <w:rsid w:val="0097306F"/>
    <w:rsid w:val="0097336F"/>
    <w:rsid w:val="00973686"/>
    <w:rsid w:val="00973DAD"/>
    <w:rsid w:val="00974043"/>
    <w:rsid w:val="00974180"/>
    <w:rsid w:val="009745C8"/>
    <w:rsid w:val="00974C23"/>
    <w:rsid w:val="00974E7C"/>
    <w:rsid w:val="009751DE"/>
    <w:rsid w:val="0097562E"/>
    <w:rsid w:val="00975C29"/>
    <w:rsid w:val="00975CB2"/>
    <w:rsid w:val="00976013"/>
    <w:rsid w:val="0097723B"/>
    <w:rsid w:val="00977282"/>
    <w:rsid w:val="009774CE"/>
    <w:rsid w:val="00977939"/>
    <w:rsid w:val="00977BC4"/>
    <w:rsid w:val="009800C1"/>
    <w:rsid w:val="009801BD"/>
    <w:rsid w:val="009808B9"/>
    <w:rsid w:val="00980E57"/>
    <w:rsid w:val="009811C5"/>
    <w:rsid w:val="009811E9"/>
    <w:rsid w:val="00981531"/>
    <w:rsid w:val="0098167B"/>
    <w:rsid w:val="0098173A"/>
    <w:rsid w:val="00981E53"/>
    <w:rsid w:val="00981FC9"/>
    <w:rsid w:val="00981FF1"/>
    <w:rsid w:val="009820B1"/>
    <w:rsid w:val="00982331"/>
    <w:rsid w:val="00982626"/>
    <w:rsid w:val="009826E2"/>
    <w:rsid w:val="00982739"/>
    <w:rsid w:val="00982A22"/>
    <w:rsid w:val="00982AC5"/>
    <w:rsid w:val="009830AB"/>
    <w:rsid w:val="00983821"/>
    <w:rsid w:val="0098383F"/>
    <w:rsid w:val="00983846"/>
    <w:rsid w:val="00983871"/>
    <w:rsid w:val="009838EF"/>
    <w:rsid w:val="00983C60"/>
    <w:rsid w:val="00983D8B"/>
    <w:rsid w:val="00983FA4"/>
    <w:rsid w:val="00983FF2"/>
    <w:rsid w:val="00984047"/>
    <w:rsid w:val="009845AA"/>
    <w:rsid w:val="00984A92"/>
    <w:rsid w:val="00984F12"/>
    <w:rsid w:val="009852A8"/>
    <w:rsid w:val="0098535C"/>
    <w:rsid w:val="00985804"/>
    <w:rsid w:val="00985A54"/>
    <w:rsid w:val="00985C87"/>
    <w:rsid w:val="00985D30"/>
    <w:rsid w:val="00985E19"/>
    <w:rsid w:val="00985F25"/>
    <w:rsid w:val="00986B0C"/>
    <w:rsid w:val="00986D88"/>
    <w:rsid w:val="00986F83"/>
    <w:rsid w:val="00987144"/>
    <w:rsid w:val="00987498"/>
    <w:rsid w:val="0098789C"/>
    <w:rsid w:val="009900AE"/>
    <w:rsid w:val="009906AD"/>
    <w:rsid w:val="00990EF0"/>
    <w:rsid w:val="0099107B"/>
    <w:rsid w:val="009911B3"/>
    <w:rsid w:val="009911E1"/>
    <w:rsid w:val="009912F1"/>
    <w:rsid w:val="00991512"/>
    <w:rsid w:val="00991DD5"/>
    <w:rsid w:val="0099236C"/>
    <w:rsid w:val="009924C4"/>
    <w:rsid w:val="00992727"/>
    <w:rsid w:val="00992B58"/>
    <w:rsid w:val="00992D42"/>
    <w:rsid w:val="00992D94"/>
    <w:rsid w:val="00992EA9"/>
    <w:rsid w:val="00993192"/>
    <w:rsid w:val="0099359B"/>
    <w:rsid w:val="009936AF"/>
    <w:rsid w:val="00993877"/>
    <w:rsid w:val="00993CE2"/>
    <w:rsid w:val="00993E80"/>
    <w:rsid w:val="00993FAC"/>
    <w:rsid w:val="00993FCF"/>
    <w:rsid w:val="00994573"/>
    <w:rsid w:val="00994AF9"/>
    <w:rsid w:val="00994B62"/>
    <w:rsid w:val="00994E45"/>
    <w:rsid w:val="00994F77"/>
    <w:rsid w:val="00995B78"/>
    <w:rsid w:val="00995DE7"/>
    <w:rsid w:val="00995DFE"/>
    <w:rsid w:val="00995F1B"/>
    <w:rsid w:val="009960DC"/>
    <w:rsid w:val="00996177"/>
    <w:rsid w:val="00996250"/>
    <w:rsid w:val="009962B5"/>
    <w:rsid w:val="00996355"/>
    <w:rsid w:val="009963F9"/>
    <w:rsid w:val="00996695"/>
    <w:rsid w:val="00996AC9"/>
    <w:rsid w:val="00996AED"/>
    <w:rsid w:val="0099720D"/>
    <w:rsid w:val="009975E3"/>
    <w:rsid w:val="009977C3"/>
    <w:rsid w:val="0099799E"/>
    <w:rsid w:val="00997C0A"/>
    <w:rsid w:val="009A007E"/>
    <w:rsid w:val="009A0573"/>
    <w:rsid w:val="009A0C61"/>
    <w:rsid w:val="009A12A1"/>
    <w:rsid w:val="009A13DF"/>
    <w:rsid w:val="009A16DF"/>
    <w:rsid w:val="009A17A3"/>
    <w:rsid w:val="009A1AA5"/>
    <w:rsid w:val="009A1E11"/>
    <w:rsid w:val="009A22B3"/>
    <w:rsid w:val="009A22B8"/>
    <w:rsid w:val="009A2657"/>
    <w:rsid w:val="009A2CCC"/>
    <w:rsid w:val="009A3064"/>
    <w:rsid w:val="009A359B"/>
    <w:rsid w:val="009A3829"/>
    <w:rsid w:val="009A3D82"/>
    <w:rsid w:val="009A43A4"/>
    <w:rsid w:val="009A4995"/>
    <w:rsid w:val="009A4A1B"/>
    <w:rsid w:val="009A4B52"/>
    <w:rsid w:val="009A4F33"/>
    <w:rsid w:val="009A515A"/>
    <w:rsid w:val="009A5176"/>
    <w:rsid w:val="009A596F"/>
    <w:rsid w:val="009A62E6"/>
    <w:rsid w:val="009A6408"/>
    <w:rsid w:val="009A665A"/>
    <w:rsid w:val="009A6856"/>
    <w:rsid w:val="009A6A57"/>
    <w:rsid w:val="009A6CEB"/>
    <w:rsid w:val="009A6FAF"/>
    <w:rsid w:val="009A74E0"/>
    <w:rsid w:val="009A75C5"/>
    <w:rsid w:val="009A7633"/>
    <w:rsid w:val="009A779A"/>
    <w:rsid w:val="009A79C7"/>
    <w:rsid w:val="009A7B24"/>
    <w:rsid w:val="009A7DB6"/>
    <w:rsid w:val="009B0692"/>
    <w:rsid w:val="009B0D7D"/>
    <w:rsid w:val="009B1371"/>
    <w:rsid w:val="009B1B1B"/>
    <w:rsid w:val="009B1C5F"/>
    <w:rsid w:val="009B1FEF"/>
    <w:rsid w:val="009B2346"/>
    <w:rsid w:val="009B293A"/>
    <w:rsid w:val="009B30E6"/>
    <w:rsid w:val="009B32E2"/>
    <w:rsid w:val="009B397D"/>
    <w:rsid w:val="009B3B44"/>
    <w:rsid w:val="009B3CB7"/>
    <w:rsid w:val="009B40FC"/>
    <w:rsid w:val="009B4119"/>
    <w:rsid w:val="009B41CE"/>
    <w:rsid w:val="009B438F"/>
    <w:rsid w:val="009B4503"/>
    <w:rsid w:val="009B4712"/>
    <w:rsid w:val="009B4973"/>
    <w:rsid w:val="009B56B4"/>
    <w:rsid w:val="009B594A"/>
    <w:rsid w:val="009B5E78"/>
    <w:rsid w:val="009B5F15"/>
    <w:rsid w:val="009B60D0"/>
    <w:rsid w:val="009B65AD"/>
    <w:rsid w:val="009B6706"/>
    <w:rsid w:val="009B6B04"/>
    <w:rsid w:val="009B6B4F"/>
    <w:rsid w:val="009B6B8B"/>
    <w:rsid w:val="009B6DA5"/>
    <w:rsid w:val="009B6E04"/>
    <w:rsid w:val="009B7033"/>
    <w:rsid w:val="009B7280"/>
    <w:rsid w:val="009B758D"/>
    <w:rsid w:val="009B7662"/>
    <w:rsid w:val="009B78C5"/>
    <w:rsid w:val="009B7B11"/>
    <w:rsid w:val="009B7F67"/>
    <w:rsid w:val="009B7F6E"/>
    <w:rsid w:val="009C0000"/>
    <w:rsid w:val="009C054C"/>
    <w:rsid w:val="009C05AE"/>
    <w:rsid w:val="009C0A4A"/>
    <w:rsid w:val="009C0B6F"/>
    <w:rsid w:val="009C0E0C"/>
    <w:rsid w:val="009C10A4"/>
    <w:rsid w:val="009C1239"/>
    <w:rsid w:val="009C144B"/>
    <w:rsid w:val="009C1DA6"/>
    <w:rsid w:val="009C23E6"/>
    <w:rsid w:val="009C2C56"/>
    <w:rsid w:val="009C2E7D"/>
    <w:rsid w:val="009C30D0"/>
    <w:rsid w:val="009C3757"/>
    <w:rsid w:val="009C3834"/>
    <w:rsid w:val="009C3B13"/>
    <w:rsid w:val="009C3BF3"/>
    <w:rsid w:val="009C3C0C"/>
    <w:rsid w:val="009C4026"/>
    <w:rsid w:val="009C469B"/>
    <w:rsid w:val="009C4752"/>
    <w:rsid w:val="009C53DE"/>
    <w:rsid w:val="009C54B0"/>
    <w:rsid w:val="009C5B43"/>
    <w:rsid w:val="009C5C37"/>
    <w:rsid w:val="009C61AF"/>
    <w:rsid w:val="009C65EB"/>
    <w:rsid w:val="009C6751"/>
    <w:rsid w:val="009C68F1"/>
    <w:rsid w:val="009C6C12"/>
    <w:rsid w:val="009C770B"/>
    <w:rsid w:val="009C778D"/>
    <w:rsid w:val="009C78BD"/>
    <w:rsid w:val="009C791D"/>
    <w:rsid w:val="009C7B84"/>
    <w:rsid w:val="009C7EE4"/>
    <w:rsid w:val="009D06C9"/>
    <w:rsid w:val="009D129B"/>
    <w:rsid w:val="009D13FA"/>
    <w:rsid w:val="009D1468"/>
    <w:rsid w:val="009D1828"/>
    <w:rsid w:val="009D20F1"/>
    <w:rsid w:val="009D212E"/>
    <w:rsid w:val="009D232D"/>
    <w:rsid w:val="009D23D3"/>
    <w:rsid w:val="009D2472"/>
    <w:rsid w:val="009D2616"/>
    <w:rsid w:val="009D2A49"/>
    <w:rsid w:val="009D2A6B"/>
    <w:rsid w:val="009D35C0"/>
    <w:rsid w:val="009D3B01"/>
    <w:rsid w:val="009D3FA2"/>
    <w:rsid w:val="009D40C9"/>
    <w:rsid w:val="009D4822"/>
    <w:rsid w:val="009D4C9D"/>
    <w:rsid w:val="009D4D5F"/>
    <w:rsid w:val="009D4F59"/>
    <w:rsid w:val="009D50BE"/>
    <w:rsid w:val="009D50E8"/>
    <w:rsid w:val="009D51B3"/>
    <w:rsid w:val="009D5B57"/>
    <w:rsid w:val="009D5F74"/>
    <w:rsid w:val="009D61FD"/>
    <w:rsid w:val="009D6362"/>
    <w:rsid w:val="009D69D5"/>
    <w:rsid w:val="009D74AE"/>
    <w:rsid w:val="009D7867"/>
    <w:rsid w:val="009D78D0"/>
    <w:rsid w:val="009D79F7"/>
    <w:rsid w:val="009D7C14"/>
    <w:rsid w:val="009D7EB1"/>
    <w:rsid w:val="009E007F"/>
    <w:rsid w:val="009E0816"/>
    <w:rsid w:val="009E0BDF"/>
    <w:rsid w:val="009E0C8B"/>
    <w:rsid w:val="009E12C4"/>
    <w:rsid w:val="009E13F9"/>
    <w:rsid w:val="009E204F"/>
    <w:rsid w:val="009E240B"/>
    <w:rsid w:val="009E2A6B"/>
    <w:rsid w:val="009E2C49"/>
    <w:rsid w:val="009E2CD0"/>
    <w:rsid w:val="009E2EFE"/>
    <w:rsid w:val="009E32C4"/>
    <w:rsid w:val="009E331B"/>
    <w:rsid w:val="009E337C"/>
    <w:rsid w:val="009E36E7"/>
    <w:rsid w:val="009E3C1E"/>
    <w:rsid w:val="009E46A7"/>
    <w:rsid w:val="009E4F24"/>
    <w:rsid w:val="009E50F0"/>
    <w:rsid w:val="009E57A9"/>
    <w:rsid w:val="009E5859"/>
    <w:rsid w:val="009E5C20"/>
    <w:rsid w:val="009E61F0"/>
    <w:rsid w:val="009E6218"/>
    <w:rsid w:val="009E628A"/>
    <w:rsid w:val="009E659A"/>
    <w:rsid w:val="009E6658"/>
    <w:rsid w:val="009E6735"/>
    <w:rsid w:val="009E6BC8"/>
    <w:rsid w:val="009E75D5"/>
    <w:rsid w:val="009E779F"/>
    <w:rsid w:val="009E783B"/>
    <w:rsid w:val="009E7922"/>
    <w:rsid w:val="009E7A79"/>
    <w:rsid w:val="009E7B6A"/>
    <w:rsid w:val="009F01E1"/>
    <w:rsid w:val="009F0B14"/>
    <w:rsid w:val="009F108E"/>
    <w:rsid w:val="009F170D"/>
    <w:rsid w:val="009F17BF"/>
    <w:rsid w:val="009F1C16"/>
    <w:rsid w:val="009F1F1A"/>
    <w:rsid w:val="009F211E"/>
    <w:rsid w:val="009F2579"/>
    <w:rsid w:val="009F2944"/>
    <w:rsid w:val="009F29D2"/>
    <w:rsid w:val="009F2F62"/>
    <w:rsid w:val="009F373E"/>
    <w:rsid w:val="009F37A3"/>
    <w:rsid w:val="009F3924"/>
    <w:rsid w:val="009F3B97"/>
    <w:rsid w:val="009F4B12"/>
    <w:rsid w:val="009F4BFD"/>
    <w:rsid w:val="009F50E7"/>
    <w:rsid w:val="009F592D"/>
    <w:rsid w:val="009F599D"/>
    <w:rsid w:val="009F59B5"/>
    <w:rsid w:val="009F5BED"/>
    <w:rsid w:val="009F5C27"/>
    <w:rsid w:val="009F5C72"/>
    <w:rsid w:val="009F611C"/>
    <w:rsid w:val="009F61D5"/>
    <w:rsid w:val="009F62F7"/>
    <w:rsid w:val="009F631A"/>
    <w:rsid w:val="009F65C8"/>
    <w:rsid w:val="009F689E"/>
    <w:rsid w:val="009F7485"/>
    <w:rsid w:val="009F770A"/>
    <w:rsid w:val="009F785B"/>
    <w:rsid w:val="009F787B"/>
    <w:rsid w:val="009F7B1C"/>
    <w:rsid w:val="009F7C4F"/>
    <w:rsid w:val="009F7EDC"/>
    <w:rsid w:val="00A000AE"/>
    <w:rsid w:val="00A002FE"/>
    <w:rsid w:val="00A009C7"/>
    <w:rsid w:val="00A00A70"/>
    <w:rsid w:val="00A00D38"/>
    <w:rsid w:val="00A00DB4"/>
    <w:rsid w:val="00A00DE1"/>
    <w:rsid w:val="00A0177E"/>
    <w:rsid w:val="00A01855"/>
    <w:rsid w:val="00A01A2E"/>
    <w:rsid w:val="00A01D1B"/>
    <w:rsid w:val="00A0229E"/>
    <w:rsid w:val="00A0237C"/>
    <w:rsid w:val="00A023EB"/>
    <w:rsid w:val="00A02A74"/>
    <w:rsid w:val="00A02CF5"/>
    <w:rsid w:val="00A02F53"/>
    <w:rsid w:val="00A03256"/>
    <w:rsid w:val="00A03B71"/>
    <w:rsid w:val="00A03F8A"/>
    <w:rsid w:val="00A04094"/>
    <w:rsid w:val="00A04784"/>
    <w:rsid w:val="00A04A25"/>
    <w:rsid w:val="00A04B30"/>
    <w:rsid w:val="00A04B60"/>
    <w:rsid w:val="00A050FC"/>
    <w:rsid w:val="00A0534F"/>
    <w:rsid w:val="00A054EC"/>
    <w:rsid w:val="00A05667"/>
    <w:rsid w:val="00A0663B"/>
    <w:rsid w:val="00A06D62"/>
    <w:rsid w:val="00A07182"/>
    <w:rsid w:val="00A07628"/>
    <w:rsid w:val="00A07673"/>
    <w:rsid w:val="00A07688"/>
    <w:rsid w:val="00A07925"/>
    <w:rsid w:val="00A07E6E"/>
    <w:rsid w:val="00A10298"/>
    <w:rsid w:val="00A10565"/>
    <w:rsid w:val="00A10627"/>
    <w:rsid w:val="00A10849"/>
    <w:rsid w:val="00A108BA"/>
    <w:rsid w:val="00A10A0F"/>
    <w:rsid w:val="00A10C91"/>
    <w:rsid w:val="00A10E6B"/>
    <w:rsid w:val="00A10F2E"/>
    <w:rsid w:val="00A113AD"/>
    <w:rsid w:val="00A1187D"/>
    <w:rsid w:val="00A11A24"/>
    <w:rsid w:val="00A11AF8"/>
    <w:rsid w:val="00A12305"/>
    <w:rsid w:val="00A1252F"/>
    <w:rsid w:val="00A13355"/>
    <w:rsid w:val="00A1380A"/>
    <w:rsid w:val="00A139FF"/>
    <w:rsid w:val="00A1467C"/>
    <w:rsid w:val="00A1471F"/>
    <w:rsid w:val="00A14785"/>
    <w:rsid w:val="00A14794"/>
    <w:rsid w:val="00A1494B"/>
    <w:rsid w:val="00A14E13"/>
    <w:rsid w:val="00A14E79"/>
    <w:rsid w:val="00A1536D"/>
    <w:rsid w:val="00A157E2"/>
    <w:rsid w:val="00A15936"/>
    <w:rsid w:val="00A15EC4"/>
    <w:rsid w:val="00A1704C"/>
    <w:rsid w:val="00A176A7"/>
    <w:rsid w:val="00A17704"/>
    <w:rsid w:val="00A1792B"/>
    <w:rsid w:val="00A202FA"/>
    <w:rsid w:val="00A20C3F"/>
    <w:rsid w:val="00A20F8D"/>
    <w:rsid w:val="00A21336"/>
    <w:rsid w:val="00A21722"/>
    <w:rsid w:val="00A21784"/>
    <w:rsid w:val="00A218ED"/>
    <w:rsid w:val="00A21AD6"/>
    <w:rsid w:val="00A21BC1"/>
    <w:rsid w:val="00A21E19"/>
    <w:rsid w:val="00A2210B"/>
    <w:rsid w:val="00A227E8"/>
    <w:rsid w:val="00A22DAF"/>
    <w:rsid w:val="00A238B0"/>
    <w:rsid w:val="00A238D9"/>
    <w:rsid w:val="00A23B23"/>
    <w:rsid w:val="00A23D67"/>
    <w:rsid w:val="00A23F7F"/>
    <w:rsid w:val="00A23FBB"/>
    <w:rsid w:val="00A2407C"/>
    <w:rsid w:val="00A2420B"/>
    <w:rsid w:val="00A24347"/>
    <w:rsid w:val="00A24429"/>
    <w:rsid w:val="00A2456A"/>
    <w:rsid w:val="00A24759"/>
    <w:rsid w:val="00A24AFD"/>
    <w:rsid w:val="00A24B09"/>
    <w:rsid w:val="00A2522F"/>
    <w:rsid w:val="00A2549A"/>
    <w:rsid w:val="00A254C8"/>
    <w:rsid w:val="00A257D6"/>
    <w:rsid w:val="00A258C3"/>
    <w:rsid w:val="00A25A57"/>
    <w:rsid w:val="00A25F95"/>
    <w:rsid w:val="00A260E3"/>
    <w:rsid w:val="00A26114"/>
    <w:rsid w:val="00A2665F"/>
    <w:rsid w:val="00A266A5"/>
    <w:rsid w:val="00A26ED6"/>
    <w:rsid w:val="00A27368"/>
    <w:rsid w:val="00A2756C"/>
    <w:rsid w:val="00A2777D"/>
    <w:rsid w:val="00A27E1E"/>
    <w:rsid w:val="00A301D5"/>
    <w:rsid w:val="00A30255"/>
    <w:rsid w:val="00A30259"/>
    <w:rsid w:val="00A302BA"/>
    <w:rsid w:val="00A30495"/>
    <w:rsid w:val="00A3057E"/>
    <w:rsid w:val="00A30E9B"/>
    <w:rsid w:val="00A30F8F"/>
    <w:rsid w:val="00A31009"/>
    <w:rsid w:val="00A3127D"/>
    <w:rsid w:val="00A31432"/>
    <w:rsid w:val="00A3234A"/>
    <w:rsid w:val="00A32428"/>
    <w:rsid w:val="00A325D1"/>
    <w:rsid w:val="00A3291C"/>
    <w:rsid w:val="00A32E07"/>
    <w:rsid w:val="00A32F08"/>
    <w:rsid w:val="00A32F7D"/>
    <w:rsid w:val="00A330E1"/>
    <w:rsid w:val="00A332EB"/>
    <w:rsid w:val="00A33AA3"/>
    <w:rsid w:val="00A34A9C"/>
    <w:rsid w:val="00A34DDB"/>
    <w:rsid w:val="00A34E3B"/>
    <w:rsid w:val="00A34E73"/>
    <w:rsid w:val="00A34FB5"/>
    <w:rsid w:val="00A35075"/>
    <w:rsid w:val="00A35AB1"/>
    <w:rsid w:val="00A35FB6"/>
    <w:rsid w:val="00A35FB8"/>
    <w:rsid w:val="00A36871"/>
    <w:rsid w:val="00A36C31"/>
    <w:rsid w:val="00A37307"/>
    <w:rsid w:val="00A3733B"/>
    <w:rsid w:val="00A3743A"/>
    <w:rsid w:val="00A378C7"/>
    <w:rsid w:val="00A40222"/>
    <w:rsid w:val="00A40387"/>
    <w:rsid w:val="00A40884"/>
    <w:rsid w:val="00A40C35"/>
    <w:rsid w:val="00A4110F"/>
    <w:rsid w:val="00A413C2"/>
    <w:rsid w:val="00A41A65"/>
    <w:rsid w:val="00A41C60"/>
    <w:rsid w:val="00A41E9D"/>
    <w:rsid w:val="00A426B3"/>
    <w:rsid w:val="00A430B3"/>
    <w:rsid w:val="00A43D78"/>
    <w:rsid w:val="00A43FF1"/>
    <w:rsid w:val="00A4439B"/>
    <w:rsid w:val="00A44409"/>
    <w:rsid w:val="00A4454E"/>
    <w:rsid w:val="00A445EF"/>
    <w:rsid w:val="00A44626"/>
    <w:rsid w:val="00A449C8"/>
    <w:rsid w:val="00A44E57"/>
    <w:rsid w:val="00A44F03"/>
    <w:rsid w:val="00A45198"/>
    <w:rsid w:val="00A45450"/>
    <w:rsid w:val="00A45593"/>
    <w:rsid w:val="00A45643"/>
    <w:rsid w:val="00A45B46"/>
    <w:rsid w:val="00A45EDC"/>
    <w:rsid w:val="00A461CA"/>
    <w:rsid w:val="00A46248"/>
    <w:rsid w:val="00A46326"/>
    <w:rsid w:val="00A4673D"/>
    <w:rsid w:val="00A46B01"/>
    <w:rsid w:val="00A46E00"/>
    <w:rsid w:val="00A46E31"/>
    <w:rsid w:val="00A47064"/>
    <w:rsid w:val="00A4713E"/>
    <w:rsid w:val="00A47B1A"/>
    <w:rsid w:val="00A50059"/>
    <w:rsid w:val="00A50118"/>
    <w:rsid w:val="00A502EA"/>
    <w:rsid w:val="00A509BA"/>
    <w:rsid w:val="00A50F6E"/>
    <w:rsid w:val="00A51153"/>
    <w:rsid w:val="00A5174A"/>
    <w:rsid w:val="00A51880"/>
    <w:rsid w:val="00A51B06"/>
    <w:rsid w:val="00A51C0D"/>
    <w:rsid w:val="00A51D38"/>
    <w:rsid w:val="00A52169"/>
    <w:rsid w:val="00A5234A"/>
    <w:rsid w:val="00A529FC"/>
    <w:rsid w:val="00A52B52"/>
    <w:rsid w:val="00A52DC1"/>
    <w:rsid w:val="00A53215"/>
    <w:rsid w:val="00A5324A"/>
    <w:rsid w:val="00A5331B"/>
    <w:rsid w:val="00A5359E"/>
    <w:rsid w:val="00A53810"/>
    <w:rsid w:val="00A53BD8"/>
    <w:rsid w:val="00A53E13"/>
    <w:rsid w:val="00A5438A"/>
    <w:rsid w:val="00A54533"/>
    <w:rsid w:val="00A5471D"/>
    <w:rsid w:val="00A54B80"/>
    <w:rsid w:val="00A5507F"/>
    <w:rsid w:val="00A550AE"/>
    <w:rsid w:val="00A555F5"/>
    <w:rsid w:val="00A55E43"/>
    <w:rsid w:val="00A568DB"/>
    <w:rsid w:val="00A56C49"/>
    <w:rsid w:val="00A56ED1"/>
    <w:rsid w:val="00A576FE"/>
    <w:rsid w:val="00A57F6D"/>
    <w:rsid w:val="00A60075"/>
    <w:rsid w:val="00A60108"/>
    <w:rsid w:val="00A6012B"/>
    <w:rsid w:val="00A604C7"/>
    <w:rsid w:val="00A60555"/>
    <w:rsid w:val="00A60CE4"/>
    <w:rsid w:val="00A60E4B"/>
    <w:rsid w:val="00A616D3"/>
    <w:rsid w:val="00A6170A"/>
    <w:rsid w:val="00A61B93"/>
    <w:rsid w:val="00A62C5E"/>
    <w:rsid w:val="00A62CE7"/>
    <w:rsid w:val="00A62EE3"/>
    <w:rsid w:val="00A63173"/>
    <w:rsid w:val="00A631E7"/>
    <w:rsid w:val="00A63408"/>
    <w:rsid w:val="00A63764"/>
    <w:rsid w:val="00A64339"/>
    <w:rsid w:val="00A645A6"/>
    <w:rsid w:val="00A64803"/>
    <w:rsid w:val="00A649D7"/>
    <w:rsid w:val="00A64B3C"/>
    <w:rsid w:val="00A65088"/>
    <w:rsid w:val="00A65231"/>
    <w:rsid w:val="00A65439"/>
    <w:rsid w:val="00A65614"/>
    <w:rsid w:val="00A657B5"/>
    <w:rsid w:val="00A65A4A"/>
    <w:rsid w:val="00A6619A"/>
    <w:rsid w:val="00A66561"/>
    <w:rsid w:val="00A665A0"/>
    <w:rsid w:val="00A666C3"/>
    <w:rsid w:val="00A6681A"/>
    <w:rsid w:val="00A66F7A"/>
    <w:rsid w:val="00A6754B"/>
    <w:rsid w:val="00A675D4"/>
    <w:rsid w:val="00A67666"/>
    <w:rsid w:val="00A676F8"/>
    <w:rsid w:val="00A67EA6"/>
    <w:rsid w:val="00A7068F"/>
    <w:rsid w:val="00A706E4"/>
    <w:rsid w:val="00A70CC1"/>
    <w:rsid w:val="00A70DE7"/>
    <w:rsid w:val="00A714B5"/>
    <w:rsid w:val="00A714E8"/>
    <w:rsid w:val="00A716D0"/>
    <w:rsid w:val="00A719C9"/>
    <w:rsid w:val="00A71BBF"/>
    <w:rsid w:val="00A71CA4"/>
    <w:rsid w:val="00A7219C"/>
    <w:rsid w:val="00A7296C"/>
    <w:rsid w:val="00A72A13"/>
    <w:rsid w:val="00A72B3F"/>
    <w:rsid w:val="00A72BEE"/>
    <w:rsid w:val="00A72C54"/>
    <w:rsid w:val="00A73BFA"/>
    <w:rsid w:val="00A742F7"/>
    <w:rsid w:val="00A74698"/>
    <w:rsid w:val="00A75AF7"/>
    <w:rsid w:val="00A75BD0"/>
    <w:rsid w:val="00A761DC"/>
    <w:rsid w:val="00A76422"/>
    <w:rsid w:val="00A76A8C"/>
    <w:rsid w:val="00A76B37"/>
    <w:rsid w:val="00A76D20"/>
    <w:rsid w:val="00A76DAF"/>
    <w:rsid w:val="00A76F54"/>
    <w:rsid w:val="00A77047"/>
    <w:rsid w:val="00A77272"/>
    <w:rsid w:val="00A77446"/>
    <w:rsid w:val="00A77625"/>
    <w:rsid w:val="00A77FA8"/>
    <w:rsid w:val="00A8000F"/>
    <w:rsid w:val="00A801CD"/>
    <w:rsid w:val="00A802BE"/>
    <w:rsid w:val="00A802E7"/>
    <w:rsid w:val="00A804F6"/>
    <w:rsid w:val="00A80573"/>
    <w:rsid w:val="00A8064D"/>
    <w:rsid w:val="00A80C6C"/>
    <w:rsid w:val="00A80D38"/>
    <w:rsid w:val="00A80D9E"/>
    <w:rsid w:val="00A81119"/>
    <w:rsid w:val="00A817F4"/>
    <w:rsid w:val="00A8183C"/>
    <w:rsid w:val="00A81A67"/>
    <w:rsid w:val="00A82008"/>
    <w:rsid w:val="00A82215"/>
    <w:rsid w:val="00A82362"/>
    <w:rsid w:val="00A82543"/>
    <w:rsid w:val="00A82718"/>
    <w:rsid w:val="00A82792"/>
    <w:rsid w:val="00A8279A"/>
    <w:rsid w:val="00A82BBE"/>
    <w:rsid w:val="00A8317D"/>
    <w:rsid w:val="00A83503"/>
    <w:rsid w:val="00A8371D"/>
    <w:rsid w:val="00A837F8"/>
    <w:rsid w:val="00A83F0E"/>
    <w:rsid w:val="00A8489D"/>
    <w:rsid w:val="00A848C4"/>
    <w:rsid w:val="00A8496C"/>
    <w:rsid w:val="00A84AA4"/>
    <w:rsid w:val="00A84B32"/>
    <w:rsid w:val="00A85166"/>
    <w:rsid w:val="00A8540D"/>
    <w:rsid w:val="00A854B8"/>
    <w:rsid w:val="00A858BC"/>
    <w:rsid w:val="00A85A8C"/>
    <w:rsid w:val="00A85B44"/>
    <w:rsid w:val="00A85ED0"/>
    <w:rsid w:val="00A85FB9"/>
    <w:rsid w:val="00A8618D"/>
    <w:rsid w:val="00A8645F"/>
    <w:rsid w:val="00A8671A"/>
    <w:rsid w:val="00A8694E"/>
    <w:rsid w:val="00A86E96"/>
    <w:rsid w:val="00A8704D"/>
    <w:rsid w:val="00A87254"/>
    <w:rsid w:val="00A87264"/>
    <w:rsid w:val="00A87312"/>
    <w:rsid w:val="00A876FD"/>
    <w:rsid w:val="00A87794"/>
    <w:rsid w:val="00A87D38"/>
    <w:rsid w:val="00A90372"/>
    <w:rsid w:val="00A90C47"/>
    <w:rsid w:val="00A90D96"/>
    <w:rsid w:val="00A9113F"/>
    <w:rsid w:val="00A911F7"/>
    <w:rsid w:val="00A912E3"/>
    <w:rsid w:val="00A9166A"/>
    <w:rsid w:val="00A92051"/>
    <w:rsid w:val="00A92422"/>
    <w:rsid w:val="00A92533"/>
    <w:rsid w:val="00A9264E"/>
    <w:rsid w:val="00A9275E"/>
    <w:rsid w:val="00A92AA8"/>
    <w:rsid w:val="00A92D4D"/>
    <w:rsid w:val="00A93832"/>
    <w:rsid w:val="00A94155"/>
    <w:rsid w:val="00A943CD"/>
    <w:rsid w:val="00A9479A"/>
    <w:rsid w:val="00A94F84"/>
    <w:rsid w:val="00A95157"/>
    <w:rsid w:val="00A951EC"/>
    <w:rsid w:val="00A952A3"/>
    <w:rsid w:val="00A9569C"/>
    <w:rsid w:val="00A95B0F"/>
    <w:rsid w:val="00A95C6E"/>
    <w:rsid w:val="00A96192"/>
    <w:rsid w:val="00A96DA5"/>
    <w:rsid w:val="00A970C5"/>
    <w:rsid w:val="00A978B5"/>
    <w:rsid w:val="00A97E3B"/>
    <w:rsid w:val="00AA06CF"/>
    <w:rsid w:val="00AA0707"/>
    <w:rsid w:val="00AA0DE2"/>
    <w:rsid w:val="00AA0F08"/>
    <w:rsid w:val="00AA0FD2"/>
    <w:rsid w:val="00AA11F7"/>
    <w:rsid w:val="00AA192B"/>
    <w:rsid w:val="00AA19B2"/>
    <w:rsid w:val="00AA1F28"/>
    <w:rsid w:val="00AA2476"/>
    <w:rsid w:val="00AA286F"/>
    <w:rsid w:val="00AA29A3"/>
    <w:rsid w:val="00AA2DD2"/>
    <w:rsid w:val="00AA2DEE"/>
    <w:rsid w:val="00AA2ECF"/>
    <w:rsid w:val="00AA321E"/>
    <w:rsid w:val="00AA3720"/>
    <w:rsid w:val="00AA3C25"/>
    <w:rsid w:val="00AA4ACE"/>
    <w:rsid w:val="00AA4E01"/>
    <w:rsid w:val="00AA546D"/>
    <w:rsid w:val="00AA59B3"/>
    <w:rsid w:val="00AA5EF1"/>
    <w:rsid w:val="00AA6AA5"/>
    <w:rsid w:val="00AA6CCB"/>
    <w:rsid w:val="00AA6F9A"/>
    <w:rsid w:val="00AA71AB"/>
    <w:rsid w:val="00AA71FD"/>
    <w:rsid w:val="00AA720E"/>
    <w:rsid w:val="00AA763F"/>
    <w:rsid w:val="00AA770E"/>
    <w:rsid w:val="00AA77BE"/>
    <w:rsid w:val="00AA78A1"/>
    <w:rsid w:val="00AA7DB7"/>
    <w:rsid w:val="00AB0150"/>
    <w:rsid w:val="00AB0239"/>
    <w:rsid w:val="00AB0EB7"/>
    <w:rsid w:val="00AB151A"/>
    <w:rsid w:val="00AB19E4"/>
    <w:rsid w:val="00AB1CA4"/>
    <w:rsid w:val="00AB1E03"/>
    <w:rsid w:val="00AB1F4E"/>
    <w:rsid w:val="00AB20AA"/>
    <w:rsid w:val="00AB2152"/>
    <w:rsid w:val="00AB27B5"/>
    <w:rsid w:val="00AB2A10"/>
    <w:rsid w:val="00AB348B"/>
    <w:rsid w:val="00AB35B6"/>
    <w:rsid w:val="00AB3A5C"/>
    <w:rsid w:val="00AB3B33"/>
    <w:rsid w:val="00AB3DCC"/>
    <w:rsid w:val="00AB4115"/>
    <w:rsid w:val="00AB42B9"/>
    <w:rsid w:val="00AB432B"/>
    <w:rsid w:val="00AB4DB3"/>
    <w:rsid w:val="00AB4E00"/>
    <w:rsid w:val="00AB5150"/>
    <w:rsid w:val="00AB5226"/>
    <w:rsid w:val="00AB5496"/>
    <w:rsid w:val="00AB54D1"/>
    <w:rsid w:val="00AB5AD2"/>
    <w:rsid w:val="00AB5D4F"/>
    <w:rsid w:val="00AB5E68"/>
    <w:rsid w:val="00AB6195"/>
    <w:rsid w:val="00AB68EB"/>
    <w:rsid w:val="00AB6A3E"/>
    <w:rsid w:val="00AB7059"/>
    <w:rsid w:val="00AB74A9"/>
    <w:rsid w:val="00AB7776"/>
    <w:rsid w:val="00AB7932"/>
    <w:rsid w:val="00AB7FC7"/>
    <w:rsid w:val="00AC001B"/>
    <w:rsid w:val="00AC03A4"/>
    <w:rsid w:val="00AC03C5"/>
    <w:rsid w:val="00AC0511"/>
    <w:rsid w:val="00AC0A7B"/>
    <w:rsid w:val="00AC0B49"/>
    <w:rsid w:val="00AC0B5C"/>
    <w:rsid w:val="00AC115A"/>
    <w:rsid w:val="00AC13A8"/>
    <w:rsid w:val="00AC152A"/>
    <w:rsid w:val="00AC152E"/>
    <w:rsid w:val="00AC1A1F"/>
    <w:rsid w:val="00AC1AD6"/>
    <w:rsid w:val="00AC1D90"/>
    <w:rsid w:val="00AC2155"/>
    <w:rsid w:val="00AC224E"/>
    <w:rsid w:val="00AC2628"/>
    <w:rsid w:val="00AC2827"/>
    <w:rsid w:val="00AC2D42"/>
    <w:rsid w:val="00AC2FB1"/>
    <w:rsid w:val="00AC4252"/>
    <w:rsid w:val="00AC46C0"/>
    <w:rsid w:val="00AC4734"/>
    <w:rsid w:val="00AC525C"/>
    <w:rsid w:val="00AC5342"/>
    <w:rsid w:val="00AC5AD3"/>
    <w:rsid w:val="00AC5ADF"/>
    <w:rsid w:val="00AC5CF7"/>
    <w:rsid w:val="00AC5D41"/>
    <w:rsid w:val="00AC6048"/>
    <w:rsid w:val="00AC67C2"/>
    <w:rsid w:val="00AC69F5"/>
    <w:rsid w:val="00AC6DA6"/>
    <w:rsid w:val="00AC7124"/>
    <w:rsid w:val="00AC727F"/>
    <w:rsid w:val="00AC74BC"/>
    <w:rsid w:val="00AC772A"/>
    <w:rsid w:val="00AC7D80"/>
    <w:rsid w:val="00AC7E5B"/>
    <w:rsid w:val="00AD0061"/>
    <w:rsid w:val="00AD00A8"/>
    <w:rsid w:val="00AD01AB"/>
    <w:rsid w:val="00AD052A"/>
    <w:rsid w:val="00AD05CA"/>
    <w:rsid w:val="00AD0A34"/>
    <w:rsid w:val="00AD1336"/>
    <w:rsid w:val="00AD1487"/>
    <w:rsid w:val="00AD149C"/>
    <w:rsid w:val="00AD1600"/>
    <w:rsid w:val="00AD1A85"/>
    <w:rsid w:val="00AD1EE4"/>
    <w:rsid w:val="00AD2473"/>
    <w:rsid w:val="00AD2A01"/>
    <w:rsid w:val="00AD2D97"/>
    <w:rsid w:val="00AD2E7B"/>
    <w:rsid w:val="00AD3791"/>
    <w:rsid w:val="00AD3862"/>
    <w:rsid w:val="00AD396F"/>
    <w:rsid w:val="00AD3E50"/>
    <w:rsid w:val="00AD4222"/>
    <w:rsid w:val="00AD4296"/>
    <w:rsid w:val="00AD43F7"/>
    <w:rsid w:val="00AD46E0"/>
    <w:rsid w:val="00AD4B5E"/>
    <w:rsid w:val="00AD51A1"/>
    <w:rsid w:val="00AD56FE"/>
    <w:rsid w:val="00AD5781"/>
    <w:rsid w:val="00AD578D"/>
    <w:rsid w:val="00AD5E5D"/>
    <w:rsid w:val="00AD5FEF"/>
    <w:rsid w:val="00AD6019"/>
    <w:rsid w:val="00AD61B5"/>
    <w:rsid w:val="00AD63A6"/>
    <w:rsid w:val="00AD68B7"/>
    <w:rsid w:val="00AD6DC7"/>
    <w:rsid w:val="00AD6FC2"/>
    <w:rsid w:val="00AD716F"/>
    <w:rsid w:val="00AD734B"/>
    <w:rsid w:val="00AD7488"/>
    <w:rsid w:val="00AD7A8E"/>
    <w:rsid w:val="00AE0430"/>
    <w:rsid w:val="00AE062B"/>
    <w:rsid w:val="00AE0790"/>
    <w:rsid w:val="00AE0B80"/>
    <w:rsid w:val="00AE0C02"/>
    <w:rsid w:val="00AE0D8E"/>
    <w:rsid w:val="00AE1427"/>
    <w:rsid w:val="00AE17E0"/>
    <w:rsid w:val="00AE19AC"/>
    <w:rsid w:val="00AE1A3C"/>
    <w:rsid w:val="00AE20E9"/>
    <w:rsid w:val="00AE24F4"/>
    <w:rsid w:val="00AE265F"/>
    <w:rsid w:val="00AE269B"/>
    <w:rsid w:val="00AE272D"/>
    <w:rsid w:val="00AE399F"/>
    <w:rsid w:val="00AE3AF6"/>
    <w:rsid w:val="00AE3E63"/>
    <w:rsid w:val="00AE3E96"/>
    <w:rsid w:val="00AE4022"/>
    <w:rsid w:val="00AE4445"/>
    <w:rsid w:val="00AE44F4"/>
    <w:rsid w:val="00AE46CE"/>
    <w:rsid w:val="00AE4F85"/>
    <w:rsid w:val="00AE5316"/>
    <w:rsid w:val="00AE599A"/>
    <w:rsid w:val="00AE5A82"/>
    <w:rsid w:val="00AE5B68"/>
    <w:rsid w:val="00AE5C4E"/>
    <w:rsid w:val="00AE5E6B"/>
    <w:rsid w:val="00AE6096"/>
    <w:rsid w:val="00AE61A8"/>
    <w:rsid w:val="00AE66FC"/>
    <w:rsid w:val="00AE69C4"/>
    <w:rsid w:val="00AE6A2F"/>
    <w:rsid w:val="00AE6D41"/>
    <w:rsid w:val="00AE6D86"/>
    <w:rsid w:val="00AE7235"/>
    <w:rsid w:val="00AE7429"/>
    <w:rsid w:val="00AE78D5"/>
    <w:rsid w:val="00AE78E5"/>
    <w:rsid w:val="00AE7E91"/>
    <w:rsid w:val="00AE7F2D"/>
    <w:rsid w:val="00AF0122"/>
    <w:rsid w:val="00AF01AE"/>
    <w:rsid w:val="00AF02B8"/>
    <w:rsid w:val="00AF02C6"/>
    <w:rsid w:val="00AF062D"/>
    <w:rsid w:val="00AF0DA6"/>
    <w:rsid w:val="00AF0FA4"/>
    <w:rsid w:val="00AF0FEA"/>
    <w:rsid w:val="00AF175B"/>
    <w:rsid w:val="00AF1AFD"/>
    <w:rsid w:val="00AF1BE0"/>
    <w:rsid w:val="00AF1C09"/>
    <w:rsid w:val="00AF232B"/>
    <w:rsid w:val="00AF2766"/>
    <w:rsid w:val="00AF2892"/>
    <w:rsid w:val="00AF297F"/>
    <w:rsid w:val="00AF2A89"/>
    <w:rsid w:val="00AF3019"/>
    <w:rsid w:val="00AF30CA"/>
    <w:rsid w:val="00AF3119"/>
    <w:rsid w:val="00AF3543"/>
    <w:rsid w:val="00AF3FE3"/>
    <w:rsid w:val="00AF4016"/>
    <w:rsid w:val="00AF40FE"/>
    <w:rsid w:val="00AF411A"/>
    <w:rsid w:val="00AF44FD"/>
    <w:rsid w:val="00AF45AF"/>
    <w:rsid w:val="00AF46D3"/>
    <w:rsid w:val="00AF4ABC"/>
    <w:rsid w:val="00AF4CB2"/>
    <w:rsid w:val="00AF4CDE"/>
    <w:rsid w:val="00AF509F"/>
    <w:rsid w:val="00AF50B4"/>
    <w:rsid w:val="00AF5454"/>
    <w:rsid w:val="00AF572A"/>
    <w:rsid w:val="00AF5795"/>
    <w:rsid w:val="00AF5C5C"/>
    <w:rsid w:val="00AF5E37"/>
    <w:rsid w:val="00AF5F8B"/>
    <w:rsid w:val="00AF6135"/>
    <w:rsid w:val="00AF6282"/>
    <w:rsid w:val="00AF6336"/>
    <w:rsid w:val="00AF656B"/>
    <w:rsid w:val="00AF65E2"/>
    <w:rsid w:val="00AF6CA4"/>
    <w:rsid w:val="00AF7704"/>
    <w:rsid w:val="00AF7850"/>
    <w:rsid w:val="00AF78A1"/>
    <w:rsid w:val="00AF7ABD"/>
    <w:rsid w:val="00B006A0"/>
    <w:rsid w:val="00B0076A"/>
    <w:rsid w:val="00B007FA"/>
    <w:rsid w:val="00B00F76"/>
    <w:rsid w:val="00B01021"/>
    <w:rsid w:val="00B0107B"/>
    <w:rsid w:val="00B01102"/>
    <w:rsid w:val="00B0116B"/>
    <w:rsid w:val="00B01669"/>
    <w:rsid w:val="00B0173C"/>
    <w:rsid w:val="00B017EE"/>
    <w:rsid w:val="00B01909"/>
    <w:rsid w:val="00B01B01"/>
    <w:rsid w:val="00B01C24"/>
    <w:rsid w:val="00B01F94"/>
    <w:rsid w:val="00B02402"/>
    <w:rsid w:val="00B02459"/>
    <w:rsid w:val="00B0263F"/>
    <w:rsid w:val="00B02900"/>
    <w:rsid w:val="00B02930"/>
    <w:rsid w:val="00B02AD3"/>
    <w:rsid w:val="00B02DC4"/>
    <w:rsid w:val="00B03BA1"/>
    <w:rsid w:val="00B03E8C"/>
    <w:rsid w:val="00B04044"/>
    <w:rsid w:val="00B04094"/>
    <w:rsid w:val="00B043D7"/>
    <w:rsid w:val="00B044D8"/>
    <w:rsid w:val="00B04683"/>
    <w:rsid w:val="00B047F8"/>
    <w:rsid w:val="00B04B9F"/>
    <w:rsid w:val="00B04BCD"/>
    <w:rsid w:val="00B0515D"/>
    <w:rsid w:val="00B05261"/>
    <w:rsid w:val="00B0541A"/>
    <w:rsid w:val="00B055ED"/>
    <w:rsid w:val="00B05710"/>
    <w:rsid w:val="00B0577D"/>
    <w:rsid w:val="00B05A15"/>
    <w:rsid w:val="00B05B8A"/>
    <w:rsid w:val="00B061F9"/>
    <w:rsid w:val="00B063DC"/>
    <w:rsid w:val="00B064A4"/>
    <w:rsid w:val="00B06575"/>
    <w:rsid w:val="00B06A46"/>
    <w:rsid w:val="00B06E65"/>
    <w:rsid w:val="00B06F0B"/>
    <w:rsid w:val="00B07350"/>
    <w:rsid w:val="00B07450"/>
    <w:rsid w:val="00B07932"/>
    <w:rsid w:val="00B07AF5"/>
    <w:rsid w:val="00B1030A"/>
    <w:rsid w:val="00B108FC"/>
    <w:rsid w:val="00B10B5F"/>
    <w:rsid w:val="00B11127"/>
    <w:rsid w:val="00B11775"/>
    <w:rsid w:val="00B118DA"/>
    <w:rsid w:val="00B11945"/>
    <w:rsid w:val="00B11C80"/>
    <w:rsid w:val="00B12242"/>
    <w:rsid w:val="00B1262B"/>
    <w:rsid w:val="00B12644"/>
    <w:rsid w:val="00B1291F"/>
    <w:rsid w:val="00B129E5"/>
    <w:rsid w:val="00B13020"/>
    <w:rsid w:val="00B13758"/>
    <w:rsid w:val="00B13ECF"/>
    <w:rsid w:val="00B140F7"/>
    <w:rsid w:val="00B14798"/>
    <w:rsid w:val="00B14AC8"/>
    <w:rsid w:val="00B1522E"/>
    <w:rsid w:val="00B1525E"/>
    <w:rsid w:val="00B16057"/>
    <w:rsid w:val="00B1616B"/>
    <w:rsid w:val="00B16365"/>
    <w:rsid w:val="00B1644E"/>
    <w:rsid w:val="00B16600"/>
    <w:rsid w:val="00B16AD9"/>
    <w:rsid w:val="00B16CE7"/>
    <w:rsid w:val="00B1730B"/>
    <w:rsid w:val="00B1739F"/>
    <w:rsid w:val="00B17541"/>
    <w:rsid w:val="00B17677"/>
    <w:rsid w:val="00B17F52"/>
    <w:rsid w:val="00B17F99"/>
    <w:rsid w:val="00B20086"/>
    <w:rsid w:val="00B205C6"/>
    <w:rsid w:val="00B20ABA"/>
    <w:rsid w:val="00B21057"/>
    <w:rsid w:val="00B213C6"/>
    <w:rsid w:val="00B215E1"/>
    <w:rsid w:val="00B21948"/>
    <w:rsid w:val="00B219B0"/>
    <w:rsid w:val="00B219D6"/>
    <w:rsid w:val="00B21A08"/>
    <w:rsid w:val="00B21DB5"/>
    <w:rsid w:val="00B21DB7"/>
    <w:rsid w:val="00B22103"/>
    <w:rsid w:val="00B227D3"/>
    <w:rsid w:val="00B229A7"/>
    <w:rsid w:val="00B22BBA"/>
    <w:rsid w:val="00B22FCB"/>
    <w:rsid w:val="00B2308A"/>
    <w:rsid w:val="00B23489"/>
    <w:rsid w:val="00B23678"/>
    <w:rsid w:val="00B23A6D"/>
    <w:rsid w:val="00B23D19"/>
    <w:rsid w:val="00B23EF7"/>
    <w:rsid w:val="00B23F2D"/>
    <w:rsid w:val="00B24019"/>
    <w:rsid w:val="00B241B9"/>
    <w:rsid w:val="00B24349"/>
    <w:rsid w:val="00B249D1"/>
    <w:rsid w:val="00B24B72"/>
    <w:rsid w:val="00B24DD7"/>
    <w:rsid w:val="00B25656"/>
    <w:rsid w:val="00B25696"/>
    <w:rsid w:val="00B25A51"/>
    <w:rsid w:val="00B25B47"/>
    <w:rsid w:val="00B25BA8"/>
    <w:rsid w:val="00B264DF"/>
    <w:rsid w:val="00B26589"/>
    <w:rsid w:val="00B26962"/>
    <w:rsid w:val="00B269E7"/>
    <w:rsid w:val="00B26AEC"/>
    <w:rsid w:val="00B26C2F"/>
    <w:rsid w:val="00B2737E"/>
    <w:rsid w:val="00B27497"/>
    <w:rsid w:val="00B27525"/>
    <w:rsid w:val="00B27831"/>
    <w:rsid w:val="00B27875"/>
    <w:rsid w:val="00B2793D"/>
    <w:rsid w:val="00B30030"/>
    <w:rsid w:val="00B300A7"/>
    <w:rsid w:val="00B301DB"/>
    <w:rsid w:val="00B302FC"/>
    <w:rsid w:val="00B3093A"/>
    <w:rsid w:val="00B3110E"/>
    <w:rsid w:val="00B31495"/>
    <w:rsid w:val="00B31EE8"/>
    <w:rsid w:val="00B329D2"/>
    <w:rsid w:val="00B32C00"/>
    <w:rsid w:val="00B32ED1"/>
    <w:rsid w:val="00B331AC"/>
    <w:rsid w:val="00B33EFE"/>
    <w:rsid w:val="00B342F4"/>
    <w:rsid w:val="00B34419"/>
    <w:rsid w:val="00B3465C"/>
    <w:rsid w:val="00B347D8"/>
    <w:rsid w:val="00B34FD8"/>
    <w:rsid w:val="00B35594"/>
    <w:rsid w:val="00B35739"/>
    <w:rsid w:val="00B357C3"/>
    <w:rsid w:val="00B358E8"/>
    <w:rsid w:val="00B359F1"/>
    <w:rsid w:val="00B35C3F"/>
    <w:rsid w:val="00B36999"/>
    <w:rsid w:val="00B36B17"/>
    <w:rsid w:val="00B36D63"/>
    <w:rsid w:val="00B37388"/>
    <w:rsid w:val="00B37E2C"/>
    <w:rsid w:val="00B40193"/>
    <w:rsid w:val="00B402EA"/>
    <w:rsid w:val="00B4048A"/>
    <w:rsid w:val="00B40497"/>
    <w:rsid w:val="00B40702"/>
    <w:rsid w:val="00B40F7F"/>
    <w:rsid w:val="00B4172F"/>
    <w:rsid w:val="00B4176D"/>
    <w:rsid w:val="00B42184"/>
    <w:rsid w:val="00B4243D"/>
    <w:rsid w:val="00B4278C"/>
    <w:rsid w:val="00B42B8F"/>
    <w:rsid w:val="00B42BF1"/>
    <w:rsid w:val="00B434AA"/>
    <w:rsid w:val="00B4354B"/>
    <w:rsid w:val="00B438D3"/>
    <w:rsid w:val="00B43A23"/>
    <w:rsid w:val="00B43A80"/>
    <w:rsid w:val="00B43B3F"/>
    <w:rsid w:val="00B43CC6"/>
    <w:rsid w:val="00B43DC4"/>
    <w:rsid w:val="00B44557"/>
    <w:rsid w:val="00B446D7"/>
    <w:rsid w:val="00B447F3"/>
    <w:rsid w:val="00B44C09"/>
    <w:rsid w:val="00B44F66"/>
    <w:rsid w:val="00B45446"/>
    <w:rsid w:val="00B45AFE"/>
    <w:rsid w:val="00B45CBA"/>
    <w:rsid w:val="00B46849"/>
    <w:rsid w:val="00B46CFC"/>
    <w:rsid w:val="00B47178"/>
    <w:rsid w:val="00B4727D"/>
    <w:rsid w:val="00B47563"/>
    <w:rsid w:val="00B47593"/>
    <w:rsid w:val="00B479A4"/>
    <w:rsid w:val="00B50133"/>
    <w:rsid w:val="00B5036A"/>
    <w:rsid w:val="00B503CC"/>
    <w:rsid w:val="00B50BC9"/>
    <w:rsid w:val="00B50F86"/>
    <w:rsid w:val="00B51211"/>
    <w:rsid w:val="00B5142F"/>
    <w:rsid w:val="00B51496"/>
    <w:rsid w:val="00B517EA"/>
    <w:rsid w:val="00B51840"/>
    <w:rsid w:val="00B51A5B"/>
    <w:rsid w:val="00B51A70"/>
    <w:rsid w:val="00B520ED"/>
    <w:rsid w:val="00B52205"/>
    <w:rsid w:val="00B52247"/>
    <w:rsid w:val="00B52559"/>
    <w:rsid w:val="00B52B90"/>
    <w:rsid w:val="00B52FF0"/>
    <w:rsid w:val="00B532BE"/>
    <w:rsid w:val="00B534C6"/>
    <w:rsid w:val="00B53568"/>
    <w:rsid w:val="00B539F3"/>
    <w:rsid w:val="00B53BD5"/>
    <w:rsid w:val="00B53C4A"/>
    <w:rsid w:val="00B53EF3"/>
    <w:rsid w:val="00B53FB6"/>
    <w:rsid w:val="00B5405F"/>
    <w:rsid w:val="00B5486E"/>
    <w:rsid w:val="00B54AB1"/>
    <w:rsid w:val="00B550C3"/>
    <w:rsid w:val="00B558C2"/>
    <w:rsid w:val="00B55901"/>
    <w:rsid w:val="00B559FE"/>
    <w:rsid w:val="00B55B99"/>
    <w:rsid w:val="00B55C85"/>
    <w:rsid w:val="00B55EC2"/>
    <w:rsid w:val="00B561A1"/>
    <w:rsid w:val="00B562B7"/>
    <w:rsid w:val="00B562E7"/>
    <w:rsid w:val="00B56426"/>
    <w:rsid w:val="00B56471"/>
    <w:rsid w:val="00B565F6"/>
    <w:rsid w:val="00B56A45"/>
    <w:rsid w:val="00B56AB9"/>
    <w:rsid w:val="00B571A1"/>
    <w:rsid w:val="00B571A9"/>
    <w:rsid w:val="00B5746C"/>
    <w:rsid w:val="00B57703"/>
    <w:rsid w:val="00B57DE2"/>
    <w:rsid w:val="00B6038F"/>
    <w:rsid w:val="00B60836"/>
    <w:rsid w:val="00B60EDB"/>
    <w:rsid w:val="00B61444"/>
    <w:rsid w:val="00B61684"/>
    <w:rsid w:val="00B6186B"/>
    <w:rsid w:val="00B618A5"/>
    <w:rsid w:val="00B61C88"/>
    <w:rsid w:val="00B61DC8"/>
    <w:rsid w:val="00B61F48"/>
    <w:rsid w:val="00B61F4F"/>
    <w:rsid w:val="00B620D9"/>
    <w:rsid w:val="00B6245C"/>
    <w:rsid w:val="00B62571"/>
    <w:rsid w:val="00B625F7"/>
    <w:rsid w:val="00B62C52"/>
    <w:rsid w:val="00B6350D"/>
    <w:rsid w:val="00B6354E"/>
    <w:rsid w:val="00B6384F"/>
    <w:rsid w:val="00B63AFB"/>
    <w:rsid w:val="00B63BCC"/>
    <w:rsid w:val="00B63C70"/>
    <w:rsid w:val="00B63D4C"/>
    <w:rsid w:val="00B64344"/>
    <w:rsid w:val="00B64619"/>
    <w:rsid w:val="00B648F9"/>
    <w:rsid w:val="00B6490F"/>
    <w:rsid w:val="00B657DF"/>
    <w:rsid w:val="00B6599A"/>
    <w:rsid w:val="00B65B37"/>
    <w:rsid w:val="00B66487"/>
    <w:rsid w:val="00B66647"/>
    <w:rsid w:val="00B666B7"/>
    <w:rsid w:val="00B66ADA"/>
    <w:rsid w:val="00B66EF5"/>
    <w:rsid w:val="00B66FAC"/>
    <w:rsid w:val="00B67089"/>
    <w:rsid w:val="00B671EE"/>
    <w:rsid w:val="00B67756"/>
    <w:rsid w:val="00B67E26"/>
    <w:rsid w:val="00B67F40"/>
    <w:rsid w:val="00B703C0"/>
    <w:rsid w:val="00B70FE4"/>
    <w:rsid w:val="00B711D6"/>
    <w:rsid w:val="00B71302"/>
    <w:rsid w:val="00B7148E"/>
    <w:rsid w:val="00B7164E"/>
    <w:rsid w:val="00B719A9"/>
    <w:rsid w:val="00B71C53"/>
    <w:rsid w:val="00B72212"/>
    <w:rsid w:val="00B72551"/>
    <w:rsid w:val="00B727C3"/>
    <w:rsid w:val="00B72881"/>
    <w:rsid w:val="00B72AF2"/>
    <w:rsid w:val="00B72D79"/>
    <w:rsid w:val="00B72D94"/>
    <w:rsid w:val="00B730B7"/>
    <w:rsid w:val="00B730DA"/>
    <w:rsid w:val="00B73379"/>
    <w:rsid w:val="00B73648"/>
    <w:rsid w:val="00B7368D"/>
    <w:rsid w:val="00B73BBF"/>
    <w:rsid w:val="00B73BFD"/>
    <w:rsid w:val="00B73E41"/>
    <w:rsid w:val="00B748CB"/>
    <w:rsid w:val="00B74B2D"/>
    <w:rsid w:val="00B74F19"/>
    <w:rsid w:val="00B754B8"/>
    <w:rsid w:val="00B75DCB"/>
    <w:rsid w:val="00B75E87"/>
    <w:rsid w:val="00B7647C"/>
    <w:rsid w:val="00B76C24"/>
    <w:rsid w:val="00B77148"/>
    <w:rsid w:val="00B77514"/>
    <w:rsid w:val="00B77D4B"/>
    <w:rsid w:val="00B77E14"/>
    <w:rsid w:val="00B77E6B"/>
    <w:rsid w:val="00B77F93"/>
    <w:rsid w:val="00B801E4"/>
    <w:rsid w:val="00B80264"/>
    <w:rsid w:val="00B8084B"/>
    <w:rsid w:val="00B80C96"/>
    <w:rsid w:val="00B81089"/>
    <w:rsid w:val="00B81934"/>
    <w:rsid w:val="00B81B09"/>
    <w:rsid w:val="00B81D8D"/>
    <w:rsid w:val="00B825B9"/>
    <w:rsid w:val="00B826C0"/>
    <w:rsid w:val="00B826D9"/>
    <w:rsid w:val="00B826E5"/>
    <w:rsid w:val="00B827C7"/>
    <w:rsid w:val="00B82EBA"/>
    <w:rsid w:val="00B82FFA"/>
    <w:rsid w:val="00B8307A"/>
    <w:rsid w:val="00B83126"/>
    <w:rsid w:val="00B83131"/>
    <w:rsid w:val="00B835D5"/>
    <w:rsid w:val="00B836BB"/>
    <w:rsid w:val="00B83E3F"/>
    <w:rsid w:val="00B83FFA"/>
    <w:rsid w:val="00B84444"/>
    <w:rsid w:val="00B84934"/>
    <w:rsid w:val="00B856A7"/>
    <w:rsid w:val="00B85F08"/>
    <w:rsid w:val="00B86733"/>
    <w:rsid w:val="00B86BE6"/>
    <w:rsid w:val="00B870C5"/>
    <w:rsid w:val="00B87140"/>
    <w:rsid w:val="00B87804"/>
    <w:rsid w:val="00B87B58"/>
    <w:rsid w:val="00B90D03"/>
    <w:rsid w:val="00B90F14"/>
    <w:rsid w:val="00B91CF9"/>
    <w:rsid w:val="00B92007"/>
    <w:rsid w:val="00B9261E"/>
    <w:rsid w:val="00B926A1"/>
    <w:rsid w:val="00B927D2"/>
    <w:rsid w:val="00B928A9"/>
    <w:rsid w:val="00B92906"/>
    <w:rsid w:val="00B929E9"/>
    <w:rsid w:val="00B92A7B"/>
    <w:rsid w:val="00B92C11"/>
    <w:rsid w:val="00B92E89"/>
    <w:rsid w:val="00B930BF"/>
    <w:rsid w:val="00B93A63"/>
    <w:rsid w:val="00B93D41"/>
    <w:rsid w:val="00B93F30"/>
    <w:rsid w:val="00B942E8"/>
    <w:rsid w:val="00B94D38"/>
    <w:rsid w:val="00B94D49"/>
    <w:rsid w:val="00B9505C"/>
    <w:rsid w:val="00B951AF"/>
    <w:rsid w:val="00B95B24"/>
    <w:rsid w:val="00B95B4A"/>
    <w:rsid w:val="00B96034"/>
    <w:rsid w:val="00B9609E"/>
    <w:rsid w:val="00B96243"/>
    <w:rsid w:val="00B96832"/>
    <w:rsid w:val="00B96A43"/>
    <w:rsid w:val="00B96CAD"/>
    <w:rsid w:val="00B96D95"/>
    <w:rsid w:val="00B96E30"/>
    <w:rsid w:val="00B97090"/>
    <w:rsid w:val="00B970F8"/>
    <w:rsid w:val="00B9783A"/>
    <w:rsid w:val="00B97926"/>
    <w:rsid w:val="00B97BEA"/>
    <w:rsid w:val="00BA061D"/>
    <w:rsid w:val="00BA0629"/>
    <w:rsid w:val="00BA08BC"/>
    <w:rsid w:val="00BA0AF9"/>
    <w:rsid w:val="00BA0C5A"/>
    <w:rsid w:val="00BA0D79"/>
    <w:rsid w:val="00BA2054"/>
    <w:rsid w:val="00BA20F0"/>
    <w:rsid w:val="00BA22C3"/>
    <w:rsid w:val="00BA2E51"/>
    <w:rsid w:val="00BA2E52"/>
    <w:rsid w:val="00BA2FE9"/>
    <w:rsid w:val="00BA30F7"/>
    <w:rsid w:val="00BA4130"/>
    <w:rsid w:val="00BA4219"/>
    <w:rsid w:val="00BA44B0"/>
    <w:rsid w:val="00BA49FB"/>
    <w:rsid w:val="00BA4B56"/>
    <w:rsid w:val="00BA4E45"/>
    <w:rsid w:val="00BA5038"/>
    <w:rsid w:val="00BA517B"/>
    <w:rsid w:val="00BA542D"/>
    <w:rsid w:val="00BA551A"/>
    <w:rsid w:val="00BA5759"/>
    <w:rsid w:val="00BA5C46"/>
    <w:rsid w:val="00BA6261"/>
    <w:rsid w:val="00BA6418"/>
    <w:rsid w:val="00BA65BE"/>
    <w:rsid w:val="00BA667B"/>
    <w:rsid w:val="00BA6A0A"/>
    <w:rsid w:val="00BA6BF6"/>
    <w:rsid w:val="00BA6C94"/>
    <w:rsid w:val="00BA6CC6"/>
    <w:rsid w:val="00BA6F2E"/>
    <w:rsid w:val="00BA7365"/>
    <w:rsid w:val="00BA756C"/>
    <w:rsid w:val="00BA7775"/>
    <w:rsid w:val="00BA7A7E"/>
    <w:rsid w:val="00BA7A85"/>
    <w:rsid w:val="00BB0065"/>
    <w:rsid w:val="00BB01A1"/>
    <w:rsid w:val="00BB0324"/>
    <w:rsid w:val="00BB05F1"/>
    <w:rsid w:val="00BB0BE7"/>
    <w:rsid w:val="00BB0FD4"/>
    <w:rsid w:val="00BB1031"/>
    <w:rsid w:val="00BB18AE"/>
    <w:rsid w:val="00BB198C"/>
    <w:rsid w:val="00BB1B19"/>
    <w:rsid w:val="00BB208B"/>
    <w:rsid w:val="00BB25E2"/>
    <w:rsid w:val="00BB2618"/>
    <w:rsid w:val="00BB2731"/>
    <w:rsid w:val="00BB2E5A"/>
    <w:rsid w:val="00BB2FA1"/>
    <w:rsid w:val="00BB301D"/>
    <w:rsid w:val="00BB340C"/>
    <w:rsid w:val="00BB374D"/>
    <w:rsid w:val="00BB390D"/>
    <w:rsid w:val="00BB3BAE"/>
    <w:rsid w:val="00BB3C7C"/>
    <w:rsid w:val="00BB3E21"/>
    <w:rsid w:val="00BB48AC"/>
    <w:rsid w:val="00BB48CF"/>
    <w:rsid w:val="00BB4A1B"/>
    <w:rsid w:val="00BB4B81"/>
    <w:rsid w:val="00BB5443"/>
    <w:rsid w:val="00BB5A7C"/>
    <w:rsid w:val="00BB5BAD"/>
    <w:rsid w:val="00BB5F82"/>
    <w:rsid w:val="00BB6D5F"/>
    <w:rsid w:val="00BB727A"/>
    <w:rsid w:val="00BB79B2"/>
    <w:rsid w:val="00BB7B34"/>
    <w:rsid w:val="00BB7B3B"/>
    <w:rsid w:val="00BB7C0F"/>
    <w:rsid w:val="00BB7E57"/>
    <w:rsid w:val="00BB7EAA"/>
    <w:rsid w:val="00BC06F6"/>
    <w:rsid w:val="00BC0F42"/>
    <w:rsid w:val="00BC12B3"/>
    <w:rsid w:val="00BC12F9"/>
    <w:rsid w:val="00BC143A"/>
    <w:rsid w:val="00BC1819"/>
    <w:rsid w:val="00BC1DC5"/>
    <w:rsid w:val="00BC22F7"/>
    <w:rsid w:val="00BC2A76"/>
    <w:rsid w:val="00BC3193"/>
    <w:rsid w:val="00BC36F8"/>
    <w:rsid w:val="00BC3A88"/>
    <w:rsid w:val="00BC3B73"/>
    <w:rsid w:val="00BC4156"/>
    <w:rsid w:val="00BC415E"/>
    <w:rsid w:val="00BC42C0"/>
    <w:rsid w:val="00BC43CD"/>
    <w:rsid w:val="00BC44D2"/>
    <w:rsid w:val="00BC4DE4"/>
    <w:rsid w:val="00BC4FD9"/>
    <w:rsid w:val="00BC4FF1"/>
    <w:rsid w:val="00BC567D"/>
    <w:rsid w:val="00BC5BA5"/>
    <w:rsid w:val="00BC5D61"/>
    <w:rsid w:val="00BC5F0A"/>
    <w:rsid w:val="00BC60F3"/>
    <w:rsid w:val="00BC6186"/>
    <w:rsid w:val="00BC61B0"/>
    <w:rsid w:val="00BC6590"/>
    <w:rsid w:val="00BC6609"/>
    <w:rsid w:val="00BC6889"/>
    <w:rsid w:val="00BC6ADA"/>
    <w:rsid w:val="00BC6C70"/>
    <w:rsid w:val="00BC6CAD"/>
    <w:rsid w:val="00BC6FF9"/>
    <w:rsid w:val="00BC700E"/>
    <w:rsid w:val="00BC7181"/>
    <w:rsid w:val="00BC71D8"/>
    <w:rsid w:val="00BC7BA2"/>
    <w:rsid w:val="00BC7C5B"/>
    <w:rsid w:val="00BC7E8E"/>
    <w:rsid w:val="00BC7ED0"/>
    <w:rsid w:val="00BD053E"/>
    <w:rsid w:val="00BD0A82"/>
    <w:rsid w:val="00BD1082"/>
    <w:rsid w:val="00BD1326"/>
    <w:rsid w:val="00BD13F6"/>
    <w:rsid w:val="00BD14FE"/>
    <w:rsid w:val="00BD15DB"/>
    <w:rsid w:val="00BD1A6D"/>
    <w:rsid w:val="00BD1CFF"/>
    <w:rsid w:val="00BD206E"/>
    <w:rsid w:val="00BD25E9"/>
    <w:rsid w:val="00BD2759"/>
    <w:rsid w:val="00BD2903"/>
    <w:rsid w:val="00BD2AEB"/>
    <w:rsid w:val="00BD2B7E"/>
    <w:rsid w:val="00BD331B"/>
    <w:rsid w:val="00BD376E"/>
    <w:rsid w:val="00BD3887"/>
    <w:rsid w:val="00BD3919"/>
    <w:rsid w:val="00BD397D"/>
    <w:rsid w:val="00BD3C7F"/>
    <w:rsid w:val="00BD3ECD"/>
    <w:rsid w:val="00BD4215"/>
    <w:rsid w:val="00BD4977"/>
    <w:rsid w:val="00BD49F5"/>
    <w:rsid w:val="00BD4D03"/>
    <w:rsid w:val="00BD4D21"/>
    <w:rsid w:val="00BD5294"/>
    <w:rsid w:val="00BD559C"/>
    <w:rsid w:val="00BD55AC"/>
    <w:rsid w:val="00BD5729"/>
    <w:rsid w:val="00BD58DD"/>
    <w:rsid w:val="00BD5ADB"/>
    <w:rsid w:val="00BD5C12"/>
    <w:rsid w:val="00BD5D2D"/>
    <w:rsid w:val="00BD63E4"/>
    <w:rsid w:val="00BD69FC"/>
    <w:rsid w:val="00BD6B56"/>
    <w:rsid w:val="00BD7284"/>
    <w:rsid w:val="00BD735A"/>
    <w:rsid w:val="00BD7813"/>
    <w:rsid w:val="00BD78CF"/>
    <w:rsid w:val="00BE00B3"/>
    <w:rsid w:val="00BE03A2"/>
    <w:rsid w:val="00BE07D1"/>
    <w:rsid w:val="00BE09F1"/>
    <w:rsid w:val="00BE1318"/>
    <w:rsid w:val="00BE1AA8"/>
    <w:rsid w:val="00BE1F01"/>
    <w:rsid w:val="00BE1F89"/>
    <w:rsid w:val="00BE234E"/>
    <w:rsid w:val="00BE259B"/>
    <w:rsid w:val="00BE2782"/>
    <w:rsid w:val="00BE29B5"/>
    <w:rsid w:val="00BE29C5"/>
    <w:rsid w:val="00BE2F25"/>
    <w:rsid w:val="00BE35AB"/>
    <w:rsid w:val="00BE39AD"/>
    <w:rsid w:val="00BE3BDE"/>
    <w:rsid w:val="00BE3BF2"/>
    <w:rsid w:val="00BE41F2"/>
    <w:rsid w:val="00BE430E"/>
    <w:rsid w:val="00BE4458"/>
    <w:rsid w:val="00BE4651"/>
    <w:rsid w:val="00BE4993"/>
    <w:rsid w:val="00BE4E1D"/>
    <w:rsid w:val="00BE54E9"/>
    <w:rsid w:val="00BE5538"/>
    <w:rsid w:val="00BE5D68"/>
    <w:rsid w:val="00BE5E79"/>
    <w:rsid w:val="00BE5F94"/>
    <w:rsid w:val="00BE64C4"/>
    <w:rsid w:val="00BE6745"/>
    <w:rsid w:val="00BE67BA"/>
    <w:rsid w:val="00BE68A1"/>
    <w:rsid w:val="00BE6A56"/>
    <w:rsid w:val="00BE6C4D"/>
    <w:rsid w:val="00BE73F6"/>
    <w:rsid w:val="00BE75BA"/>
    <w:rsid w:val="00BE7836"/>
    <w:rsid w:val="00BE79D6"/>
    <w:rsid w:val="00BE7C85"/>
    <w:rsid w:val="00BE7F60"/>
    <w:rsid w:val="00BEE444"/>
    <w:rsid w:val="00BF0412"/>
    <w:rsid w:val="00BF0904"/>
    <w:rsid w:val="00BF0BC5"/>
    <w:rsid w:val="00BF0D7E"/>
    <w:rsid w:val="00BF10F4"/>
    <w:rsid w:val="00BF1120"/>
    <w:rsid w:val="00BF11E7"/>
    <w:rsid w:val="00BF13E6"/>
    <w:rsid w:val="00BF13FD"/>
    <w:rsid w:val="00BF1446"/>
    <w:rsid w:val="00BF17F6"/>
    <w:rsid w:val="00BF184F"/>
    <w:rsid w:val="00BF1E19"/>
    <w:rsid w:val="00BF1EB6"/>
    <w:rsid w:val="00BF2359"/>
    <w:rsid w:val="00BF2707"/>
    <w:rsid w:val="00BF2E1E"/>
    <w:rsid w:val="00BF3134"/>
    <w:rsid w:val="00BF3200"/>
    <w:rsid w:val="00BF3482"/>
    <w:rsid w:val="00BF3731"/>
    <w:rsid w:val="00BF3929"/>
    <w:rsid w:val="00BF3C48"/>
    <w:rsid w:val="00BF45F8"/>
    <w:rsid w:val="00BF493F"/>
    <w:rsid w:val="00BF5508"/>
    <w:rsid w:val="00BF56F0"/>
    <w:rsid w:val="00BF5809"/>
    <w:rsid w:val="00BF5A86"/>
    <w:rsid w:val="00BF5D2D"/>
    <w:rsid w:val="00BF5EB2"/>
    <w:rsid w:val="00BF60DC"/>
    <w:rsid w:val="00BF6356"/>
    <w:rsid w:val="00BF637C"/>
    <w:rsid w:val="00BF6BB9"/>
    <w:rsid w:val="00BF6C20"/>
    <w:rsid w:val="00BF719E"/>
    <w:rsid w:val="00BF7268"/>
    <w:rsid w:val="00BF7279"/>
    <w:rsid w:val="00BF758B"/>
    <w:rsid w:val="00BF7BE2"/>
    <w:rsid w:val="00BF7DB6"/>
    <w:rsid w:val="00BF7F5E"/>
    <w:rsid w:val="00C0048A"/>
    <w:rsid w:val="00C007E7"/>
    <w:rsid w:val="00C0089B"/>
    <w:rsid w:val="00C00E22"/>
    <w:rsid w:val="00C00EF8"/>
    <w:rsid w:val="00C01681"/>
    <w:rsid w:val="00C01B33"/>
    <w:rsid w:val="00C01E8D"/>
    <w:rsid w:val="00C02E7A"/>
    <w:rsid w:val="00C0341C"/>
    <w:rsid w:val="00C03709"/>
    <w:rsid w:val="00C03742"/>
    <w:rsid w:val="00C03974"/>
    <w:rsid w:val="00C03A76"/>
    <w:rsid w:val="00C03E0C"/>
    <w:rsid w:val="00C03EE5"/>
    <w:rsid w:val="00C03FC0"/>
    <w:rsid w:val="00C04270"/>
    <w:rsid w:val="00C044CD"/>
    <w:rsid w:val="00C046BE"/>
    <w:rsid w:val="00C04799"/>
    <w:rsid w:val="00C048E1"/>
    <w:rsid w:val="00C04CB3"/>
    <w:rsid w:val="00C05348"/>
    <w:rsid w:val="00C0550F"/>
    <w:rsid w:val="00C05A49"/>
    <w:rsid w:val="00C05D06"/>
    <w:rsid w:val="00C05F0D"/>
    <w:rsid w:val="00C06098"/>
    <w:rsid w:val="00C062D3"/>
    <w:rsid w:val="00C063F4"/>
    <w:rsid w:val="00C066AF"/>
    <w:rsid w:val="00C06740"/>
    <w:rsid w:val="00C06951"/>
    <w:rsid w:val="00C06C41"/>
    <w:rsid w:val="00C06DD4"/>
    <w:rsid w:val="00C06E23"/>
    <w:rsid w:val="00C0719A"/>
    <w:rsid w:val="00C07240"/>
    <w:rsid w:val="00C073B1"/>
    <w:rsid w:val="00C074B5"/>
    <w:rsid w:val="00C075D2"/>
    <w:rsid w:val="00C07AD6"/>
    <w:rsid w:val="00C1004D"/>
    <w:rsid w:val="00C106EC"/>
    <w:rsid w:val="00C10A08"/>
    <w:rsid w:val="00C10B4C"/>
    <w:rsid w:val="00C10D1E"/>
    <w:rsid w:val="00C11623"/>
    <w:rsid w:val="00C1168A"/>
    <w:rsid w:val="00C11E49"/>
    <w:rsid w:val="00C11E4E"/>
    <w:rsid w:val="00C11FD6"/>
    <w:rsid w:val="00C1202C"/>
    <w:rsid w:val="00C1225B"/>
    <w:rsid w:val="00C125D6"/>
    <w:rsid w:val="00C126C3"/>
    <w:rsid w:val="00C127CD"/>
    <w:rsid w:val="00C12AAE"/>
    <w:rsid w:val="00C12EEF"/>
    <w:rsid w:val="00C13259"/>
    <w:rsid w:val="00C132D4"/>
    <w:rsid w:val="00C13420"/>
    <w:rsid w:val="00C138BA"/>
    <w:rsid w:val="00C13A4A"/>
    <w:rsid w:val="00C13BC1"/>
    <w:rsid w:val="00C13CE6"/>
    <w:rsid w:val="00C13F63"/>
    <w:rsid w:val="00C146E3"/>
    <w:rsid w:val="00C14B5D"/>
    <w:rsid w:val="00C14CF1"/>
    <w:rsid w:val="00C14D49"/>
    <w:rsid w:val="00C14E0E"/>
    <w:rsid w:val="00C14E34"/>
    <w:rsid w:val="00C15283"/>
    <w:rsid w:val="00C152CF"/>
    <w:rsid w:val="00C15415"/>
    <w:rsid w:val="00C1545C"/>
    <w:rsid w:val="00C15558"/>
    <w:rsid w:val="00C158F8"/>
    <w:rsid w:val="00C15F61"/>
    <w:rsid w:val="00C163EF"/>
    <w:rsid w:val="00C1665C"/>
    <w:rsid w:val="00C16A0D"/>
    <w:rsid w:val="00C16CE1"/>
    <w:rsid w:val="00C172C2"/>
    <w:rsid w:val="00C1754C"/>
    <w:rsid w:val="00C212A4"/>
    <w:rsid w:val="00C2148F"/>
    <w:rsid w:val="00C2169E"/>
    <w:rsid w:val="00C21787"/>
    <w:rsid w:val="00C218A6"/>
    <w:rsid w:val="00C21F01"/>
    <w:rsid w:val="00C22069"/>
    <w:rsid w:val="00C22360"/>
    <w:rsid w:val="00C224B3"/>
    <w:rsid w:val="00C22BF8"/>
    <w:rsid w:val="00C22F15"/>
    <w:rsid w:val="00C23145"/>
    <w:rsid w:val="00C23197"/>
    <w:rsid w:val="00C23B86"/>
    <w:rsid w:val="00C23BD8"/>
    <w:rsid w:val="00C24138"/>
    <w:rsid w:val="00C242C3"/>
    <w:rsid w:val="00C2432D"/>
    <w:rsid w:val="00C246C2"/>
    <w:rsid w:val="00C24823"/>
    <w:rsid w:val="00C249D9"/>
    <w:rsid w:val="00C25829"/>
    <w:rsid w:val="00C25B2B"/>
    <w:rsid w:val="00C26041"/>
    <w:rsid w:val="00C268BE"/>
    <w:rsid w:val="00C26F32"/>
    <w:rsid w:val="00C270AA"/>
    <w:rsid w:val="00C271A9"/>
    <w:rsid w:val="00C27221"/>
    <w:rsid w:val="00C275E1"/>
    <w:rsid w:val="00C278E2"/>
    <w:rsid w:val="00C27A11"/>
    <w:rsid w:val="00C27C84"/>
    <w:rsid w:val="00C3041B"/>
    <w:rsid w:val="00C30494"/>
    <w:rsid w:val="00C3058D"/>
    <w:rsid w:val="00C3064D"/>
    <w:rsid w:val="00C3095D"/>
    <w:rsid w:val="00C30EB6"/>
    <w:rsid w:val="00C31B17"/>
    <w:rsid w:val="00C31D44"/>
    <w:rsid w:val="00C31FC8"/>
    <w:rsid w:val="00C320F5"/>
    <w:rsid w:val="00C32132"/>
    <w:rsid w:val="00C3214E"/>
    <w:rsid w:val="00C32523"/>
    <w:rsid w:val="00C33377"/>
    <w:rsid w:val="00C33510"/>
    <w:rsid w:val="00C33701"/>
    <w:rsid w:val="00C33F47"/>
    <w:rsid w:val="00C33FDC"/>
    <w:rsid w:val="00C341EE"/>
    <w:rsid w:val="00C3433E"/>
    <w:rsid w:val="00C343C4"/>
    <w:rsid w:val="00C3449A"/>
    <w:rsid w:val="00C344A1"/>
    <w:rsid w:val="00C3461D"/>
    <w:rsid w:val="00C34720"/>
    <w:rsid w:val="00C34F9B"/>
    <w:rsid w:val="00C352D0"/>
    <w:rsid w:val="00C354E2"/>
    <w:rsid w:val="00C35575"/>
    <w:rsid w:val="00C3564D"/>
    <w:rsid w:val="00C35AA7"/>
    <w:rsid w:val="00C35BE0"/>
    <w:rsid w:val="00C35D7D"/>
    <w:rsid w:val="00C35FF5"/>
    <w:rsid w:val="00C36208"/>
    <w:rsid w:val="00C364FF"/>
    <w:rsid w:val="00C365D9"/>
    <w:rsid w:val="00C367E3"/>
    <w:rsid w:val="00C36936"/>
    <w:rsid w:val="00C369D9"/>
    <w:rsid w:val="00C36DC7"/>
    <w:rsid w:val="00C374E1"/>
    <w:rsid w:val="00C37632"/>
    <w:rsid w:val="00C37AAF"/>
    <w:rsid w:val="00C40187"/>
    <w:rsid w:val="00C40200"/>
    <w:rsid w:val="00C40315"/>
    <w:rsid w:val="00C40346"/>
    <w:rsid w:val="00C4084D"/>
    <w:rsid w:val="00C40D11"/>
    <w:rsid w:val="00C40DFB"/>
    <w:rsid w:val="00C41140"/>
    <w:rsid w:val="00C41187"/>
    <w:rsid w:val="00C414F5"/>
    <w:rsid w:val="00C41638"/>
    <w:rsid w:val="00C4168F"/>
    <w:rsid w:val="00C41EFF"/>
    <w:rsid w:val="00C42325"/>
    <w:rsid w:val="00C429FC"/>
    <w:rsid w:val="00C42E0E"/>
    <w:rsid w:val="00C42F4B"/>
    <w:rsid w:val="00C430B0"/>
    <w:rsid w:val="00C430BD"/>
    <w:rsid w:val="00C4316C"/>
    <w:rsid w:val="00C43280"/>
    <w:rsid w:val="00C432E5"/>
    <w:rsid w:val="00C43671"/>
    <w:rsid w:val="00C43677"/>
    <w:rsid w:val="00C438C8"/>
    <w:rsid w:val="00C442EE"/>
    <w:rsid w:val="00C44750"/>
    <w:rsid w:val="00C448D8"/>
    <w:rsid w:val="00C44A44"/>
    <w:rsid w:val="00C44A71"/>
    <w:rsid w:val="00C44A75"/>
    <w:rsid w:val="00C44B5D"/>
    <w:rsid w:val="00C4540E"/>
    <w:rsid w:val="00C457CD"/>
    <w:rsid w:val="00C45904"/>
    <w:rsid w:val="00C45AB5"/>
    <w:rsid w:val="00C45DC1"/>
    <w:rsid w:val="00C45EC1"/>
    <w:rsid w:val="00C46041"/>
    <w:rsid w:val="00C46099"/>
    <w:rsid w:val="00C467DB"/>
    <w:rsid w:val="00C46813"/>
    <w:rsid w:val="00C46A7E"/>
    <w:rsid w:val="00C47031"/>
    <w:rsid w:val="00C470FB"/>
    <w:rsid w:val="00C475A3"/>
    <w:rsid w:val="00C477F6"/>
    <w:rsid w:val="00C47839"/>
    <w:rsid w:val="00C4785D"/>
    <w:rsid w:val="00C479B9"/>
    <w:rsid w:val="00C47D76"/>
    <w:rsid w:val="00C500FF"/>
    <w:rsid w:val="00C5023B"/>
    <w:rsid w:val="00C5029E"/>
    <w:rsid w:val="00C5087F"/>
    <w:rsid w:val="00C50ED4"/>
    <w:rsid w:val="00C5108C"/>
    <w:rsid w:val="00C511A0"/>
    <w:rsid w:val="00C515CE"/>
    <w:rsid w:val="00C51E95"/>
    <w:rsid w:val="00C52258"/>
    <w:rsid w:val="00C52D98"/>
    <w:rsid w:val="00C5312B"/>
    <w:rsid w:val="00C536BF"/>
    <w:rsid w:val="00C53702"/>
    <w:rsid w:val="00C53B9F"/>
    <w:rsid w:val="00C53D56"/>
    <w:rsid w:val="00C5426D"/>
    <w:rsid w:val="00C548D5"/>
    <w:rsid w:val="00C54CCD"/>
    <w:rsid w:val="00C54DA2"/>
    <w:rsid w:val="00C55154"/>
    <w:rsid w:val="00C55418"/>
    <w:rsid w:val="00C55458"/>
    <w:rsid w:val="00C555ED"/>
    <w:rsid w:val="00C5595A"/>
    <w:rsid w:val="00C55D82"/>
    <w:rsid w:val="00C55F1A"/>
    <w:rsid w:val="00C5630D"/>
    <w:rsid w:val="00C5650A"/>
    <w:rsid w:val="00C569FB"/>
    <w:rsid w:val="00C56BC4"/>
    <w:rsid w:val="00C572E4"/>
    <w:rsid w:val="00C5739A"/>
    <w:rsid w:val="00C57A63"/>
    <w:rsid w:val="00C57ECB"/>
    <w:rsid w:val="00C601C4"/>
    <w:rsid w:val="00C60216"/>
    <w:rsid w:val="00C602AC"/>
    <w:rsid w:val="00C60500"/>
    <w:rsid w:val="00C60FEC"/>
    <w:rsid w:val="00C6108D"/>
    <w:rsid w:val="00C6113E"/>
    <w:rsid w:val="00C6118C"/>
    <w:rsid w:val="00C61260"/>
    <w:rsid w:val="00C61475"/>
    <w:rsid w:val="00C615C4"/>
    <w:rsid w:val="00C61D08"/>
    <w:rsid w:val="00C61FA5"/>
    <w:rsid w:val="00C623ED"/>
    <w:rsid w:val="00C62405"/>
    <w:rsid w:val="00C62423"/>
    <w:rsid w:val="00C62542"/>
    <w:rsid w:val="00C6289E"/>
    <w:rsid w:val="00C628B9"/>
    <w:rsid w:val="00C62AA6"/>
    <w:rsid w:val="00C62B6F"/>
    <w:rsid w:val="00C62E62"/>
    <w:rsid w:val="00C6329B"/>
    <w:rsid w:val="00C633A7"/>
    <w:rsid w:val="00C6358B"/>
    <w:rsid w:val="00C638AF"/>
    <w:rsid w:val="00C638B8"/>
    <w:rsid w:val="00C63916"/>
    <w:rsid w:val="00C63A11"/>
    <w:rsid w:val="00C63A36"/>
    <w:rsid w:val="00C63DEC"/>
    <w:rsid w:val="00C640EE"/>
    <w:rsid w:val="00C642EF"/>
    <w:rsid w:val="00C64A91"/>
    <w:rsid w:val="00C64ECF"/>
    <w:rsid w:val="00C6548B"/>
    <w:rsid w:val="00C6593A"/>
    <w:rsid w:val="00C65944"/>
    <w:rsid w:val="00C65993"/>
    <w:rsid w:val="00C65B28"/>
    <w:rsid w:val="00C65D67"/>
    <w:rsid w:val="00C660D9"/>
    <w:rsid w:val="00C66566"/>
    <w:rsid w:val="00C667BF"/>
    <w:rsid w:val="00C6683A"/>
    <w:rsid w:val="00C66A21"/>
    <w:rsid w:val="00C67131"/>
    <w:rsid w:val="00C67140"/>
    <w:rsid w:val="00C67159"/>
    <w:rsid w:val="00C6734D"/>
    <w:rsid w:val="00C6740F"/>
    <w:rsid w:val="00C67BC3"/>
    <w:rsid w:val="00C67D33"/>
    <w:rsid w:val="00C67FE4"/>
    <w:rsid w:val="00C700B7"/>
    <w:rsid w:val="00C703C4"/>
    <w:rsid w:val="00C70D11"/>
    <w:rsid w:val="00C711CB"/>
    <w:rsid w:val="00C71653"/>
    <w:rsid w:val="00C7167F"/>
    <w:rsid w:val="00C716D8"/>
    <w:rsid w:val="00C7186C"/>
    <w:rsid w:val="00C71E89"/>
    <w:rsid w:val="00C722CA"/>
    <w:rsid w:val="00C727B7"/>
    <w:rsid w:val="00C72F32"/>
    <w:rsid w:val="00C72FE4"/>
    <w:rsid w:val="00C73054"/>
    <w:rsid w:val="00C73089"/>
    <w:rsid w:val="00C735C2"/>
    <w:rsid w:val="00C7361D"/>
    <w:rsid w:val="00C736B3"/>
    <w:rsid w:val="00C737FA"/>
    <w:rsid w:val="00C7394F"/>
    <w:rsid w:val="00C73A68"/>
    <w:rsid w:val="00C73AF9"/>
    <w:rsid w:val="00C73DCA"/>
    <w:rsid w:val="00C73F6B"/>
    <w:rsid w:val="00C74908"/>
    <w:rsid w:val="00C74B95"/>
    <w:rsid w:val="00C74E4F"/>
    <w:rsid w:val="00C75113"/>
    <w:rsid w:val="00C755C8"/>
    <w:rsid w:val="00C7574E"/>
    <w:rsid w:val="00C758C9"/>
    <w:rsid w:val="00C758DE"/>
    <w:rsid w:val="00C75A3E"/>
    <w:rsid w:val="00C75B60"/>
    <w:rsid w:val="00C75F29"/>
    <w:rsid w:val="00C75FC5"/>
    <w:rsid w:val="00C765A9"/>
    <w:rsid w:val="00C766F0"/>
    <w:rsid w:val="00C76AEE"/>
    <w:rsid w:val="00C772C1"/>
    <w:rsid w:val="00C77358"/>
    <w:rsid w:val="00C7749B"/>
    <w:rsid w:val="00C776B7"/>
    <w:rsid w:val="00C776D4"/>
    <w:rsid w:val="00C77918"/>
    <w:rsid w:val="00C77CED"/>
    <w:rsid w:val="00C77D0D"/>
    <w:rsid w:val="00C8022E"/>
    <w:rsid w:val="00C8024F"/>
    <w:rsid w:val="00C8037D"/>
    <w:rsid w:val="00C8038E"/>
    <w:rsid w:val="00C8040F"/>
    <w:rsid w:val="00C80A39"/>
    <w:rsid w:val="00C80AD8"/>
    <w:rsid w:val="00C80C48"/>
    <w:rsid w:val="00C815C9"/>
    <w:rsid w:val="00C81A14"/>
    <w:rsid w:val="00C81FDF"/>
    <w:rsid w:val="00C82389"/>
    <w:rsid w:val="00C82994"/>
    <w:rsid w:val="00C82CF2"/>
    <w:rsid w:val="00C82FD2"/>
    <w:rsid w:val="00C83080"/>
    <w:rsid w:val="00C83291"/>
    <w:rsid w:val="00C83A5B"/>
    <w:rsid w:val="00C84172"/>
    <w:rsid w:val="00C841F4"/>
    <w:rsid w:val="00C842CB"/>
    <w:rsid w:val="00C84514"/>
    <w:rsid w:val="00C84D15"/>
    <w:rsid w:val="00C84E81"/>
    <w:rsid w:val="00C84EAA"/>
    <w:rsid w:val="00C85798"/>
    <w:rsid w:val="00C857E3"/>
    <w:rsid w:val="00C85940"/>
    <w:rsid w:val="00C859A7"/>
    <w:rsid w:val="00C85AEC"/>
    <w:rsid w:val="00C85C94"/>
    <w:rsid w:val="00C86178"/>
    <w:rsid w:val="00C86475"/>
    <w:rsid w:val="00C86578"/>
    <w:rsid w:val="00C86A6C"/>
    <w:rsid w:val="00C86ECC"/>
    <w:rsid w:val="00C870BA"/>
    <w:rsid w:val="00C870D3"/>
    <w:rsid w:val="00C876CC"/>
    <w:rsid w:val="00C87B9F"/>
    <w:rsid w:val="00C87BC9"/>
    <w:rsid w:val="00C90529"/>
    <w:rsid w:val="00C90580"/>
    <w:rsid w:val="00C90655"/>
    <w:rsid w:val="00C90784"/>
    <w:rsid w:val="00C909DE"/>
    <w:rsid w:val="00C90B3F"/>
    <w:rsid w:val="00C91109"/>
    <w:rsid w:val="00C91433"/>
    <w:rsid w:val="00C91901"/>
    <w:rsid w:val="00C92158"/>
    <w:rsid w:val="00C9243C"/>
    <w:rsid w:val="00C929F8"/>
    <w:rsid w:val="00C92B17"/>
    <w:rsid w:val="00C9353A"/>
    <w:rsid w:val="00C936AD"/>
    <w:rsid w:val="00C93BF5"/>
    <w:rsid w:val="00C93C3B"/>
    <w:rsid w:val="00C93E91"/>
    <w:rsid w:val="00C93F2B"/>
    <w:rsid w:val="00C93FFD"/>
    <w:rsid w:val="00C94288"/>
    <w:rsid w:val="00C94B0C"/>
    <w:rsid w:val="00C94C98"/>
    <w:rsid w:val="00C955A7"/>
    <w:rsid w:val="00C95AB7"/>
    <w:rsid w:val="00C95DA2"/>
    <w:rsid w:val="00C9629B"/>
    <w:rsid w:val="00C966B4"/>
    <w:rsid w:val="00C966B5"/>
    <w:rsid w:val="00C96CA3"/>
    <w:rsid w:val="00C970D9"/>
    <w:rsid w:val="00C97BA1"/>
    <w:rsid w:val="00C97F2C"/>
    <w:rsid w:val="00CA007B"/>
    <w:rsid w:val="00CA00FA"/>
    <w:rsid w:val="00CA015A"/>
    <w:rsid w:val="00CA027A"/>
    <w:rsid w:val="00CA0306"/>
    <w:rsid w:val="00CA07C4"/>
    <w:rsid w:val="00CA0908"/>
    <w:rsid w:val="00CA0BF7"/>
    <w:rsid w:val="00CA0D1E"/>
    <w:rsid w:val="00CA0F6F"/>
    <w:rsid w:val="00CA1222"/>
    <w:rsid w:val="00CA1596"/>
    <w:rsid w:val="00CA18B4"/>
    <w:rsid w:val="00CA1DCA"/>
    <w:rsid w:val="00CA1E9C"/>
    <w:rsid w:val="00CA223C"/>
    <w:rsid w:val="00CA2B5B"/>
    <w:rsid w:val="00CA3817"/>
    <w:rsid w:val="00CA385D"/>
    <w:rsid w:val="00CA3873"/>
    <w:rsid w:val="00CA3A5C"/>
    <w:rsid w:val="00CA4267"/>
    <w:rsid w:val="00CA49BD"/>
    <w:rsid w:val="00CA4AE5"/>
    <w:rsid w:val="00CA4C65"/>
    <w:rsid w:val="00CA517E"/>
    <w:rsid w:val="00CA573D"/>
    <w:rsid w:val="00CA58E9"/>
    <w:rsid w:val="00CA62C7"/>
    <w:rsid w:val="00CA62F2"/>
    <w:rsid w:val="00CA6421"/>
    <w:rsid w:val="00CA6AAE"/>
    <w:rsid w:val="00CA6F73"/>
    <w:rsid w:val="00CA77EA"/>
    <w:rsid w:val="00CA7A49"/>
    <w:rsid w:val="00CA7BDE"/>
    <w:rsid w:val="00CA7CB5"/>
    <w:rsid w:val="00CB0176"/>
    <w:rsid w:val="00CB024C"/>
    <w:rsid w:val="00CB0605"/>
    <w:rsid w:val="00CB1030"/>
    <w:rsid w:val="00CB15CC"/>
    <w:rsid w:val="00CB16F6"/>
    <w:rsid w:val="00CB190A"/>
    <w:rsid w:val="00CB1B74"/>
    <w:rsid w:val="00CB217A"/>
    <w:rsid w:val="00CB278D"/>
    <w:rsid w:val="00CB27A4"/>
    <w:rsid w:val="00CB2C97"/>
    <w:rsid w:val="00CB2CC4"/>
    <w:rsid w:val="00CB2DE2"/>
    <w:rsid w:val="00CB2DE8"/>
    <w:rsid w:val="00CB37AA"/>
    <w:rsid w:val="00CB3A28"/>
    <w:rsid w:val="00CB4959"/>
    <w:rsid w:val="00CB4A4E"/>
    <w:rsid w:val="00CB4EA0"/>
    <w:rsid w:val="00CB51D9"/>
    <w:rsid w:val="00CB54A3"/>
    <w:rsid w:val="00CB57B7"/>
    <w:rsid w:val="00CB5AA3"/>
    <w:rsid w:val="00CB5C3F"/>
    <w:rsid w:val="00CB5DE4"/>
    <w:rsid w:val="00CB60D7"/>
    <w:rsid w:val="00CB635D"/>
    <w:rsid w:val="00CB6441"/>
    <w:rsid w:val="00CB6521"/>
    <w:rsid w:val="00CB694E"/>
    <w:rsid w:val="00CB69E4"/>
    <w:rsid w:val="00CB6C20"/>
    <w:rsid w:val="00CB6DA2"/>
    <w:rsid w:val="00CB741F"/>
    <w:rsid w:val="00CB772F"/>
    <w:rsid w:val="00CB78BD"/>
    <w:rsid w:val="00CB7E63"/>
    <w:rsid w:val="00CB7FFA"/>
    <w:rsid w:val="00CC01EC"/>
    <w:rsid w:val="00CC0283"/>
    <w:rsid w:val="00CC037D"/>
    <w:rsid w:val="00CC0A31"/>
    <w:rsid w:val="00CC0B3E"/>
    <w:rsid w:val="00CC0C43"/>
    <w:rsid w:val="00CC0ED6"/>
    <w:rsid w:val="00CC1074"/>
    <w:rsid w:val="00CC12A1"/>
    <w:rsid w:val="00CC1E61"/>
    <w:rsid w:val="00CC1F94"/>
    <w:rsid w:val="00CC212A"/>
    <w:rsid w:val="00CC21A6"/>
    <w:rsid w:val="00CC25B5"/>
    <w:rsid w:val="00CC290B"/>
    <w:rsid w:val="00CC2B91"/>
    <w:rsid w:val="00CC2F7B"/>
    <w:rsid w:val="00CC2F8B"/>
    <w:rsid w:val="00CC33AD"/>
    <w:rsid w:val="00CC350B"/>
    <w:rsid w:val="00CC35DC"/>
    <w:rsid w:val="00CC3A5E"/>
    <w:rsid w:val="00CC42D8"/>
    <w:rsid w:val="00CC4371"/>
    <w:rsid w:val="00CC4829"/>
    <w:rsid w:val="00CC4841"/>
    <w:rsid w:val="00CC4946"/>
    <w:rsid w:val="00CC4E8B"/>
    <w:rsid w:val="00CC5111"/>
    <w:rsid w:val="00CC5842"/>
    <w:rsid w:val="00CC5A62"/>
    <w:rsid w:val="00CC61A9"/>
    <w:rsid w:val="00CC61E7"/>
    <w:rsid w:val="00CC6386"/>
    <w:rsid w:val="00CC6731"/>
    <w:rsid w:val="00CC6939"/>
    <w:rsid w:val="00CC7335"/>
    <w:rsid w:val="00CC7F73"/>
    <w:rsid w:val="00CD0360"/>
    <w:rsid w:val="00CD0D96"/>
    <w:rsid w:val="00CD1833"/>
    <w:rsid w:val="00CD2123"/>
    <w:rsid w:val="00CD2A37"/>
    <w:rsid w:val="00CD2ED5"/>
    <w:rsid w:val="00CD2FB4"/>
    <w:rsid w:val="00CD3362"/>
    <w:rsid w:val="00CD3727"/>
    <w:rsid w:val="00CD37FA"/>
    <w:rsid w:val="00CD3820"/>
    <w:rsid w:val="00CD3865"/>
    <w:rsid w:val="00CD3D1E"/>
    <w:rsid w:val="00CD3DD3"/>
    <w:rsid w:val="00CD3EBB"/>
    <w:rsid w:val="00CD408E"/>
    <w:rsid w:val="00CD417B"/>
    <w:rsid w:val="00CD4907"/>
    <w:rsid w:val="00CD498F"/>
    <w:rsid w:val="00CD4D1C"/>
    <w:rsid w:val="00CD4F18"/>
    <w:rsid w:val="00CD4F40"/>
    <w:rsid w:val="00CD4F79"/>
    <w:rsid w:val="00CD5208"/>
    <w:rsid w:val="00CD53DD"/>
    <w:rsid w:val="00CD558E"/>
    <w:rsid w:val="00CD55EB"/>
    <w:rsid w:val="00CD5743"/>
    <w:rsid w:val="00CD5818"/>
    <w:rsid w:val="00CD5A24"/>
    <w:rsid w:val="00CD5BC5"/>
    <w:rsid w:val="00CD5BDA"/>
    <w:rsid w:val="00CD5C2C"/>
    <w:rsid w:val="00CD5E0C"/>
    <w:rsid w:val="00CD60B4"/>
    <w:rsid w:val="00CD630B"/>
    <w:rsid w:val="00CD66D8"/>
    <w:rsid w:val="00CD6A95"/>
    <w:rsid w:val="00CD7176"/>
    <w:rsid w:val="00CD724A"/>
    <w:rsid w:val="00CD77E6"/>
    <w:rsid w:val="00CD786E"/>
    <w:rsid w:val="00CD78FD"/>
    <w:rsid w:val="00CD7A9D"/>
    <w:rsid w:val="00CD7C78"/>
    <w:rsid w:val="00CD7F93"/>
    <w:rsid w:val="00CE03D3"/>
    <w:rsid w:val="00CE04FF"/>
    <w:rsid w:val="00CE07E8"/>
    <w:rsid w:val="00CE09F7"/>
    <w:rsid w:val="00CE0A6C"/>
    <w:rsid w:val="00CE1224"/>
    <w:rsid w:val="00CE15B6"/>
    <w:rsid w:val="00CE1607"/>
    <w:rsid w:val="00CE1D8A"/>
    <w:rsid w:val="00CE2111"/>
    <w:rsid w:val="00CE21F5"/>
    <w:rsid w:val="00CE2261"/>
    <w:rsid w:val="00CE23C2"/>
    <w:rsid w:val="00CE25E5"/>
    <w:rsid w:val="00CE2652"/>
    <w:rsid w:val="00CE29D6"/>
    <w:rsid w:val="00CE2E66"/>
    <w:rsid w:val="00CE2E7E"/>
    <w:rsid w:val="00CE2F5F"/>
    <w:rsid w:val="00CE311E"/>
    <w:rsid w:val="00CE3A73"/>
    <w:rsid w:val="00CE3AF8"/>
    <w:rsid w:val="00CE43F2"/>
    <w:rsid w:val="00CE44D0"/>
    <w:rsid w:val="00CE4AB2"/>
    <w:rsid w:val="00CE4DC6"/>
    <w:rsid w:val="00CE5106"/>
    <w:rsid w:val="00CE524D"/>
    <w:rsid w:val="00CE59FB"/>
    <w:rsid w:val="00CE68D7"/>
    <w:rsid w:val="00CE7618"/>
    <w:rsid w:val="00CE7B6D"/>
    <w:rsid w:val="00CE7EDA"/>
    <w:rsid w:val="00CE7FB7"/>
    <w:rsid w:val="00CF0832"/>
    <w:rsid w:val="00CF08EC"/>
    <w:rsid w:val="00CF0A38"/>
    <w:rsid w:val="00CF1926"/>
    <w:rsid w:val="00CF2097"/>
    <w:rsid w:val="00CF2340"/>
    <w:rsid w:val="00CF2615"/>
    <w:rsid w:val="00CF28D4"/>
    <w:rsid w:val="00CF2DA4"/>
    <w:rsid w:val="00CF2E3E"/>
    <w:rsid w:val="00CF2E40"/>
    <w:rsid w:val="00CF2E52"/>
    <w:rsid w:val="00CF362F"/>
    <w:rsid w:val="00CF3913"/>
    <w:rsid w:val="00CF3ED6"/>
    <w:rsid w:val="00CF3EE8"/>
    <w:rsid w:val="00CF432E"/>
    <w:rsid w:val="00CF45B8"/>
    <w:rsid w:val="00CF46A1"/>
    <w:rsid w:val="00CF4731"/>
    <w:rsid w:val="00CF4E65"/>
    <w:rsid w:val="00CF4F7C"/>
    <w:rsid w:val="00CF539B"/>
    <w:rsid w:val="00CF55FB"/>
    <w:rsid w:val="00CF5CCC"/>
    <w:rsid w:val="00CF5E7D"/>
    <w:rsid w:val="00CF5EAC"/>
    <w:rsid w:val="00CF6070"/>
    <w:rsid w:val="00CF61E5"/>
    <w:rsid w:val="00CF6474"/>
    <w:rsid w:val="00CF669A"/>
    <w:rsid w:val="00CF66FF"/>
    <w:rsid w:val="00CF68F3"/>
    <w:rsid w:val="00CF6B97"/>
    <w:rsid w:val="00CF6BE8"/>
    <w:rsid w:val="00CF6E4A"/>
    <w:rsid w:val="00CF6F58"/>
    <w:rsid w:val="00CF70D8"/>
    <w:rsid w:val="00CF7340"/>
    <w:rsid w:val="00CF7D33"/>
    <w:rsid w:val="00D00080"/>
    <w:rsid w:val="00D000E3"/>
    <w:rsid w:val="00D006E4"/>
    <w:rsid w:val="00D006E5"/>
    <w:rsid w:val="00D00A60"/>
    <w:rsid w:val="00D00BB6"/>
    <w:rsid w:val="00D00BCE"/>
    <w:rsid w:val="00D00D94"/>
    <w:rsid w:val="00D00DA3"/>
    <w:rsid w:val="00D01096"/>
    <w:rsid w:val="00D01232"/>
    <w:rsid w:val="00D014C2"/>
    <w:rsid w:val="00D018B5"/>
    <w:rsid w:val="00D01951"/>
    <w:rsid w:val="00D0199E"/>
    <w:rsid w:val="00D01DC8"/>
    <w:rsid w:val="00D01FDD"/>
    <w:rsid w:val="00D02533"/>
    <w:rsid w:val="00D02702"/>
    <w:rsid w:val="00D027B1"/>
    <w:rsid w:val="00D02B1F"/>
    <w:rsid w:val="00D02CC4"/>
    <w:rsid w:val="00D033B0"/>
    <w:rsid w:val="00D034DA"/>
    <w:rsid w:val="00D0385E"/>
    <w:rsid w:val="00D0398D"/>
    <w:rsid w:val="00D03DF4"/>
    <w:rsid w:val="00D04154"/>
    <w:rsid w:val="00D04D58"/>
    <w:rsid w:val="00D04F10"/>
    <w:rsid w:val="00D05172"/>
    <w:rsid w:val="00D0538C"/>
    <w:rsid w:val="00D0599D"/>
    <w:rsid w:val="00D05E28"/>
    <w:rsid w:val="00D05EC2"/>
    <w:rsid w:val="00D05F94"/>
    <w:rsid w:val="00D06325"/>
    <w:rsid w:val="00D064F0"/>
    <w:rsid w:val="00D06CFF"/>
    <w:rsid w:val="00D0750C"/>
    <w:rsid w:val="00D07559"/>
    <w:rsid w:val="00D07A44"/>
    <w:rsid w:val="00D07A4B"/>
    <w:rsid w:val="00D07B2D"/>
    <w:rsid w:val="00D07F30"/>
    <w:rsid w:val="00D07FEF"/>
    <w:rsid w:val="00D103BB"/>
    <w:rsid w:val="00D10ACC"/>
    <w:rsid w:val="00D10C70"/>
    <w:rsid w:val="00D10EC7"/>
    <w:rsid w:val="00D122C4"/>
    <w:rsid w:val="00D12EA4"/>
    <w:rsid w:val="00D12EAC"/>
    <w:rsid w:val="00D13205"/>
    <w:rsid w:val="00D137B8"/>
    <w:rsid w:val="00D13FAA"/>
    <w:rsid w:val="00D14066"/>
    <w:rsid w:val="00D14163"/>
    <w:rsid w:val="00D1419B"/>
    <w:rsid w:val="00D14317"/>
    <w:rsid w:val="00D144C2"/>
    <w:rsid w:val="00D145FF"/>
    <w:rsid w:val="00D14816"/>
    <w:rsid w:val="00D14917"/>
    <w:rsid w:val="00D14A7F"/>
    <w:rsid w:val="00D15376"/>
    <w:rsid w:val="00D1562D"/>
    <w:rsid w:val="00D158AC"/>
    <w:rsid w:val="00D15E8B"/>
    <w:rsid w:val="00D15F83"/>
    <w:rsid w:val="00D16D5C"/>
    <w:rsid w:val="00D17294"/>
    <w:rsid w:val="00D174A6"/>
    <w:rsid w:val="00D1770F"/>
    <w:rsid w:val="00D17C7E"/>
    <w:rsid w:val="00D17DE3"/>
    <w:rsid w:val="00D200A5"/>
    <w:rsid w:val="00D203D9"/>
    <w:rsid w:val="00D20658"/>
    <w:rsid w:val="00D2079F"/>
    <w:rsid w:val="00D207DD"/>
    <w:rsid w:val="00D20D81"/>
    <w:rsid w:val="00D2105D"/>
    <w:rsid w:val="00D2107A"/>
    <w:rsid w:val="00D211A2"/>
    <w:rsid w:val="00D212E3"/>
    <w:rsid w:val="00D21452"/>
    <w:rsid w:val="00D21A2F"/>
    <w:rsid w:val="00D21C9B"/>
    <w:rsid w:val="00D21F82"/>
    <w:rsid w:val="00D21FA2"/>
    <w:rsid w:val="00D21FEE"/>
    <w:rsid w:val="00D22277"/>
    <w:rsid w:val="00D228E7"/>
    <w:rsid w:val="00D22A2D"/>
    <w:rsid w:val="00D22A59"/>
    <w:rsid w:val="00D22A6D"/>
    <w:rsid w:val="00D22D67"/>
    <w:rsid w:val="00D238AB"/>
    <w:rsid w:val="00D23AE7"/>
    <w:rsid w:val="00D23CF2"/>
    <w:rsid w:val="00D23ECB"/>
    <w:rsid w:val="00D23F8A"/>
    <w:rsid w:val="00D24009"/>
    <w:rsid w:val="00D24556"/>
    <w:rsid w:val="00D24659"/>
    <w:rsid w:val="00D24C3E"/>
    <w:rsid w:val="00D24CBB"/>
    <w:rsid w:val="00D24E51"/>
    <w:rsid w:val="00D25369"/>
    <w:rsid w:val="00D25A51"/>
    <w:rsid w:val="00D25D8B"/>
    <w:rsid w:val="00D25DD5"/>
    <w:rsid w:val="00D2630E"/>
    <w:rsid w:val="00D2644A"/>
    <w:rsid w:val="00D26924"/>
    <w:rsid w:val="00D2696B"/>
    <w:rsid w:val="00D26AAA"/>
    <w:rsid w:val="00D26C94"/>
    <w:rsid w:val="00D27205"/>
    <w:rsid w:val="00D27350"/>
    <w:rsid w:val="00D2785C"/>
    <w:rsid w:val="00D27F08"/>
    <w:rsid w:val="00D3001F"/>
    <w:rsid w:val="00D303CD"/>
    <w:rsid w:val="00D30800"/>
    <w:rsid w:val="00D30951"/>
    <w:rsid w:val="00D30D34"/>
    <w:rsid w:val="00D3116F"/>
    <w:rsid w:val="00D313CC"/>
    <w:rsid w:val="00D315FF"/>
    <w:rsid w:val="00D31715"/>
    <w:rsid w:val="00D31A6E"/>
    <w:rsid w:val="00D326D4"/>
    <w:rsid w:val="00D32E82"/>
    <w:rsid w:val="00D33220"/>
    <w:rsid w:val="00D3341E"/>
    <w:rsid w:val="00D33796"/>
    <w:rsid w:val="00D337A9"/>
    <w:rsid w:val="00D33837"/>
    <w:rsid w:val="00D33AA4"/>
    <w:rsid w:val="00D33EA5"/>
    <w:rsid w:val="00D341C2"/>
    <w:rsid w:val="00D3490D"/>
    <w:rsid w:val="00D349F7"/>
    <w:rsid w:val="00D34E6D"/>
    <w:rsid w:val="00D34F0C"/>
    <w:rsid w:val="00D3511C"/>
    <w:rsid w:val="00D3515D"/>
    <w:rsid w:val="00D35305"/>
    <w:rsid w:val="00D359DA"/>
    <w:rsid w:val="00D35EA6"/>
    <w:rsid w:val="00D35F27"/>
    <w:rsid w:val="00D3626E"/>
    <w:rsid w:val="00D36373"/>
    <w:rsid w:val="00D3689B"/>
    <w:rsid w:val="00D368DF"/>
    <w:rsid w:val="00D37157"/>
    <w:rsid w:val="00D378AE"/>
    <w:rsid w:val="00D37929"/>
    <w:rsid w:val="00D37938"/>
    <w:rsid w:val="00D37A05"/>
    <w:rsid w:val="00D37D38"/>
    <w:rsid w:val="00D403AB"/>
    <w:rsid w:val="00D40517"/>
    <w:rsid w:val="00D406BA"/>
    <w:rsid w:val="00D40A72"/>
    <w:rsid w:val="00D40D72"/>
    <w:rsid w:val="00D41314"/>
    <w:rsid w:val="00D4163B"/>
    <w:rsid w:val="00D4188E"/>
    <w:rsid w:val="00D418AA"/>
    <w:rsid w:val="00D41B47"/>
    <w:rsid w:val="00D41B9D"/>
    <w:rsid w:val="00D42D79"/>
    <w:rsid w:val="00D42F49"/>
    <w:rsid w:val="00D43992"/>
    <w:rsid w:val="00D439C3"/>
    <w:rsid w:val="00D439D6"/>
    <w:rsid w:val="00D43A83"/>
    <w:rsid w:val="00D43E4D"/>
    <w:rsid w:val="00D44078"/>
    <w:rsid w:val="00D44158"/>
    <w:rsid w:val="00D444B0"/>
    <w:rsid w:val="00D44616"/>
    <w:rsid w:val="00D447D0"/>
    <w:rsid w:val="00D44845"/>
    <w:rsid w:val="00D44BE4"/>
    <w:rsid w:val="00D451AE"/>
    <w:rsid w:val="00D453DD"/>
    <w:rsid w:val="00D45738"/>
    <w:rsid w:val="00D45743"/>
    <w:rsid w:val="00D45EB3"/>
    <w:rsid w:val="00D46078"/>
    <w:rsid w:val="00D46090"/>
    <w:rsid w:val="00D4656F"/>
    <w:rsid w:val="00D46627"/>
    <w:rsid w:val="00D46BC8"/>
    <w:rsid w:val="00D46DF8"/>
    <w:rsid w:val="00D46F5B"/>
    <w:rsid w:val="00D46F61"/>
    <w:rsid w:val="00D470F9"/>
    <w:rsid w:val="00D47249"/>
    <w:rsid w:val="00D47775"/>
    <w:rsid w:val="00D47DED"/>
    <w:rsid w:val="00D500C7"/>
    <w:rsid w:val="00D500F2"/>
    <w:rsid w:val="00D5056F"/>
    <w:rsid w:val="00D50803"/>
    <w:rsid w:val="00D50B2F"/>
    <w:rsid w:val="00D5154D"/>
    <w:rsid w:val="00D51612"/>
    <w:rsid w:val="00D516AD"/>
    <w:rsid w:val="00D51AAA"/>
    <w:rsid w:val="00D51CE1"/>
    <w:rsid w:val="00D51EF3"/>
    <w:rsid w:val="00D51F72"/>
    <w:rsid w:val="00D52118"/>
    <w:rsid w:val="00D52184"/>
    <w:rsid w:val="00D52243"/>
    <w:rsid w:val="00D5234E"/>
    <w:rsid w:val="00D523C8"/>
    <w:rsid w:val="00D524BB"/>
    <w:rsid w:val="00D525C3"/>
    <w:rsid w:val="00D52AE4"/>
    <w:rsid w:val="00D536FD"/>
    <w:rsid w:val="00D5370D"/>
    <w:rsid w:val="00D53991"/>
    <w:rsid w:val="00D53C7B"/>
    <w:rsid w:val="00D53E38"/>
    <w:rsid w:val="00D53E70"/>
    <w:rsid w:val="00D541EE"/>
    <w:rsid w:val="00D546F0"/>
    <w:rsid w:val="00D54BAA"/>
    <w:rsid w:val="00D5508D"/>
    <w:rsid w:val="00D557A4"/>
    <w:rsid w:val="00D55B51"/>
    <w:rsid w:val="00D55F06"/>
    <w:rsid w:val="00D56001"/>
    <w:rsid w:val="00D5684A"/>
    <w:rsid w:val="00D56999"/>
    <w:rsid w:val="00D5719D"/>
    <w:rsid w:val="00D5767F"/>
    <w:rsid w:val="00D576EC"/>
    <w:rsid w:val="00D576F2"/>
    <w:rsid w:val="00D577D0"/>
    <w:rsid w:val="00D5793F"/>
    <w:rsid w:val="00D57F79"/>
    <w:rsid w:val="00D57F83"/>
    <w:rsid w:val="00D601E9"/>
    <w:rsid w:val="00D60501"/>
    <w:rsid w:val="00D606B0"/>
    <w:rsid w:val="00D60722"/>
    <w:rsid w:val="00D609AF"/>
    <w:rsid w:val="00D60B1F"/>
    <w:rsid w:val="00D61167"/>
    <w:rsid w:val="00D61CC4"/>
    <w:rsid w:val="00D61E1C"/>
    <w:rsid w:val="00D6209C"/>
    <w:rsid w:val="00D62440"/>
    <w:rsid w:val="00D6269F"/>
    <w:rsid w:val="00D62B9A"/>
    <w:rsid w:val="00D62E3C"/>
    <w:rsid w:val="00D62E70"/>
    <w:rsid w:val="00D630E5"/>
    <w:rsid w:val="00D64053"/>
    <w:rsid w:val="00D644E9"/>
    <w:rsid w:val="00D647D4"/>
    <w:rsid w:val="00D64875"/>
    <w:rsid w:val="00D648A7"/>
    <w:rsid w:val="00D6505F"/>
    <w:rsid w:val="00D65671"/>
    <w:rsid w:val="00D65754"/>
    <w:rsid w:val="00D65BA8"/>
    <w:rsid w:val="00D65C0C"/>
    <w:rsid w:val="00D6610D"/>
    <w:rsid w:val="00D662C3"/>
    <w:rsid w:val="00D6658C"/>
    <w:rsid w:val="00D66929"/>
    <w:rsid w:val="00D669CE"/>
    <w:rsid w:val="00D66BD4"/>
    <w:rsid w:val="00D66D08"/>
    <w:rsid w:val="00D67844"/>
    <w:rsid w:val="00D678D3"/>
    <w:rsid w:val="00D67AEA"/>
    <w:rsid w:val="00D704DA"/>
    <w:rsid w:val="00D70777"/>
    <w:rsid w:val="00D70EE5"/>
    <w:rsid w:val="00D70EEB"/>
    <w:rsid w:val="00D71849"/>
    <w:rsid w:val="00D71A12"/>
    <w:rsid w:val="00D71DFF"/>
    <w:rsid w:val="00D71E1F"/>
    <w:rsid w:val="00D72F4D"/>
    <w:rsid w:val="00D73011"/>
    <w:rsid w:val="00D73418"/>
    <w:rsid w:val="00D7355A"/>
    <w:rsid w:val="00D736DA"/>
    <w:rsid w:val="00D73D0E"/>
    <w:rsid w:val="00D745AD"/>
    <w:rsid w:val="00D7479A"/>
    <w:rsid w:val="00D74A5D"/>
    <w:rsid w:val="00D754A2"/>
    <w:rsid w:val="00D7573C"/>
    <w:rsid w:val="00D75B1F"/>
    <w:rsid w:val="00D76219"/>
    <w:rsid w:val="00D76744"/>
    <w:rsid w:val="00D76A1B"/>
    <w:rsid w:val="00D76DC2"/>
    <w:rsid w:val="00D76EF3"/>
    <w:rsid w:val="00D77139"/>
    <w:rsid w:val="00D778A2"/>
    <w:rsid w:val="00D77A86"/>
    <w:rsid w:val="00D77AF4"/>
    <w:rsid w:val="00D77C5C"/>
    <w:rsid w:val="00D77DD4"/>
    <w:rsid w:val="00D80402"/>
    <w:rsid w:val="00D80543"/>
    <w:rsid w:val="00D809A0"/>
    <w:rsid w:val="00D80C93"/>
    <w:rsid w:val="00D80CAC"/>
    <w:rsid w:val="00D80D44"/>
    <w:rsid w:val="00D80DD4"/>
    <w:rsid w:val="00D813E6"/>
    <w:rsid w:val="00D81437"/>
    <w:rsid w:val="00D81957"/>
    <w:rsid w:val="00D81A29"/>
    <w:rsid w:val="00D81E5C"/>
    <w:rsid w:val="00D8296B"/>
    <w:rsid w:val="00D82A56"/>
    <w:rsid w:val="00D82CF5"/>
    <w:rsid w:val="00D82DE6"/>
    <w:rsid w:val="00D83498"/>
    <w:rsid w:val="00D837CB"/>
    <w:rsid w:val="00D83B41"/>
    <w:rsid w:val="00D83BA9"/>
    <w:rsid w:val="00D8408D"/>
    <w:rsid w:val="00D84701"/>
    <w:rsid w:val="00D851D9"/>
    <w:rsid w:val="00D85FE5"/>
    <w:rsid w:val="00D86334"/>
    <w:rsid w:val="00D86478"/>
    <w:rsid w:val="00D86769"/>
    <w:rsid w:val="00D867BA"/>
    <w:rsid w:val="00D86F59"/>
    <w:rsid w:val="00D874E9"/>
    <w:rsid w:val="00D87968"/>
    <w:rsid w:val="00D904D9"/>
    <w:rsid w:val="00D9066C"/>
    <w:rsid w:val="00D90B68"/>
    <w:rsid w:val="00D90D1D"/>
    <w:rsid w:val="00D912F6"/>
    <w:rsid w:val="00D9155E"/>
    <w:rsid w:val="00D917CD"/>
    <w:rsid w:val="00D91B9A"/>
    <w:rsid w:val="00D91D87"/>
    <w:rsid w:val="00D91E16"/>
    <w:rsid w:val="00D91F43"/>
    <w:rsid w:val="00D92424"/>
    <w:rsid w:val="00D925EE"/>
    <w:rsid w:val="00D92ACB"/>
    <w:rsid w:val="00D9302D"/>
    <w:rsid w:val="00D9314D"/>
    <w:rsid w:val="00D935A6"/>
    <w:rsid w:val="00D93A4A"/>
    <w:rsid w:val="00D93D2F"/>
    <w:rsid w:val="00D93D41"/>
    <w:rsid w:val="00D93F1B"/>
    <w:rsid w:val="00D9410F"/>
    <w:rsid w:val="00D94720"/>
    <w:rsid w:val="00D947D0"/>
    <w:rsid w:val="00D94A49"/>
    <w:rsid w:val="00D94A4A"/>
    <w:rsid w:val="00D94B6C"/>
    <w:rsid w:val="00D94EB4"/>
    <w:rsid w:val="00D95163"/>
    <w:rsid w:val="00D95286"/>
    <w:rsid w:val="00D9569B"/>
    <w:rsid w:val="00D95C52"/>
    <w:rsid w:val="00D96293"/>
    <w:rsid w:val="00D96683"/>
    <w:rsid w:val="00D966BD"/>
    <w:rsid w:val="00D96F22"/>
    <w:rsid w:val="00D970D1"/>
    <w:rsid w:val="00D973A4"/>
    <w:rsid w:val="00D97420"/>
    <w:rsid w:val="00D9776A"/>
    <w:rsid w:val="00D97841"/>
    <w:rsid w:val="00D979A6"/>
    <w:rsid w:val="00D97BEF"/>
    <w:rsid w:val="00D97FBD"/>
    <w:rsid w:val="00DA03B5"/>
    <w:rsid w:val="00DA0FBA"/>
    <w:rsid w:val="00DA197E"/>
    <w:rsid w:val="00DA1AA7"/>
    <w:rsid w:val="00DA1AC7"/>
    <w:rsid w:val="00DA1B19"/>
    <w:rsid w:val="00DA1E5A"/>
    <w:rsid w:val="00DA1F94"/>
    <w:rsid w:val="00DA201E"/>
    <w:rsid w:val="00DA236F"/>
    <w:rsid w:val="00DA23B7"/>
    <w:rsid w:val="00DA2A87"/>
    <w:rsid w:val="00DA2D33"/>
    <w:rsid w:val="00DA2E92"/>
    <w:rsid w:val="00DA311C"/>
    <w:rsid w:val="00DA35BF"/>
    <w:rsid w:val="00DA36D0"/>
    <w:rsid w:val="00DA3931"/>
    <w:rsid w:val="00DA3E02"/>
    <w:rsid w:val="00DA42FC"/>
    <w:rsid w:val="00DA466E"/>
    <w:rsid w:val="00DA46A2"/>
    <w:rsid w:val="00DA4D98"/>
    <w:rsid w:val="00DA570C"/>
    <w:rsid w:val="00DA59A6"/>
    <w:rsid w:val="00DA647E"/>
    <w:rsid w:val="00DA65EF"/>
    <w:rsid w:val="00DA7428"/>
    <w:rsid w:val="00DA78BE"/>
    <w:rsid w:val="00DA7D8E"/>
    <w:rsid w:val="00DA7FD3"/>
    <w:rsid w:val="00DB0D91"/>
    <w:rsid w:val="00DB1329"/>
    <w:rsid w:val="00DB17FC"/>
    <w:rsid w:val="00DB1994"/>
    <w:rsid w:val="00DB1BB9"/>
    <w:rsid w:val="00DB1D11"/>
    <w:rsid w:val="00DB1D38"/>
    <w:rsid w:val="00DB1F41"/>
    <w:rsid w:val="00DB20A4"/>
    <w:rsid w:val="00DB24BC"/>
    <w:rsid w:val="00DB280D"/>
    <w:rsid w:val="00DB2955"/>
    <w:rsid w:val="00DB2BCD"/>
    <w:rsid w:val="00DB3D06"/>
    <w:rsid w:val="00DB3DEB"/>
    <w:rsid w:val="00DB3E76"/>
    <w:rsid w:val="00DB4803"/>
    <w:rsid w:val="00DB4BFF"/>
    <w:rsid w:val="00DB4C65"/>
    <w:rsid w:val="00DB5271"/>
    <w:rsid w:val="00DB5309"/>
    <w:rsid w:val="00DB5548"/>
    <w:rsid w:val="00DB5565"/>
    <w:rsid w:val="00DB5974"/>
    <w:rsid w:val="00DB5D91"/>
    <w:rsid w:val="00DB5E98"/>
    <w:rsid w:val="00DB5ED7"/>
    <w:rsid w:val="00DB6329"/>
    <w:rsid w:val="00DB6446"/>
    <w:rsid w:val="00DB64CD"/>
    <w:rsid w:val="00DB6A05"/>
    <w:rsid w:val="00DB6B7E"/>
    <w:rsid w:val="00DB6D3D"/>
    <w:rsid w:val="00DB70BC"/>
    <w:rsid w:val="00DB72DE"/>
    <w:rsid w:val="00DB7618"/>
    <w:rsid w:val="00DB77DF"/>
    <w:rsid w:val="00DB780A"/>
    <w:rsid w:val="00DC01B9"/>
    <w:rsid w:val="00DC07CF"/>
    <w:rsid w:val="00DC0AAD"/>
    <w:rsid w:val="00DC1030"/>
    <w:rsid w:val="00DC135D"/>
    <w:rsid w:val="00DC15E3"/>
    <w:rsid w:val="00DC1A82"/>
    <w:rsid w:val="00DC1DA7"/>
    <w:rsid w:val="00DC1E70"/>
    <w:rsid w:val="00DC21BF"/>
    <w:rsid w:val="00DC2340"/>
    <w:rsid w:val="00DC25C7"/>
    <w:rsid w:val="00DC27F9"/>
    <w:rsid w:val="00DC2F73"/>
    <w:rsid w:val="00DC2FB8"/>
    <w:rsid w:val="00DC30D2"/>
    <w:rsid w:val="00DC3109"/>
    <w:rsid w:val="00DC3974"/>
    <w:rsid w:val="00DC3A97"/>
    <w:rsid w:val="00DC490B"/>
    <w:rsid w:val="00DC4B05"/>
    <w:rsid w:val="00DC529D"/>
    <w:rsid w:val="00DC52D5"/>
    <w:rsid w:val="00DC5A1A"/>
    <w:rsid w:val="00DC5B26"/>
    <w:rsid w:val="00DC5E3B"/>
    <w:rsid w:val="00DC5E4E"/>
    <w:rsid w:val="00DC61DE"/>
    <w:rsid w:val="00DC6685"/>
    <w:rsid w:val="00DC6695"/>
    <w:rsid w:val="00DC6856"/>
    <w:rsid w:val="00DC6DC0"/>
    <w:rsid w:val="00DC719E"/>
    <w:rsid w:val="00DC751B"/>
    <w:rsid w:val="00DC77B7"/>
    <w:rsid w:val="00DC7BD0"/>
    <w:rsid w:val="00DD0091"/>
    <w:rsid w:val="00DD047E"/>
    <w:rsid w:val="00DD0E3D"/>
    <w:rsid w:val="00DD0EA7"/>
    <w:rsid w:val="00DD1275"/>
    <w:rsid w:val="00DD150D"/>
    <w:rsid w:val="00DD15B8"/>
    <w:rsid w:val="00DD178B"/>
    <w:rsid w:val="00DD1795"/>
    <w:rsid w:val="00DD1836"/>
    <w:rsid w:val="00DD1B33"/>
    <w:rsid w:val="00DD1DC1"/>
    <w:rsid w:val="00DD20A1"/>
    <w:rsid w:val="00DD21D8"/>
    <w:rsid w:val="00DD2202"/>
    <w:rsid w:val="00DD22EC"/>
    <w:rsid w:val="00DD249E"/>
    <w:rsid w:val="00DD2814"/>
    <w:rsid w:val="00DD28BC"/>
    <w:rsid w:val="00DD2D4F"/>
    <w:rsid w:val="00DD2DB2"/>
    <w:rsid w:val="00DD3296"/>
    <w:rsid w:val="00DD346E"/>
    <w:rsid w:val="00DD35B9"/>
    <w:rsid w:val="00DD3B1D"/>
    <w:rsid w:val="00DD414D"/>
    <w:rsid w:val="00DD46D9"/>
    <w:rsid w:val="00DD47C9"/>
    <w:rsid w:val="00DD4DD0"/>
    <w:rsid w:val="00DD4DE4"/>
    <w:rsid w:val="00DD4E18"/>
    <w:rsid w:val="00DD5085"/>
    <w:rsid w:val="00DD594A"/>
    <w:rsid w:val="00DD5BB6"/>
    <w:rsid w:val="00DD5E6F"/>
    <w:rsid w:val="00DD6EA2"/>
    <w:rsid w:val="00DD6EAF"/>
    <w:rsid w:val="00DD73AF"/>
    <w:rsid w:val="00DD7C2F"/>
    <w:rsid w:val="00DD7E89"/>
    <w:rsid w:val="00DD7F38"/>
    <w:rsid w:val="00DE0BD2"/>
    <w:rsid w:val="00DE17C9"/>
    <w:rsid w:val="00DE180F"/>
    <w:rsid w:val="00DE18DD"/>
    <w:rsid w:val="00DE1921"/>
    <w:rsid w:val="00DE199C"/>
    <w:rsid w:val="00DE1B07"/>
    <w:rsid w:val="00DE1E0A"/>
    <w:rsid w:val="00DE1E4E"/>
    <w:rsid w:val="00DE212D"/>
    <w:rsid w:val="00DE2353"/>
    <w:rsid w:val="00DE24D4"/>
    <w:rsid w:val="00DE2979"/>
    <w:rsid w:val="00DE29E6"/>
    <w:rsid w:val="00DE2E8C"/>
    <w:rsid w:val="00DE2FE1"/>
    <w:rsid w:val="00DE335E"/>
    <w:rsid w:val="00DE34ED"/>
    <w:rsid w:val="00DE3667"/>
    <w:rsid w:val="00DE3EDA"/>
    <w:rsid w:val="00DE3F93"/>
    <w:rsid w:val="00DE4910"/>
    <w:rsid w:val="00DE49B0"/>
    <w:rsid w:val="00DE53A4"/>
    <w:rsid w:val="00DE56A1"/>
    <w:rsid w:val="00DE590F"/>
    <w:rsid w:val="00DE5B25"/>
    <w:rsid w:val="00DE5EAC"/>
    <w:rsid w:val="00DE5F30"/>
    <w:rsid w:val="00DE63BE"/>
    <w:rsid w:val="00DE65F9"/>
    <w:rsid w:val="00DE67CE"/>
    <w:rsid w:val="00DE690A"/>
    <w:rsid w:val="00DE729D"/>
    <w:rsid w:val="00DE73A6"/>
    <w:rsid w:val="00DE74BA"/>
    <w:rsid w:val="00DE7520"/>
    <w:rsid w:val="00DE7C9C"/>
    <w:rsid w:val="00DE7D44"/>
    <w:rsid w:val="00DE7E61"/>
    <w:rsid w:val="00DF013E"/>
    <w:rsid w:val="00DF01A2"/>
    <w:rsid w:val="00DF0226"/>
    <w:rsid w:val="00DF0369"/>
    <w:rsid w:val="00DF040C"/>
    <w:rsid w:val="00DF06D8"/>
    <w:rsid w:val="00DF07A6"/>
    <w:rsid w:val="00DF07C3"/>
    <w:rsid w:val="00DF0832"/>
    <w:rsid w:val="00DF086F"/>
    <w:rsid w:val="00DF09D3"/>
    <w:rsid w:val="00DF1162"/>
    <w:rsid w:val="00DF1367"/>
    <w:rsid w:val="00DF1444"/>
    <w:rsid w:val="00DF1464"/>
    <w:rsid w:val="00DF174A"/>
    <w:rsid w:val="00DF18CE"/>
    <w:rsid w:val="00DF19C3"/>
    <w:rsid w:val="00DF1D36"/>
    <w:rsid w:val="00DF1E47"/>
    <w:rsid w:val="00DF1FDC"/>
    <w:rsid w:val="00DF26B1"/>
    <w:rsid w:val="00DF2B69"/>
    <w:rsid w:val="00DF3076"/>
    <w:rsid w:val="00DF31A8"/>
    <w:rsid w:val="00DF43E1"/>
    <w:rsid w:val="00DF4945"/>
    <w:rsid w:val="00DF4E95"/>
    <w:rsid w:val="00DF5372"/>
    <w:rsid w:val="00DF5480"/>
    <w:rsid w:val="00DF5724"/>
    <w:rsid w:val="00DF5755"/>
    <w:rsid w:val="00DF5A80"/>
    <w:rsid w:val="00DF612F"/>
    <w:rsid w:val="00DF67B7"/>
    <w:rsid w:val="00DF6926"/>
    <w:rsid w:val="00DF6BA2"/>
    <w:rsid w:val="00DF7798"/>
    <w:rsid w:val="00DF7AFB"/>
    <w:rsid w:val="00DF7D95"/>
    <w:rsid w:val="00E00354"/>
    <w:rsid w:val="00E015BB"/>
    <w:rsid w:val="00E01635"/>
    <w:rsid w:val="00E0174B"/>
    <w:rsid w:val="00E01D2A"/>
    <w:rsid w:val="00E01D6F"/>
    <w:rsid w:val="00E020AA"/>
    <w:rsid w:val="00E02237"/>
    <w:rsid w:val="00E027FD"/>
    <w:rsid w:val="00E02E5B"/>
    <w:rsid w:val="00E02E79"/>
    <w:rsid w:val="00E03335"/>
    <w:rsid w:val="00E033A7"/>
    <w:rsid w:val="00E038F7"/>
    <w:rsid w:val="00E03A9D"/>
    <w:rsid w:val="00E03ED8"/>
    <w:rsid w:val="00E04133"/>
    <w:rsid w:val="00E046BC"/>
    <w:rsid w:val="00E04791"/>
    <w:rsid w:val="00E04C2D"/>
    <w:rsid w:val="00E04C73"/>
    <w:rsid w:val="00E050FD"/>
    <w:rsid w:val="00E051DC"/>
    <w:rsid w:val="00E05E78"/>
    <w:rsid w:val="00E064B1"/>
    <w:rsid w:val="00E06852"/>
    <w:rsid w:val="00E06E91"/>
    <w:rsid w:val="00E06F40"/>
    <w:rsid w:val="00E07077"/>
    <w:rsid w:val="00E0722A"/>
    <w:rsid w:val="00E07BF3"/>
    <w:rsid w:val="00E07E1A"/>
    <w:rsid w:val="00E1047D"/>
    <w:rsid w:val="00E104FB"/>
    <w:rsid w:val="00E10C01"/>
    <w:rsid w:val="00E1155A"/>
    <w:rsid w:val="00E11D46"/>
    <w:rsid w:val="00E12893"/>
    <w:rsid w:val="00E1350E"/>
    <w:rsid w:val="00E135D4"/>
    <w:rsid w:val="00E139D6"/>
    <w:rsid w:val="00E1410A"/>
    <w:rsid w:val="00E14CB0"/>
    <w:rsid w:val="00E15613"/>
    <w:rsid w:val="00E15AD4"/>
    <w:rsid w:val="00E15CA0"/>
    <w:rsid w:val="00E1617D"/>
    <w:rsid w:val="00E16189"/>
    <w:rsid w:val="00E16359"/>
    <w:rsid w:val="00E163EA"/>
    <w:rsid w:val="00E1647D"/>
    <w:rsid w:val="00E169C7"/>
    <w:rsid w:val="00E16B77"/>
    <w:rsid w:val="00E16DB7"/>
    <w:rsid w:val="00E16F52"/>
    <w:rsid w:val="00E16F74"/>
    <w:rsid w:val="00E179D8"/>
    <w:rsid w:val="00E17EE5"/>
    <w:rsid w:val="00E17F17"/>
    <w:rsid w:val="00E201B8"/>
    <w:rsid w:val="00E202C7"/>
    <w:rsid w:val="00E20398"/>
    <w:rsid w:val="00E2061E"/>
    <w:rsid w:val="00E209A6"/>
    <w:rsid w:val="00E20B85"/>
    <w:rsid w:val="00E20F5E"/>
    <w:rsid w:val="00E21944"/>
    <w:rsid w:val="00E21C84"/>
    <w:rsid w:val="00E2248C"/>
    <w:rsid w:val="00E22659"/>
    <w:rsid w:val="00E2281F"/>
    <w:rsid w:val="00E22936"/>
    <w:rsid w:val="00E22C2C"/>
    <w:rsid w:val="00E23358"/>
    <w:rsid w:val="00E235D3"/>
    <w:rsid w:val="00E235F2"/>
    <w:rsid w:val="00E237C7"/>
    <w:rsid w:val="00E23E75"/>
    <w:rsid w:val="00E23EC7"/>
    <w:rsid w:val="00E2464E"/>
    <w:rsid w:val="00E24718"/>
    <w:rsid w:val="00E248FE"/>
    <w:rsid w:val="00E24CBB"/>
    <w:rsid w:val="00E25282"/>
    <w:rsid w:val="00E25547"/>
    <w:rsid w:val="00E2560B"/>
    <w:rsid w:val="00E25760"/>
    <w:rsid w:val="00E257E2"/>
    <w:rsid w:val="00E25B84"/>
    <w:rsid w:val="00E25CC1"/>
    <w:rsid w:val="00E264AC"/>
    <w:rsid w:val="00E26D0F"/>
    <w:rsid w:val="00E26DBE"/>
    <w:rsid w:val="00E26E9B"/>
    <w:rsid w:val="00E2717A"/>
    <w:rsid w:val="00E27A67"/>
    <w:rsid w:val="00E27D39"/>
    <w:rsid w:val="00E30136"/>
    <w:rsid w:val="00E3014C"/>
    <w:rsid w:val="00E303BB"/>
    <w:rsid w:val="00E30822"/>
    <w:rsid w:val="00E30A37"/>
    <w:rsid w:val="00E3117C"/>
    <w:rsid w:val="00E312A3"/>
    <w:rsid w:val="00E31302"/>
    <w:rsid w:val="00E31F08"/>
    <w:rsid w:val="00E31F44"/>
    <w:rsid w:val="00E3213A"/>
    <w:rsid w:val="00E321D7"/>
    <w:rsid w:val="00E323A6"/>
    <w:rsid w:val="00E330CE"/>
    <w:rsid w:val="00E33279"/>
    <w:rsid w:val="00E3331C"/>
    <w:rsid w:val="00E335B0"/>
    <w:rsid w:val="00E339CB"/>
    <w:rsid w:val="00E34843"/>
    <w:rsid w:val="00E34BF5"/>
    <w:rsid w:val="00E35536"/>
    <w:rsid w:val="00E35920"/>
    <w:rsid w:val="00E36129"/>
    <w:rsid w:val="00E363A8"/>
    <w:rsid w:val="00E3788F"/>
    <w:rsid w:val="00E37A98"/>
    <w:rsid w:val="00E37DE1"/>
    <w:rsid w:val="00E37FBA"/>
    <w:rsid w:val="00E40099"/>
    <w:rsid w:val="00E407BA"/>
    <w:rsid w:val="00E41115"/>
    <w:rsid w:val="00E4177B"/>
    <w:rsid w:val="00E419A1"/>
    <w:rsid w:val="00E41A5E"/>
    <w:rsid w:val="00E41B51"/>
    <w:rsid w:val="00E41F08"/>
    <w:rsid w:val="00E4217C"/>
    <w:rsid w:val="00E4298F"/>
    <w:rsid w:val="00E42A3C"/>
    <w:rsid w:val="00E42AB0"/>
    <w:rsid w:val="00E434E7"/>
    <w:rsid w:val="00E43536"/>
    <w:rsid w:val="00E43A2B"/>
    <w:rsid w:val="00E43E76"/>
    <w:rsid w:val="00E43F8A"/>
    <w:rsid w:val="00E4449D"/>
    <w:rsid w:val="00E4452D"/>
    <w:rsid w:val="00E4487B"/>
    <w:rsid w:val="00E44961"/>
    <w:rsid w:val="00E44AED"/>
    <w:rsid w:val="00E44E48"/>
    <w:rsid w:val="00E45220"/>
    <w:rsid w:val="00E452FA"/>
    <w:rsid w:val="00E45BEC"/>
    <w:rsid w:val="00E464AB"/>
    <w:rsid w:val="00E46AE0"/>
    <w:rsid w:val="00E46AFC"/>
    <w:rsid w:val="00E46DF7"/>
    <w:rsid w:val="00E46E4B"/>
    <w:rsid w:val="00E470E7"/>
    <w:rsid w:val="00E4740C"/>
    <w:rsid w:val="00E4758F"/>
    <w:rsid w:val="00E4761C"/>
    <w:rsid w:val="00E47827"/>
    <w:rsid w:val="00E47942"/>
    <w:rsid w:val="00E50367"/>
    <w:rsid w:val="00E5038C"/>
    <w:rsid w:val="00E50572"/>
    <w:rsid w:val="00E506F5"/>
    <w:rsid w:val="00E50CA8"/>
    <w:rsid w:val="00E50FE6"/>
    <w:rsid w:val="00E5154E"/>
    <w:rsid w:val="00E51D5C"/>
    <w:rsid w:val="00E51D5D"/>
    <w:rsid w:val="00E51EDC"/>
    <w:rsid w:val="00E529F6"/>
    <w:rsid w:val="00E52C17"/>
    <w:rsid w:val="00E534E9"/>
    <w:rsid w:val="00E53BE6"/>
    <w:rsid w:val="00E5416F"/>
    <w:rsid w:val="00E54588"/>
    <w:rsid w:val="00E54BDB"/>
    <w:rsid w:val="00E54EDE"/>
    <w:rsid w:val="00E54F94"/>
    <w:rsid w:val="00E55661"/>
    <w:rsid w:val="00E55704"/>
    <w:rsid w:val="00E5588E"/>
    <w:rsid w:val="00E558F5"/>
    <w:rsid w:val="00E566C8"/>
    <w:rsid w:val="00E5682C"/>
    <w:rsid w:val="00E569C3"/>
    <w:rsid w:val="00E6028C"/>
    <w:rsid w:val="00E6077E"/>
    <w:rsid w:val="00E60D4B"/>
    <w:rsid w:val="00E615A2"/>
    <w:rsid w:val="00E61876"/>
    <w:rsid w:val="00E61A46"/>
    <w:rsid w:val="00E61A85"/>
    <w:rsid w:val="00E61C20"/>
    <w:rsid w:val="00E61C49"/>
    <w:rsid w:val="00E61D1D"/>
    <w:rsid w:val="00E62269"/>
    <w:rsid w:val="00E62452"/>
    <w:rsid w:val="00E62A33"/>
    <w:rsid w:val="00E62B3B"/>
    <w:rsid w:val="00E630B8"/>
    <w:rsid w:val="00E63225"/>
    <w:rsid w:val="00E6322F"/>
    <w:rsid w:val="00E63ACB"/>
    <w:rsid w:val="00E63C28"/>
    <w:rsid w:val="00E63C70"/>
    <w:rsid w:val="00E64471"/>
    <w:rsid w:val="00E64B30"/>
    <w:rsid w:val="00E64B61"/>
    <w:rsid w:val="00E64C1E"/>
    <w:rsid w:val="00E64C92"/>
    <w:rsid w:val="00E64D10"/>
    <w:rsid w:val="00E651AF"/>
    <w:rsid w:val="00E65400"/>
    <w:rsid w:val="00E65AB1"/>
    <w:rsid w:val="00E65E63"/>
    <w:rsid w:val="00E65E85"/>
    <w:rsid w:val="00E66054"/>
    <w:rsid w:val="00E66245"/>
    <w:rsid w:val="00E66344"/>
    <w:rsid w:val="00E66545"/>
    <w:rsid w:val="00E671B3"/>
    <w:rsid w:val="00E673C5"/>
    <w:rsid w:val="00E67A22"/>
    <w:rsid w:val="00E67A43"/>
    <w:rsid w:val="00E67E2C"/>
    <w:rsid w:val="00E70257"/>
    <w:rsid w:val="00E706A8"/>
    <w:rsid w:val="00E70A58"/>
    <w:rsid w:val="00E70B70"/>
    <w:rsid w:val="00E71387"/>
    <w:rsid w:val="00E71B49"/>
    <w:rsid w:val="00E71B8B"/>
    <w:rsid w:val="00E71F1C"/>
    <w:rsid w:val="00E72954"/>
    <w:rsid w:val="00E72ACA"/>
    <w:rsid w:val="00E72D01"/>
    <w:rsid w:val="00E72D71"/>
    <w:rsid w:val="00E72D87"/>
    <w:rsid w:val="00E72F52"/>
    <w:rsid w:val="00E731FD"/>
    <w:rsid w:val="00E73340"/>
    <w:rsid w:val="00E73558"/>
    <w:rsid w:val="00E73A2A"/>
    <w:rsid w:val="00E73D6A"/>
    <w:rsid w:val="00E73FF4"/>
    <w:rsid w:val="00E74252"/>
    <w:rsid w:val="00E745CE"/>
    <w:rsid w:val="00E74800"/>
    <w:rsid w:val="00E74F43"/>
    <w:rsid w:val="00E75AE3"/>
    <w:rsid w:val="00E75B19"/>
    <w:rsid w:val="00E75B74"/>
    <w:rsid w:val="00E75CBD"/>
    <w:rsid w:val="00E764BE"/>
    <w:rsid w:val="00E764EB"/>
    <w:rsid w:val="00E76569"/>
    <w:rsid w:val="00E767EB"/>
    <w:rsid w:val="00E7685C"/>
    <w:rsid w:val="00E76860"/>
    <w:rsid w:val="00E7753B"/>
    <w:rsid w:val="00E77652"/>
    <w:rsid w:val="00E777BD"/>
    <w:rsid w:val="00E77ADD"/>
    <w:rsid w:val="00E77D29"/>
    <w:rsid w:val="00E77FF4"/>
    <w:rsid w:val="00E802D6"/>
    <w:rsid w:val="00E802EE"/>
    <w:rsid w:val="00E80351"/>
    <w:rsid w:val="00E803BC"/>
    <w:rsid w:val="00E8045D"/>
    <w:rsid w:val="00E804E3"/>
    <w:rsid w:val="00E806B5"/>
    <w:rsid w:val="00E806DB"/>
    <w:rsid w:val="00E808EC"/>
    <w:rsid w:val="00E80956"/>
    <w:rsid w:val="00E80A57"/>
    <w:rsid w:val="00E80A69"/>
    <w:rsid w:val="00E80ACE"/>
    <w:rsid w:val="00E80D8C"/>
    <w:rsid w:val="00E80E96"/>
    <w:rsid w:val="00E814C0"/>
    <w:rsid w:val="00E8152F"/>
    <w:rsid w:val="00E81833"/>
    <w:rsid w:val="00E818AA"/>
    <w:rsid w:val="00E818B5"/>
    <w:rsid w:val="00E81F1F"/>
    <w:rsid w:val="00E8237B"/>
    <w:rsid w:val="00E823CC"/>
    <w:rsid w:val="00E82639"/>
    <w:rsid w:val="00E82737"/>
    <w:rsid w:val="00E8276B"/>
    <w:rsid w:val="00E82DE5"/>
    <w:rsid w:val="00E82F9B"/>
    <w:rsid w:val="00E832CE"/>
    <w:rsid w:val="00E83673"/>
    <w:rsid w:val="00E83762"/>
    <w:rsid w:val="00E83764"/>
    <w:rsid w:val="00E837B5"/>
    <w:rsid w:val="00E83B16"/>
    <w:rsid w:val="00E83B49"/>
    <w:rsid w:val="00E83D6C"/>
    <w:rsid w:val="00E843DA"/>
    <w:rsid w:val="00E8453D"/>
    <w:rsid w:val="00E84679"/>
    <w:rsid w:val="00E8477A"/>
    <w:rsid w:val="00E8494D"/>
    <w:rsid w:val="00E84E05"/>
    <w:rsid w:val="00E84EC7"/>
    <w:rsid w:val="00E84F39"/>
    <w:rsid w:val="00E84FFD"/>
    <w:rsid w:val="00E85195"/>
    <w:rsid w:val="00E85266"/>
    <w:rsid w:val="00E852CE"/>
    <w:rsid w:val="00E856E1"/>
    <w:rsid w:val="00E859DC"/>
    <w:rsid w:val="00E86437"/>
    <w:rsid w:val="00E86457"/>
    <w:rsid w:val="00E866BE"/>
    <w:rsid w:val="00E866E7"/>
    <w:rsid w:val="00E869CD"/>
    <w:rsid w:val="00E86A66"/>
    <w:rsid w:val="00E86C39"/>
    <w:rsid w:val="00E8735C"/>
    <w:rsid w:val="00E90908"/>
    <w:rsid w:val="00E916D0"/>
    <w:rsid w:val="00E91B04"/>
    <w:rsid w:val="00E91B7B"/>
    <w:rsid w:val="00E91DB2"/>
    <w:rsid w:val="00E91DB3"/>
    <w:rsid w:val="00E920E1"/>
    <w:rsid w:val="00E92301"/>
    <w:rsid w:val="00E92538"/>
    <w:rsid w:val="00E92F23"/>
    <w:rsid w:val="00E9301F"/>
    <w:rsid w:val="00E932D4"/>
    <w:rsid w:val="00E93366"/>
    <w:rsid w:val="00E936D6"/>
    <w:rsid w:val="00E93836"/>
    <w:rsid w:val="00E9384D"/>
    <w:rsid w:val="00E93926"/>
    <w:rsid w:val="00E93C6F"/>
    <w:rsid w:val="00E9403B"/>
    <w:rsid w:val="00E94384"/>
    <w:rsid w:val="00E9466D"/>
    <w:rsid w:val="00E947E1"/>
    <w:rsid w:val="00E949C9"/>
    <w:rsid w:val="00E950EC"/>
    <w:rsid w:val="00E95D8A"/>
    <w:rsid w:val="00E95EE4"/>
    <w:rsid w:val="00E96350"/>
    <w:rsid w:val="00E96501"/>
    <w:rsid w:val="00E9651A"/>
    <w:rsid w:val="00E96988"/>
    <w:rsid w:val="00E96F24"/>
    <w:rsid w:val="00E9730C"/>
    <w:rsid w:val="00E973DC"/>
    <w:rsid w:val="00E97433"/>
    <w:rsid w:val="00E976AB"/>
    <w:rsid w:val="00E97A45"/>
    <w:rsid w:val="00E97B01"/>
    <w:rsid w:val="00E97F1C"/>
    <w:rsid w:val="00EA0190"/>
    <w:rsid w:val="00EA03DD"/>
    <w:rsid w:val="00EA070B"/>
    <w:rsid w:val="00EA07AD"/>
    <w:rsid w:val="00EA085E"/>
    <w:rsid w:val="00EA08F1"/>
    <w:rsid w:val="00EA0DC6"/>
    <w:rsid w:val="00EA0E48"/>
    <w:rsid w:val="00EA0E6C"/>
    <w:rsid w:val="00EA105D"/>
    <w:rsid w:val="00EA1300"/>
    <w:rsid w:val="00EA1474"/>
    <w:rsid w:val="00EA1C69"/>
    <w:rsid w:val="00EA1EAC"/>
    <w:rsid w:val="00EA2442"/>
    <w:rsid w:val="00EA2580"/>
    <w:rsid w:val="00EA26C3"/>
    <w:rsid w:val="00EA26D1"/>
    <w:rsid w:val="00EA2761"/>
    <w:rsid w:val="00EA27D2"/>
    <w:rsid w:val="00EA28CE"/>
    <w:rsid w:val="00EA2B47"/>
    <w:rsid w:val="00EA2F5B"/>
    <w:rsid w:val="00EA3019"/>
    <w:rsid w:val="00EA3847"/>
    <w:rsid w:val="00EA3A1B"/>
    <w:rsid w:val="00EA3B8D"/>
    <w:rsid w:val="00EA3DD0"/>
    <w:rsid w:val="00EA41CB"/>
    <w:rsid w:val="00EA4308"/>
    <w:rsid w:val="00EA4ACA"/>
    <w:rsid w:val="00EA4E54"/>
    <w:rsid w:val="00EA5162"/>
    <w:rsid w:val="00EA5230"/>
    <w:rsid w:val="00EA5457"/>
    <w:rsid w:val="00EA5466"/>
    <w:rsid w:val="00EA5595"/>
    <w:rsid w:val="00EA5E45"/>
    <w:rsid w:val="00EA6459"/>
    <w:rsid w:val="00EA6952"/>
    <w:rsid w:val="00EA6A5A"/>
    <w:rsid w:val="00EA6CFF"/>
    <w:rsid w:val="00EA6D71"/>
    <w:rsid w:val="00EA7068"/>
    <w:rsid w:val="00EA7292"/>
    <w:rsid w:val="00EA78BB"/>
    <w:rsid w:val="00EA797B"/>
    <w:rsid w:val="00EA7AD7"/>
    <w:rsid w:val="00EA7B26"/>
    <w:rsid w:val="00EA7B73"/>
    <w:rsid w:val="00EA7DCF"/>
    <w:rsid w:val="00EB0232"/>
    <w:rsid w:val="00EB06B8"/>
    <w:rsid w:val="00EB0B1A"/>
    <w:rsid w:val="00EB0C09"/>
    <w:rsid w:val="00EB11A3"/>
    <w:rsid w:val="00EB13BF"/>
    <w:rsid w:val="00EB1E17"/>
    <w:rsid w:val="00EB20D5"/>
    <w:rsid w:val="00EB23CF"/>
    <w:rsid w:val="00EB24DE"/>
    <w:rsid w:val="00EB2ACF"/>
    <w:rsid w:val="00EB2C33"/>
    <w:rsid w:val="00EB2CBA"/>
    <w:rsid w:val="00EB2DC0"/>
    <w:rsid w:val="00EB35D2"/>
    <w:rsid w:val="00EB3A58"/>
    <w:rsid w:val="00EB3E75"/>
    <w:rsid w:val="00EB3FFE"/>
    <w:rsid w:val="00EB40DC"/>
    <w:rsid w:val="00EB5435"/>
    <w:rsid w:val="00EB55C6"/>
    <w:rsid w:val="00EB566A"/>
    <w:rsid w:val="00EB582E"/>
    <w:rsid w:val="00EB5C80"/>
    <w:rsid w:val="00EB6638"/>
    <w:rsid w:val="00EB675B"/>
    <w:rsid w:val="00EB6D74"/>
    <w:rsid w:val="00EB6EA7"/>
    <w:rsid w:val="00EB6F15"/>
    <w:rsid w:val="00EB707C"/>
    <w:rsid w:val="00EB7120"/>
    <w:rsid w:val="00EB7426"/>
    <w:rsid w:val="00EB74D5"/>
    <w:rsid w:val="00EB762E"/>
    <w:rsid w:val="00EB79EC"/>
    <w:rsid w:val="00EB7C74"/>
    <w:rsid w:val="00EB7D6F"/>
    <w:rsid w:val="00EB7F83"/>
    <w:rsid w:val="00EC0171"/>
    <w:rsid w:val="00EC14DD"/>
    <w:rsid w:val="00EC1B56"/>
    <w:rsid w:val="00EC1BC5"/>
    <w:rsid w:val="00EC1EEA"/>
    <w:rsid w:val="00EC2012"/>
    <w:rsid w:val="00EC2923"/>
    <w:rsid w:val="00EC2945"/>
    <w:rsid w:val="00EC2E95"/>
    <w:rsid w:val="00EC32E4"/>
    <w:rsid w:val="00EC3398"/>
    <w:rsid w:val="00EC3881"/>
    <w:rsid w:val="00EC391C"/>
    <w:rsid w:val="00EC3AF1"/>
    <w:rsid w:val="00EC3B62"/>
    <w:rsid w:val="00EC3B68"/>
    <w:rsid w:val="00EC3BE0"/>
    <w:rsid w:val="00EC412D"/>
    <w:rsid w:val="00EC414F"/>
    <w:rsid w:val="00EC5012"/>
    <w:rsid w:val="00EC5564"/>
    <w:rsid w:val="00EC5789"/>
    <w:rsid w:val="00EC5A71"/>
    <w:rsid w:val="00EC5C7C"/>
    <w:rsid w:val="00EC5F80"/>
    <w:rsid w:val="00EC5FC6"/>
    <w:rsid w:val="00EC6432"/>
    <w:rsid w:val="00EC658D"/>
    <w:rsid w:val="00EC66B0"/>
    <w:rsid w:val="00EC697E"/>
    <w:rsid w:val="00EC69C9"/>
    <w:rsid w:val="00EC6C56"/>
    <w:rsid w:val="00EC7A3E"/>
    <w:rsid w:val="00EC7B4D"/>
    <w:rsid w:val="00EC7BD9"/>
    <w:rsid w:val="00EC7F37"/>
    <w:rsid w:val="00ED0093"/>
    <w:rsid w:val="00ED0399"/>
    <w:rsid w:val="00ED03F3"/>
    <w:rsid w:val="00ED0666"/>
    <w:rsid w:val="00ED06F6"/>
    <w:rsid w:val="00ED16F5"/>
    <w:rsid w:val="00ED1D65"/>
    <w:rsid w:val="00ED2124"/>
    <w:rsid w:val="00ED2691"/>
    <w:rsid w:val="00ED2BEF"/>
    <w:rsid w:val="00ED2D09"/>
    <w:rsid w:val="00ED311A"/>
    <w:rsid w:val="00ED31E2"/>
    <w:rsid w:val="00ED334D"/>
    <w:rsid w:val="00ED3683"/>
    <w:rsid w:val="00ED44E5"/>
    <w:rsid w:val="00ED4E7E"/>
    <w:rsid w:val="00ED4FBE"/>
    <w:rsid w:val="00ED5009"/>
    <w:rsid w:val="00ED533F"/>
    <w:rsid w:val="00ED57E2"/>
    <w:rsid w:val="00ED5F98"/>
    <w:rsid w:val="00ED626E"/>
    <w:rsid w:val="00ED640A"/>
    <w:rsid w:val="00ED6D77"/>
    <w:rsid w:val="00ED6E8D"/>
    <w:rsid w:val="00ED713A"/>
    <w:rsid w:val="00ED7499"/>
    <w:rsid w:val="00ED78CE"/>
    <w:rsid w:val="00ED795E"/>
    <w:rsid w:val="00ED7B88"/>
    <w:rsid w:val="00ED7BA6"/>
    <w:rsid w:val="00ED7BB8"/>
    <w:rsid w:val="00EE0016"/>
    <w:rsid w:val="00EE01C0"/>
    <w:rsid w:val="00EE02E6"/>
    <w:rsid w:val="00EE0301"/>
    <w:rsid w:val="00EE037A"/>
    <w:rsid w:val="00EE03D1"/>
    <w:rsid w:val="00EE05DD"/>
    <w:rsid w:val="00EE078F"/>
    <w:rsid w:val="00EE0A87"/>
    <w:rsid w:val="00EE0E7D"/>
    <w:rsid w:val="00EE111F"/>
    <w:rsid w:val="00EE1196"/>
    <w:rsid w:val="00EE1A55"/>
    <w:rsid w:val="00EE1B75"/>
    <w:rsid w:val="00EE1B82"/>
    <w:rsid w:val="00EE1DA1"/>
    <w:rsid w:val="00EE1F73"/>
    <w:rsid w:val="00EE2E72"/>
    <w:rsid w:val="00EE2E89"/>
    <w:rsid w:val="00EE2ECB"/>
    <w:rsid w:val="00EE31E0"/>
    <w:rsid w:val="00EE32FE"/>
    <w:rsid w:val="00EE3355"/>
    <w:rsid w:val="00EE3453"/>
    <w:rsid w:val="00EE3CAE"/>
    <w:rsid w:val="00EE3E76"/>
    <w:rsid w:val="00EE3F54"/>
    <w:rsid w:val="00EE472B"/>
    <w:rsid w:val="00EE4A33"/>
    <w:rsid w:val="00EE4BFC"/>
    <w:rsid w:val="00EE4C84"/>
    <w:rsid w:val="00EE4C8D"/>
    <w:rsid w:val="00EE5064"/>
    <w:rsid w:val="00EE5A77"/>
    <w:rsid w:val="00EE6009"/>
    <w:rsid w:val="00EE62A1"/>
    <w:rsid w:val="00EE656C"/>
    <w:rsid w:val="00EE6B7E"/>
    <w:rsid w:val="00EE6D05"/>
    <w:rsid w:val="00EE74D0"/>
    <w:rsid w:val="00EE7A02"/>
    <w:rsid w:val="00EE7DE1"/>
    <w:rsid w:val="00EE7ECF"/>
    <w:rsid w:val="00EE7F3B"/>
    <w:rsid w:val="00EF0028"/>
    <w:rsid w:val="00EF058B"/>
    <w:rsid w:val="00EF090E"/>
    <w:rsid w:val="00EF11AE"/>
    <w:rsid w:val="00EF1A4D"/>
    <w:rsid w:val="00EF1A9D"/>
    <w:rsid w:val="00EF1C84"/>
    <w:rsid w:val="00EF1D3E"/>
    <w:rsid w:val="00EF1DF6"/>
    <w:rsid w:val="00EF24A6"/>
    <w:rsid w:val="00EF2943"/>
    <w:rsid w:val="00EF2D20"/>
    <w:rsid w:val="00EF309C"/>
    <w:rsid w:val="00EF30A9"/>
    <w:rsid w:val="00EF35A9"/>
    <w:rsid w:val="00EF3B4C"/>
    <w:rsid w:val="00EF41D3"/>
    <w:rsid w:val="00EF41E8"/>
    <w:rsid w:val="00EF43C5"/>
    <w:rsid w:val="00EF485E"/>
    <w:rsid w:val="00EF4941"/>
    <w:rsid w:val="00EF4EDC"/>
    <w:rsid w:val="00EF51D4"/>
    <w:rsid w:val="00EF539B"/>
    <w:rsid w:val="00EF5693"/>
    <w:rsid w:val="00EF56B7"/>
    <w:rsid w:val="00EF56CB"/>
    <w:rsid w:val="00EF5706"/>
    <w:rsid w:val="00EF594A"/>
    <w:rsid w:val="00EF59D1"/>
    <w:rsid w:val="00EF5C04"/>
    <w:rsid w:val="00EF5DB3"/>
    <w:rsid w:val="00EF5E00"/>
    <w:rsid w:val="00EF5F90"/>
    <w:rsid w:val="00EF6172"/>
    <w:rsid w:val="00EF61E0"/>
    <w:rsid w:val="00EF69CC"/>
    <w:rsid w:val="00EF6A8C"/>
    <w:rsid w:val="00EF6E64"/>
    <w:rsid w:val="00EF76B0"/>
    <w:rsid w:val="00EF7C87"/>
    <w:rsid w:val="00EF7F5E"/>
    <w:rsid w:val="00F006B8"/>
    <w:rsid w:val="00F006F5"/>
    <w:rsid w:val="00F00765"/>
    <w:rsid w:val="00F00987"/>
    <w:rsid w:val="00F00A95"/>
    <w:rsid w:val="00F00D32"/>
    <w:rsid w:val="00F00DB6"/>
    <w:rsid w:val="00F00E22"/>
    <w:rsid w:val="00F00E45"/>
    <w:rsid w:val="00F01398"/>
    <w:rsid w:val="00F0191B"/>
    <w:rsid w:val="00F01B45"/>
    <w:rsid w:val="00F01BC4"/>
    <w:rsid w:val="00F01C0A"/>
    <w:rsid w:val="00F01D2B"/>
    <w:rsid w:val="00F01EEE"/>
    <w:rsid w:val="00F02257"/>
    <w:rsid w:val="00F022CB"/>
    <w:rsid w:val="00F022E0"/>
    <w:rsid w:val="00F0239E"/>
    <w:rsid w:val="00F024BB"/>
    <w:rsid w:val="00F02CAD"/>
    <w:rsid w:val="00F0319B"/>
    <w:rsid w:val="00F033D7"/>
    <w:rsid w:val="00F03765"/>
    <w:rsid w:val="00F03897"/>
    <w:rsid w:val="00F03BED"/>
    <w:rsid w:val="00F03CF6"/>
    <w:rsid w:val="00F03DDA"/>
    <w:rsid w:val="00F040D7"/>
    <w:rsid w:val="00F04170"/>
    <w:rsid w:val="00F0448C"/>
    <w:rsid w:val="00F0462C"/>
    <w:rsid w:val="00F04711"/>
    <w:rsid w:val="00F04769"/>
    <w:rsid w:val="00F04A20"/>
    <w:rsid w:val="00F04A40"/>
    <w:rsid w:val="00F04ADF"/>
    <w:rsid w:val="00F04C91"/>
    <w:rsid w:val="00F04EDF"/>
    <w:rsid w:val="00F05107"/>
    <w:rsid w:val="00F054C3"/>
    <w:rsid w:val="00F05627"/>
    <w:rsid w:val="00F056A9"/>
    <w:rsid w:val="00F05D01"/>
    <w:rsid w:val="00F05E71"/>
    <w:rsid w:val="00F05F5D"/>
    <w:rsid w:val="00F0619F"/>
    <w:rsid w:val="00F06365"/>
    <w:rsid w:val="00F06B37"/>
    <w:rsid w:val="00F06BC1"/>
    <w:rsid w:val="00F06C4B"/>
    <w:rsid w:val="00F072EA"/>
    <w:rsid w:val="00F073A5"/>
    <w:rsid w:val="00F07418"/>
    <w:rsid w:val="00F07AC0"/>
    <w:rsid w:val="00F07C69"/>
    <w:rsid w:val="00F1015D"/>
    <w:rsid w:val="00F10262"/>
    <w:rsid w:val="00F102B4"/>
    <w:rsid w:val="00F104A9"/>
    <w:rsid w:val="00F106B2"/>
    <w:rsid w:val="00F10F6B"/>
    <w:rsid w:val="00F110A0"/>
    <w:rsid w:val="00F113BE"/>
    <w:rsid w:val="00F11486"/>
    <w:rsid w:val="00F118D3"/>
    <w:rsid w:val="00F11FF0"/>
    <w:rsid w:val="00F120C0"/>
    <w:rsid w:val="00F1216C"/>
    <w:rsid w:val="00F12676"/>
    <w:rsid w:val="00F12756"/>
    <w:rsid w:val="00F12F27"/>
    <w:rsid w:val="00F12FB5"/>
    <w:rsid w:val="00F136CD"/>
    <w:rsid w:val="00F13B26"/>
    <w:rsid w:val="00F13D2F"/>
    <w:rsid w:val="00F13DF3"/>
    <w:rsid w:val="00F13F7E"/>
    <w:rsid w:val="00F145D4"/>
    <w:rsid w:val="00F1464B"/>
    <w:rsid w:val="00F14E05"/>
    <w:rsid w:val="00F15826"/>
    <w:rsid w:val="00F159AA"/>
    <w:rsid w:val="00F15CAC"/>
    <w:rsid w:val="00F161CD"/>
    <w:rsid w:val="00F164BC"/>
    <w:rsid w:val="00F16FED"/>
    <w:rsid w:val="00F170A8"/>
    <w:rsid w:val="00F17457"/>
    <w:rsid w:val="00F17D5B"/>
    <w:rsid w:val="00F20397"/>
    <w:rsid w:val="00F2042E"/>
    <w:rsid w:val="00F20BD9"/>
    <w:rsid w:val="00F20D76"/>
    <w:rsid w:val="00F20F3B"/>
    <w:rsid w:val="00F2148B"/>
    <w:rsid w:val="00F214F5"/>
    <w:rsid w:val="00F21A46"/>
    <w:rsid w:val="00F22216"/>
    <w:rsid w:val="00F224B1"/>
    <w:rsid w:val="00F22825"/>
    <w:rsid w:val="00F22A1F"/>
    <w:rsid w:val="00F22C4D"/>
    <w:rsid w:val="00F22E21"/>
    <w:rsid w:val="00F22F04"/>
    <w:rsid w:val="00F231F3"/>
    <w:rsid w:val="00F236D4"/>
    <w:rsid w:val="00F23C8C"/>
    <w:rsid w:val="00F23CE0"/>
    <w:rsid w:val="00F23F5E"/>
    <w:rsid w:val="00F241C6"/>
    <w:rsid w:val="00F2439C"/>
    <w:rsid w:val="00F24641"/>
    <w:rsid w:val="00F248A9"/>
    <w:rsid w:val="00F24CEA"/>
    <w:rsid w:val="00F2517E"/>
    <w:rsid w:val="00F2559D"/>
    <w:rsid w:val="00F25C68"/>
    <w:rsid w:val="00F25F45"/>
    <w:rsid w:val="00F26082"/>
    <w:rsid w:val="00F2629C"/>
    <w:rsid w:val="00F273A2"/>
    <w:rsid w:val="00F27A0B"/>
    <w:rsid w:val="00F27B93"/>
    <w:rsid w:val="00F27C41"/>
    <w:rsid w:val="00F27E84"/>
    <w:rsid w:val="00F302FD"/>
    <w:rsid w:val="00F30621"/>
    <w:rsid w:val="00F3067F"/>
    <w:rsid w:val="00F3085C"/>
    <w:rsid w:val="00F30B06"/>
    <w:rsid w:val="00F30EA3"/>
    <w:rsid w:val="00F30ECF"/>
    <w:rsid w:val="00F30EE4"/>
    <w:rsid w:val="00F316B3"/>
    <w:rsid w:val="00F31942"/>
    <w:rsid w:val="00F32238"/>
    <w:rsid w:val="00F3271B"/>
    <w:rsid w:val="00F327EF"/>
    <w:rsid w:val="00F328ED"/>
    <w:rsid w:val="00F32A64"/>
    <w:rsid w:val="00F32D7D"/>
    <w:rsid w:val="00F32EDC"/>
    <w:rsid w:val="00F3309B"/>
    <w:rsid w:val="00F330CE"/>
    <w:rsid w:val="00F330E2"/>
    <w:rsid w:val="00F33207"/>
    <w:rsid w:val="00F33644"/>
    <w:rsid w:val="00F336F9"/>
    <w:rsid w:val="00F33AE7"/>
    <w:rsid w:val="00F33BFE"/>
    <w:rsid w:val="00F33E49"/>
    <w:rsid w:val="00F33F8E"/>
    <w:rsid w:val="00F3428D"/>
    <w:rsid w:val="00F34937"/>
    <w:rsid w:val="00F34F6B"/>
    <w:rsid w:val="00F359E9"/>
    <w:rsid w:val="00F35A19"/>
    <w:rsid w:val="00F36056"/>
    <w:rsid w:val="00F363DB"/>
    <w:rsid w:val="00F366A7"/>
    <w:rsid w:val="00F36950"/>
    <w:rsid w:val="00F36ADF"/>
    <w:rsid w:val="00F36C61"/>
    <w:rsid w:val="00F36CF8"/>
    <w:rsid w:val="00F36EAB"/>
    <w:rsid w:val="00F3736D"/>
    <w:rsid w:val="00F374E7"/>
    <w:rsid w:val="00F37865"/>
    <w:rsid w:val="00F379BD"/>
    <w:rsid w:val="00F37B60"/>
    <w:rsid w:val="00F37DDC"/>
    <w:rsid w:val="00F40477"/>
    <w:rsid w:val="00F406D9"/>
    <w:rsid w:val="00F406FE"/>
    <w:rsid w:val="00F4080A"/>
    <w:rsid w:val="00F40847"/>
    <w:rsid w:val="00F40CC2"/>
    <w:rsid w:val="00F40DEF"/>
    <w:rsid w:val="00F40E32"/>
    <w:rsid w:val="00F40FF8"/>
    <w:rsid w:val="00F417A9"/>
    <w:rsid w:val="00F4182F"/>
    <w:rsid w:val="00F41AFD"/>
    <w:rsid w:val="00F42070"/>
    <w:rsid w:val="00F424F3"/>
    <w:rsid w:val="00F427E5"/>
    <w:rsid w:val="00F42E6E"/>
    <w:rsid w:val="00F42EA5"/>
    <w:rsid w:val="00F42F1D"/>
    <w:rsid w:val="00F4323D"/>
    <w:rsid w:val="00F43856"/>
    <w:rsid w:val="00F43914"/>
    <w:rsid w:val="00F43B2B"/>
    <w:rsid w:val="00F43BD2"/>
    <w:rsid w:val="00F44138"/>
    <w:rsid w:val="00F442AD"/>
    <w:rsid w:val="00F4466E"/>
    <w:rsid w:val="00F44928"/>
    <w:rsid w:val="00F44C85"/>
    <w:rsid w:val="00F4564F"/>
    <w:rsid w:val="00F456F6"/>
    <w:rsid w:val="00F4579F"/>
    <w:rsid w:val="00F459E5"/>
    <w:rsid w:val="00F45E12"/>
    <w:rsid w:val="00F46B7E"/>
    <w:rsid w:val="00F46E21"/>
    <w:rsid w:val="00F472B9"/>
    <w:rsid w:val="00F47396"/>
    <w:rsid w:val="00F477D6"/>
    <w:rsid w:val="00F478A7"/>
    <w:rsid w:val="00F4797D"/>
    <w:rsid w:val="00F47C32"/>
    <w:rsid w:val="00F47DF8"/>
    <w:rsid w:val="00F5074B"/>
    <w:rsid w:val="00F50DF8"/>
    <w:rsid w:val="00F513EF"/>
    <w:rsid w:val="00F51409"/>
    <w:rsid w:val="00F51502"/>
    <w:rsid w:val="00F5177A"/>
    <w:rsid w:val="00F51B1D"/>
    <w:rsid w:val="00F51D1A"/>
    <w:rsid w:val="00F51E6B"/>
    <w:rsid w:val="00F52193"/>
    <w:rsid w:val="00F52342"/>
    <w:rsid w:val="00F52651"/>
    <w:rsid w:val="00F526FC"/>
    <w:rsid w:val="00F5270F"/>
    <w:rsid w:val="00F5280E"/>
    <w:rsid w:val="00F528AA"/>
    <w:rsid w:val="00F52B0A"/>
    <w:rsid w:val="00F52B72"/>
    <w:rsid w:val="00F52FDE"/>
    <w:rsid w:val="00F53036"/>
    <w:rsid w:val="00F53ACD"/>
    <w:rsid w:val="00F54102"/>
    <w:rsid w:val="00F543E8"/>
    <w:rsid w:val="00F54D23"/>
    <w:rsid w:val="00F55D69"/>
    <w:rsid w:val="00F55E0E"/>
    <w:rsid w:val="00F56A62"/>
    <w:rsid w:val="00F56A6D"/>
    <w:rsid w:val="00F56C43"/>
    <w:rsid w:val="00F56E96"/>
    <w:rsid w:val="00F56FFC"/>
    <w:rsid w:val="00F570A6"/>
    <w:rsid w:val="00F5753B"/>
    <w:rsid w:val="00F576BD"/>
    <w:rsid w:val="00F577B9"/>
    <w:rsid w:val="00F57A9D"/>
    <w:rsid w:val="00F57EEE"/>
    <w:rsid w:val="00F60119"/>
    <w:rsid w:val="00F6014B"/>
    <w:rsid w:val="00F60319"/>
    <w:rsid w:val="00F60818"/>
    <w:rsid w:val="00F60AD5"/>
    <w:rsid w:val="00F60DDF"/>
    <w:rsid w:val="00F60E4C"/>
    <w:rsid w:val="00F61767"/>
    <w:rsid w:val="00F619AC"/>
    <w:rsid w:val="00F619C8"/>
    <w:rsid w:val="00F61C02"/>
    <w:rsid w:val="00F62058"/>
    <w:rsid w:val="00F62480"/>
    <w:rsid w:val="00F6263A"/>
    <w:rsid w:val="00F62B85"/>
    <w:rsid w:val="00F62FAC"/>
    <w:rsid w:val="00F63020"/>
    <w:rsid w:val="00F63446"/>
    <w:rsid w:val="00F637AE"/>
    <w:rsid w:val="00F637D0"/>
    <w:rsid w:val="00F639ED"/>
    <w:rsid w:val="00F63DE1"/>
    <w:rsid w:val="00F63F68"/>
    <w:rsid w:val="00F64909"/>
    <w:rsid w:val="00F64C9C"/>
    <w:rsid w:val="00F64E7B"/>
    <w:rsid w:val="00F6531E"/>
    <w:rsid w:val="00F65371"/>
    <w:rsid w:val="00F65A18"/>
    <w:rsid w:val="00F65DEF"/>
    <w:rsid w:val="00F661E3"/>
    <w:rsid w:val="00F66217"/>
    <w:rsid w:val="00F66852"/>
    <w:rsid w:val="00F66931"/>
    <w:rsid w:val="00F66DCB"/>
    <w:rsid w:val="00F66DE6"/>
    <w:rsid w:val="00F66E61"/>
    <w:rsid w:val="00F670C6"/>
    <w:rsid w:val="00F675BB"/>
    <w:rsid w:val="00F677BC"/>
    <w:rsid w:val="00F678CB"/>
    <w:rsid w:val="00F67982"/>
    <w:rsid w:val="00F67C50"/>
    <w:rsid w:val="00F700E8"/>
    <w:rsid w:val="00F707BF"/>
    <w:rsid w:val="00F70966"/>
    <w:rsid w:val="00F70974"/>
    <w:rsid w:val="00F7098B"/>
    <w:rsid w:val="00F709FE"/>
    <w:rsid w:val="00F70C50"/>
    <w:rsid w:val="00F70F39"/>
    <w:rsid w:val="00F713E1"/>
    <w:rsid w:val="00F71946"/>
    <w:rsid w:val="00F72D12"/>
    <w:rsid w:val="00F733F4"/>
    <w:rsid w:val="00F73592"/>
    <w:rsid w:val="00F73971"/>
    <w:rsid w:val="00F73F27"/>
    <w:rsid w:val="00F7406F"/>
    <w:rsid w:val="00F7419E"/>
    <w:rsid w:val="00F744B7"/>
    <w:rsid w:val="00F74619"/>
    <w:rsid w:val="00F7473B"/>
    <w:rsid w:val="00F74C05"/>
    <w:rsid w:val="00F74DD7"/>
    <w:rsid w:val="00F75111"/>
    <w:rsid w:val="00F75198"/>
    <w:rsid w:val="00F7538E"/>
    <w:rsid w:val="00F757A6"/>
    <w:rsid w:val="00F7586F"/>
    <w:rsid w:val="00F75959"/>
    <w:rsid w:val="00F75E34"/>
    <w:rsid w:val="00F76313"/>
    <w:rsid w:val="00F765C8"/>
    <w:rsid w:val="00F765F8"/>
    <w:rsid w:val="00F7667E"/>
    <w:rsid w:val="00F766FC"/>
    <w:rsid w:val="00F7688B"/>
    <w:rsid w:val="00F76E20"/>
    <w:rsid w:val="00F76E66"/>
    <w:rsid w:val="00F77466"/>
    <w:rsid w:val="00F77A7B"/>
    <w:rsid w:val="00F77C4F"/>
    <w:rsid w:val="00F77C9B"/>
    <w:rsid w:val="00F800BA"/>
    <w:rsid w:val="00F8013E"/>
    <w:rsid w:val="00F80934"/>
    <w:rsid w:val="00F81025"/>
    <w:rsid w:val="00F815E6"/>
    <w:rsid w:val="00F82729"/>
    <w:rsid w:val="00F82863"/>
    <w:rsid w:val="00F828B7"/>
    <w:rsid w:val="00F82FDB"/>
    <w:rsid w:val="00F833DA"/>
    <w:rsid w:val="00F83644"/>
    <w:rsid w:val="00F837A2"/>
    <w:rsid w:val="00F83C80"/>
    <w:rsid w:val="00F84276"/>
    <w:rsid w:val="00F844A7"/>
    <w:rsid w:val="00F844D6"/>
    <w:rsid w:val="00F84A41"/>
    <w:rsid w:val="00F85000"/>
    <w:rsid w:val="00F85354"/>
    <w:rsid w:val="00F85720"/>
    <w:rsid w:val="00F8665B"/>
    <w:rsid w:val="00F86852"/>
    <w:rsid w:val="00F86DC9"/>
    <w:rsid w:val="00F86E7D"/>
    <w:rsid w:val="00F86FD6"/>
    <w:rsid w:val="00F87345"/>
    <w:rsid w:val="00F873E3"/>
    <w:rsid w:val="00F87C7B"/>
    <w:rsid w:val="00F9007D"/>
    <w:rsid w:val="00F902DC"/>
    <w:rsid w:val="00F903D9"/>
    <w:rsid w:val="00F90753"/>
    <w:rsid w:val="00F90A14"/>
    <w:rsid w:val="00F90B2B"/>
    <w:rsid w:val="00F915C6"/>
    <w:rsid w:val="00F91613"/>
    <w:rsid w:val="00F916E5"/>
    <w:rsid w:val="00F91720"/>
    <w:rsid w:val="00F91ADB"/>
    <w:rsid w:val="00F92889"/>
    <w:rsid w:val="00F92890"/>
    <w:rsid w:val="00F92C18"/>
    <w:rsid w:val="00F92DEF"/>
    <w:rsid w:val="00F9304E"/>
    <w:rsid w:val="00F930CD"/>
    <w:rsid w:val="00F934A5"/>
    <w:rsid w:val="00F93714"/>
    <w:rsid w:val="00F938F6"/>
    <w:rsid w:val="00F942F1"/>
    <w:rsid w:val="00F946E6"/>
    <w:rsid w:val="00F947A2"/>
    <w:rsid w:val="00F94861"/>
    <w:rsid w:val="00F956FD"/>
    <w:rsid w:val="00F95853"/>
    <w:rsid w:val="00F95A1E"/>
    <w:rsid w:val="00F95AC0"/>
    <w:rsid w:val="00F95CCF"/>
    <w:rsid w:val="00F95F36"/>
    <w:rsid w:val="00F95FC6"/>
    <w:rsid w:val="00F961F5"/>
    <w:rsid w:val="00F96780"/>
    <w:rsid w:val="00F968A7"/>
    <w:rsid w:val="00F96952"/>
    <w:rsid w:val="00F96B9E"/>
    <w:rsid w:val="00F97422"/>
    <w:rsid w:val="00F97557"/>
    <w:rsid w:val="00F97602"/>
    <w:rsid w:val="00F97810"/>
    <w:rsid w:val="00F9796D"/>
    <w:rsid w:val="00F979C3"/>
    <w:rsid w:val="00F97D79"/>
    <w:rsid w:val="00FA0097"/>
    <w:rsid w:val="00FA00EC"/>
    <w:rsid w:val="00FA018D"/>
    <w:rsid w:val="00FA02ED"/>
    <w:rsid w:val="00FA0604"/>
    <w:rsid w:val="00FA0884"/>
    <w:rsid w:val="00FA095F"/>
    <w:rsid w:val="00FA0A28"/>
    <w:rsid w:val="00FA0CD3"/>
    <w:rsid w:val="00FA103F"/>
    <w:rsid w:val="00FA1458"/>
    <w:rsid w:val="00FA1898"/>
    <w:rsid w:val="00FA1918"/>
    <w:rsid w:val="00FA1985"/>
    <w:rsid w:val="00FA1CFE"/>
    <w:rsid w:val="00FA2BE1"/>
    <w:rsid w:val="00FA2E02"/>
    <w:rsid w:val="00FA2ED9"/>
    <w:rsid w:val="00FA3397"/>
    <w:rsid w:val="00FA33E3"/>
    <w:rsid w:val="00FA3451"/>
    <w:rsid w:val="00FA363C"/>
    <w:rsid w:val="00FA3A81"/>
    <w:rsid w:val="00FA4234"/>
    <w:rsid w:val="00FA42BA"/>
    <w:rsid w:val="00FA4A3C"/>
    <w:rsid w:val="00FA4B4D"/>
    <w:rsid w:val="00FA4B53"/>
    <w:rsid w:val="00FA5283"/>
    <w:rsid w:val="00FA540B"/>
    <w:rsid w:val="00FA5BB6"/>
    <w:rsid w:val="00FA5C0C"/>
    <w:rsid w:val="00FA5D0A"/>
    <w:rsid w:val="00FA61B9"/>
    <w:rsid w:val="00FA635B"/>
    <w:rsid w:val="00FA6884"/>
    <w:rsid w:val="00FA6894"/>
    <w:rsid w:val="00FA6973"/>
    <w:rsid w:val="00FA6E52"/>
    <w:rsid w:val="00FA6F4F"/>
    <w:rsid w:val="00FA777B"/>
    <w:rsid w:val="00FB0250"/>
    <w:rsid w:val="00FB0594"/>
    <w:rsid w:val="00FB084B"/>
    <w:rsid w:val="00FB0BD7"/>
    <w:rsid w:val="00FB0DCB"/>
    <w:rsid w:val="00FB0EC5"/>
    <w:rsid w:val="00FB1146"/>
    <w:rsid w:val="00FB1187"/>
    <w:rsid w:val="00FB1573"/>
    <w:rsid w:val="00FB1586"/>
    <w:rsid w:val="00FB1B94"/>
    <w:rsid w:val="00FB1D5E"/>
    <w:rsid w:val="00FB208B"/>
    <w:rsid w:val="00FB22B0"/>
    <w:rsid w:val="00FB255A"/>
    <w:rsid w:val="00FB2F62"/>
    <w:rsid w:val="00FB3180"/>
    <w:rsid w:val="00FB37BA"/>
    <w:rsid w:val="00FB37D5"/>
    <w:rsid w:val="00FB3856"/>
    <w:rsid w:val="00FB389B"/>
    <w:rsid w:val="00FB38E8"/>
    <w:rsid w:val="00FB3B47"/>
    <w:rsid w:val="00FB3FAF"/>
    <w:rsid w:val="00FB4153"/>
    <w:rsid w:val="00FB43C3"/>
    <w:rsid w:val="00FB457F"/>
    <w:rsid w:val="00FB4687"/>
    <w:rsid w:val="00FB48B6"/>
    <w:rsid w:val="00FB4B6A"/>
    <w:rsid w:val="00FB4BA9"/>
    <w:rsid w:val="00FB4C06"/>
    <w:rsid w:val="00FB4CD8"/>
    <w:rsid w:val="00FB582D"/>
    <w:rsid w:val="00FB58A1"/>
    <w:rsid w:val="00FB5C7C"/>
    <w:rsid w:val="00FB5E35"/>
    <w:rsid w:val="00FB5F81"/>
    <w:rsid w:val="00FB63E1"/>
    <w:rsid w:val="00FB64A4"/>
    <w:rsid w:val="00FB6802"/>
    <w:rsid w:val="00FB6944"/>
    <w:rsid w:val="00FB6A65"/>
    <w:rsid w:val="00FB7360"/>
    <w:rsid w:val="00FB756E"/>
    <w:rsid w:val="00FB7BC8"/>
    <w:rsid w:val="00FC01EC"/>
    <w:rsid w:val="00FC037D"/>
    <w:rsid w:val="00FC0951"/>
    <w:rsid w:val="00FC0999"/>
    <w:rsid w:val="00FC0F9C"/>
    <w:rsid w:val="00FC171A"/>
    <w:rsid w:val="00FC18DD"/>
    <w:rsid w:val="00FC1F34"/>
    <w:rsid w:val="00FC21AD"/>
    <w:rsid w:val="00FC255F"/>
    <w:rsid w:val="00FC2581"/>
    <w:rsid w:val="00FC2831"/>
    <w:rsid w:val="00FC2C2E"/>
    <w:rsid w:val="00FC3023"/>
    <w:rsid w:val="00FC33B8"/>
    <w:rsid w:val="00FC3522"/>
    <w:rsid w:val="00FC35B0"/>
    <w:rsid w:val="00FC3642"/>
    <w:rsid w:val="00FC3677"/>
    <w:rsid w:val="00FC3B83"/>
    <w:rsid w:val="00FC3DBB"/>
    <w:rsid w:val="00FC42D6"/>
    <w:rsid w:val="00FC42EA"/>
    <w:rsid w:val="00FC432F"/>
    <w:rsid w:val="00FC454F"/>
    <w:rsid w:val="00FC459F"/>
    <w:rsid w:val="00FC4816"/>
    <w:rsid w:val="00FC4A32"/>
    <w:rsid w:val="00FC4C19"/>
    <w:rsid w:val="00FC4C1A"/>
    <w:rsid w:val="00FC4EFD"/>
    <w:rsid w:val="00FC525E"/>
    <w:rsid w:val="00FC5574"/>
    <w:rsid w:val="00FC559E"/>
    <w:rsid w:val="00FC55B3"/>
    <w:rsid w:val="00FC56CB"/>
    <w:rsid w:val="00FC59D3"/>
    <w:rsid w:val="00FC5B00"/>
    <w:rsid w:val="00FC5FAE"/>
    <w:rsid w:val="00FC65FD"/>
    <w:rsid w:val="00FC6F01"/>
    <w:rsid w:val="00FC7143"/>
    <w:rsid w:val="00FC71F6"/>
    <w:rsid w:val="00FC7413"/>
    <w:rsid w:val="00FC7882"/>
    <w:rsid w:val="00FC7B35"/>
    <w:rsid w:val="00FC7F3C"/>
    <w:rsid w:val="00FD0376"/>
    <w:rsid w:val="00FD0427"/>
    <w:rsid w:val="00FD07E0"/>
    <w:rsid w:val="00FD0B60"/>
    <w:rsid w:val="00FD155C"/>
    <w:rsid w:val="00FD1E7B"/>
    <w:rsid w:val="00FD217C"/>
    <w:rsid w:val="00FD2838"/>
    <w:rsid w:val="00FD296D"/>
    <w:rsid w:val="00FD29B0"/>
    <w:rsid w:val="00FD29D3"/>
    <w:rsid w:val="00FD2EB8"/>
    <w:rsid w:val="00FD332D"/>
    <w:rsid w:val="00FD37DF"/>
    <w:rsid w:val="00FD3EAF"/>
    <w:rsid w:val="00FD3FC2"/>
    <w:rsid w:val="00FD45A3"/>
    <w:rsid w:val="00FD481F"/>
    <w:rsid w:val="00FD50EA"/>
    <w:rsid w:val="00FD51B7"/>
    <w:rsid w:val="00FD552D"/>
    <w:rsid w:val="00FD5A61"/>
    <w:rsid w:val="00FD6084"/>
    <w:rsid w:val="00FD631D"/>
    <w:rsid w:val="00FD6DD3"/>
    <w:rsid w:val="00FD6F2E"/>
    <w:rsid w:val="00FD7110"/>
    <w:rsid w:val="00FD7295"/>
    <w:rsid w:val="00FD78C0"/>
    <w:rsid w:val="00FD7B88"/>
    <w:rsid w:val="00FD7EBD"/>
    <w:rsid w:val="00FE022A"/>
    <w:rsid w:val="00FE05CA"/>
    <w:rsid w:val="00FE09F3"/>
    <w:rsid w:val="00FE0E3A"/>
    <w:rsid w:val="00FE12BE"/>
    <w:rsid w:val="00FE139F"/>
    <w:rsid w:val="00FE1906"/>
    <w:rsid w:val="00FE1B59"/>
    <w:rsid w:val="00FE1D81"/>
    <w:rsid w:val="00FE1EFF"/>
    <w:rsid w:val="00FE2047"/>
    <w:rsid w:val="00FE20E4"/>
    <w:rsid w:val="00FE22B5"/>
    <w:rsid w:val="00FE2370"/>
    <w:rsid w:val="00FE2631"/>
    <w:rsid w:val="00FE27C8"/>
    <w:rsid w:val="00FE28FE"/>
    <w:rsid w:val="00FE2B92"/>
    <w:rsid w:val="00FE2F98"/>
    <w:rsid w:val="00FE3013"/>
    <w:rsid w:val="00FE34CC"/>
    <w:rsid w:val="00FE3BA2"/>
    <w:rsid w:val="00FE3BD6"/>
    <w:rsid w:val="00FE3DC1"/>
    <w:rsid w:val="00FE3EAC"/>
    <w:rsid w:val="00FE42DC"/>
    <w:rsid w:val="00FE4460"/>
    <w:rsid w:val="00FE455E"/>
    <w:rsid w:val="00FE473A"/>
    <w:rsid w:val="00FE47D5"/>
    <w:rsid w:val="00FE47D6"/>
    <w:rsid w:val="00FE49D8"/>
    <w:rsid w:val="00FE4A25"/>
    <w:rsid w:val="00FE4AB1"/>
    <w:rsid w:val="00FE4CE1"/>
    <w:rsid w:val="00FE4E5E"/>
    <w:rsid w:val="00FE4EEA"/>
    <w:rsid w:val="00FE4F87"/>
    <w:rsid w:val="00FE5233"/>
    <w:rsid w:val="00FE57B2"/>
    <w:rsid w:val="00FE5852"/>
    <w:rsid w:val="00FE5DEF"/>
    <w:rsid w:val="00FE5F13"/>
    <w:rsid w:val="00FE6091"/>
    <w:rsid w:val="00FE6209"/>
    <w:rsid w:val="00FE6338"/>
    <w:rsid w:val="00FE63EF"/>
    <w:rsid w:val="00FE652F"/>
    <w:rsid w:val="00FE6E75"/>
    <w:rsid w:val="00FE70BB"/>
    <w:rsid w:val="00FE738C"/>
    <w:rsid w:val="00FE7BB7"/>
    <w:rsid w:val="00FF0010"/>
    <w:rsid w:val="00FF0546"/>
    <w:rsid w:val="00FF060A"/>
    <w:rsid w:val="00FF0657"/>
    <w:rsid w:val="00FF0AD2"/>
    <w:rsid w:val="00FF155D"/>
    <w:rsid w:val="00FF1BE0"/>
    <w:rsid w:val="00FF1D6B"/>
    <w:rsid w:val="00FF1FA2"/>
    <w:rsid w:val="00FF2050"/>
    <w:rsid w:val="00FF2610"/>
    <w:rsid w:val="00FF2615"/>
    <w:rsid w:val="00FF3040"/>
    <w:rsid w:val="00FF332A"/>
    <w:rsid w:val="00FF34BA"/>
    <w:rsid w:val="00FF3F20"/>
    <w:rsid w:val="00FF4875"/>
    <w:rsid w:val="00FF4B05"/>
    <w:rsid w:val="00FF4B61"/>
    <w:rsid w:val="00FF4C58"/>
    <w:rsid w:val="00FF54C7"/>
    <w:rsid w:val="00FF5E7B"/>
    <w:rsid w:val="00FF5FA1"/>
    <w:rsid w:val="00FF6B25"/>
    <w:rsid w:val="00FF70DB"/>
    <w:rsid w:val="00FF7278"/>
    <w:rsid w:val="00FF771B"/>
    <w:rsid w:val="00FF7C11"/>
    <w:rsid w:val="00FF7F9F"/>
    <w:rsid w:val="01165DEC"/>
    <w:rsid w:val="01310078"/>
    <w:rsid w:val="0134DD4C"/>
    <w:rsid w:val="016DFD9A"/>
    <w:rsid w:val="0175C524"/>
    <w:rsid w:val="01E38934"/>
    <w:rsid w:val="0209A7DD"/>
    <w:rsid w:val="020FF86B"/>
    <w:rsid w:val="0237A919"/>
    <w:rsid w:val="026D9353"/>
    <w:rsid w:val="026FC878"/>
    <w:rsid w:val="027B1576"/>
    <w:rsid w:val="0355D586"/>
    <w:rsid w:val="0375B5DD"/>
    <w:rsid w:val="037B4259"/>
    <w:rsid w:val="037B8F7F"/>
    <w:rsid w:val="0387B9DE"/>
    <w:rsid w:val="0398E3A6"/>
    <w:rsid w:val="03BFF833"/>
    <w:rsid w:val="048125C8"/>
    <w:rsid w:val="04DC5F7A"/>
    <w:rsid w:val="04E53957"/>
    <w:rsid w:val="04EF7DB8"/>
    <w:rsid w:val="058590A1"/>
    <w:rsid w:val="05B0061D"/>
    <w:rsid w:val="06342A17"/>
    <w:rsid w:val="064CA2EB"/>
    <w:rsid w:val="06856090"/>
    <w:rsid w:val="06973404"/>
    <w:rsid w:val="06A2866F"/>
    <w:rsid w:val="06AFFE58"/>
    <w:rsid w:val="06CEF33D"/>
    <w:rsid w:val="06FD2217"/>
    <w:rsid w:val="07160C2A"/>
    <w:rsid w:val="074ECAF6"/>
    <w:rsid w:val="0781DE97"/>
    <w:rsid w:val="083601AB"/>
    <w:rsid w:val="084DCE28"/>
    <w:rsid w:val="0853E702"/>
    <w:rsid w:val="086491FD"/>
    <w:rsid w:val="08952DE7"/>
    <w:rsid w:val="09096123"/>
    <w:rsid w:val="093E600C"/>
    <w:rsid w:val="094F1A7D"/>
    <w:rsid w:val="09B908E4"/>
    <w:rsid w:val="09DA86D3"/>
    <w:rsid w:val="09E49015"/>
    <w:rsid w:val="0A01A867"/>
    <w:rsid w:val="0A2DA9C8"/>
    <w:rsid w:val="0A8FB66F"/>
    <w:rsid w:val="0B73A180"/>
    <w:rsid w:val="0B7DFE85"/>
    <w:rsid w:val="0BA3988D"/>
    <w:rsid w:val="0BBFC2FF"/>
    <w:rsid w:val="0BF9D37A"/>
    <w:rsid w:val="0C2C07BB"/>
    <w:rsid w:val="0C668DEA"/>
    <w:rsid w:val="0CB62952"/>
    <w:rsid w:val="0CE75BC0"/>
    <w:rsid w:val="0D29F349"/>
    <w:rsid w:val="0D6D3294"/>
    <w:rsid w:val="0DC352F9"/>
    <w:rsid w:val="0E3C7352"/>
    <w:rsid w:val="0E6208EE"/>
    <w:rsid w:val="0E888497"/>
    <w:rsid w:val="0F2CDFE4"/>
    <w:rsid w:val="0F92C2B7"/>
    <w:rsid w:val="0FB8936F"/>
    <w:rsid w:val="0FC25CA9"/>
    <w:rsid w:val="102696EB"/>
    <w:rsid w:val="1043FD01"/>
    <w:rsid w:val="104B4794"/>
    <w:rsid w:val="1059CC4C"/>
    <w:rsid w:val="10762DCE"/>
    <w:rsid w:val="108FE448"/>
    <w:rsid w:val="10E9EC52"/>
    <w:rsid w:val="1108C0FE"/>
    <w:rsid w:val="1199E892"/>
    <w:rsid w:val="11B69AB6"/>
    <w:rsid w:val="122974EE"/>
    <w:rsid w:val="1245AA52"/>
    <w:rsid w:val="1262D222"/>
    <w:rsid w:val="13064368"/>
    <w:rsid w:val="135B53BE"/>
    <w:rsid w:val="1385119A"/>
    <w:rsid w:val="13A3CFE0"/>
    <w:rsid w:val="13FDA5E5"/>
    <w:rsid w:val="1402002F"/>
    <w:rsid w:val="141159C9"/>
    <w:rsid w:val="14155EC1"/>
    <w:rsid w:val="142EDBE5"/>
    <w:rsid w:val="144A75D6"/>
    <w:rsid w:val="14A76D7F"/>
    <w:rsid w:val="1506C19B"/>
    <w:rsid w:val="153DBEB4"/>
    <w:rsid w:val="1595C1BF"/>
    <w:rsid w:val="15B9A7B8"/>
    <w:rsid w:val="1603E539"/>
    <w:rsid w:val="1652D714"/>
    <w:rsid w:val="1659C768"/>
    <w:rsid w:val="165E44EF"/>
    <w:rsid w:val="16788452"/>
    <w:rsid w:val="16A3B6A0"/>
    <w:rsid w:val="16C55107"/>
    <w:rsid w:val="16F94B7D"/>
    <w:rsid w:val="176AA54A"/>
    <w:rsid w:val="177B4E09"/>
    <w:rsid w:val="17CC61B5"/>
    <w:rsid w:val="17DBA0D0"/>
    <w:rsid w:val="180F2189"/>
    <w:rsid w:val="1848B6AF"/>
    <w:rsid w:val="1878E58F"/>
    <w:rsid w:val="18A80608"/>
    <w:rsid w:val="18E38B84"/>
    <w:rsid w:val="18EC26CD"/>
    <w:rsid w:val="1928F337"/>
    <w:rsid w:val="19769DDA"/>
    <w:rsid w:val="199314AA"/>
    <w:rsid w:val="19F826DD"/>
    <w:rsid w:val="19FC8015"/>
    <w:rsid w:val="1A3CD010"/>
    <w:rsid w:val="1AC2E43B"/>
    <w:rsid w:val="1ACF2D25"/>
    <w:rsid w:val="1B0693FE"/>
    <w:rsid w:val="1BDB5B69"/>
    <w:rsid w:val="1C084AD8"/>
    <w:rsid w:val="1C1C2DE1"/>
    <w:rsid w:val="1C2ED9C8"/>
    <w:rsid w:val="1C764C1D"/>
    <w:rsid w:val="1C991097"/>
    <w:rsid w:val="1CB8E5B0"/>
    <w:rsid w:val="1CC711C4"/>
    <w:rsid w:val="1D02D036"/>
    <w:rsid w:val="1D1E2564"/>
    <w:rsid w:val="1D4F4C55"/>
    <w:rsid w:val="1D871CCC"/>
    <w:rsid w:val="1DB4B387"/>
    <w:rsid w:val="1DCCE252"/>
    <w:rsid w:val="1DE7B02D"/>
    <w:rsid w:val="1DFAB11C"/>
    <w:rsid w:val="1E0BB006"/>
    <w:rsid w:val="1E447664"/>
    <w:rsid w:val="1E4889E7"/>
    <w:rsid w:val="1E7A8881"/>
    <w:rsid w:val="1ECBEE90"/>
    <w:rsid w:val="1EF3C17A"/>
    <w:rsid w:val="1EFBDAE2"/>
    <w:rsid w:val="1F1CA5D9"/>
    <w:rsid w:val="1F2E4246"/>
    <w:rsid w:val="1F39589E"/>
    <w:rsid w:val="1F619F32"/>
    <w:rsid w:val="1F74299D"/>
    <w:rsid w:val="1F935859"/>
    <w:rsid w:val="1FA936DA"/>
    <w:rsid w:val="201883F9"/>
    <w:rsid w:val="209A3E59"/>
    <w:rsid w:val="20A29229"/>
    <w:rsid w:val="20B38734"/>
    <w:rsid w:val="20C6B25B"/>
    <w:rsid w:val="21AD3337"/>
    <w:rsid w:val="21D25125"/>
    <w:rsid w:val="223859DA"/>
    <w:rsid w:val="224A8B54"/>
    <w:rsid w:val="22BEBCBB"/>
    <w:rsid w:val="22EF505B"/>
    <w:rsid w:val="233CFAB5"/>
    <w:rsid w:val="2392C352"/>
    <w:rsid w:val="23A1CABF"/>
    <w:rsid w:val="23A5A584"/>
    <w:rsid w:val="23B8A208"/>
    <w:rsid w:val="23EAAA55"/>
    <w:rsid w:val="24101BA1"/>
    <w:rsid w:val="244359CD"/>
    <w:rsid w:val="2468AA17"/>
    <w:rsid w:val="246FCD7D"/>
    <w:rsid w:val="2484C06A"/>
    <w:rsid w:val="24A777EF"/>
    <w:rsid w:val="24B9FE9E"/>
    <w:rsid w:val="24D63011"/>
    <w:rsid w:val="24DCBCB5"/>
    <w:rsid w:val="24E03BD0"/>
    <w:rsid w:val="24F8825B"/>
    <w:rsid w:val="25878B20"/>
    <w:rsid w:val="258D8C0F"/>
    <w:rsid w:val="259303AC"/>
    <w:rsid w:val="25E1F626"/>
    <w:rsid w:val="260A3D29"/>
    <w:rsid w:val="2644606C"/>
    <w:rsid w:val="268B722D"/>
    <w:rsid w:val="26BE69AF"/>
    <w:rsid w:val="26E885E7"/>
    <w:rsid w:val="272F9752"/>
    <w:rsid w:val="272FCEA5"/>
    <w:rsid w:val="2735B35E"/>
    <w:rsid w:val="27E0B5DD"/>
    <w:rsid w:val="2804DB27"/>
    <w:rsid w:val="280DD427"/>
    <w:rsid w:val="2810302F"/>
    <w:rsid w:val="2885B897"/>
    <w:rsid w:val="28B0D1BB"/>
    <w:rsid w:val="28BDCF1B"/>
    <w:rsid w:val="28D67A55"/>
    <w:rsid w:val="291054A3"/>
    <w:rsid w:val="29319C6F"/>
    <w:rsid w:val="29856753"/>
    <w:rsid w:val="2994BC64"/>
    <w:rsid w:val="2A31E79E"/>
    <w:rsid w:val="2A3D4381"/>
    <w:rsid w:val="2A57DDAF"/>
    <w:rsid w:val="2A5B958C"/>
    <w:rsid w:val="2B11043A"/>
    <w:rsid w:val="2B99F96C"/>
    <w:rsid w:val="2C0BC710"/>
    <w:rsid w:val="2C33C2C1"/>
    <w:rsid w:val="2C3FEF20"/>
    <w:rsid w:val="2C66C826"/>
    <w:rsid w:val="2CC8F987"/>
    <w:rsid w:val="2CC9A530"/>
    <w:rsid w:val="2CD163D3"/>
    <w:rsid w:val="2D36C3FA"/>
    <w:rsid w:val="2D69A7E4"/>
    <w:rsid w:val="2D78CF55"/>
    <w:rsid w:val="2D90A686"/>
    <w:rsid w:val="2E413B32"/>
    <w:rsid w:val="2E61B4D1"/>
    <w:rsid w:val="2E9BEE21"/>
    <w:rsid w:val="2EC13777"/>
    <w:rsid w:val="2EF90CF3"/>
    <w:rsid w:val="2EFB428F"/>
    <w:rsid w:val="2F1DD0E6"/>
    <w:rsid w:val="2F38D6D4"/>
    <w:rsid w:val="2F3F4011"/>
    <w:rsid w:val="2F921170"/>
    <w:rsid w:val="2FB368BF"/>
    <w:rsid w:val="2FE01E13"/>
    <w:rsid w:val="2FEDD251"/>
    <w:rsid w:val="30124077"/>
    <w:rsid w:val="301D1CB5"/>
    <w:rsid w:val="30203368"/>
    <w:rsid w:val="305AE7F9"/>
    <w:rsid w:val="306EC090"/>
    <w:rsid w:val="30DCD567"/>
    <w:rsid w:val="30DDBC4D"/>
    <w:rsid w:val="30E87536"/>
    <w:rsid w:val="3136382A"/>
    <w:rsid w:val="31458EBE"/>
    <w:rsid w:val="3154AFBC"/>
    <w:rsid w:val="31CD950E"/>
    <w:rsid w:val="31FB57F8"/>
    <w:rsid w:val="321A0106"/>
    <w:rsid w:val="3221DC8D"/>
    <w:rsid w:val="3300AA96"/>
    <w:rsid w:val="3301D8F2"/>
    <w:rsid w:val="332FE238"/>
    <w:rsid w:val="335753BE"/>
    <w:rsid w:val="3376ACA0"/>
    <w:rsid w:val="338F6D4A"/>
    <w:rsid w:val="33BF8237"/>
    <w:rsid w:val="340254F4"/>
    <w:rsid w:val="3422B306"/>
    <w:rsid w:val="342ABC41"/>
    <w:rsid w:val="346C64F2"/>
    <w:rsid w:val="34A4A82E"/>
    <w:rsid w:val="34C053F4"/>
    <w:rsid w:val="34CE0AE4"/>
    <w:rsid w:val="34E5EDBC"/>
    <w:rsid w:val="350A36D4"/>
    <w:rsid w:val="351611AC"/>
    <w:rsid w:val="351F1F82"/>
    <w:rsid w:val="35B9E7F3"/>
    <w:rsid w:val="35BE8B88"/>
    <w:rsid w:val="35D29B74"/>
    <w:rsid w:val="35ECD4E1"/>
    <w:rsid w:val="3631C95D"/>
    <w:rsid w:val="367E176C"/>
    <w:rsid w:val="36960DCC"/>
    <w:rsid w:val="36A29968"/>
    <w:rsid w:val="36B2A8D2"/>
    <w:rsid w:val="36D494F3"/>
    <w:rsid w:val="372F7DAE"/>
    <w:rsid w:val="37349F67"/>
    <w:rsid w:val="37382284"/>
    <w:rsid w:val="37551247"/>
    <w:rsid w:val="37E03AB8"/>
    <w:rsid w:val="38193163"/>
    <w:rsid w:val="382ADEA8"/>
    <w:rsid w:val="383E69C9"/>
    <w:rsid w:val="38D636D3"/>
    <w:rsid w:val="398EC612"/>
    <w:rsid w:val="39AE983C"/>
    <w:rsid w:val="39C64CAB"/>
    <w:rsid w:val="39D79CA2"/>
    <w:rsid w:val="39E70EFB"/>
    <w:rsid w:val="3A1D917F"/>
    <w:rsid w:val="3A512E2C"/>
    <w:rsid w:val="3A901335"/>
    <w:rsid w:val="3A91FB28"/>
    <w:rsid w:val="3A9B9101"/>
    <w:rsid w:val="3AEAE455"/>
    <w:rsid w:val="3B2C5CD7"/>
    <w:rsid w:val="3B638639"/>
    <w:rsid w:val="3B6D720A"/>
    <w:rsid w:val="3B765C46"/>
    <w:rsid w:val="3B827FD6"/>
    <w:rsid w:val="3BC0DF1F"/>
    <w:rsid w:val="3BDA4D3D"/>
    <w:rsid w:val="3C370FE3"/>
    <w:rsid w:val="3C5179AC"/>
    <w:rsid w:val="3C62A1AD"/>
    <w:rsid w:val="3CA252CF"/>
    <w:rsid w:val="3D75EFE8"/>
    <w:rsid w:val="3DD7D4AF"/>
    <w:rsid w:val="3DD7EAF5"/>
    <w:rsid w:val="3DE487FC"/>
    <w:rsid w:val="3DF34124"/>
    <w:rsid w:val="3DFB759E"/>
    <w:rsid w:val="3E594735"/>
    <w:rsid w:val="3EB6CBC6"/>
    <w:rsid w:val="3ED0F6F0"/>
    <w:rsid w:val="3EDDD31B"/>
    <w:rsid w:val="3F6653A4"/>
    <w:rsid w:val="3F9B679E"/>
    <w:rsid w:val="3FD8A9DE"/>
    <w:rsid w:val="403F154D"/>
    <w:rsid w:val="40505EC7"/>
    <w:rsid w:val="40E23872"/>
    <w:rsid w:val="40E2CC30"/>
    <w:rsid w:val="411153C3"/>
    <w:rsid w:val="411B2ED0"/>
    <w:rsid w:val="4194596A"/>
    <w:rsid w:val="41A6FE69"/>
    <w:rsid w:val="41B3B0A1"/>
    <w:rsid w:val="41D42BA6"/>
    <w:rsid w:val="41F48F55"/>
    <w:rsid w:val="421EA031"/>
    <w:rsid w:val="4236148B"/>
    <w:rsid w:val="42998342"/>
    <w:rsid w:val="42A792A0"/>
    <w:rsid w:val="4304D849"/>
    <w:rsid w:val="436529C3"/>
    <w:rsid w:val="4394A156"/>
    <w:rsid w:val="43D80E2F"/>
    <w:rsid w:val="43FE2407"/>
    <w:rsid w:val="43FEBE6C"/>
    <w:rsid w:val="440B5BFA"/>
    <w:rsid w:val="440CA51C"/>
    <w:rsid w:val="4488D292"/>
    <w:rsid w:val="448BEEFE"/>
    <w:rsid w:val="44F14022"/>
    <w:rsid w:val="4520E159"/>
    <w:rsid w:val="4541EE2E"/>
    <w:rsid w:val="45462DB7"/>
    <w:rsid w:val="45A4F63E"/>
    <w:rsid w:val="463E0CFE"/>
    <w:rsid w:val="46531A8B"/>
    <w:rsid w:val="467271DA"/>
    <w:rsid w:val="468ACB37"/>
    <w:rsid w:val="46D60A18"/>
    <w:rsid w:val="46F21154"/>
    <w:rsid w:val="473D63AE"/>
    <w:rsid w:val="4782E138"/>
    <w:rsid w:val="478417B7"/>
    <w:rsid w:val="4885FCFD"/>
    <w:rsid w:val="48AFA6F4"/>
    <w:rsid w:val="48E0590C"/>
    <w:rsid w:val="492ED74C"/>
    <w:rsid w:val="4966A7B4"/>
    <w:rsid w:val="4970BC40"/>
    <w:rsid w:val="499B78FC"/>
    <w:rsid w:val="49A45466"/>
    <w:rsid w:val="49B63A67"/>
    <w:rsid w:val="4A324194"/>
    <w:rsid w:val="4A46CE1A"/>
    <w:rsid w:val="4A6B88EA"/>
    <w:rsid w:val="4A8F419E"/>
    <w:rsid w:val="4ACD7675"/>
    <w:rsid w:val="4ADE22F4"/>
    <w:rsid w:val="4B02DDC6"/>
    <w:rsid w:val="4B1DE6FF"/>
    <w:rsid w:val="4B2DC45C"/>
    <w:rsid w:val="4B4870F2"/>
    <w:rsid w:val="4B5071D4"/>
    <w:rsid w:val="4B56E702"/>
    <w:rsid w:val="4B688463"/>
    <w:rsid w:val="4BA888B9"/>
    <w:rsid w:val="4BAE06BB"/>
    <w:rsid w:val="4BAE573B"/>
    <w:rsid w:val="4BCD408C"/>
    <w:rsid w:val="4BD43D28"/>
    <w:rsid w:val="4BEFB58A"/>
    <w:rsid w:val="4C05E003"/>
    <w:rsid w:val="4C10E9C4"/>
    <w:rsid w:val="4C17172B"/>
    <w:rsid w:val="4C4F0435"/>
    <w:rsid w:val="4CB3A71F"/>
    <w:rsid w:val="4CE42C0A"/>
    <w:rsid w:val="4D6617DC"/>
    <w:rsid w:val="4D6C0487"/>
    <w:rsid w:val="4D70F2B9"/>
    <w:rsid w:val="4D76748A"/>
    <w:rsid w:val="4D86179D"/>
    <w:rsid w:val="4DE7DE50"/>
    <w:rsid w:val="4E197A6F"/>
    <w:rsid w:val="4E4DE8FF"/>
    <w:rsid w:val="4E667BA7"/>
    <w:rsid w:val="4EA62435"/>
    <w:rsid w:val="4EE0EB0F"/>
    <w:rsid w:val="4F066B9B"/>
    <w:rsid w:val="4F878FC3"/>
    <w:rsid w:val="4FB01585"/>
    <w:rsid w:val="4FD94EF8"/>
    <w:rsid w:val="50707362"/>
    <w:rsid w:val="50BBE26C"/>
    <w:rsid w:val="5141B0DE"/>
    <w:rsid w:val="5176E82F"/>
    <w:rsid w:val="519476E0"/>
    <w:rsid w:val="519B8310"/>
    <w:rsid w:val="51AE50BB"/>
    <w:rsid w:val="51D8F642"/>
    <w:rsid w:val="5200AF8B"/>
    <w:rsid w:val="520F5019"/>
    <w:rsid w:val="5220C0C8"/>
    <w:rsid w:val="522D1A05"/>
    <w:rsid w:val="5231EE4A"/>
    <w:rsid w:val="52614F3F"/>
    <w:rsid w:val="5274C931"/>
    <w:rsid w:val="529260FF"/>
    <w:rsid w:val="52AA23F9"/>
    <w:rsid w:val="52BB1816"/>
    <w:rsid w:val="5318ADB1"/>
    <w:rsid w:val="5348F737"/>
    <w:rsid w:val="53BF6FA4"/>
    <w:rsid w:val="54760227"/>
    <w:rsid w:val="54960EF7"/>
    <w:rsid w:val="54C919B8"/>
    <w:rsid w:val="54D1B674"/>
    <w:rsid w:val="54D3AFC4"/>
    <w:rsid w:val="55023829"/>
    <w:rsid w:val="55066454"/>
    <w:rsid w:val="5528B6FE"/>
    <w:rsid w:val="554956AB"/>
    <w:rsid w:val="555A3314"/>
    <w:rsid w:val="55CA01C1"/>
    <w:rsid w:val="5607A213"/>
    <w:rsid w:val="5626D618"/>
    <w:rsid w:val="5646FF53"/>
    <w:rsid w:val="5688B054"/>
    <w:rsid w:val="56BC6130"/>
    <w:rsid w:val="5727667B"/>
    <w:rsid w:val="57298ABD"/>
    <w:rsid w:val="577EAC2B"/>
    <w:rsid w:val="57857808"/>
    <w:rsid w:val="586C8DC6"/>
    <w:rsid w:val="5898C719"/>
    <w:rsid w:val="589EEDE0"/>
    <w:rsid w:val="59659D0D"/>
    <w:rsid w:val="5A1EF5B4"/>
    <w:rsid w:val="5A452BC7"/>
    <w:rsid w:val="5A52C069"/>
    <w:rsid w:val="5A5BD7CF"/>
    <w:rsid w:val="5AA4EBA2"/>
    <w:rsid w:val="5AB53A7B"/>
    <w:rsid w:val="5AC4FF5C"/>
    <w:rsid w:val="5B384521"/>
    <w:rsid w:val="5B51A105"/>
    <w:rsid w:val="5B531798"/>
    <w:rsid w:val="5B741AA1"/>
    <w:rsid w:val="5B878BCB"/>
    <w:rsid w:val="5BACEDEF"/>
    <w:rsid w:val="5BB2935F"/>
    <w:rsid w:val="5C0564A9"/>
    <w:rsid w:val="5C37990B"/>
    <w:rsid w:val="5C5F608B"/>
    <w:rsid w:val="5C65C142"/>
    <w:rsid w:val="5CB78A6A"/>
    <w:rsid w:val="5CCF6934"/>
    <w:rsid w:val="5D59F456"/>
    <w:rsid w:val="5D7E0CED"/>
    <w:rsid w:val="5DC2F1C2"/>
    <w:rsid w:val="5DE325A8"/>
    <w:rsid w:val="5E1D9C37"/>
    <w:rsid w:val="5E7DFABD"/>
    <w:rsid w:val="5E827DEE"/>
    <w:rsid w:val="5EB48D6B"/>
    <w:rsid w:val="5F10F594"/>
    <w:rsid w:val="5F1B3489"/>
    <w:rsid w:val="5F579409"/>
    <w:rsid w:val="5F6F8E39"/>
    <w:rsid w:val="5F8980E2"/>
    <w:rsid w:val="5FAFE3DA"/>
    <w:rsid w:val="5FBCA413"/>
    <w:rsid w:val="5FDF2487"/>
    <w:rsid w:val="605750F7"/>
    <w:rsid w:val="607694A9"/>
    <w:rsid w:val="609DAD47"/>
    <w:rsid w:val="60AD5105"/>
    <w:rsid w:val="610C35A1"/>
    <w:rsid w:val="6117FD89"/>
    <w:rsid w:val="611D5CA7"/>
    <w:rsid w:val="617F2603"/>
    <w:rsid w:val="61C3D263"/>
    <w:rsid w:val="61D168BC"/>
    <w:rsid w:val="6248277A"/>
    <w:rsid w:val="625E08A0"/>
    <w:rsid w:val="6267DDA0"/>
    <w:rsid w:val="6274484B"/>
    <w:rsid w:val="62C0818A"/>
    <w:rsid w:val="62C1B44A"/>
    <w:rsid w:val="62FDB857"/>
    <w:rsid w:val="631F015F"/>
    <w:rsid w:val="63879F9A"/>
    <w:rsid w:val="643F110E"/>
    <w:rsid w:val="64448103"/>
    <w:rsid w:val="646CBDFD"/>
    <w:rsid w:val="64A4AF06"/>
    <w:rsid w:val="6508F8AB"/>
    <w:rsid w:val="65369284"/>
    <w:rsid w:val="656976E3"/>
    <w:rsid w:val="6584B1A4"/>
    <w:rsid w:val="6599719F"/>
    <w:rsid w:val="65B1B054"/>
    <w:rsid w:val="65B56C2D"/>
    <w:rsid w:val="66076B34"/>
    <w:rsid w:val="6619E952"/>
    <w:rsid w:val="667490C1"/>
    <w:rsid w:val="66BCCF29"/>
    <w:rsid w:val="66E9A40C"/>
    <w:rsid w:val="672C294C"/>
    <w:rsid w:val="674FD54D"/>
    <w:rsid w:val="6752A319"/>
    <w:rsid w:val="675AA42C"/>
    <w:rsid w:val="67771AE9"/>
    <w:rsid w:val="67A4DBF1"/>
    <w:rsid w:val="67C14102"/>
    <w:rsid w:val="67C28C54"/>
    <w:rsid w:val="67C407EA"/>
    <w:rsid w:val="67ECE9C0"/>
    <w:rsid w:val="680AD485"/>
    <w:rsid w:val="685E8B28"/>
    <w:rsid w:val="68708567"/>
    <w:rsid w:val="68956419"/>
    <w:rsid w:val="68A0432F"/>
    <w:rsid w:val="68BD3E51"/>
    <w:rsid w:val="68F9EF41"/>
    <w:rsid w:val="6902A80D"/>
    <w:rsid w:val="6911F4A9"/>
    <w:rsid w:val="691FB3D3"/>
    <w:rsid w:val="691FE9C3"/>
    <w:rsid w:val="69679E8E"/>
    <w:rsid w:val="6970A7D7"/>
    <w:rsid w:val="69D9C773"/>
    <w:rsid w:val="69DEB7C1"/>
    <w:rsid w:val="6A0CF3EE"/>
    <w:rsid w:val="6A9716B1"/>
    <w:rsid w:val="6AAF3030"/>
    <w:rsid w:val="6ACB936F"/>
    <w:rsid w:val="6AEA2725"/>
    <w:rsid w:val="6B0DB4E3"/>
    <w:rsid w:val="6B7DCB39"/>
    <w:rsid w:val="6B8DFBB6"/>
    <w:rsid w:val="6C33035C"/>
    <w:rsid w:val="6C3D7F90"/>
    <w:rsid w:val="6CB136FD"/>
    <w:rsid w:val="6CCAD256"/>
    <w:rsid w:val="6CEEA253"/>
    <w:rsid w:val="6D17C8B6"/>
    <w:rsid w:val="6E702288"/>
    <w:rsid w:val="6EB5F9AB"/>
    <w:rsid w:val="6EE34203"/>
    <w:rsid w:val="6F76AACD"/>
    <w:rsid w:val="6F9DC56A"/>
    <w:rsid w:val="6FA39284"/>
    <w:rsid w:val="6FCCD8FF"/>
    <w:rsid w:val="701F01CF"/>
    <w:rsid w:val="7029A87E"/>
    <w:rsid w:val="70BC89B6"/>
    <w:rsid w:val="711B7C48"/>
    <w:rsid w:val="7142C279"/>
    <w:rsid w:val="715E6814"/>
    <w:rsid w:val="717102F9"/>
    <w:rsid w:val="7178D369"/>
    <w:rsid w:val="7187A659"/>
    <w:rsid w:val="71A7C34A"/>
    <w:rsid w:val="71C2CB3C"/>
    <w:rsid w:val="7201AE17"/>
    <w:rsid w:val="72282CD7"/>
    <w:rsid w:val="722E97E6"/>
    <w:rsid w:val="724FC7D0"/>
    <w:rsid w:val="7261F707"/>
    <w:rsid w:val="7287AE2E"/>
    <w:rsid w:val="72D1AC89"/>
    <w:rsid w:val="72DA94BA"/>
    <w:rsid w:val="731C1046"/>
    <w:rsid w:val="734393AB"/>
    <w:rsid w:val="7379C997"/>
    <w:rsid w:val="739F6DC0"/>
    <w:rsid w:val="73C5F927"/>
    <w:rsid w:val="73DB50C4"/>
    <w:rsid w:val="73E39A66"/>
    <w:rsid w:val="741774EB"/>
    <w:rsid w:val="7468B57D"/>
    <w:rsid w:val="748AA57F"/>
    <w:rsid w:val="753C9CA5"/>
    <w:rsid w:val="7572E528"/>
    <w:rsid w:val="75E6C2F1"/>
    <w:rsid w:val="75ED168B"/>
    <w:rsid w:val="76006C52"/>
    <w:rsid w:val="76115F58"/>
    <w:rsid w:val="768A0C60"/>
    <w:rsid w:val="76C58DF7"/>
    <w:rsid w:val="7759E7DE"/>
    <w:rsid w:val="776EF760"/>
    <w:rsid w:val="77815C84"/>
    <w:rsid w:val="778C5A08"/>
    <w:rsid w:val="77CDC79B"/>
    <w:rsid w:val="784321E8"/>
    <w:rsid w:val="784F849F"/>
    <w:rsid w:val="78677AF1"/>
    <w:rsid w:val="78685113"/>
    <w:rsid w:val="788A6FC4"/>
    <w:rsid w:val="78D01A4C"/>
    <w:rsid w:val="78DC63BD"/>
    <w:rsid w:val="78F79331"/>
    <w:rsid w:val="7927178A"/>
    <w:rsid w:val="793CA841"/>
    <w:rsid w:val="798F1B19"/>
    <w:rsid w:val="79AD52FA"/>
    <w:rsid w:val="7A0AF1D8"/>
    <w:rsid w:val="7AA69822"/>
    <w:rsid w:val="7AB719B0"/>
    <w:rsid w:val="7AB90006"/>
    <w:rsid w:val="7AE9A4BF"/>
    <w:rsid w:val="7B2C4FD9"/>
    <w:rsid w:val="7B4770C8"/>
    <w:rsid w:val="7BA1A3F7"/>
    <w:rsid w:val="7BCF7ACD"/>
    <w:rsid w:val="7BE43812"/>
    <w:rsid w:val="7C04080A"/>
    <w:rsid w:val="7C1AF9F9"/>
    <w:rsid w:val="7C3534A5"/>
    <w:rsid w:val="7CD119C4"/>
    <w:rsid w:val="7CF14FCF"/>
    <w:rsid w:val="7D1DF683"/>
    <w:rsid w:val="7D37393B"/>
    <w:rsid w:val="7D4F9EFE"/>
    <w:rsid w:val="7D75B12E"/>
    <w:rsid w:val="7D7C1BD0"/>
    <w:rsid w:val="7D8D36E0"/>
    <w:rsid w:val="7DADA3DC"/>
    <w:rsid w:val="7DDEB3B6"/>
    <w:rsid w:val="7E7E68B6"/>
    <w:rsid w:val="7EAF0893"/>
    <w:rsid w:val="7ED22013"/>
    <w:rsid w:val="7F96FA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07A7A31C-65F2-4369-8E2F-23A1873E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257"/>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unhideWhenUsed/>
    <w:rsid w:val="00C249D9"/>
    <w:rPr>
      <w:sz w:val="20"/>
    </w:rPr>
  </w:style>
  <w:style w:type="character" w:customStyle="1" w:styleId="FootnoteTextChar">
    <w:name w:val="Footnote Text Char"/>
    <w:basedOn w:val="DefaultParagraphFont"/>
    <w:link w:val="FootnoteText"/>
    <w:uiPriority w:val="99"/>
    <w:rsid w:val="00C249D9"/>
    <w:rPr>
      <w:rFonts w:ascii="Garamond" w:eastAsia="Garamond" w:hAnsi="Garamond" w:cs="Garamond"/>
      <w:sz w:val="20"/>
      <w:szCs w:val="20"/>
      <w:lang w:bidi="en-US"/>
    </w:rPr>
  </w:style>
  <w:style w:type="character" w:styleId="FootnoteReference">
    <w:name w:val="footnote reference"/>
    <w:aliases w:val="~FootnoteReference"/>
    <w:basedOn w:val="DefaultParagraphFont"/>
    <w:uiPriority w:val="99"/>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3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RBNBasicNoSpace">
    <w:name w:val="RBN Basic No Space"/>
    <w:basedOn w:val="Normal"/>
    <w:rsid w:val="00206C59"/>
    <w:pPr>
      <w:widowControl/>
      <w:autoSpaceDE/>
      <w:autoSpaceDN/>
    </w:pPr>
    <w:rPr>
      <w:rFonts w:ascii="Times New Roman" w:eastAsia="Calibri" w:hAnsi="Times New Roman" w:cs="Times New Roman"/>
    </w:rPr>
  </w:style>
  <w:style w:type="paragraph" w:customStyle="1" w:styleId="RBUBullets">
    <w:name w:val="RBU Bullets"/>
    <w:basedOn w:val="Normal"/>
    <w:link w:val="RBUBulletsChar"/>
    <w:rsid w:val="00883DE7"/>
    <w:pPr>
      <w:widowControl/>
      <w:autoSpaceDE/>
      <w:autoSpaceDN/>
      <w:spacing w:after="120"/>
      <w:jc w:val="both"/>
    </w:pPr>
    <w:rPr>
      <w:rFonts w:ascii="Times New Roman" w:eastAsia="Calibri" w:hAnsi="Times New Roman" w:cs="Times New Roman"/>
    </w:rPr>
  </w:style>
  <w:style w:type="character" w:customStyle="1" w:styleId="RBUBulletsChar">
    <w:name w:val="RBU Bullets Char"/>
    <w:basedOn w:val="DefaultParagraphFont"/>
    <w:link w:val="RBUBullets"/>
    <w:rsid w:val="00883DE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05">
      <w:bodyDiv w:val="1"/>
      <w:marLeft w:val="0"/>
      <w:marRight w:val="0"/>
      <w:marTop w:val="0"/>
      <w:marBottom w:val="0"/>
      <w:divBdr>
        <w:top w:val="none" w:sz="0" w:space="0" w:color="auto"/>
        <w:left w:val="none" w:sz="0" w:space="0" w:color="auto"/>
        <w:bottom w:val="none" w:sz="0" w:space="0" w:color="auto"/>
        <w:right w:val="none" w:sz="0" w:space="0" w:color="auto"/>
      </w:divBdr>
    </w:div>
    <w:div w:id="47539714">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98264051">
      <w:bodyDiv w:val="1"/>
      <w:marLeft w:val="0"/>
      <w:marRight w:val="0"/>
      <w:marTop w:val="0"/>
      <w:marBottom w:val="0"/>
      <w:divBdr>
        <w:top w:val="none" w:sz="0" w:space="0" w:color="auto"/>
        <w:left w:val="none" w:sz="0" w:space="0" w:color="auto"/>
        <w:bottom w:val="none" w:sz="0" w:space="0" w:color="auto"/>
        <w:right w:val="none" w:sz="0" w:space="0" w:color="auto"/>
      </w:divBdr>
    </w:div>
    <w:div w:id="101606768">
      <w:bodyDiv w:val="1"/>
      <w:marLeft w:val="0"/>
      <w:marRight w:val="0"/>
      <w:marTop w:val="0"/>
      <w:marBottom w:val="0"/>
      <w:divBdr>
        <w:top w:val="none" w:sz="0" w:space="0" w:color="auto"/>
        <w:left w:val="none" w:sz="0" w:space="0" w:color="auto"/>
        <w:bottom w:val="none" w:sz="0" w:space="0" w:color="auto"/>
        <w:right w:val="none" w:sz="0" w:space="0" w:color="auto"/>
      </w:divBdr>
      <w:divsChild>
        <w:div w:id="156699436">
          <w:marLeft w:val="0"/>
          <w:marRight w:val="0"/>
          <w:marTop w:val="0"/>
          <w:marBottom w:val="0"/>
          <w:divBdr>
            <w:top w:val="none" w:sz="0" w:space="0" w:color="auto"/>
            <w:left w:val="none" w:sz="0" w:space="0" w:color="auto"/>
            <w:bottom w:val="none" w:sz="0" w:space="0" w:color="auto"/>
            <w:right w:val="none" w:sz="0" w:space="0" w:color="auto"/>
          </w:divBdr>
        </w:div>
        <w:div w:id="175120705">
          <w:marLeft w:val="0"/>
          <w:marRight w:val="0"/>
          <w:marTop w:val="0"/>
          <w:marBottom w:val="0"/>
          <w:divBdr>
            <w:top w:val="none" w:sz="0" w:space="0" w:color="auto"/>
            <w:left w:val="none" w:sz="0" w:space="0" w:color="auto"/>
            <w:bottom w:val="none" w:sz="0" w:space="0" w:color="auto"/>
            <w:right w:val="none" w:sz="0" w:space="0" w:color="auto"/>
          </w:divBdr>
        </w:div>
        <w:div w:id="455298864">
          <w:marLeft w:val="0"/>
          <w:marRight w:val="0"/>
          <w:marTop w:val="0"/>
          <w:marBottom w:val="0"/>
          <w:divBdr>
            <w:top w:val="none" w:sz="0" w:space="0" w:color="auto"/>
            <w:left w:val="none" w:sz="0" w:space="0" w:color="auto"/>
            <w:bottom w:val="none" w:sz="0" w:space="0" w:color="auto"/>
            <w:right w:val="none" w:sz="0" w:space="0" w:color="auto"/>
          </w:divBdr>
        </w:div>
        <w:div w:id="481429356">
          <w:marLeft w:val="0"/>
          <w:marRight w:val="0"/>
          <w:marTop w:val="0"/>
          <w:marBottom w:val="0"/>
          <w:divBdr>
            <w:top w:val="none" w:sz="0" w:space="0" w:color="auto"/>
            <w:left w:val="none" w:sz="0" w:space="0" w:color="auto"/>
            <w:bottom w:val="none" w:sz="0" w:space="0" w:color="auto"/>
            <w:right w:val="none" w:sz="0" w:space="0" w:color="auto"/>
          </w:divBdr>
        </w:div>
        <w:div w:id="565997994">
          <w:marLeft w:val="0"/>
          <w:marRight w:val="0"/>
          <w:marTop w:val="0"/>
          <w:marBottom w:val="0"/>
          <w:divBdr>
            <w:top w:val="none" w:sz="0" w:space="0" w:color="auto"/>
            <w:left w:val="none" w:sz="0" w:space="0" w:color="auto"/>
            <w:bottom w:val="none" w:sz="0" w:space="0" w:color="auto"/>
            <w:right w:val="none" w:sz="0" w:space="0" w:color="auto"/>
          </w:divBdr>
        </w:div>
        <w:div w:id="652873297">
          <w:marLeft w:val="0"/>
          <w:marRight w:val="0"/>
          <w:marTop w:val="0"/>
          <w:marBottom w:val="0"/>
          <w:divBdr>
            <w:top w:val="none" w:sz="0" w:space="0" w:color="auto"/>
            <w:left w:val="none" w:sz="0" w:space="0" w:color="auto"/>
            <w:bottom w:val="none" w:sz="0" w:space="0" w:color="auto"/>
            <w:right w:val="none" w:sz="0" w:space="0" w:color="auto"/>
          </w:divBdr>
        </w:div>
        <w:div w:id="665325070">
          <w:marLeft w:val="0"/>
          <w:marRight w:val="0"/>
          <w:marTop w:val="0"/>
          <w:marBottom w:val="0"/>
          <w:divBdr>
            <w:top w:val="none" w:sz="0" w:space="0" w:color="auto"/>
            <w:left w:val="none" w:sz="0" w:space="0" w:color="auto"/>
            <w:bottom w:val="none" w:sz="0" w:space="0" w:color="auto"/>
            <w:right w:val="none" w:sz="0" w:space="0" w:color="auto"/>
          </w:divBdr>
        </w:div>
        <w:div w:id="815610102">
          <w:marLeft w:val="0"/>
          <w:marRight w:val="0"/>
          <w:marTop w:val="0"/>
          <w:marBottom w:val="0"/>
          <w:divBdr>
            <w:top w:val="none" w:sz="0" w:space="0" w:color="auto"/>
            <w:left w:val="none" w:sz="0" w:space="0" w:color="auto"/>
            <w:bottom w:val="none" w:sz="0" w:space="0" w:color="auto"/>
            <w:right w:val="none" w:sz="0" w:space="0" w:color="auto"/>
          </w:divBdr>
        </w:div>
        <w:div w:id="1046493702">
          <w:marLeft w:val="0"/>
          <w:marRight w:val="0"/>
          <w:marTop w:val="0"/>
          <w:marBottom w:val="0"/>
          <w:divBdr>
            <w:top w:val="none" w:sz="0" w:space="0" w:color="auto"/>
            <w:left w:val="none" w:sz="0" w:space="0" w:color="auto"/>
            <w:bottom w:val="none" w:sz="0" w:space="0" w:color="auto"/>
            <w:right w:val="none" w:sz="0" w:space="0" w:color="auto"/>
          </w:divBdr>
        </w:div>
        <w:div w:id="1077897794">
          <w:marLeft w:val="0"/>
          <w:marRight w:val="0"/>
          <w:marTop w:val="0"/>
          <w:marBottom w:val="0"/>
          <w:divBdr>
            <w:top w:val="none" w:sz="0" w:space="0" w:color="auto"/>
            <w:left w:val="none" w:sz="0" w:space="0" w:color="auto"/>
            <w:bottom w:val="none" w:sz="0" w:space="0" w:color="auto"/>
            <w:right w:val="none" w:sz="0" w:space="0" w:color="auto"/>
          </w:divBdr>
        </w:div>
        <w:div w:id="1281494196">
          <w:marLeft w:val="0"/>
          <w:marRight w:val="0"/>
          <w:marTop w:val="0"/>
          <w:marBottom w:val="0"/>
          <w:divBdr>
            <w:top w:val="none" w:sz="0" w:space="0" w:color="auto"/>
            <w:left w:val="none" w:sz="0" w:space="0" w:color="auto"/>
            <w:bottom w:val="none" w:sz="0" w:space="0" w:color="auto"/>
            <w:right w:val="none" w:sz="0" w:space="0" w:color="auto"/>
          </w:divBdr>
        </w:div>
        <w:div w:id="1297955044">
          <w:marLeft w:val="0"/>
          <w:marRight w:val="0"/>
          <w:marTop w:val="0"/>
          <w:marBottom w:val="0"/>
          <w:divBdr>
            <w:top w:val="none" w:sz="0" w:space="0" w:color="auto"/>
            <w:left w:val="none" w:sz="0" w:space="0" w:color="auto"/>
            <w:bottom w:val="none" w:sz="0" w:space="0" w:color="auto"/>
            <w:right w:val="none" w:sz="0" w:space="0" w:color="auto"/>
          </w:divBdr>
        </w:div>
        <w:div w:id="1319308684">
          <w:marLeft w:val="0"/>
          <w:marRight w:val="0"/>
          <w:marTop w:val="0"/>
          <w:marBottom w:val="0"/>
          <w:divBdr>
            <w:top w:val="none" w:sz="0" w:space="0" w:color="auto"/>
            <w:left w:val="none" w:sz="0" w:space="0" w:color="auto"/>
            <w:bottom w:val="none" w:sz="0" w:space="0" w:color="auto"/>
            <w:right w:val="none" w:sz="0" w:space="0" w:color="auto"/>
          </w:divBdr>
        </w:div>
        <w:div w:id="1384408682">
          <w:marLeft w:val="0"/>
          <w:marRight w:val="0"/>
          <w:marTop w:val="0"/>
          <w:marBottom w:val="0"/>
          <w:divBdr>
            <w:top w:val="none" w:sz="0" w:space="0" w:color="auto"/>
            <w:left w:val="none" w:sz="0" w:space="0" w:color="auto"/>
            <w:bottom w:val="none" w:sz="0" w:space="0" w:color="auto"/>
            <w:right w:val="none" w:sz="0" w:space="0" w:color="auto"/>
          </w:divBdr>
        </w:div>
        <w:div w:id="1554388401">
          <w:marLeft w:val="0"/>
          <w:marRight w:val="0"/>
          <w:marTop w:val="0"/>
          <w:marBottom w:val="0"/>
          <w:divBdr>
            <w:top w:val="none" w:sz="0" w:space="0" w:color="auto"/>
            <w:left w:val="none" w:sz="0" w:space="0" w:color="auto"/>
            <w:bottom w:val="none" w:sz="0" w:space="0" w:color="auto"/>
            <w:right w:val="none" w:sz="0" w:space="0" w:color="auto"/>
          </w:divBdr>
        </w:div>
        <w:div w:id="1985817203">
          <w:marLeft w:val="0"/>
          <w:marRight w:val="0"/>
          <w:marTop w:val="0"/>
          <w:marBottom w:val="0"/>
          <w:divBdr>
            <w:top w:val="none" w:sz="0" w:space="0" w:color="auto"/>
            <w:left w:val="none" w:sz="0" w:space="0" w:color="auto"/>
            <w:bottom w:val="none" w:sz="0" w:space="0" w:color="auto"/>
            <w:right w:val="none" w:sz="0" w:space="0" w:color="auto"/>
          </w:divBdr>
        </w:div>
      </w:divsChild>
    </w:div>
    <w:div w:id="200173129">
      <w:bodyDiv w:val="1"/>
      <w:marLeft w:val="0"/>
      <w:marRight w:val="0"/>
      <w:marTop w:val="0"/>
      <w:marBottom w:val="0"/>
      <w:divBdr>
        <w:top w:val="none" w:sz="0" w:space="0" w:color="auto"/>
        <w:left w:val="none" w:sz="0" w:space="0" w:color="auto"/>
        <w:bottom w:val="none" w:sz="0" w:space="0" w:color="auto"/>
        <w:right w:val="none" w:sz="0" w:space="0" w:color="auto"/>
      </w:divBdr>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44091131">
      <w:bodyDiv w:val="1"/>
      <w:marLeft w:val="0"/>
      <w:marRight w:val="0"/>
      <w:marTop w:val="0"/>
      <w:marBottom w:val="0"/>
      <w:divBdr>
        <w:top w:val="none" w:sz="0" w:space="0" w:color="auto"/>
        <w:left w:val="none" w:sz="0" w:space="0" w:color="auto"/>
        <w:bottom w:val="none" w:sz="0" w:space="0" w:color="auto"/>
        <w:right w:val="none" w:sz="0" w:space="0" w:color="auto"/>
      </w:divBdr>
    </w:div>
    <w:div w:id="384262109">
      <w:bodyDiv w:val="1"/>
      <w:marLeft w:val="0"/>
      <w:marRight w:val="0"/>
      <w:marTop w:val="0"/>
      <w:marBottom w:val="0"/>
      <w:divBdr>
        <w:top w:val="none" w:sz="0" w:space="0" w:color="auto"/>
        <w:left w:val="none" w:sz="0" w:space="0" w:color="auto"/>
        <w:bottom w:val="none" w:sz="0" w:space="0" w:color="auto"/>
        <w:right w:val="none" w:sz="0" w:space="0" w:color="auto"/>
      </w:divBdr>
    </w:div>
    <w:div w:id="434403283">
      <w:bodyDiv w:val="1"/>
      <w:marLeft w:val="0"/>
      <w:marRight w:val="0"/>
      <w:marTop w:val="0"/>
      <w:marBottom w:val="0"/>
      <w:divBdr>
        <w:top w:val="none" w:sz="0" w:space="0" w:color="auto"/>
        <w:left w:val="none" w:sz="0" w:space="0" w:color="auto"/>
        <w:bottom w:val="none" w:sz="0" w:space="0" w:color="auto"/>
        <w:right w:val="none" w:sz="0" w:space="0" w:color="auto"/>
      </w:divBdr>
      <w:divsChild>
        <w:div w:id="30882353">
          <w:marLeft w:val="0"/>
          <w:marRight w:val="0"/>
          <w:marTop w:val="0"/>
          <w:marBottom w:val="0"/>
          <w:divBdr>
            <w:top w:val="none" w:sz="0" w:space="0" w:color="auto"/>
            <w:left w:val="none" w:sz="0" w:space="0" w:color="auto"/>
            <w:bottom w:val="none" w:sz="0" w:space="0" w:color="auto"/>
            <w:right w:val="none" w:sz="0" w:space="0" w:color="auto"/>
          </w:divBdr>
        </w:div>
        <w:div w:id="361981767">
          <w:marLeft w:val="0"/>
          <w:marRight w:val="0"/>
          <w:marTop w:val="0"/>
          <w:marBottom w:val="0"/>
          <w:divBdr>
            <w:top w:val="none" w:sz="0" w:space="0" w:color="auto"/>
            <w:left w:val="none" w:sz="0" w:space="0" w:color="auto"/>
            <w:bottom w:val="none" w:sz="0" w:space="0" w:color="auto"/>
            <w:right w:val="none" w:sz="0" w:space="0" w:color="auto"/>
          </w:divBdr>
        </w:div>
        <w:div w:id="454108118">
          <w:marLeft w:val="0"/>
          <w:marRight w:val="0"/>
          <w:marTop w:val="0"/>
          <w:marBottom w:val="0"/>
          <w:divBdr>
            <w:top w:val="none" w:sz="0" w:space="0" w:color="auto"/>
            <w:left w:val="none" w:sz="0" w:space="0" w:color="auto"/>
            <w:bottom w:val="none" w:sz="0" w:space="0" w:color="auto"/>
            <w:right w:val="none" w:sz="0" w:space="0" w:color="auto"/>
          </w:divBdr>
        </w:div>
        <w:div w:id="574517068">
          <w:marLeft w:val="0"/>
          <w:marRight w:val="0"/>
          <w:marTop w:val="0"/>
          <w:marBottom w:val="0"/>
          <w:divBdr>
            <w:top w:val="none" w:sz="0" w:space="0" w:color="auto"/>
            <w:left w:val="none" w:sz="0" w:space="0" w:color="auto"/>
            <w:bottom w:val="none" w:sz="0" w:space="0" w:color="auto"/>
            <w:right w:val="none" w:sz="0" w:space="0" w:color="auto"/>
          </w:divBdr>
        </w:div>
        <w:div w:id="644163470">
          <w:marLeft w:val="0"/>
          <w:marRight w:val="0"/>
          <w:marTop w:val="0"/>
          <w:marBottom w:val="0"/>
          <w:divBdr>
            <w:top w:val="none" w:sz="0" w:space="0" w:color="auto"/>
            <w:left w:val="none" w:sz="0" w:space="0" w:color="auto"/>
            <w:bottom w:val="none" w:sz="0" w:space="0" w:color="auto"/>
            <w:right w:val="none" w:sz="0" w:space="0" w:color="auto"/>
          </w:divBdr>
        </w:div>
        <w:div w:id="664666793">
          <w:marLeft w:val="0"/>
          <w:marRight w:val="0"/>
          <w:marTop w:val="0"/>
          <w:marBottom w:val="0"/>
          <w:divBdr>
            <w:top w:val="none" w:sz="0" w:space="0" w:color="auto"/>
            <w:left w:val="none" w:sz="0" w:space="0" w:color="auto"/>
            <w:bottom w:val="none" w:sz="0" w:space="0" w:color="auto"/>
            <w:right w:val="none" w:sz="0" w:space="0" w:color="auto"/>
          </w:divBdr>
        </w:div>
        <w:div w:id="1303927640">
          <w:marLeft w:val="0"/>
          <w:marRight w:val="0"/>
          <w:marTop w:val="0"/>
          <w:marBottom w:val="0"/>
          <w:divBdr>
            <w:top w:val="none" w:sz="0" w:space="0" w:color="auto"/>
            <w:left w:val="none" w:sz="0" w:space="0" w:color="auto"/>
            <w:bottom w:val="none" w:sz="0" w:space="0" w:color="auto"/>
            <w:right w:val="none" w:sz="0" w:space="0" w:color="auto"/>
          </w:divBdr>
        </w:div>
        <w:div w:id="1436292188">
          <w:marLeft w:val="0"/>
          <w:marRight w:val="0"/>
          <w:marTop w:val="0"/>
          <w:marBottom w:val="0"/>
          <w:divBdr>
            <w:top w:val="none" w:sz="0" w:space="0" w:color="auto"/>
            <w:left w:val="none" w:sz="0" w:space="0" w:color="auto"/>
            <w:bottom w:val="none" w:sz="0" w:space="0" w:color="auto"/>
            <w:right w:val="none" w:sz="0" w:space="0" w:color="auto"/>
          </w:divBdr>
        </w:div>
        <w:div w:id="1493910695">
          <w:marLeft w:val="0"/>
          <w:marRight w:val="0"/>
          <w:marTop w:val="0"/>
          <w:marBottom w:val="0"/>
          <w:divBdr>
            <w:top w:val="none" w:sz="0" w:space="0" w:color="auto"/>
            <w:left w:val="none" w:sz="0" w:space="0" w:color="auto"/>
            <w:bottom w:val="none" w:sz="0" w:space="0" w:color="auto"/>
            <w:right w:val="none" w:sz="0" w:space="0" w:color="auto"/>
          </w:divBdr>
        </w:div>
        <w:div w:id="1551721089">
          <w:marLeft w:val="0"/>
          <w:marRight w:val="0"/>
          <w:marTop w:val="0"/>
          <w:marBottom w:val="0"/>
          <w:divBdr>
            <w:top w:val="none" w:sz="0" w:space="0" w:color="auto"/>
            <w:left w:val="none" w:sz="0" w:space="0" w:color="auto"/>
            <w:bottom w:val="none" w:sz="0" w:space="0" w:color="auto"/>
            <w:right w:val="none" w:sz="0" w:space="0" w:color="auto"/>
          </w:divBdr>
        </w:div>
        <w:div w:id="1637837123">
          <w:marLeft w:val="0"/>
          <w:marRight w:val="0"/>
          <w:marTop w:val="0"/>
          <w:marBottom w:val="0"/>
          <w:divBdr>
            <w:top w:val="none" w:sz="0" w:space="0" w:color="auto"/>
            <w:left w:val="none" w:sz="0" w:space="0" w:color="auto"/>
            <w:bottom w:val="none" w:sz="0" w:space="0" w:color="auto"/>
            <w:right w:val="none" w:sz="0" w:space="0" w:color="auto"/>
          </w:divBdr>
        </w:div>
        <w:div w:id="1730960257">
          <w:marLeft w:val="0"/>
          <w:marRight w:val="0"/>
          <w:marTop w:val="0"/>
          <w:marBottom w:val="0"/>
          <w:divBdr>
            <w:top w:val="none" w:sz="0" w:space="0" w:color="auto"/>
            <w:left w:val="none" w:sz="0" w:space="0" w:color="auto"/>
            <w:bottom w:val="none" w:sz="0" w:space="0" w:color="auto"/>
            <w:right w:val="none" w:sz="0" w:space="0" w:color="auto"/>
          </w:divBdr>
        </w:div>
        <w:div w:id="1743017833">
          <w:marLeft w:val="0"/>
          <w:marRight w:val="0"/>
          <w:marTop w:val="0"/>
          <w:marBottom w:val="0"/>
          <w:divBdr>
            <w:top w:val="none" w:sz="0" w:space="0" w:color="auto"/>
            <w:left w:val="none" w:sz="0" w:space="0" w:color="auto"/>
            <w:bottom w:val="none" w:sz="0" w:space="0" w:color="auto"/>
            <w:right w:val="none" w:sz="0" w:space="0" w:color="auto"/>
          </w:divBdr>
        </w:div>
        <w:div w:id="1864898225">
          <w:marLeft w:val="0"/>
          <w:marRight w:val="0"/>
          <w:marTop w:val="0"/>
          <w:marBottom w:val="0"/>
          <w:divBdr>
            <w:top w:val="none" w:sz="0" w:space="0" w:color="auto"/>
            <w:left w:val="none" w:sz="0" w:space="0" w:color="auto"/>
            <w:bottom w:val="none" w:sz="0" w:space="0" w:color="auto"/>
            <w:right w:val="none" w:sz="0" w:space="0" w:color="auto"/>
          </w:divBdr>
        </w:div>
        <w:div w:id="1867793641">
          <w:marLeft w:val="0"/>
          <w:marRight w:val="0"/>
          <w:marTop w:val="0"/>
          <w:marBottom w:val="0"/>
          <w:divBdr>
            <w:top w:val="none" w:sz="0" w:space="0" w:color="auto"/>
            <w:left w:val="none" w:sz="0" w:space="0" w:color="auto"/>
            <w:bottom w:val="none" w:sz="0" w:space="0" w:color="auto"/>
            <w:right w:val="none" w:sz="0" w:space="0" w:color="auto"/>
          </w:divBdr>
        </w:div>
        <w:div w:id="2032871276">
          <w:marLeft w:val="0"/>
          <w:marRight w:val="0"/>
          <w:marTop w:val="0"/>
          <w:marBottom w:val="0"/>
          <w:divBdr>
            <w:top w:val="none" w:sz="0" w:space="0" w:color="auto"/>
            <w:left w:val="none" w:sz="0" w:space="0" w:color="auto"/>
            <w:bottom w:val="none" w:sz="0" w:space="0" w:color="auto"/>
            <w:right w:val="none" w:sz="0" w:space="0" w:color="auto"/>
          </w:divBdr>
        </w:div>
      </w:divsChild>
    </w:div>
    <w:div w:id="438451908">
      <w:bodyDiv w:val="1"/>
      <w:marLeft w:val="0"/>
      <w:marRight w:val="0"/>
      <w:marTop w:val="0"/>
      <w:marBottom w:val="0"/>
      <w:divBdr>
        <w:top w:val="none" w:sz="0" w:space="0" w:color="auto"/>
        <w:left w:val="none" w:sz="0" w:space="0" w:color="auto"/>
        <w:bottom w:val="none" w:sz="0" w:space="0" w:color="auto"/>
        <w:right w:val="none" w:sz="0" w:space="0" w:color="auto"/>
      </w:divBdr>
    </w:div>
    <w:div w:id="441649282">
      <w:bodyDiv w:val="1"/>
      <w:marLeft w:val="0"/>
      <w:marRight w:val="0"/>
      <w:marTop w:val="0"/>
      <w:marBottom w:val="0"/>
      <w:divBdr>
        <w:top w:val="none" w:sz="0" w:space="0" w:color="auto"/>
        <w:left w:val="none" w:sz="0" w:space="0" w:color="auto"/>
        <w:bottom w:val="none" w:sz="0" w:space="0" w:color="auto"/>
        <w:right w:val="none" w:sz="0" w:space="0" w:color="auto"/>
      </w:divBdr>
      <w:divsChild>
        <w:div w:id="5639989">
          <w:marLeft w:val="0"/>
          <w:marRight w:val="0"/>
          <w:marTop w:val="0"/>
          <w:marBottom w:val="0"/>
          <w:divBdr>
            <w:top w:val="none" w:sz="0" w:space="0" w:color="auto"/>
            <w:left w:val="none" w:sz="0" w:space="0" w:color="auto"/>
            <w:bottom w:val="none" w:sz="0" w:space="0" w:color="auto"/>
            <w:right w:val="none" w:sz="0" w:space="0" w:color="auto"/>
          </w:divBdr>
        </w:div>
        <w:div w:id="117917444">
          <w:marLeft w:val="0"/>
          <w:marRight w:val="0"/>
          <w:marTop w:val="0"/>
          <w:marBottom w:val="0"/>
          <w:divBdr>
            <w:top w:val="none" w:sz="0" w:space="0" w:color="auto"/>
            <w:left w:val="none" w:sz="0" w:space="0" w:color="auto"/>
            <w:bottom w:val="none" w:sz="0" w:space="0" w:color="auto"/>
            <w:right w:val="none" w:sz="0" w:space="0" w:color="auto"/>
          </w:divBdr>
        </w:div>
        <w:div w:id="190723725">
          <w:marLeft w:val="0"/>
          <w:marRight w:val="0"/>
          <w:marTop w:val="0"/>
          <w:marBottom w:val="0"/>
          <w:divBdr>
            <w:top w:val="none" w:sz="0" w:space="0" w:color="auto"/>
            <w:left w:val="none" w:sz="0" w:space="0" w:color="auto"/>
            <w:bottom w:val="none" w:sz="0" w:space="0" w:color="auto"/>
            <w:right w:val="none" w:sz="0" w:space="0" w:color="auto"/>
          </w:divBdr>
        </w:div>
        <w:div w:id="234170737">
          <w:marLeft w:val="0"/>
          <w:marRight w:val="0"/>
          <w:marTop w:val="0"/>
          <w:marBottom w:val="0"/>
          <w:divBdr>
            <w:top w:val="none" w:sz="0" w:space="0" w:color="auto"/>
            <w:left w:val="none" w:sz="0" w:space="0" w:color="auto"/>
            <w:bottom w:val="none" w:sz="0" w:space="0" w:color="auto"/>
            <w:right w:val="none" w:sz="0" w:space="0" w:color="auto"/>
          </w:divBdr>
        </w:div>
        <w:div w:id="277420401">
          <w:marLeft w:val="0"/>
          <w:marRight w:val="0"/>
          <w:marTop w:val="0"/>
          <w:marBottom w:val="0"/>
          <w:divBdr>
            <w:top w:val="none" w:sz="0" w:space="0" w:color="auto"/>
            <w:left w:val="none" w:sz="0" w:space="0" w:color="auto"/>
            <w:bottom w:val="none" w:sz="0" w:space="0" w:color="auto"/>
            <w:right w:val="none" w:sz="0" w:space="0" w:color="auto"/>
          </w:divBdr>
        </w:div>
        <w:div w:id="316494804">
          <w:marLeft w:val="0"/>
          <w:marRight w:val="0"/>
          <w:marTop w:val="0"/>
          <w:marBottom w:val="0"/>
          <w:divBdr>
            <w:top w:val="none" w:sz="0" w:space="0" w:color="auto"/>
            <w:left w:val="none" w:sz="0" w:space="0" w:color="auto"/>
            <w:bottom w:val="none" w:sz="0" w:space="0" w:color="auto"/>
            <w:right w:val="none" w:sz="0" w:space="0" w:color="auto"/>
          </w:divBdr>
        </w:div>
        <w:div w:id="501897098">
          <w:marLeft w:val="0"/>
          <w:marRight w:val="0"/>
          <w:marTop w:val="0"/>
          <w:marBottom w:val="0"/>
          <w:divBdr>
            <w:top w:val="none" w:sz="0" w:space="0" w:color="auto"/>
            <w:left w:val="none" w:sz="0" w:space="0" w:color="auto"/>
            <w:bottom w:val="none" w:sz="0" w:space="0" w:color="auto"/>
            <w:right w:val="none" w:sz="0" w:space="0" w:color="auto"/>
          </w:divBdr>
        </w:div>
        <w:div w:id="591862096">
          <w:marLeft w:val="0"/>
          <w:marRight w:val="0"/>
          <w:marTop w:val="0"/>
          <w:marBottom w:val="0"/>
          <w:divBdr>
            <w:top w:val="none" w:sz="0" w:space="0" w:color="auto"/>
            <w:left w:val="none" w:sz="0" w:space="0" w:color="auto"/>
            <w:bottom w:val="none" w:sz="0" w:space="0" w:color="auto"/>
            <w:right w:val="none" w:sz="0" w:space="0" w:color="auto"/>
          </w:divBdr>
        </w:div>
        <w:div w:id="599071590">
          <w:marLeft w:val="0"/>
          <w:marRight w:val="0"/>
          <w:marTop w:val="0"/>
          <w:marBottom w:val="0"/>
          <w:divBdr>
            <w:top w:val="none" w:sz="0" w:space="0" w:color="auto"/>
            <w:left w:val="none" w:sz="0" w:space="0" w:color="auto"/>
            <w:bottom w:val="none" w:sz="0" w:space="0" w:color="auto"/>
            <w:right w:val="none" w:sz="0" w:space="0" w:color="auto"/>
          </w:divBdr>
        </w:div>
        <w:div w:id="656416821">
          <w:marLeft w:val="0"/>
          <w:marRight w:val="0"/>
          <w:marTop w:val="0"/>
          <w:marBottom w:val="0"/>
          <w:divBdr>
            <w:top w:val="none" w:sz="0" w:space="0" w:color="auto"/>
            <w:left w:val="none" w:sz="0" w:space="0" w:color="auto"/>
            <w:bottom w:val="none" w:sz="0" w:space="0" w:color="auto"/>
            <w:right w:val="none" w:sz="0" w:space="0" w:color="auto"/>
          </w:divBdr>
        </w:div>
        <w:div w:id="725033411">
          <w:marLeft w:val="0"/>
          <w:marRight w:val="0"/>
          <w:marTop w:val="0"/>
          <w:marBottom w:val="0"/>
          <w:divBdr>
            <w:top w:val="none" w:sz="0" w:space="0" w:color="auto"/>
            <w:left w:val="none" w:sz="0" w:space="0" w:color="auto"/>
            <w:bottom w:val="none" w:sz="0" w:space="0" w:color="auto"/>
            <w:right w:val="none" w:sz="0" w:space="0" w:color="auto"/>
          </w:divBdr>
        </w:div>
        <w:div w:id="727267294">
          <w:marLeft w:val="0"/>
          <w:marRight w:val="0"/>
          <w:marTop w:val="0"/>
          <w:marBottom w:val="0"/>
          <w:divBdr>
            <w:top w:val="none" w:sz="0" w:space="0" w:color="auto"/>
            <w:left w:val="none" w:sz="0" w:space="0" w:color="auto"/>
            <w:bottom w:val="none" w:sz="0" w:space="0" w:color="auto"/>
            <w:right w:val="none" w:sz="0" w:space="0" w:color="auto"/>
          </w:divBdr>
        </w:div>
        <w:div w:id="1229725837">
          <w:marLeft w:val="0"/>
          <w:marRight w:val="0"/>
          <w:marTop w:val="0"/>
          <w:marBottom w:val="0"/>
          <w:divBdr>
            <w:top w:val="none" w:sz="0" w:space="0" w:color="auto"/>
            <w:left w:val="none" w:sz="0" w:space="0" w:color="auto"/>
            <w:bottom w:val="none" w:sz="0" w:space="0" w:color="auto"/>
            <w:right w:val="none" w:sz="0" w:space="0" w:color="auto"/>
          </w:divBdr>
        </w:div>
        <w:div w:id="1418986142">
          <w:marLeft w:val="0"/>
          <w:marRight w:val="0"/>
          <w:marTop w:val="0"/>
          <w:marBottom w:val="0"/>
          <w:divBdr>
            <w:top w:val="none" w:sz="0" w:space="0" w:color="auto"/>
            <w:left w:val="none" w:sz="0" w:space="0" w:color="auto"/>
            <w:bottom w:val="none" w:sz="0" w:space="0" w:color="auto"/>
            <w:right w:val="none" w:sz="0" w:space="0" w:color="auto"/>
          </w:divBdr>
        </w:div>
        <w:div w:id="1439137555">
          <w:marLeft w:val="0"/>
          <w:marRight w:val="0"/>
          <w:marTop w:val="0"/>
          <w:marBottom w:val="0"/>
          <w:divBdr>
            <w:top w:val="none" w:sz="0" w:space="0" w:color="auto"/>
            <w:left w:val="none" w:sz="0" w:space="0" w:color="auto"/>
            <w:bottom w:val="none" w:sz="0" w:space="0" w:color="auto"/>
            <w:right w:val="none" w:sz="0" w:space="0" w:color="auto"/>
          </w:divBdr>
        </w:div>
        <w:div w:id="1496266570">
          <w:marLeft w:val="0"/>
          <w:marRight w:val="0"/>
          <w:marTop w:val="0"/>
          <w:marBottom w:val="0"/>
          <w:divBdr>
            <w:top w:val="none" w:sz="0" w:space="0" w:color="auto"/>
            <w:left w:val="none" w:sz="0" w:space="0" w:color="auto"/>
            <w:bottom w:val="none" w:sz="0" w:space="0" w:color="auto"/>
            <w:right w:val="none" w:sz="0" w:space="0" w:color="auto"/>
          </w:divBdr>
        </w:div>
        <w:div w:id="1500542657">
          <w:marLeft w:val="0"/>
          <w:marRight w:val="0"/>
          <w:marTop w:val="0"/>
          <w:marBottom w:val="0"/>
          <w:divBdr>
            <w:top w:val="none" w:sz="0" w:space="0" w:color="auto"/>
            <w:left w:val="none" w:sz="0" w:space="0" w:color="auto"/>
            <w:bottom w:val="none" w:sz="0" w:space="0" w:color="auto"/>
            <w:right w:val="none" w:sz="0" w:space="0" w:color="auto"/>
          </w:divBdr>
        </w:div>
        <w:div w:id="1675451455">
          <w:marLeft w:val="0"/>
          <w:marRight w:val="0"/>
          <w:marTop w:val="0"/>
          <w:marBottom w:val="0"/>
          <w:divBdr>
            <w:top w:val="none" w:sz="0" w:space="0" w:color="auto"/>
            <w:left w:val="none" w:sz="0" w:space="0" w:color="auto"/>
            <w:bottom w:val="none" w:sz="0" w:space="0" w:color="auto"/>
            <w:right w:val="none" w:sz="0" w:space="0" w:color="auto"/>
          </w:divBdr>
        </w:div>
        <w:div w:id="1713580139">
          <w:marLeft w:val="0"/>
          <w:marRight w:val="0"/>
          <w:marTop w:val="0"/>
          <w:marBottom w:val="0"/>
          <w:divBdr>
            <w:top w:val="none" w:sz="0" w:space="0" w:color="auto"/>
            <w:left w:val="none" w:sz="0" w:space="0" w:color="auto"/>
            <w:bottom w:val="none" w:sz="0" w:space="0" w:color="auto"/>
            <w:right w:val="none" w:sz="0" w:space="0" w:color="auto"/>
          </w:divBdr>
        </w:div>
        <w:div w:id="1943957225">
          <w:marLeft w:val="0"/>
          <w:marRight w:val="0"/>
          <w:marTop w:val="0"/>
          <w:marBottom w:val="0"/>
          <w:divBdr>
            <w:top w:val="none" w:sz="0" w:space="0" w:color="auto"/>
            <w:left w:val="none" w:sz="0" w:space="0" w:color="auto"/>
            <w:bottom w:val="none" w:sz="0" w:space="0" w:color="auto"/>
            <w:right w:val="none" w:sz="0" w:space="0" w:color="auto"/>
          </w:divBdr>
        </w:div>
        <w:div w:id="2077164819">
          <w:marLeft w:val="0"/>
          <w:marRight w:val="0"/>
          <w:marTop w:val="0"/>
          <w:marBottom w:val="0"/>
          <w:divBdr>
            <w:top w:val="none" w:sz="0" w:space="0" w:color="auto"/>
            <w:left w:val="none" w:sz="0" w:space="0" w:color="auto"/>
            <w:bottom w:val="none" w:sz="0" w:space="0" w:color="auto"/>
            <w:right w:val="none" w:sz="0" w:space="0" w:color="auto"/>
          </w:divBdr>
        </w:div>
        <w:div w:id="2123307649">
          <w:marLeft w:val="0"/>
          <w:marRight w:val="0"/>
          <w:marTop w:val="0"/>
          <w:marBottom w:val="0"/>
          <w:divBdr>
            <w:top w:val="none" w:sz="0" w:space="0" w:color="auto"/>
            <w:left w:val="none" w:sz="0" w:space="0" w:color="auto"/>
            <w:bottom w:val="none" w:sz="0" w:space="0" w:color="auto"/>
            <w:right w:val="none" w:sz="0" w:space="0" w:color="auto"/>
          </w:divBdr>
        </w:div>
      </w:divsChild>
    </w:div>
    <w:div w:id="463231644">
      <w:bodyDiv w:val="1"/>
      <w:marLeft w:val="0"/>
      <w:marRight w:val="0"/>
      <w:marTop w:val="0"/>
      <w:marBottom w:val="0"/>
      <w:divBdr>
        <w:top w:val="none" w:sz="0" w:space="0" w:color="auto"/>
        <w:left w:val="none" w:sz="0" w:space="0" w:color="auto"/>
        <w:bottom w:val="none" w:sz="0" w:space="0" w:color="auto"/>
        <w:right w:val="none" w:sz="0" w:space="0" w:color="auto"/>
      </w:divBdr>
    </w:div>
    <w:div w:id="502474683">
      <w:bodyDiv w:val="1"/>
      <w:marLeft w:val="0"/>
      <w:marRight w:val="0"/>
      <w:marTop w:val="0"/>
      <w:marBottom w:val="0"/>
      <w:divBdr>
        <w:top w:val="none" w:sz="0" w:space="0" w:color="auto"/>
        <w:left w:val="none" w:sz="0" w:space="0" w:color="auto"/>
        <w:bottom w:val="none" w:sz="0" w:space="0" w:color="auto"/>
        <w:right w:val="none" w:sz="0" w:space="0" w:color="auto"/>
      </w:divBdr>
    </w:div>
    <w:div w:id="518739299">
      <w:bodyDiv w:val="1"/>
      <w:marLeft w:val="0"/>
      <w:marRight w:val="0"/>
      <w:marTop w:val="0"/>
      <w:marBottom w:val="0"/>
      <w:divBdr>
        <w:top w:val="none" w:sz="0" w:space="0" w:color="auto"/>
        <w:left w:val="none" w:sz="0" w:space="0" w:color="auto"/>
        <w:bottom w:val="none" w:sz="0" w:space="0" w:color="auto"/>
        <w:right w:val="none" w:sz="0" w:space="0" w:color="auto"/>
      </w:divBdr>
    </w:div>
    <w:div w:id="523255398">
      <w:bodyDiv w:val="1"/>
      <w:marLeft w:val="0"/>
      <w:marRight w:val="0"/>
      <w:marTop w:val="0"/>
      <w:marBottom w:val="0"/>
      <w:divBdr>
        <w:top w:val="none" w:sz="0" w:space="0" w:color="auto"/>
        <w:left w:val="none" w:sz="0" w:space="0" w:color="auto"/>
        <w:bottom w:val="none" w:sz="0" w:space="0" w:color="auto"/>
        <w:right w:val="none" w:sz="0" w:space="0" w:color="auto"/>
      </w:divBdr>
    </w:div>
    <w:div w:id="656231406">
      <w:bodyDiv w:val="1"/>
      <w:marLeft w:val="0"/>
      <w:marRight w:val="0"/>
      <w:marTop w:val="0"/>
      <w:marBottom w:val="0"/>
      <w:divBdr>
        <w:top w:val="none" w:sz="0" w:space="0" w:color="auto"/>
        <w:left w:val="none" w:sz="0" w:space="0" w:color="auto"/>
        <w:bottom w:val="none" w:sz="0" w:space="0" w:color="auto"/>
        <w:right w:val="none" w:sz="0" w:space="0" w:color="auto"/>
      </w:divBdr>
    </w:div>
    <w:div w:id="690959724">
      <w:bodyDiv w:val="1"/>
      <w:marLeft w:val="0"/>
      <w:marRight w:val="0"/>
      <w:marTop w:val="0"/>
      <w:marBottom w:val="0"/>
      <w:divBdr>
        <w:top w:val="none" w:sz="0" w:space="0" w:color="auto"/>
        <w:left w:val="none" w:sz="0" w:space="0" w:color="auto"/>
        <w:bottom w:val="none" w:sz="0" w:space="0" w:color="auto"/>
        <w:right w:val="none" w:sz="0" w:space="0" w:color="auto"/>
      </w:divBdr>
    </w:div>
    <w:div w:id="726805760">
      <w:bodyDiv w:val="1"/>
      <w:marLeft w:val="0"/>
      <w:marRight w:val="0"/>
      <w:marTop w:val="0"/>
      <w:marBottom w:val="0"/>
      <w:divBdr>
        <w:top w:val="none" w:sz="0" w:space="0" w:color="auto"/>
        <w:left w:val="none" w:sz="0" w:space="0" w:color="auto"/>
        <w:bottom w:val="none" w:sz="0" w:space="0" w:color="auto"/>
        <w:right w:val="none" w:sz="0" w:space="0" w:color="auto"/>
      </w:divBdr>
    </w:div>
    <w:div w:id="766846734">
      <w:bodyDiv w:val="1"/>
      <w:marLeft w:val="0"/>
      <w:marRight w:val="0"/>
      <w:marTop w:val="0"/>
      <w:marBottom w:val="0"/>
      <w:divBdr>
        <w:top w:val="none" w:sz="0" w:space="0" w:color="auto"/>
        <w:left w:val="none" w:sz="0" w:space="0" w:color="auto"/>
        <w:bottom w:val="none" w:sz="0" w:space="0" w:color="auto"/>
        <w:right w:val="none" w:sz="0" w:space="0" w:color="auto"/>
      </w:divBdr>
    </w:div>
    <w:div w:id="782769377">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867254881">
      <w:bodyDiv w:val="1"/>
      <w:marLeft w:val="0"/>
      <w:marRight w:val="0"/>
      <w:marTop w:val="0"/>
      <w:marBottom w:val="0"/>
      <w:divBdr>
        <w:top w:val="none" w:sz="0" w:space="0" w:color="auto"/>
        <w:left w:val="none" w:sz="0" w:space="0" w:color="auto"/>
        <w:bottom w:val="none" w:sz="0" w:space="0" w:color="auto"/>
        <w:right w:val="none" w:sz="0" w:space="0" w:color="auto"/>
      </w:divBdr>
    </w:div>
    <w:div w:id="887837185">
      <w:bodyDiv w:val="1"/>
      <w:marLeft w:val="0"/>
      <w:marRight w:val="0"/>
      <w:marTop w:val="0"/>
      <w:marBottom w:val="0"/>
      <w:divBdr>
        <w:top w:val="none" w:sz="0" w:space="0" w:color="auto"/>
        <w:left w:val="none" w:sz="0" w:space="0" w:color="auto"/>
        <w:bottom w:val="none" w:sz="0" w:space="0" w:color="auto"/>
        <w:right w:val="none" w:sz="0" w:space="0" w:color="auto"/>
      </w:divBdr>
    </w:div>
    <w:div w:id="978070243">
      <w:bodyDiv w:val="1"/>
      <w:marLeft w:val="0"/>
      <w:marRight w:val="0"/>
      <w:marTop w:val="0"/>
      <w:marBottom w:val="0"/>
      <w:divBdr>
        <w:top w:val="none" w:sz="0" w:space="0" w:color="auto"/>
        <w:left w:val="none" w:sz="0" w:space="0" w:color="auto"/>
        <w:bottom w:val="none" w:sz="0" w:space="0" w:color="auto"/>
        <w:right w:val="none" w:sz="0" w:space="0" w:color="auto"/>
      </w:divBdr>
    </w:div>
    <w:div w:id="987051204">
      <w:bodyDiv w:val="1"/>
      <w:marLeft w:val="0"/>
      <w:marRight w:val="0"/>
      <w:marTop w:val="0"/>
      <w:marBottom w:val="0"/>
      <w:divBdr>
        <w:top w:val="none" w:sz="0" w:space="0" w:color="auto"/>
        <w:left w:val="none" w:sz="0" w:space="0" w:color="auto"/>
        <w:bottom w:val="none" w:sz="0" w:space="0" w:color="auto"/>
        <w:right w:val="none" w:sz="0" w:space="0" w:color="auto"/>
      </w:divBdr>
    </w:div>
    <w:div w:id="1115826728">
      <w:bodyDiv w:val="1"/>
      <w:marLeft w:val="0"/>
      <w:marRight w:val="0"/>
      <w:marTop w:val="0"/>
      <w:marBottom w:val="0"/>
      <w:divBdr>
        <w:top w:val="none" w:sz="0" w:space="0" w:color="auto"/>
        <w:left w:val="none" w:sz="0" w:space="0" w:color="auto"/>
        <w:bottom w:val="none" w:sz="0" w:space="0" w:color="auto"/>
        <w:right w:val="none" w:sz="0" w:space="0" w:color="auto"/>
      </w:divBdr>
    </w:div>
    <w:div w:id="1219976652">
      <w:bodyDiv w:val="1"/>
      <w:marLeft w:val="0"/>
      <w:marRight w:val="0"/>
      <w:marTop w:val="0"/>
      <w:marBottom w:val="0"/>
      <w:divBdr>
        <w:top w:val="none" w:sz="0" w:space="0" w:color="auto"/>
        <w:left w:val="none" w:sz="0" w:space="0" w:color="auto"/>
        <w:bottom w:val="none" w:sz="0" w:space="0" w:color="auto"/>
        <w:right w:val="none" w:sz="0" w:space="0" w:color="auto"/>
      </w:divBdr>
    </w:div>
    <w:div w:id="1238438978">
      <w:bodyDiv w:val="1"/>
      <w:marLeft w:val="0"/>
      <w:marRight w:val="0"/>
      <w:marTop w:val="0"/>
      <w:marBottom w:val="0"/>
      <w:divBdr>
        <w:top w:val="none" w:sz="0" w:space="0" w:color="auto"/>
        <w:left w:val="none" w:sz="0" w:space="0" w:color="auto"/>
        <w:bottom w:val="none" w:sz="0" w:space="0" w:color="auto"/>
        <w:right w:val="none" w:sz="0" w:space="0" w:color="auto"/>
      </w:divBdr>
    </w:div>
    <w:div w:id="1262027230">
      <w:bodyDiv w:val="1"/>
      <w:marLeft w:val="0"/>
      <w:marRight w:val="0"/>
      <w:marTop w:val="0"/>
      <w:marBottom w:val="0"/>
      <w:divBdr>
        <w:top w:val="none" w:sz="0" w:space="0" w:color="auto"/>
        <w:left w:val="none" w:sz="0" w:space="0" w:color="auto"/>
        <w:bottom w:val="none" w:sz="0" w:space="0" w:color="auto"/>
        <w:right w:val="none" w:sz="0" w:space="0" w:color="auto"/>
      </w:divBdr>
    </w:div>
    <w:div w:id="1323238669">
      <w:bodyDiv w:val="1"/>
      <w:marLeft w:val="0"/>
      <w:marRight w:val="0"/>
      <w:marTop w:val="0"/>
      <w:marBottom w:val="0"/>
      <w:divBdr>
        <w:top w:val="none" w:sz="0" w:space="0" w:color="auto"/>
        <w:left w:val="none" w:sz="0" w:space="0" w:color="auto"/>
        <w:bottom w:val="none" w:sz="0" w:space="0" w:color="auto"/>
        <w:right w:val="none" w:sz="0" w:space="0" w:color="auto"/>
      </w:divBdr>
    </w:div>
    <w:div w:id="1393773682">
      <w:bodyDiv w:val="1"/>
      <w:marLeft w:val="0"/>
      <w:marRight w:val="0"/>
      <w:marTop w:val="0"/>
      <w:marBottom w:val="0"/>
      <w:divBdr>
        <w:top w:val="none" w:sz="0" w:space="0" w:color="auto"/>
        <w:left w:val="none" w:sz="0" w:space="0" w:color="auto"/>
        <w:bottom w:val="none" w:sz="0" w:space="0" w:color="auto"/>
        <w:right w:val="none" w:sz="0" w:space="0" w:color="auto"/>
      </w:divBdr>
    </w:div>
    <w:div w:id="1432704541">
      <w:bodyDiv w:val="1"/>
      <w:marLeft w:val="0"/>
      <w:marRight w:val="0"/>
      <w:marTop w:val="0"/>
      <w:marBottom w:val="0"/>
      <w:divBdr>
        <w:top w:val="none" w:sz="0" w:space="0" w:color="auto"/>
        <w:left w:val="none" w:sz="0" w:space="0" w:color="auto"/>
        <w:bottom w:val="none" w:sz="0" w:space="0" w:color="auto"/>
        <w:right w:val="none" w:sz="0" w:space="0" w:color="auto"/>
      </w:divBdr>
    </w:div>
    <w:div w:id="1434396968">
      <w:bodyDiv w:val="1"/>
      <w:marLeft w:val="0"/>
      <w:marRight w:val="0"/>
      <w:marTop w:val="0"/>
      <w:marBottom w:val="0"/>
      <w:divBdr>
        <w:top w:val="none" w:sz="0" w:space="0" w:color="auto"/>
        <w:left w:val="none" w:sz="0" w:space="0" w:color="auto"/>
        <w:bottom w:val="none" w:sz="0" w:space="0" w:color="auto"/>
        <w:right w:val="none" w:sz="0" w:space="0" w:color="auto"/>
      </w:divBdr>
    </w:div>
    <w:div w:id="1469201680">
      <w:bodyDiv w:val="1"/>
      <w:marLeft w:val="0"/>
      <w:marRight w:val="0"/>
      <w:marTop w:val="0"/>
      <w:marBottom w:val="0"/>
      <w:divBdr>
        <w:top w:val="none" w:sz="0" w:space="0" w:color="auto"/>
        <w:left w:val="none" w:sz="0" w:space="0" w:color="auto"/>
        <w:bottom w:val="none" w:sz="0" w:space="0" w:color="auto"/>
        <w:right w:val="none" w:sz="0" w:space="0" w:color="auto"/>
      </w:divBdr>
    </w:div>
    <w:div w:id="1481725069">
      <w:bodyDiv w:val="1"/>
      <w:marLeft w:val="0"/>
      <w:marRight w:val="0"/>
      <w:marTop w:val="0"/>
      <w:marBottom w:val="0"/>
      <w:divBdr>
        <w:top w:val="none" w:sz="0" w:space="0" w:color="auto"/>
        <w:left w:val="none" w:sz="0" w:space="0" w:color="auto"/>
        <w:bottom w:val="none" w:sz="0" w:space="0" w:color="auto"/>
        <w:right w:val="none" w:sz="0" w:space="0" w:color="auto"/>
      </w:divBdr>
    </w:div>
    <w:div w:id="1492216591">
      <w:bodyDiv w:val="1"/>
      <w:marLeft w:val="0"/>
      <w:marRight w:val="0"/>
      <w:marTop w:val="0"/>
      <w:marBottom w:val="0"/>
      <w:divBdr>
        <w:top w:val="none" w:sz="0" w:space="0" w:color="auto"/>
        <w:left w:val="none" w:sz="0" w:space="0" w:color="auto"/>
        <w:bottom w:val="none" w:sz="0" w:space="0" w:color="auto"/>
        <w:right w:val="none" w:sz="0" w:space="0" w:color="auto"/>
      </w:divBdr>
    </w:div>
    <w:div w:id="1565991773">
      <w:bodyDiv w:val="1"/>
      <w:marLeft w:val="0"/>
      <w:marRight w:val="0"/>
      <w:marTop w:val="0"/>
      <w:marBottom w:val="0"/>
      <w:divBdr>
        <w:top w:val="none" w:sz="0" w:space="0" w:color="auto"/>
        <w:left w:val="none" w:sz="0" w:space="0" w:color="auto"/>
        <w:bottom w:val="none" w:sz="0" w:space="0" w:color="auto"/>
        <w:right w:val="none" w:sz="0" w:space="0" w:color="auto"/>
      </w:divBdr>
    </w:div>
    <w:div w:id="1587688030">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682927775">
      <w:bodyDiv w:val="1"/>
      <w:marLeft w:val="0"/>
      <w:marRight w:val="0"/>
      <w:marTop w:val="0"/>
      <w:marBottom w:val="0"/>
      <w:divBdr>
        <w:top w:val="none" w:sz="0" w:space="0" w:color="auto"/>
        <w:left w:val="none" w:sz="0" w:space="0" w:color="auto"/>
        <w:bottom w:val="none" w:sz="0" w:space="0" w:color="auto"/>
        <w:right w:val="none" w:sz="0" w:space="0" w:color="auto"/>
      </w:divBdr>
    </w:div>
    <w:div w:id="1723168548">
      <w:bodyDiv w:val="1"/>
      <w:marLeft w:val="0"/>
      <w:marRight w:val="0"/>
      <w:marTop w:val="0"/>
      <w:marBottom w:val="0"/>
      <w:divBdr>
        <w:top w:val="none" w:sz="0" w:space="0" w:color="auto"/>
        <w:left w:val="none" w:sz="0" w:space="0" w:color="auto"/>
        <w:bottom w:val="none" w:sz="0" w:space="0" w:color="auto"/>
        <w:right w:val="none" w:sz="0" w:space="0" w:color="auto"/>
      </w:divBdr>
    </w:div>
    <w:div w:id="1786382576">
      <w:bodyDiv w:val="1"/>
      <w:marLeft w:val="0"/>
      <w:marRight w:val="0"/>
      <w:marTop w:val="0"/>
      <w:marBottom w:val="0"/>
      <w:divBdr>
        <w:top w:val="none" w:sz="0" w:space="0" w:color="auto"/>
        <w:left w:val="none" w:sz="0" w:space="0" w:color="auto"/>
        <w:bottom w:val="none" w:sz="0" w:space="0" w:color="auto"/>
        <w:right w:val="none" w:sz="0" w:space="0" w:color="auto"/>
      </w:divBdr>
    </w:div>
    <w:div w:id="1849245474">
      <w:bodyDiv w:val="1"/>
      <w:marLeft w:val="0"/>
      <w:marRight w:val="0"/>
      <w:marTop w:val="0"/>
      <w:marBottom w:val="0"/>
      <w:divBdr>
        <w:top w:val="none" w:sz="0" w:space="0" w:color="auto"/>
        <w:left w:val="none" w:sz="0" w:space="0" w:color="auto"/>
        <w:bottom w:val="none" w:sz="0" w:space="0" w:color="auto"/>
        <w:right w:val="none" w:sz="0" w:space="0" w:color="auto"/>
      </w:divBdr>
    </w:div>
    <w:div w:id="1928149318">
      <w:bodyDiv w:val="1"/>
      <w:marLeft w:val="0"/>
      <w:marRight w:val="0"/>
      <w:marTop w:val="0"/>
      <w:marBottom w:val="0"/>
      <w:divBdr>
        <w:top w:val="none" w:sz="0" w:space="0" w:color="auto"/>
        <w:left w:val="none" w:sz="0" w:space="0" w:color="auto"/>
        <w:bottom w:val="none" w:sz="0" w:space="0" w:color="auto"/>
        <w:right w:val="none" w:sz="0" w:space="0" w:color="auto"/>
      </w:divBdr>
    </w:div>
    <w:div w:id="2005041025">
      <w:bodyDiv w:val="1"/>
      <w:marLeft w:val="0"/>
      <w:marRight w:val="0"/>
      <w:marTop w:val="0"/>
      <w:marBottom w:val="0"/>
      <w:divBdr>
        <w:top w:val="none" w:sz="0" w:space="0" w:color="auto"/>
        <w:left w:val="none" w:sz="0" w:space="0" w:color="auto"/>
        <w:bottom w:val="none" w:sz="0" w:space="0" w:color="auto"/>
        <w:right w:val="none" w:sz="0" w:space="0" w:color="auto"/>
      </w:divBdr>
    </w:div>
    <w:div w:id="2045934588">
      <w:bodyDiv w:val="1"/>
      <w:marLeft w:val="0"/>
      <w:marRight w:val="0"/>
      <w:marTop w:val="0"/>
      <w:marBottom w:val="0"/>
      <w:divBdr>
        <w:top w:val="none" w:sz="0" w:space="0" w:color="auto"/>
        <w:left w:val="none" w:sz="0" w:space="0" w:color="auto"/>
        <w:bottom w:val="none" w:sz="0" w:space="0" w:color="auto"/>
        <w:right w:val="none" w:sz="0" w:space="0" w:color="auto"/>
      </w:divBdr>
    </w:div>
    <w:div w:id="2079668040">
      <w:bodyDiv w:val="1"/>
      <w:marLeft w:val="0"/>
      <w:marRight w:val="0"/>
      <w:marTop w:val="0"/>
      <w:marBottom w:val="0"/>
      <w:divBdr>
        <w:top w:val="none" w:sz="0" w:space="0" w:color="auto"/>
        <w:left w:val="none" w:sz="0" w:space="0" w:color="auto"/>
        <w:bottom w:val="none" w:sz="0" w:space="0" w:color="auto"/>
        <w:right w:val="none" w:sz="0" w:space="0" w:color="auto"/>
      </w:divBdr>
    </w:div>
    <w:div w:id="2112359322">
      <w:bodyDiv w:val="1"/>
      <w:marLeft w:val="0"/>
      <w:marRight w:val="0"/>
      <w:marTop w:val="0"/>
      <w:marBottom w:val="0"/>
      <w:divBdr>
        <w:top w:val="none" w:sz="0" w:space="0" w:color="auto"/>
        <w:left w:val="none" w:sz="0" w:space="0" w:color="auto"/>
        <w:bottom w:val="none" w:sz="0" w:space="0" w:color="auto"/>
        <w:right w:val="none" w:sz="0" w:space="0" w:color="auto"/>
      </w:divBdr>
      <w:divsChild>
        <w:div w:id="1863854736">
          <w:marLeft w:val="0"/>
          <w:marRight w:val="0"/>
          <w:marTop w:val="0"/>
          <w:marBottom w:val="0"/>
          <w:divBdr>
            <w:top w:val="none" w:sz="0" w:space="0" w:color="auto"/>
            <w:left w:val="none" w:sz="0" w:space="0" w:color="auto"/>
            <w:bottom w:val="none" w:sz="0" w:space="0" w:color="auto"/>
            <w:right w:val="none" w:sz="0" w:space="0" w:color="auto"/>
          </w:divBdr>
          <w:divsChild>
            <w:div w:id="132989793">
              <w:marLeft w:val="0"/>
              <w:marRight w:val="0"/>
              <w:marTop w:val="0"/>
              <w:marBottom w:val="0"/>
              <w:divBdr>
                <w:top w:val="none" w:sz="0" w:space="0" w:color="auto"/>
                <w:left w:val="none" w:sz="0" w:space="0" w:color="auto"/>
                <w:bottom w:val="none" w:sz="0" w:space="0" w:color="auto"/>
                <w:right w:val="none" w:sz="0" w:space="0" w:color="auto"/>
              </w:divBdr>
            </w:div>
            <w:div w:id="167990857">
              <w:marLeft w:val="0"/>
              <w:marRight w:val="0"/>
              <w:marTop w:val="0"/>
              <w:marBottom w:val="0"/>
              <w:divBdr>
                <w:top w:val="none" w:sz="0" w:space="0" w:color="auto"/>
                <w:left w:val="none" w:sz="0" w:space="0" w:color="auto"/>
                <w:bottom w:val="none" w:sz="0" w:space="0" w:color="auto"/>
                <w:right w:val="none" w:sz="0" w:space="0" w:color="auto"/>
              </w:divBdr>
            </w:div>
            <w:div w:id="217666932">
              <w:marLeft w:val="0"/>
              <w:marRight w:val="0"/>
              <w:marTop w:val="0"/>
              <w:marBottom w:val="0"/>
              <w:divBdr>
                <w:top w:val="none" w:sz="0" w:space="0" w:color="auto"/>
                <w:left w:val="none" w:sz="0" w:space="0" w:color="auto"/>
                <w:bottom w:val="none" w:sz="0" w:space="0" w:color="auto"/>
                <w:right w:val="none" w:sz="0" w:space="0" w:color="auto"/>
              </w:divBdr>
            </w:div>
            <w:div w:id="308285828">
              <w:marLeft w:val="0"/>
              <w:marRight w:val="0"/>
              <w:marTop w:val="0"/>
              <w:marBottom w:val="0"/>
              <w:divBdr>
                <w:top w:val="none" w:sz="0" w:space="0" w:color="auto"/>
                <w:left w:val="none" w:sz="0" w:space="0" w:color="auto"/>
                <w:bottom w:val="none" w:sz="0" w:space="0" w:color="auto"/>
                <w:right w:val="none" w:sz="0" w:space="0" w:color="auto"/>
              </w:divBdr>
            </w:div>
            <w:div w:id="317617912">
              <w:marLeft w:val="0"/>
              <w:marRight w:val="0"/>
              <w:marTop w:val="0"/>
              <w:marBottom w:val="0"/>
              <w:divBdr>
                <w:top w:val="none" w:sz="0" w:space="0" w:color="auto"/>
                <w:left w:val="none" w:sz="0" w:space="0" w:color="auto"/>
                <w:bottom w:val="none" w:sz="0" w:space="0" w:color="auto"/>
                <w:right w:val="none" w:sz="0" w:space="0" w:color="auto"/>
              </w:divBdr>
            </w:div>
            <w:div w:id="401176300">
              <w:marLeft w:val="0"/>
              <w:marRight w:val="0"/>
              <w:marTop w:val="0"/>
              <w:marBottom w:val="0"/>
              <w:divBdr>
                <w:top w:val="none" w:sz="0" w:space="0" w:color="auto"/>
                <w:left w:val="none" w:sz="0" w:space="0" w:color="auto"/>
                <w:bottom w:val="none" w:sz="0" w:space="0" w:color="auto"/>
                <w:right w:val="none" w:sz="0" w:space="0" w:color="auto"/>
              </w:divBdr>
            </w:div>
            <w:div w:id="569733402">
              <w:marLeft w:val="0"/>
              <w:marRight w:val="0"/>
              <w:marTop w:val="0"/>
              <w:marBottom w:val="0"/>
              <w:divBdr>
                <w:top w:val="none" w:sz="0" w:space="0" w:color="auto"/>
                <w:left w:val="none" w:sz="0" w:space="0" w:color="auto"/>
                <w:bottom w:val="none" w:sz="0" w:space="0" w:color="auto"/>
                <w:right w:val="none" w:sz="0" w:space="0" w:color="auto"/>
              </w:divBdr>
            </w:div>
            <w:div w:id="740564712">
              <w:marLeft w:val="0"/>
              <w:marRight w:val="0"/>
              <w:marTop w:val="0"/>
              <w:marBottom w:val="0"/>
              <w:divBdr>
                <w:top w:val="none" w:sz="0" w:space="0" w:color="auto"/>
                <w:left w:val="none" w:sz="0" w:space="0" w:color="auto"/>
                <w:bottom w:val="none" w:sz="0" w:space="0" w:color="auto"/>
                <w:right w:val="none" w:sz="0" w:space="0" w:color="auto"/>
              </w:divBdr>
            </w:div>
            <w:div w:id="793452358">
              <w:marLeft w:val="0"/>
              <w:marRight w:val="0"/>
              <w:marTop w:val="0"/>
              <w:marBottom w:val="0"/>
              <w:divBdr>
                <w:top w:val="none" w:sz="0" w:space="0" w:color="auto"/>
                <w:left w:val="none" w:sz="0" w:space="0" w:color="auto"/>
                <w:bottom w:val="none" w:sz="0" w:space="0" w:color="auto"/>
                <w:right w:val="none" w:sz="0" w:space="0" w:color="auto"/>
              </w:divBdr>
            </w:div>
            <w:div w:id="1173295604">
              <w:marLeft w:val="0"/>
              <w:marRight w:val="0"/>
              <w:marTop w:val="0"/>
              <w:marBottom w:val="0"/>
              <w:divBdr>
                <w:top w:val="none" w:sz="0" w:space="0" w:color="auto"/>
                <w:left w:val="none" w:sz="0" w:space="0" w:color="auto"/>
                <w:bottom w:val="none" w:sz="0" w:space="0" w:color="auto"/>
                <w:right w:val="none" w:sz="0" w:space="0" w:color="auto"/>
              </w:divBdr>
            </w:div>
            <w:div w:id="1240823858">
              <w:marLeft w:val="0"/>
              <w:marRight w:val="0"/>
              <w:marTop w:val="0"/>
              <w:marBottom w:val="0"/>
              <w:divBdr>
                <w:top w:val="none" w:sz="0" w:space="0" w:color="auto"/>
                <w:left w:val="none" w:sz="0" w:space="0" w:color="auto"/>
                <w:bottom w:val="none" w:sz="0" w:space="0" w:color="auto"/>
                <w:right w:val="none" w:sz="0" w:space="0" w:color="auto"/>
              </w:divBdr>
            </w:div>
            <w:div w:id="1305089534">
              <w:marLeft w:val="0"/>
              <w:marRight w:val="0"/>
              <w:marTop w:val="0"/>
              <w:marBottom w:val="0"/>
              <w:divBdr>
                <w:top w:val="none" w:sz="0" w:space="0" w:color="auto"/>
                <w:left w:val="none" w:sz="0" w:space="0" w:color="auto"/>
                <w:bottom w:val="none" w:sz="0" w:space="0" w:color="auto"/>
                <w:right w:val="none" w:sz="0" w:space="0" w:color="auto"/>
              </w:divBdr>
            </w:div>
            <w:div w:id="1438476588">
              <w:marLeft w:val="0"/>
              <w:marRight w:val="0"/>
              <w:marTop w:val="0"/>
              <w:marBottom w:val="0"/>
              <w:divBdr>
                <w:top w:val="none" w:sz="0" w:space="0" w:color="auto"/>
                <w:left w:val="none" w:sz="0" w:space="0" w:color="auto"/>
                <w:bottom w:val="none" w:sz="0" w:space="0" w:color="auto"/>
                <w:right w:val="none" w:sz="0" w:space="0" w:color="auto"/>
              </w:divBdr>
            </w:div>
            <w:div w:id="1479110210">
              <w:marLeft w:val="0"/>
              <w:marRight w:val="0"/>
              <w:marTop w:val="0"/>
              <w:marBottom w:val="0"/>
              <w:divBdr>
                <w:top w:val="none" w:sz="0" w:space="0" w:color="auto"/>
                <w:left w:val="none" w:sz="0" w:space="0" w:color="auto"/>
                <w:bottom w:val="none" w:sz="0" w:space="0" w:color="auto"/>
                <w:right w:val="none" w:sz="0" w:space="0" w:color="auto"/>
              </w:divBdr>
            </w:div>
            <w:div w:id="1506744143">
              <w:marLeft w:val="0"/>
              <w:marRight w:val="0"/>
              <w:marTop w:val="0"/>
              <w:marBottom w:val="0"/>
              <w:divBdr>
                <w:top w:val="none" w:sz="0" w:space="0" w:color="auto"/>
                <w:left w:val="none" w:sz="0" w:space="0" w:color="auto"/>
                <w:bottom w:val="none" w:sz="0" w:space="0" w:color="auto"/>
                <w:right w:val="none" w:sz="0" w:space="0" w:color="auto"/>
              </w:divBdr>
            </w:div>
            <w:div w:id="1555699768">
              <w:marLeft w:val="0"/>
              <w:marRight w:val="0"/>
              <w:marTop w:val="0"/>
              <w:marBottom w:val="0"/>
              <w:divBdr>
                <w:top w:val="none" w:sz="0" w:space="0" w:color="auto"/>
                <w:left w:val="none" w:sz="0" w:space="0" w:color="auto"/>
                <w:bottom w:val="none" w:sz="0" w:space="0" w:color="auto"/>
                <w:right w:val="none" w:sz="0" w:space="0" w:color="auto"/>
              </w:divBdr>
            </w:div>
            <w:div w:id="1592465814">
              <w:marLeft w:val="0"/>
              <w:marRight w:val="0"/>
              <w:marTop w:val="0"/>
              <w:marBottom w:val="0"/>
              <w:divBdr>
                <w:top w:val="none" w:sz="0" w:space="0" w:color="auto"/>
                <w:left w:val="none" w:sz="0" w:space="0" w:color="auto"/>
                <w:bottom w:val="none" w:sz="0" w:space="0" w:color="auto"/>
                <w:right w:val="none" w:sz="0" w:space="0" w:color="auto"/>
              </w:divBdr>
            </w:div>
            <w:div w:id="1722824787">
              <w:marLeft w:val="0"/>
              <w:marRight w:val="0"/>
              <w:marTop w:val="0"/>
              <w:marBottom w:val="0"/>
              <w:divBdr>
                <w:top w:val="none" w:sz="0" w:space="0" w:color="auto"/>
                <w:left w:val="none" w:sz="0" w:space="0" w:color="auto"/>
                <w:bottom w:val="none" w:sz="0" w:space="0" w:color="auto"/>
                <w:right w:val="none" w:sz="0" w:space="0" w:color="auto"/>
              </w:divBdr>
            </w:div>
            <w:div w:id="2089185388">
              <w:marLeft w:val="0"/>
              <w:marRight w:val="0"/>
              <w:marTop w:val="0"/>
              <w:marBottom w:val="0"/>
              <w:divBdr>
                <w:top w:val="none" w:sz="0" w:space="0" w:color="auto"/>
                <w:left w:val="none" w:sz="0" w:space="0" w:color="auto"/>
                <w:bottom w:val="none" w:sz="0" w:space="0" w:color="auto"/>
                <w:right w:val="none" w:sz="0" w:space="0" w:color="auto"/>
              </w:divBdr>
            </w:div>
          </w:divsChild>
        </w:div>
        <w:div w:id="1900632622">
          <w:marLeft w:val="0"/>
          <w:marRight w:val="0"/>
          <w:marTop w:val="0"/>
          <w:marBottom w:val="0"/>
          <w:divBdr>
            <w:top w:val="none" w:sz="0" w:space="0" w:color="auto"/>
            <w:left w:val="none" w:sz="0" w:space="0" w:color="auto"/>
            <w:bottom w:val="none" w:sz="0" w:space="0" w:color="auto"/>
            <w:right w:val="none" w:sz="0" w:space="0" w:color="auto"/>
          </w:divBdr>
          <w:divsChild>
            <w:div w:id="46800825">
              <w:marLeft w:val="0"/>
              <w:marRight w:val="0"/>
              <w:marTop w:val="0"/>
              <w:marBottom w:val="0"/>
              <w:divBdr>
                <w:top w:val="none" w:sz="0" w:space="0" w:color="auto"/>
                <w:left w:val="none" w:sz="0" w:space="0" w:color="auto"/>
                <w:bottom w:val="none" w:sz="0" w:space="0" w:color="auto"/>
                <w:right w:val="none" w:sz="0" w:space="0" w:color="auto"/>
              </w:divBdr>
            </w:div>
            <w:div w:id="145636883">
              <w:marLeft w:val="0"/>
              <w:marRight w:val="0"/>
              <w:marTop w:val="0"/>
              <w:marBottom w:val="0"/>
              <w:divBdr>
                <w:top w:val="none" w:sz="0" w:space="0" w:color="auto"/>
                <w:left w:val="none" w:sz="0" w:space="0" w:color="auto"/>
                <w:bottom w:val="none" w:sz="0" w:space="0" w:color="auto"/>
                <w:right w:val="none" w:sz="0" w:space="0" w:color="auto"/>
              </w:divBdr>
            </w:div>
            <w:div w:id="179049383">
              <w:marLeft w:val="0"/>
              <w:marRight w:val="0"/>
              <w:marTop w:val="0"/>
              <w:marBottom w:val="0"/>
              <w:divBdr>
                <w:top w:val="none" w:sz="0" w:space="0" w:color="auto"/>
                <w:left w:val="none" w:sz="0" w:space="0" w:color="auto"/>
                <w:bottom w:val="none" w:sz="0" w:space="0" w:color="auto"/>
                <w:right w:val="none" w:sz="0" w:space="0" w:color="auto"/>
              </w:divBdr>
            </w:div>
            <w:div w:id="223882152">
              <w:marLeft w:val="0"/>
              <w:marRight w:val="0"/>
              <w:marTop w:val="0"/>
              <w:marBottom w:val="0"/>
              <w:divBdr>
                <w:top w:val="none" w:sz="0" w:space="0" w:color="auto"/>
                <w:left w:val="none" w:sz="0" w:space="0" w:color="auto"/>
                <w:bottom w:val="none" w:sz="0" w:space="0" w:color="auto"/>
                <w:right w:val="none" w:sz="0" w:space="0" w:color="auto"/>
              </w:divBdr>
            </w:div>
            <w:div w:id="319506043">
              <w:marLeft w:val="0"/>
              <w:marRight w:val="0"/>
              <w:marTop w:val="0"/>
              <w:marBottom w:val="0"/>
              <w:divBdr>
                <w:top w:val="none" w:sz="0" w:space="0" w:color="auto"/>
                <w:left w:val="none" w:sz="0" w:space="0" w:color="auto"/>
                <w:bottom w:val="none" w:sz="0" w:space="0" w:color="auto"/>
                <w:right w:val="none" w:sz="0" w:space="0" w:color="auto"/>
              </w:divBdr>
            </w:div>
            <w:div w:id="372971725">
              <w:marLeft w:val="0"/>
              <w:marRight w:val="0"/>
              <w:marTop w:val="0"/>
              <w:marBottom w:val="0"/>
              <w:divBdr>
                <w:top w:val="none" w:sz="0" w:space="0" w:color="auto"/>
                <w:left w:val="none" w:sz="0" w:space="0" w:color="auto"/>
                <w:bottom w:val="none" w:sz="0" w:space="0" w:color="auto"/>
                <w:right w:val="none" w:sz="0" w:space="0" w:color="auto"/>
              </w:divBdr>
            </w:div>
            <w:div w:id="667951922">
              <w:marLeft w:val="0"/>
              <w:marRight w:val="0"/>
              <w:marTop w:val="0"/>
              <w:marBottom w:val="0"/>
              <w:divBdr>
                <w:top w:val="none" w:sz="0" w:space="0" w:color="auto"/>
                <w:left w:val="none" w:sz="0" w:space="0" w:color="auto"/>
                <w:bottom w:val="none" w:sz="0" w:space="0" w:color="auto"/>
                <w:right w:val="none" w:sz="0" w:space="0" w:color="auto"/>
              </w:divBdr>
            </w:div>
            <w:div w:id="832069282">
              <w:marLeft w:val="0"/>
              <w:marRight w:val="0"/>
              <w:marTop w:val="0"/>
              <w:marBottom w:val="0"/>
              <w:divBdr>
                <w:top w:val="none" w:sz="0" w:space="0" w:color="auto"/>
                <w:left w:val="none" w:sz="0" w:space="0" w:color="auto"/>
                <w:bottom w:val="none" w:sz="0" w:space="0" w:color="auto"/>
                <w:right w:val="none" w:sz="0" w:space="0" w:color="auto"/>
              </w:divBdr>
            </w:div>
            <w:div w:id="1174568679">
              <w:marLeft w:val="0"/>
              <w:marRight w:val="0"/>
              <w:marTop w:val="0"/>
              <w:marBottom w:val="0"/>
              <w:divBdr>
                <w:top w:val="none" w:sz="0" w:space="0" w:color="auto"/>
                <w:left w:val="none" w:sz="0" w:space="0" w:color="auto"/>
                <w:bottom w:val="none" w:sz="0" w:space="0" w:color="auto"/>
                <w:right w:val="none" w:sz="0" w:space="0" w:color="auto"/>
              </w:divBdr>
            </w:div>
            <w:div w:id="1310328123">
              <w:marLeft w:val="0"/>
              <w:marRight w:val="0"/>
              <w:marTop w:val="0"/>
              <w:marBottom w:val="0"/>
              <w:divBdr>
                <w:top w:val="none" w:sz="0" w:space="0" w:color="auto"/>
                <w:left w:val="none" w:sz="0" w:space="0" w:color="auto"/>
                <w:bottom w:val="none" w:sz="0" w:space="0" w:color="auto"/>
                <w:right w:val="none" w:sz="0" w:space="0" w:color="auto"/>
              </w:divBdr>
            </w:div>
            <w:div w:id="1313951380">
              <w:marLeft w:val="0"/>
              <w:marRight w:val="0"/>
              <w:marTop w:val="0"/>
              <w:marBottom w:val="0"/>
              <w:divBdr>
                <w:top w:val="none" w:sz="0" w:space="0" w:color="auto"/>
                <w:left w:val="none" w:sz="0" w:space="0" w:color="auto"/>
                <w:bottom w:val="none" w:sz="0" w:space="0" w:color="auto"/>
                <w:right w:val="none" w:sz="0" w:space="0" w:color="auto"/>
              </w:divBdr>
            </w:div>
            <w:div w:id="1470780371">
              <w:marLeft w:val="0"/>
              <w:marRight w:val="0"/>
              <w:marTop w:val="0"/>
              <w:marBottom w:val="0"/>
              <w:divBdr>
                <w:top w:val="none" w:sz="0" w:space="0" w:color="auto"/>
                <w:left w:val="none" w:sz="0" w:space="0" w:color="auto"/>
                <w:bottom w:val="none" w:sz="0" w:space="0" w:color="auto"/>
                <w:right w:val="none" w:sz="0" w:space="0" w:color="auto"/>
              </w:divBdr>
            </w:div>
            <w:div w:id="1498224905">
              <w:marLeft w:val="0"/>
              <w:marRight w:val="0"/>
              <w:marTop w:val="0"/>
              <w:marBottom w:val="0"/>
              <w:divBdr>
                <w:top w:val="none" w:sz="0" w:space="0" w:color="auto"/>
                <w:left w:val="none" w:sz="0" w:space="0" w:color="auto"/>
                <w:bottom w:val="none" w:sz="0" w:space="0" w:color="auto"/>
                <w:right w:val="none" w:sz="0" w:space="0" w:color="auto"/>
              </w:divBdr>
            </w:div>
            <w:div w:id="1524124811">
              <w:marLeft w:val="0"/>
              <w:marRight w:val="0"/>
              <w:marTop w:val="0"/>
              <w:marBottom w:val="0"/>
              <w:divBdr>
                <w:top w:val="none" w:sz="0" w:space="0" w:color="auto"/>
                <w:left w:val="none" w:sz="0" w:space="0" w:color="auto"/>
                <w:bottom w:val="none" w:sz="0" w:space="0" w:color="auto"/>
                <w:right w:val="none" w:sz="0" w:space="0" w:color="auto"/>
              </w:divBdr>
            </w:div>
            <w:div w:id="1801921087">
              <w:marLeft w:val="0"/>
              <w:marRight w:val="0"/>
              <w:marTop w:val="0"/>
              <w:marBottom w:val="0"/>
              <w:divBdr>
                <w:top w:val="none" w:sz="0" w:space="0" w:color="auto"/>
                <w:left w:val="none" w:sz="0" w:space="0" w:color="auto"/>
                <w:bottom w:val="none" w:sz="0" w:space="0" w:color="auto"/>
                <w:right w:val="none" w:sz="0" w:space="0" w:color="auto"/>
              </w:divBdr>
            </w:div>
            <w:div w:id="1843468273">
              <w:marLeft w:val="0"/>
              <w:marRight w:val="0"/>
              <w:marTop w:val="0"/>
              <w:marBottom w:val="0"/>
              <w:divBdr>
                <w:top w:val="none" w:sz="0" w:space="0" w:color="auto"/>
                <w:left w:val="none" w:sz="0" w:space="0" w:color="auto"/>
                <w:bottom w:val="none" w:sz="0" w:space="0" w:color="auto"/>
                <w:right w:val="none" w:sz="0" w:space="0" w:color="auto"/>
              </w:divBdr>
            </w:div>
            <w:div w:id="1920358634">
              <w:marLeft w:val="0"/>
              <w:marRight w:val="0"/>
              <w:marTop w:val="0"/>
              <w:marBottom w:val="0"/>
              <w:divBdr>
                <w:top w:val="none" w:sz="0" w:space="0" w:color="auto"/>
                <w:left w:val="none" w:sz="0" w:space="0" w:color="auto"/>
                <w:bottom w:val="none" w:sz="0" w:space="0" w:color="auto"/>
                <w:right w:val="none" w:sz="0" w:space="0" w:color="auto"/>
              </w:divBdr>
            </w:div>
            <w:div w:id="21406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dongrants@hria.org" TargetMode="Externa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hart" Target="charts/chart6.xml"/><Relationship Id="rId33"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1.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5.xml"/><Relationship Id="rId32"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hart" Target="charts/chart4.xml"/><Relationship Id="rId28" Type="http://schemas.openxmlformats.org/officeDocument/2006/relationships/chart" Target="charts/chart9.xml"/><Relationship Id="rId36" Type="http://schemas.microsoft.com/office/2020/10/relationships/intelligence" Target="intelligence2.xml"/><Relationship Id="rId10" Type="http://schemas.openxmlformats.org/officeDocument/2006/relationships/footer" Target="footer1.xml"/><Relationship Id="rId19" Type="http://schemas.openxmlformats.org/officeDocument/2006/relationships/hyperlink" Target="mailto:DONCHI@Mass.gov" TargetMode="External"/><Relationship Id="rId31"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theme" Target="theme/theme1.xml"/><Relationship Id="rId8" Type="http://schemas.openxmlformats.org/officeDocument/2006/relationships/header" Target="header1.xml"/></Relationships>
</file>

<file path=word/_rels/endnotes.xml.rels><?xml version="1.0" encoding="UTF-8" standalone="yes"?>
<Relationships xmlns="http://schemas.openxmlformats.org/package/2006/relationships"><Relationship Id="rId26" Type="http://schemas.openxmlformats.org/officeDocument/2006/relationships/hyperlink" Target="https://www.ncbi.nlm.nih.gov/books/NBK584197/" TargetMode="External"/><Relationship Id="rId21" Type="http://schemas.openxmlformats.org/officeDocument/2006/relationships/hyperlink" Target="https://doi.org/10.1093/jnci/djz106" TargetMode="External"/><Relationship Id="rId42" Type="http://schemas.openxmlformats.org/officeDocument/2006/relationships/hyperlink" Target="https://www.boston.com/news/local-news/2024/01/21/mass-general-declares-capacity-disaster/" TargetMode="External"/><Relationship Id="rId47" Type="http://schemas.openxmlformats.org/officeDocument/2006/relationships/hyperlink" Target="https://www.beckershospitalreview.com/quality/research-identifies-predictive-link-between-cancer-outcomes-and-medicare-claims.html" TargetMode="External"/><Relationship Id="rId63" Type="http://schemas.openxmlformats.org/officeDocument/2006/relationships/hyperlink" Target="https://www.cancer.org/cancer/diagnosis-staging/tests/imaging-tests/ct-scan-for-cancer.html" TargetMode="External"/><Relationship Id="rId68" Type="http://schemas.openxmlformats.org/officeDocument/2006/relationships/hyperlink" Target="https://www.cancer.org/cancer/diagnosis-staging/tests/imaging-tests/mri-for-cancer.html" TargetMode="External"/><Relationship Id="rId16" Type="http://schemas.openxmlformats.org/officeDocument/2006/relationships/hyperlink" Target="http://dx.doi.org/10.5888/pcd18.210006" TargetMode="External"/><Relationship Id="rId11" Type="http://schemas.openxmlformats.org/officeDocument/2006/relationships/hyperlink" Target="https://www.cancer.gov/about-cancer/causes-prevention/risk/age" TargetMode="External"/><Relationship Id="rId24" Type="http://schemas.openxmlformats.org/officeDocument/2006/relationships/hyperlink" Target="https://dfci.widen.net/s/rgj28wdsgj/cancer-chna-report-2022.pdf" TargetMode="External"/><Relationship Id="rId32" Type="http://schemas.openxmlformats.org/officeDocument/2006/relationships/hyperlink" Target="https://www.lls.org/leukemia/acute-lymphoblastic-leukemia/treatment/chemotherapy" TargetMode="External"/><Relationship Id="rId37" Type="http://schemas.openxmlformats.org/officeDocument/2006/relationships/hyperlink" Target="https://www.mass.gov/info-details/covid-19-public-health-guidance-and-directives" TargetMode="External"/><Relationship Id="rId40" Type="http://schemas.openxmlformats.org/officeDocument/2006/relationships/hyperlink" Target="https://www.bostonglobe.com/2024/02/06/business/some-mass-hospitals-at-tier-3-risk-due-to-capacity-issues-report-says/?event=event12" TargetMode="External"/><Relationship Id="rId45" Type="http://schemas.openxmlformats.org/officeDocument/2006/relationships/hyperlink" Target="https://bmtinfonet.org/directory-car-t-cell-therapy-centers" TargetMode="External"/><Relationship Id="rId53" Type="http://schemas.openxmlformats.org/officeDocument/2006/relationships/hyperlink" Target="https://www.mass.gov/doc/communityengagement-guidelines-for-community-health-planning-pdf/download" TargetMode="External"/><Relationship Id="rId58" Type="http://schemas.openxmlformats.org/officeDocument/2006/relationships/hyperlink" Target="https://www.chiamass.gov/relative-price-and-provider-price-variation/" TargetMode="External"/><Relationship Id="rId66" Type="http://schemas.openxmlformats.org/officeDocument/2006/relationships/hyperlink" Target="https://info.atlantisworldwide.com/blog/the-difference-between-a-ct-scanner-ct-simulator" TargetMode="External"/><Relationship Id="rId74" Type="http://schemas.openxmlformats.org/officeDocument/2006/relationships/hyperlink" Target="https://www.amberusa.com/blog/ct-scanner-and-ct-simulator-what-are-the-differences" TargetMode="External"/><Relationship Id="rId79" Type="http://schemas.openxmlformats.org/officeDocument/2006/relationships/hyperlink" Target="https://www.radiologyinfo.org/en/info/linac" TargetMode="External"/><Relationship Id="rId5" Type="http://schemas.openxmlformats.org/officeDocument/2006/relationships/hyperlink" Target="https://www.mass.gov/doc/presentation-board-meetings-january-25-2024/download" TargetMode="External"/><Relationship Id="rId61" Type="http://schemas.openxmlformats.org/officeDocument/2006/relationships/hyperlink" Target="https://www.cms.gov/medicare/payment/prospective-payment-systems/acute-inpatient-pps/pps-exempt-cancer-hospitals-pchs" TargetMode="External"/><Relationship Id="rId19" Type="http://schemas.openxmlformats.org/officeDocument/2006/relationships/hyperlink" Target="https://hdpulse.nimhd.nih.gov" TargetMode="External"/><Relationship Id="rId14" Type="http://schemas.openxmlformats.org/officeDocument/2006/relationships/hyperlink" Target="https://www.cancer.org/content/dam/cancer-org/research/cancer-facts-and-statistics/annual-cancer-facts-and-figures/2024/2024-cancer-facts-and-figures-acs.pdf" TargetMode="External"/><Relationship Id="rId22" Type="http://schemas.openxmlformats.org/officeDocument/2006/relationships/hyperlink" Target="https://doi.org/10.1093/jnci/djz106" TargetMode="External"/><Relationship Id="rId27" Type="http://schemas.openxmlformats.org/officeDocument/2006/relationships/hyperlink" Target="https://www.cdc.gov/cancer-survivors/hcp/info/index.html" TargetMode="External"/><Relationship Id="rId30" Type="http://schemas.openxmlformats.org/officeDocument/2006/relationships/hyperlink" Target="https://www.cancer.org/content/dam/cancer-org/research/cancer-facts-and-statistics/cancer-treatment-and-survivorship-facts-and-figures/2022-cancer-treatment-and-survivorship-fandf-acs.pdf" TargetMode="External"/><Relationship Id="rId35" Type="http://schemas.openxmlformats.org/officeDocument/2006/relationships/hyperlink" Target="https://blog.dana-farber.org/insight/2019/06/whats-the-difference-between-outpatient-stem-cell-transplants-and-inpatient-transplants/" TargetMode="External"/><Relationship Id="rId43" Type="http://schemas.openxmlformats.org/officeDocument/2006/relationships/hyperlink" Target="https://bmtinfonet.org/centersearch?tid=All&amp;treatment=All&amp;state_province=1020&amp;field_tc_unit_value=2" TargetMode="External"/><Relationship Id="rId48" Type="http://schemas.openxmlformats.org/officeDocument/2006/relationships/hyperlink" Target="https://www.beckershospitalreview.com/quality/research-identifies-predictive-link-between-cancer-outcomes-and-medicare-claims.html" TargetMode="External"/><Relationship Id="rId56" Type="http://schemas.openxmlformats.org/officeDocument/2006/relationships/hyperlink" Target="https://www.mass.gov/files/documents/2018/12/31/jud-lib-105cmr100.pdf" TargetMode="External"/><Relationship Id="rId64" Type="http://schemas.openxmlformats.org/officeDocument/2006/relationships/hyperlink" Target="https://www.cancer.org/cancer/diagnosis-staging/tests/imaging-tests/ct-scan-for-cancer.html" TargetMode="External"/><Relationship Id="rId69" Type="http://schemas.openxmlformats.org/officeDocument/2006/relationships/hyperlink" Target="https://www.radiologyinfo.org/en/info/pet" TargetMode="External"/><Relationship Id="rId77" Type="http://schemas.openxmlformats.org/officeDocument/2006/relationships/hyperlink" Target="https://www.cancer.org/cancer/managing-cancer/treatment-types/radiation/external-beam-radiation-therapy.html" TargetMode="External"/><Relationship Id="rId8" Type="http://schemas.openxmlformats.org/officeDocument/2006/relationships/hyperlink" Target="https://www.prb.org/wp-content/uploads/2020/10/2019-74-1-Pop-Bulletin-Census.pdf" TargetMode="External"/><Relationship Id="rId51" Type="http://schemas.openxmlformats.org/officeDocument/2006/relationships/hyperlink" Target="https://www.cbsnews.com/boston/news/dana-farber-dr-christopher-lathan-cancer-care-equity-program/" TargetMode="External"/><Relationship Id="rId72" Type="http://schemas.openxmlformats.org/officeDocument/2006/relationships/hyperlink" Target="https://info.atlantisworldwide.com/blog/the-difference-between-a-ct-scanner-ct-simulator" TargetMode="External"/><Relationship Id="rId80" Type="http://schemas.openxmlformats.org/officeDocument/2006/relationships/hyperlink" Target="https://www.radiologyinfo.org/en/info/linac" TargetMode="External"/><Relationship Id="rId3" Type="http://schemas.openxmlformats.org/officeDocument/2006/relationships/hyperlink" Target="https://www.mass.gov/doc/presentation-board-meetings-january-25-2024/download" TargetMode="External"/><Relationship Id="rId12" Type="http://schemas.openxmlformats.org/officeDocument/2006/relationships/hyperlink" Target="https://www.cancer.gov/about-cancer/causes-prevention/risk/age" TargetMode="External"/><Relationship Id="rId17" Type="http://schemas.openxmlformats.org/officeDocument/2006/relationships/hyperlink" Target="https://www.mass.gov/doc/cancer-incidence-and-mortality-in-massachusetts-2016-2020-statewide-report/download" TargetMode="External"/><Relationship Id="rId25" Type="http://schemas.openxmlformats.org/officeDocument/2006/relationships/hyperlink" Target="https://www.ncbi.nlm.nih.gov/books/NBK584197/" TargetMode="External"/><Relationship Id="rId33" Type="http://schemas.openxmlformats.org/officeDocument/2006/relationships/hyperlink" Target="https://www.cancer.org/cancer/managing-cancer/treatment-types/immunotherapy/car-t-cell1.html" TargetMode="External"/><Relationship Id="rId38" Type="http://schemas.openxmlformats.org/officeDocument/2006/relationships/hyperlink" Target="https://www.mass.gov/info-details/covid-19-public-health-guidance-and-directives" TargetMode="External"/><Relationship Id="rId46" Type="http://schemas.openxmlformats.org/officeDocument/2006/relationships/hyperlink" Target="https://bmtinfonet.org/directory-car-t-cell-therapy-centers" TargetMode="External"/><Relationship Id="rId59" Type="http://schemas.openxmlformats.org/officeDocument/2006/relationships/hyperlink" Target="https://www.mass.gov/doc/2023-health-care-cost-trends-report-chartpack/download" TargetMode="External"/><Relationship Id="rId67" Type="http://schemas.openxmlformats.org/officeDocument/2006/relationships/hyperlink" Target="https://www.cancer.org/cancer/diagnosis-staging/tests/imaging-tests/mri-for-cancer.html" TargetMode="External"/><Relationship Id="rId20" Type="http://schemas.openxmlformats.org/officeDocument/2006/relationships/hyperlink" Target="https://hdpulse.nimhd.nih.gov/" TargetMode="External"/><Relationship Id="rId41" Type="http://schemas.openxmlformats.org/officeDocument/2006/relationships/hyperlink" Target="https://www.boston.com/news/local-news/2024/01/21/mass-general-declares-capacity-disaster/" TargetMode="External"/><Relationship Id="rId54" Type="http://schemas.openxmlformats.org/officeDocument/2006/relationships/hyperlink" Target="https://www.mass.gov/doc/communityengagement-guidelines-for-community-health-planning-pdf/download" TargetMode="External"/><Relationship Id="rId62" Type="http://schemas.openxmlformats.org/officeDocument/2006/relationships/hyperlink" Target="https://www.cms.gov/medicare/payment/prospective-payment-systems/acute-inpatient-pps/pps-exempt-cancer-hospitals-pchs" TargetMode="External"/><Relationship Id="rId70" Type="http://schemas.openxmlformats.org/officeDocument/2006/relationships/hyperlink" Target="https://www.radiologyinfo.org/en/info/pet" TargetMode="External"/><Relationship Id="rId75" Type="http://schemas.openxmlformats.org/officeDocument/2006/relationships/hyperlink" Target="https://radonc.med.ufl.edu/patient-care/technologies-and-resources/treatment-techniques/" TargetMode="External"/><Relationship Id="rId1" Type="http://schemas.openxmlformats.org/officeDocument/2006/relationships/hyperlink" Target="https://www.cancer.gov/research/infrastructure/cancer-centers" TargetMode="External"/><Relationship Id="rId6" Type="http://schemas.openxmlformats.org/officeDocument/2006/relationships/hyperlink" Target="https://www.mass.gov/doc/presentation-board-meetings-january-25-2024/download" TargetMode="External"/><Relationship Id="rId15" Type="http://schemas.openxmlformats.org/officeDocument/2006/relationships/hyperlink" Target="http://dx.doi.org/10.5888/pcd18.210006" TargetMode="External"/><Relationship Id="rId23" Type="http://schemas.openxmlformats.org/officeDocument/2006/relationships/hyperlink" Target="https://dfci.widen.net/s/rgj28wdsgj/cancer-chna-report-2022.pdf" TargetMode="External"/><Relationship Id="rId28" Type="http://schemas.openxmlformats.org/officeDocument/2006/relationships/hyperlink" Target="https://www.cdc.gov/cancer-survivors/hcp/info/index.html" TargetMode="External"/><Relationship Id="rId36" Type="http://schemas.openxmlformats.org/officeDocument/2006/relationships/hyperlink" Target="https://blog.dana-farber.org/insight/2019/06/whats-the-difference-between-outpatient-stem-cell-transplants-and-inpatient-transplants/" TargetMode="External"/><Relationship Id="rId49" Type="http://schemas.openxmlformats.org/officeDocument/2006/relationships/hyperlink" Target="https://www.jointcommission.org/-/media/tjc/documents/standards/r3-reports/r3_npsg-16.pdf" TargetMode="External"/><Relationship Id="rId57" Type="http://schemas.openxmlformats.org/officeDocument/2006/relationships/hyperlink" Target="https://www.chiamass.gov/relative-price-and-provider-price-variation/" TargetMode="External"/><Relationship Id="rId10" Type="http://schemas.openxmlformats.org/officeDocument/2006/relationships/hyperlink" Target="https://donahue.umass.edu/business-groups/economic-public-policy-research/massachusetts-population-estimates-program/population-projections" TargetMode="External"/><Relationship Id="rId31" Type="http://schemas.openxmlformats.org/officeDocument/2006/relationships/hyperlink" Target="https://www.lls.org/leukemia/acute-lymphoblastic-leukemia/treatment/chemotherapy" TargetMode="External"/><Relationship Id="rId44" Type="http://schemas.openxmlformats.org/officeDocument/2006/relationships/hyperlink" Target="https://bmtinfonet.org/centersearch?tid=All&amp;treatment=All&amp;state_province=1020&amp;field_tc_unit_value=2" TargetMode="External"/><Relationship Id="rId52" Type="http://schemas.openxmlformats.org/officeDocument/2006/relationships/hyperlink" Target="https://www.cbsnews.com/boston/news/dana-farber-dr-christopher-lathan-cancer-care-equity-program/" TargetMode="External"/><Relationship Id="rId60" Type="http://schemas.openxmlformats.org/officeDocument/2006/relationships/hyperlink" Target="https://www.mass.gov/doc/2023-health-care-cost-trends-report-chartpack/download" TargetMode="External"/><Relationship Id="rId65" Type="http://schemas.openxmlformats.org/officeDocument/2006/relationships/hyperlink" Target="https://info.atlantisworldwide.com/blog/the-difference-between-a-ct-scanner-ct-simulator" TargetMode="External"/><Relationship Id="rId73" Type="http://schemas.openxmlformats.org/officeDocument/2006/relationships/hyperlink" Target="https://www.amberusa.com/blog/ct-scanner-and-ct-simulator-what-are-the-differences" TargetMode="External"/><Relationship Id="rId78" Type="http://schemas.openxmlformats.org/officeDocument/2006/relationships/hyperlink" Target="https://www.cancer.org/cancer/managing-cancer/treatment-types/radiation/external-beam-radiation-therapy.html" TargetMode="External"/><Relationship Id="rId4" Type="http://schemas.openxmlformats.org/officeDocument/2006/relationships/hyperlink" Target="https://www.mass.gov/doc/presentation-board-meetings-january-25-2024/download" TargetMode="External"/><Relationship Id="rId9" Type="http://schemas.openxmlformats.org/officeDocument/2006/relationships/hyperlink" Target="https://donahue.umass.edu/business-groups/economic-public-policy-research/massachusetts-population-estimates-program/population-projections" TargetMode="External"/><Relationship Id="rId13" Type="http://schemas.openxmlformats.org/officeDocument/2006/relationships/hyperlink" Target="https://www.cancer.org/content/dam/cancer-org/research/cancer-facts-and-statistics/annual-cancer-facts-and-figures/2024/2024-cancer-facts-and-figures-acs.pdf" TargetMode="External"/><Relationship Id="rId18" Type="http://schemas.openxmlformats.org/officeDocument/2006/relationships/hyperlink" Target="https://www.mass.gov/doc/cancer-incidence-and-mortality-in-massachusetts-2016-2020-statewide-report/download" TargetMode="External"/><Relationship Id="rId39" Type="http://schemas.openxmlformats.org/officeDocument/2006/relationships/hyperlink" Target="https://www.bostonglobe.com/2024/02/06/business/some-mass-hospitals-at-tier-3-risk-due-to-capacity-issues-report-says/?event=event12" TargetMode="External"/><Relationship Id="rId34" Type="http://schemas.openxmlformats.org/officeDocument/2006/relationships/hyperlink" Target="https://www.cancer.org/cancer/managing-cancer/treatment-types/immunotherapy/car-t-cell1.html" TargetMode="External"/><Relationship Id="rId50" Type="http://schemas.openxmlformats.org/officeDocument/2006/relationships/hyperlink" Target="https://www.jointcommission.org/-/media/tjc/documents/standards/r3-reports/r3_npsg-16.pdf" TargetMode="External"/><Relationship Id="rId55" Type="http://schemas.openxmlformats.org/officeDocument/2006/relationships/hyperlink" Target="https://www.mass.gov/files/documents/2018/12/31/jud-lib-105cmr100.pdf" TargetMode="External"/><Relationship Id="rId76" Type="http://schemas.openxmlformats.org/officeDocument/2006/relationships/hyperlink" Target="https://radonc.med.ufl.edu/patient-care/technologies-and-resources/treatment-techniques/" TargetMode="External"/><Relationship Id="rId7" Type="http://schemas.openxmlformats.org/officeDocument/2006/relationships/hyperlink" Target="https://www.prb.org/wp-content/uploads/2020/10/2019-74-1-Pop-Bulletin-Census.pdf" TargetMode="External"/><Relationship Id="rId71" Type="http://schemas.openxmlformats.org/officeDocument/2006/relationships/hyperlink" Target="https://info.atlantisworldwide.com/blog/the-difference-between-a-ct-scanner-ct-simulator" TargetMode="External"/><Relationship Id="rId2" Type="http://schemas.openxmlformats.org/officeDocument/2006/relationships/hyperlink" Target="https://www.cancer.gov/research/infrastructure/cancer-centers" TargetMode="External"/><Relationship Id="rId29" Type="http://schemas.openxmlformats.org/officeDocument/2006/relationships/hyperlink" Target="https://www.cancer.org/content/dam/cancer-org/research/cancer-facts-and-statistics/cancer-treatment-and-survivorship-facts-and-figures/2022-cancer-treatment-and-survivorship-fandf-ac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ata.cms.gov/provider-data/topics/hospitals/pps-exempt-cancer-hospitals" TargetMode="External"/><Relationship Id="rId1" Type="http://schemas.openxmlformats.org/officeDocument/2006/relationships/hyperlink" Target="https://pubmed.ncbi.nlm.nih.gov/3391004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3.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4.bin"/><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BMC</a:t>
            </a:r>
            <a:r>
              <a:rPr lang="en-US" sz="1000" b="1" baseline="0"/>
              <a:t> Occupancy Rate (M/S)</a:t>
            </a:r>
            <a:endParaRPr lang="en-US" sz="1000" b="1"/>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[DanaFarber_Occupancy_1025.xlsx]Boston_MC!$N$1</c:f>
              <c:strCache>
                <c:ptCount val="1"/>
                <c:pt idx="0">
                  <c:v>Industry Standard</c:v>
                </c:pt>
              </c:strCache>
            </c:strRef>
          </c:tx>
          <c:spPr>
            <a:ln w="19050" cap="rnd">
              <a:solidFill>
                <a:srgbClr val="C00000"/>
              </a:solidFill>
              <a:round/>
            </a:ln>
            <a:effectLst/>
          </c:spPr>
          <c:marker>
            <c:symbol val="none"/>
          </c:marker>
          <c:cat>
            <c:numRef>
              <c:f>[DanaFarber_Occupancy_1025.xlsx]Boston_MC!$M$2:$M$33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[DanaFarber_Occupancy_1025.xlsx]Boston_MC!$N$2:$N$33</c:f>
              <c:numCache>
                <c:formatCode>0%</c:formatCode>
                <c:ptCount val="32"/>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numCache>
            </c:numRef>
          </c:val>
          <c:smooth val="0"/>
          <c:extLst>
            <c:ext xmlns:c16="http://schemas.microsoft.com/office/drawing/2014/chart" uri="{C3380CC4-5D6E-409C-BE32-E72D297353CC}">
              <c16:uniqueId val="{00000000-16BA-4244-A444-A4920F186269}"/>
            </c:ext>
          </c:extLst>
        </c:ser>
        <c:ser>
          <c:idx val="1"/>
          <c:order val="1"/>
          <c:tx>
            <c:strRef>
              <c:f>[DanaFarber_Occupancy_1025.xlsx]Boston_MC!$O$1</c:f>
              <c:strCache>
                <c:ptCount val="1"/>
                <c:pt idx="0">
                  <c:v>Occupied(M/S)/Staffed(M/S)</c:v>
                </c:pt>
              </c:strCache>
            </c:strRef>
          </c:tx>
          <c:spPr>
            <a:ln w="19050" cap="rnd">
              <a:solidFill>
                <a:schemeClr val="tx2"/>
              </a:solidFill>
              <a:round/>
            </a:ln>
            <a:effectLst/>
          </c:spPr>
          <c:marker>
            <c:symbol val="none"/>
          </c:marker>
          <c:cat>
            <c:numRef>
              <c:f>[DanaFarber_Occupancy_1025.xlsx]Boston_MC!$M$2:$M$33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[DanaFarber_Occupancy_1025.xlsx]Boston_MC!$O$2:$O$33</c:f>
              <c:numCache>
                <c:formatCode>0%</c:formatCode>
                <c:ptCount val="32"/>
                <c:pt idx="0">
                  <c:v>0.95804597701149419</c:v>
                </c:pt>
                <c:pt idx="1">
                  <c:v>0.94593596059113294</c:v>
                </c:pt>
                <c:pt idx="2">
                  <c:v>0.95016685205784213</c:v>
                </c:pt>
                <c:pt idx="3">
                  <c:v>0.93766996627869026</c:v>
                </c:pt>
                <c:pt idx="4">
                  <c:v>0.92938951350215404</c:v>
                </c:pt>
                <c:pt idx="5">
                  <c:v>0.92269272529858848</c:v>
                </c:pt>
                <c:pt idx="6">
                  <c:v>0.94364820846905528</c:v>
                </c:pt>
                <c:pt idx="7">
                  <c:v>0.9315960912052117</c:v>
                </c:pt>
                <c:pt idx="8">
                  <c:v>0.93173691624227972</c:v>
                </c:pt>
                <c:pt idx="9">
                  <c:v>0.94537725823591912</c:v>
                </c:pt>
                <c:pt idx="10">
                  <c:v>0.9387417218543046</c:v>
                </c:pt>
                <c:pt idx="11">
                  <c:v>0.92608417004913479</c:v>
                </c:pt>
                <c:pt idx="12">
                  <c:v>0.95150608844264051</c:v>
                </c:pt>
                <c:pt idx="13">
                  <c:v>0.94418164616840117</c:v>
                </c:pt>
                <c:pt idx="14">
                  <c:v>0.94061098055970949</c:v>
                </c:pt>
                <c:pt idx="15">
                  <c:v>0.93476821192052983</c:v>
                </c:pt>
                <c:pt idx="16">
                  <c:v>0.94927376760563376</c:v>
                </c:pt>
                <c:pt idx="17">
                  <c:v>0.95011037527593822</c:v>
                </c:pt>
                <c:pt idx="18">
                  <c:v>0.9429609057893612</c:v>
                </c:pt>
                <c:pt idx="19">
                  <c:v>0.93975646229438159</c:v>
                </c:pt>
                <c:pt idx="20">
                  <c:v>0.87682280159080861</c:v>
                </c:pt>
                <c:pt idx="21">
                  <c:v>0.96513922385441786</c:v>
                </c:pt>
                <c:pt idx="22">
                  <c:v>0.99800199800199785</c:v>
                </c:pt>
                <c:pt idx="23">
                  <c:v>1</c:v>
                </c:pt>
                <c:pt idx="24">
                  <c:v>1</c:v>
                </c:pt>
                <c:pt idx="25">
                  <c:v>1</c:v>
                </c:pt>
                <c:pt idx="26">
                  <c:v>1</c:v>
                </c:pt>
                <c:pt idx="27">
                  <c:v>0.99651567944250874</c:v>
                </c:pt>
                <c:pt idx="28">
                  <c:v>0.99707766662920094</c:v>
                </c:pt>
                <c:pt idx="29">
                  <c:v>0.99988385598141682</c:v>
                </c:pt>
                <c:pt idx="30">
                  <c:v>0.9984264358772621</c:v>
                </c:pt>
                <c:pt idx="31">
                  <c:v>1</c:v>
                </c:pt>
              </c:numCache>
            </c:numRef>
          </c:val>
          <c:smooth val="0"/>
          <c:extLst>
            <c:ext xmlns:c16="http://schemas.microsoft.com/office/drawing/2014/chart" uri="{C3380CC4-5D6E-409C-BE32-E72D297353CC}">
              <c16:uniqueId val="{00000001-16BA-4244-A444-A4920F186269}"/>
            </c:ext>
          </c:extLst>
        </c:ser>
        <c:ser>
          <c:idx val="2"/>
          <c:order val="2"/>
          <c:tx>
            <c:strRef>
              <c:f>[DanaFarber_Occupancy_1025.xlsx]Boston_MC!$P$1</c:f>
              <c:strCache>
                <c:ptCount val="1"/>
                <c:pt idx="0">
                  <c:v>Occupied(M/S)/Licensed(M/S)</c:v>
                </c:pt>
              </c:strCache>
            </c:strRef>
          </c:tx>
          <c:spPr>
            <a:ln w="19050" cap="rnd">
              <a:solidFill>
                <a:schemeClr val="accent3"/>
              </a:solidFill>
              <a:round/>
            </a:ln>
            <a:effectLst/>
          </c:spPr>
          <c:marker>
            <c:symbol val="none"/>
          </c:marker>
          <c:cat>
            <c:numRef>
              <c:f>[DanaFarber_Occupancy_1025.xlsx]Boston_MC!$M$2:$M$33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[DanaFarber_Occupancy_1025.xlsx]Boston_MC!$P$2:$P$33</c:f>
              <c:numCache>
                <c:formatCode>0%</c:formatCode>
                <c:ptCount val="32"/>
                <c:pt idx="0">
                  <c:v>1.0484276729559747</c:v>
                </c:pt>
                <c:pt idx="1">
                  <c:v>1.0351752021563341</c:v>
                </c:pt>
                <c:pt idx="2">
                  <c:v>1.0398052343274498</c:v>
                </c:pt>
                <c:pt idx="3">
                  <c:v>1.0842767295597484</c:v>
                </c:pt>
                <c:pt idx="4">
                  <c:v>1.0766889835666464</c:v>
                </c:pt>
                <c:pt idx="5">
                  <c:v>1.0689308176100629</c:v>
                </c:pt>
                <c:pt idx="6">
                  <c:v>1.0932075471698113</c:v>
                </c:pt>
                <c:pt idx="7">
                  <c:v>1.0792452830188679</c:v>
                </c:pt>
                <c:pt idx="8">
                  <c:v>1.0816352201257862</c:v>
                </c:pt>
                <c:pt idx="9">
                  <c:v>1.0828971393791844</c:v>
                </c:pt>
                <c:pt idx="10">
                  <c:v>1.0698113207547171</c:v>
                </c:pt>
                <c:pt idx="11">
                  <c:v>1.055386488131467</c:v>
                </c:pt>
                <c:pt idx="12">
                  <c:v>1.0843578819233111</c:v>
                </c:pt>
                <c:pt idx="13">
                  <c:v>1.076010781671159</c:v>
                </c:pt>
                <c:pt idx="14">
                  <c:v>1.0719415702982349</c:v>
                </c:pt>
                <c:pt idx="15">
                  <c:v>1.0652830188679245</c:v>
                </c:pt>
                <c:pt idx="16">
                  <c:v>1.0501521606816799</c:v>
                </c:pt>
                <c:pt idx="17">
                  <c:v>1.0827672955974843</c:v>
                </c:pt>
                <c:pt idx="18">
                  <c:v>1.0746195982958002</c:v>
                </c:pt>
                <c:pt idx="19">
                  <c:v>1.0709677419354839</c:v>
                </c:pt>
                <c:pt idx="20">
                  <c:v>0.99836477987421379</c:v>
                </c:pt>
                <c:pt idx="21">
                  <c:v>1.0716981132075472</c:v>
                </c:pt>
                <c:pt idx="22">
                  <c:v>1.0052830188679245</c:v>
                </c:pt>
                <c:pt idx="23">
                  <c:v>1</c:v>
                </c:pt>
                <c:pt idx="24">
                  <c:v>1</c:v>
                </c:pt>
                <c:pt idx="25">
                  <c:v>1.0028627195836044</c:v>
                </c:pt>
                <c:pt idx="26">
                  <c:v>1.0830188679245283</c:v>
                </c:pt>
                <c:pt idx="27">
                  <c:v>1.0792452830188679</c:v>
                </c:pt>
                <c:pt idx="28">
                  <c:v>1.0798539257455875</c:v>
                </c:pt>
                <c:pt idx="29">
                  <c:v>1.0828930817610063</c:v>
                </c:pt>
                <c:pt idx="30">
                  <c:v>1.0813146682897139</c:v>
                </c:pt>
                <c:pt idx="31">
                  <c:v>1.0830188679245283</c:v>
                </c:pt>
              </c:numCache>
            </c:numRef>
          </c:val>
          <c:smooth val="0"/>
          <c:extLst>
            <c:ext xmlns:c16="http://schemas.microsoft.com/office/drawing/2014/chart" uri="{C3380CC4-5D6E-409C-BE32-E72D297353CC}">
              <c16:uniqueId val="{00000002-16BA-4244-A444-A4920F186269}"/>
            </c:ext>
          </c:extLst>
        </c:ser>
        <c:dLbls>
          <c:showLegendKey val="0"/>
          <c:showVal val="0"/>
          <c:showCatName val="0"/>
          <c:showSerName val="0"/>
          <c:showPercent val="0"/>
          <c:showBubbleSize val="0"/>
        </c:dLbls>
        <c:smooth val="0"/>
        <c:axId val="1486358544"/>
        <c:axId val="1486354224"/>
      </c:lineChart>
      <c:dateAx>
        <c:axId val="14863585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86354224"/>
        <c:crosses val="autoZero"/>
        <c:auto val="1"/>
        <c:lblOffset val="100"/>
        <c:baseTimeUnit val="months"/>
      </c:dateAx>
      <c:valAx>
        <c:axId val="1486354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86358544"/>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TMC</a:t>
            </a:r>
            <a:r>
              <a:rPr lang="en-US" sz="1000" b="1" baseline="0"/>
              <a:t> </a:t>
            </a:r>
            <a:r>
              <a:rPr lang="en-US" sz="1000" b="1"/>
              <a:t>Bed Occupancy Rate (ICU)</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[DanaFarber_Occupancy_1025.xlsx]TuftMC!$T$1</c:f>
              <c:strCache>
                <c:ptCount val="1"/>
                <c:pt idx="0">
                  <c:v>Industry Standard </c:v>
                </c:pt>
              </c:strCache>
            </c:strRef>
          </c:tx>
          <c:spPr>
            <a:ln w="19050" cap="rnd">
              <a:solidFill>
                <a:srgbClr val="C00000"/>
              </a:solidFill>
              <a:round/>
            </a:ln>
            <a:effectLst/>
          </c:spPr>
          <c:marker>
            <c:symbol val="none"/>
          </c:marker>
          <c:cat>
            <c:numRef>
              <c:f>[DanaFarber_Occupancy_1025.xlsx]TuftMC!$M$2:$M$34</c:f>
              <c:numCache>
                <c:formatCode>mmm\-yy</c:formatCode>
                <c:ptCount val="33"/>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[DanaFarber_Occupancy_1025.xlsx]TuftMC!$T$2:$T$34</c:f>
              <c:numCache>
                <c:formatCode>0%</c:formatCode>
                <c:ptCount val="33"/>
                <c:pt idx="0">
                  <c:v>0.75</c:v>
                </c:pt>
                <c:pt idx="1">
                  <c:v>0.75</c:v>
                </c:pt>
                <c:pt idx="2">
                  <c:v>0.75</c:v>
                </c:pt>
                <c:pt idx="3">
                  <c:v>0.75</c:v>
                </c:pt>
                <c:pt idx="4">
                  <c:v>0.75</c:v>
                </c:pt>
                <c:pt idx="5">
                  <c:v>0.75</c:v>
                </c:pt>
                <c:pt idx="6">
                  <c:v>0.75</c:v>
                </c:pt>
                <c:pt idx="7">
                  <c:v>0.75</c:v>
                </c:pt>
                <c:pt idx="8">
                  <c:v>0.75</c:v>
                </c:pt>
                <c:pt idx="9">
                  <c:v>0.75</c:v>
                </c:pt>
                <c:pt idx="10">
                  <c:v>0.75</c:v>
                </c:pt>
                <c:pt idx="11">
                  <c:v>0.75</c:v>
                </c:pt>
                <c:pt idx="12">
                  <c:v>0.75</c:v>
                </c:pt>
                <c:pt idx="13">
                  <c:v>0.75</c:v>
                </c:pt>
                <c:pt idx="14">
                  <c:v>0.75</c:v>
                </c:pt>
                <c:pt idx="15">
                  <c:v>0.75</c:v>
                </c:pt>
                <c:pt idx="16">
                  <c:v>0.75</c:v>
                </c:pt>
                <c:pt idx="17">
                  <c:v>0.75</c:v>
                </c:pt>
                <c:pt idx="18">
                  <c:v>0.75</c:v>
                </c:pt>
                <c:pt idx="19">
                  <c:v>0.75</c:v>
                </c:pt>
                <c:pt idx="20">
                  <c:v>0.75</c:v>
                </c:pt>
                <c:pt idx="21">
                  <c:v>0.75</c:v>
                </c:pt>
                <c:pt idx="22">
                  <c:v>0.75</c:v>
                </c:pt>
                <c:pt idx="23">
                  <c:v>0.75</c:v>
                </c:pt>
                <c:pt idx="24">
                  <c:v>0.75</c:v>
                </c:pt>
                <c:pt idx="25">
                  <c:v>0.75</c:v>
                </c:pt>
                <c:pt idx="26">
                  <c:v>0.75</c:v>
                </c:pt>
                <c:pt idx="27">
                  <c:v>0.75</c:v>
                </c:pt>
                <c:pt idx="28">
                  <c:v>0.75</c:v>
                </c:pt>
                <c:pt idx="29">
                  <c:v>0.75</c:v>
                </c:pt>
                <c:pt idx="30">
                  <c:v>0.75</c:v>
                </c:pt>
                <c:pt idx="31">
                  <c:v>0.75</c:v>
                </c:pt>
              </c:numCache>
            </c:numRef>
          </c:val>
          <c:smooth val="0"/>
          <c:extLst>
            <c:ext xmlns:c16="http://schemas.microsoft.com/office/drawing/2014/chart" uri="{C3380CC4-5D6E-409C-BE32-E72D297353CC}">
              <c16:uniqueId val="{00000000-0169-4536-ABE4-B717A79B083A}"/>
            </c:ext>
          </c:extLst>
        </c:ser>
        <c:ser>
          <c:idx val="1"/>
          <c:order val="1"/>
          <c:tx>
            <c:strRef>
              <c:f>[DanaFarber_Occupancy_1025.xlsx]TuftMC!$U$1</c:f>
              <c:strCache>
                <c:ptCount val="1"/>
                <c:pt idx="0">
                  <c:v>Occupied(ICU)/Staffed (ICU)</c:v>
                </c:pt>
              </c:strCache>
            </c:strRef>
          </c:tx>
          <c:spPr>
            <a:ln w="19050" cap="rnd">
              <a:solidFill>
                <a:schemeClr val="tx2"/>
              </a:solidFill>
              <a:round/>
            </a:ln>
            <a:effectLst/>
          </c:spPr>
          <c:marker>
            <c:symbol val="none"/>
          </c:marker>
          <c:cat>
            <c:numRef>
              <c:f>[DanaFarber_Occupancy_1025.xlsx]TuftMC!$M$2:$M$34</c:f>
              <c:numCache>
                <c:formatCode>mmm\-yy</c:formatCode>
                <c:ptCount val="33"/>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[DanaFarber_Occupancy_1025.xlsx]TuftMC!$U$2:$U$34</c:f>
              <c:numCache>
                <c:formatCode>0%</c:formatCode>
                <c:ptCount val="33"/>
                <c:pt idx="0">
                  <c:v>0.95023419203747073</c:v>
                </c:pt>
                <c:pt idx="1">
                  <c:v>0.90455665024630538</c:v>
                </c:pt>
                <c:pt idx="2">
                  <c:v>0.8954393770856508</c:v>
                </c:pt>
                <c:pt idx="3">
                  <c:v>0.82586206896551717</c:v>
                </c:pt>
                <c:pt idx="4">
                  <c:v>0.81813125695216915</c:v>
                </c:pt>
                <c:pt idx="5">
                  <c:v>0.80689655172413788</c:v>
                </c:pt>
                <c:pt idx="6">
                  <c:v>0.78230500582072171</c:v>
                </c:pt>
                <c:pt idx="7">
                  <c:v>0.77598566308243733</c:v>
                </c:pt>
                <c:pt idx="8">
                  <c:v>0.87392373923739231</c:v>
                </c:pt>
                <c:pt idx="9">
                  <c:v>0.92216981132075471</c:v>
                </c:pt>
                <c:pt idx="10">
                  <c:v>0.93223559214692842</c:v>
                </c:pt>
                <c:pt idx="11">
                  <c:v>0.90377358490566029</c:v>
                </c:pt>
                <c:pt idx="12">
                  <c:v>0.84838709677419355</c:v>
                </c:pt>
                <c:pt idx="13">
                  <c:v>0.900549115314216</c:v>
                </c:pt>
                <c:pt idx="14">
                  <c:v>0.93418013856812943</c:v>
                </c:pt>
                <c:pt idx="15">
                  <c:v>0.92751039809863334</c:v>
                </c:pt>
                <c:pt idx="16">
                  <c:v>0.931310818546079</c:v>
                </c:pt>
                <c:pt idx="17">
                  <c:v>0.92141571685662871</c:v>
                </c:pt>
                <c:pt idx="18">
                  <c:v>0.92161383285302589</c:v>
                </c:pt>
                <c:pt idx="19">
                  <c:v>0.94167134043746503</c:v>
                </c:pt>
                <c:pt idx="20">
                  <c:v>0.92127403846153844</c:v>
                </c:pt>
                <c:pt idx="21">
                  <c:v>0.93126760563380273</c:v>
                </c:pt>
                <c:pt idx="22">
                  <c:v>0.91742081447963808</c:v>
                </c:pt>
                <c:pt idx="23">
                  <c:v>0.94164037854889593</c:v>
                </c:pt>
                <c:pt idx="24">
                  <c:v>0.95630081300813008</c:v>
                </c:pt>
                <c:pt idx="25">
                  <c:v>0.96783295711060946</c:v>
                </c:pt>
                <c:pt idx="26">
                  <c:v>0.93586956521739129</c:v>
                </c:pt>
                <c:pt idx="27">
                  <c:v>0.95116537180910099</c:v>
                </c:pt>
                <c:pt idx="28">
                  <c:v>0.92953929539295388</c:v>
                </c:pt>
                <c:pt idx="29">
                  <c:v>0.93764845605700708</c:v>
                </c:pt>
                <c:pt idx="30">
                  <c:v>0.92561521252796419</c:v>
                </c:pt>
                <c:pt idx="31">
                  <c:v>0.92736486486486491</c:v>
                </c:pt>
              </c:numCache>
            </c:numRef>
          </c:val>
          <c:smooth val="0"/>
          <c:extLst>
            <c:ext xmlns:c16="http://schemas.microsoft.com/office/drawing/2014/chart" uri="{C3380CC4-5D6E-409C-BE32-E72D297353CC}">
              <c16:uniqueId val="{00000001-0169-4536-ABE4-B717A79B083A}"/>
            </c:ext>
          </c:extLst>
        </c:ser>
        <c:ser>
          <c:idx val="2"/>
          <c:order val="2"/>
          <c:tx>
            <c:strRef>
              <c:f>[DanaFarber_Occupancy_1025.xlsx]TuftMC!$V$1</c:f>
              <c:strCache>
                <c:ptCount val="1"/>
                <c:pt idx="0">
                  <c:v>Occupied (ICU)/Licensed(ICU)</c:v>
                </c:pt>
              </c:strCache>
            </c:strRef>
          </c:tx>
          <c:spPr>
            <a:ln w="19050" cap="rnd">
              <a:solidFill>
                <a:schemeClr val="accent3"/>
              </a:solidFill>
              <a:round/>
            </a:ln>
            <a:effectLst/>
          </c:spPr>
          <c:marker>
            <c:symbol val="none"/>
          </c:marker>
          <c:cat>
            <c:numRef>
              <c:f>[DanaFarber_Occupancy_1025.xlsx]TuftMC!$M$2:$M$34</c:f>
              <c:numCache>
                <c:formatCode>mmm\-yy</c:formatCode>
                <c:ptCount val="33"/>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[DanaFarber_Occupancy_1025.xlsx]TuftMC!$V$2:$V$34</c:f>
              <c:numCache>
                <c:formatCode>0%</c:formatCode>
                <c:ptCount val="33"/>
                <c:pt idx="0">
                  <c:v>1.0470967741935484</c:v>
                </c:pt>
                <c:pt idx="1">
                  <c:v>1.0492857142857144</c:v>
                </c:pt>
                <c:pt idx="2">
                  <c:v>1.0387096774193549</c:v>
                </c:pt>
                <c:pt idx="3">
                  <c:v>0.95799999999999996</c:v>
                </c:pt>
                <c:pt idx="4">
                  <c:v>0.94903225806451619</c:v>
                </c:pt>
                <c:pt idx="5">
                  <c:v>0.93599999999999994</c:v>
                </c:pt>
                <c:pt idx="6">
                  <c:v>0.86709677419354836</c:v>
                </c:pt>
                <c:pt idx="7">
                  <c:v>0.83806451612903232</c:v>
                </c:pt>
                <c:pt idx="8">
                  <c:v>0.94733333333333336</c:v>
                </c:pt>
                <c:pt idx="9">
                  <c:v>1.0090322580645161</c:v>
                </c:pt>
                <c:pt idx="10">
                  <c:v>1.0151724137931035</c:v>
                </c:pt>
                <c:pt idx="11">
                  <c:v>0.9270967741935483</c:v>
                </c:pt>
                <c:pt idx="12">
                  <c:v>1.0180645161290323</c:v>
                </c:pt>
                <c:pt idx="13">
                  <c:v>1.0542857142857143</c:v>
                </c:pt>
                <c:pt idx="14">
                  <c:v>1.0438709677419356</c:v>
                </c:pt>
                <c:pt idx="15">
                  <c:v>1.0406666666666666</c:v>
                </c:pt>
                <c:pt idx="16">
                  <c:v>1.0496774193548388</c:v>
                </c:pt>
                <c:pt idx="17">
                  <c:v>1.024</c:v>
                </c:pt>
                <c:pt idx="18">
                  <c:v>1.0316129032258063</c:v>
                </c:pt>
                <c:pt idx="19">
                  <c:v>1.0832258064516129</c:v>
                </c:pt>
                <c:pt idx="20">
                  <c:v>1.022</c:v>
                </c:pt>
                <c:pt idx="21">
                  <c:v>1.0664516129032258</c:v>
                </c:pt>
                <c:pt idx="22">
                  <c:v>1.0813333333333335</c:v>
                </c:pt>
                <c:pt idx="23">
                  <c:v>1.155483870967742</c:v>
                </c:pt>
                <c:pt idx="24">
                  <c:v>1.2141935483870967</c:v>
                </c:pt>
                <c:pt idx="25">
                  <c:v>1.1827586206896552</c:v>
                </c:pt>
                <c:pt idx="26">
                  <c:v>1.1109677419354838</c:v>
                </c:pt>
                <c:pt idx="27">
                  <c:v>1.1426666666666667</c:v>
                </c:pt>
                <c:pt idx="28">
                  <c:v>1.1064516129032258</c:v>
                </c:pt>
                <c:pt idx="29">
                  <c:v>1.0526666666666666</c:v>
                </c:pt>
                <c:pt idx="30">
                  <c:v>1.0677419354838711</c:v>
                </c:pt>
                <c:pt idx="31">
                  <c:v>1.0625806451612905</c:v>
                </c:pt>
              </c:numCache>
            </c:numRef>
          </c:val>
          <c:smooth val="0"/>
          <c:extLst>
            <c:ext xmlns:c16="http://schemas.microsoft.com/office/drawing/2014/chart" uri="{C3380CC4-5D6E-409C-BE32-E72D297353CC}">
              <c16:uniqueId val="{00000002-0169-4536-ABE4-B717A79B083A}"/>
            </c:ext>
          </c:extLst>
        </c:ser>
        <c:dLbls>
          <c:showLegendKey val="0"/>
          <c:showVal val="0"/>
          <c:showCatName val="0"/>
          <c:showSerName val="0"/>
          <c:showPercent val="0"/>
          <c:showBubbleSize val="0"/>
        </c:dLbls>
        <c:smooth val="0"/>
        <c:axId val="1671209056"/>
        <c:axId val="1671201856"/>
      </c:lineChart>
      <c:dateAx>
        <c:axId val="16712090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71201856"/>
        <c:crosses val="autoZero"/>
        <c:auto val="1"/>
        <c:lblOffset val="100"/>
        <c:baseTimeUnit val="months"/>
      </c:dateAx>
      <c:valAx>
        <c:axId val="1671201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71209056"/>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UMass</a:t>
            </a:r>
            <a:r>
              <a:rPr lang="en-US" sz="1000" b="1" baseline="0"/>
              <a:t> MEM Campus Occupancy Rate (M/S)</a:t>
            </a:r>
            <a:endParaRPr lang="en-US" sz="1000" b="1"/>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'[DanaFarber_Occupancy_1025.xlsx]Umass MEM'!$N$1</c:f>
              <c:strCache>
                <c:ptCount val="1"/>
                <c:pt idx="0">
                  <c:v>Industry Standard </c:v>
                </c:pt>
              </c:strCache>
            </c:strRef>
          </c:tx>
          <c:spPr>
            <a:ln w="19050" cap="rnd">
              <a:solidFill>
                <a:srgbClr val="C00000"/>
              </a:solidFill>
              <a:round/>
            </a:ln>
            <a:effectLst/>
          </c:spPr>
          <c:marker>
            <c:symbol val="none"/>
          </c:marker>
          <c:cat>
            <c:numRef>
              <c:f>'[DanaFarber_Occupancy_1025.xlsx]Umass MEM'!$M$2:$M$33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MEM'!$N$2:$N$33</c:f>
              <c:numCache>
                <c:formatCode>0%</c:formatCode>
                <c:ptCount val="32"/>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numCache>
            </c:numRef>
          </c:val>
          <c:smooth val="0"/>
          <c:extLst>
            <c:ext xmlns:c16="http://schemas.microsoft.com/office/drawing/2014/chart" uri="{C3380CC4-5D6E-409C-BE32-E72D297353CC}">
              <c16:uniqueId val="{00000000-2FB8-4827-8321-F2699E9AFB16}"/>
            </c:ext>
          </c:extLst>
        </c:ser>
        <c:ser>
          <c:idx val="1"/>
          <c:order val="1"/>
          <c:tx>
            <c:strRef>
              <c:f>'[DanaFarber_Occupancy_1025.xlsx]Umass MEM'!$O$1</c:f>
              <c:strCache>
                <c:ptCount val="1"/>
                <c:pt idx="0">
                  <c:v>Occupied(M/S)/Staffed(M/S)</c:v>
                </c:pt>
              </c:strCache>
            </c:strRef>
          </c:tx>
          <c:spPr>
            <a:ln w="19050" cap="rnd">
              <a:solidFill>
                <a:schemeClr val="tx2"/>
              </a:solidFill>
              <a:round/>
            </a:ln>
            <a:effectLst/>
          </c:spPr>
          <c:marker>
            <c:symbol val="none"/>
          </c:marker>
          <c:cat>
            <c:numRef>
              <c:f>'[DanaFarber_Occupancy_1025.xlsx]Umass MEM'!$M$2:$M$33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MEM'!$O$2:$O$33</c:f>
              <c:numCache>
                <c:formatCode>0%</c:formatCode>
                <c:ptCount val="32"/>
                <c:pt idx="0">
                  <c:v>0.95961106955871356</c:v>
                </c:pt>
                <c:pt idx="1">
                  <c:v>0.94936966246441645</c:v>
                </c:pt>
                <c:pt idx="2">
                  <c:v>0.95852534562211988</c:v>
                </c:pt>
                <c:pt idx="3">
                  <c:v>0.98</c:v>
                </c:pt>
                <c:pt idx="4">
                  <c:v>0.97763401109057302</c:v>
                </c:pt>
                <c:pt idx="5">
                  <c:v>0.96987951807228923</c:v>
                </c:pt>
                <c:pt idx="6">
                  <c:v>0.97782371734636342</c:v>
                </c:pt>
                <c:pt idx="7">
                  <c:v>0.98896783844427827</c:v>
                </c:pt>
                <c:pt idx="8">
                  <c:v>0.97789311803152623</c:v>
                </c:pt>
                <c:pt idx="9">
                  <c:v>0.98362790697674429</c:v>
                </c:pt>
                <c:pt idx="10">
                  <c:v>0.96911344137273592</c:v>
                </c:pt>
                <c:pt idx="11">
                  <c:v>0.97627368033842199</c:v>
                </c:pt>
                <c:pt idx="12">
                  <c:v>0.99412844036697245</c:v>
                </c:pt>
                <c:pt idx="13">
                  <c:v>0.9819277108433736</c:v>
                </c:pt>
                <c:pt idx="14">
                  <c:v>0.97382488479262663</c:v>
                </c:pt>
                <c:pt idx="15">
                  <c:v>0.97040498442367606</c:v>
                </c:pt>
                <c:pt idx="16">
                  <c:v>0.95648854961832064</c:v>
                </c:pt>
                <c:pt idx="17">
                  <c:v>0.97447886226378333</c:v>
                </c:pt>
                <c:pt idx="18">
                  <c:v>0.9838102409638555</c:v>
                </c:pt>
                <c:pt idx="19">
                  <c:v>0.98228603393622971</c:v>
                </c:pt>
                <c:pt idx="20">
                  <c:v>0.9681014604150654</c:v>
                </c:pt>
                <c:pt idx="21">
                  <c:v>0.98273621681826617</c:v>
                </c:pt>
                <c:pt idx="22">
                  <c:v>0.98112840466926066</c:v>
                </c:pt>
                <c:pt idx="23">
                  <c:v>0.97757847533632281</c:v>
                </c:pt>
                <c:pt idx="24">
                  <c:v>0.99138089125252149</c:v>
                </c:pt>
                <c:pt idx="25">
                  <c:v>0.98451891044483641</c:v>
                </c:pt>
                <c:pt idx="26">
                  <c:v>0.99138405132905583</c:v>
                </c:pt>
                <c:pt idx="27">
                  <c:v>0.97779904306220111</c:v>
                </c:pt>
                <c:pt idx="28">
                  <c:v>0.96939343350027829</c:v>
                </c:pt>
                <c:pt idx="29">
                  <c:v>0.94059026446914518</c:v>
                </c:pt>
                <c:pt idx="30">
                  <c:v>0.98275542369738556</c:v>
                </c:pt>
                <c:pt idx="31">
                  <c:v>0.99041827897549284</c:v>
                </c:pt>
              </c:numCache>
            </c:numRef>
          </c:val>
          <c:smooth val="0"/>
          <c:extLst>
            <c:ext xmlns:c16="http://schemas.microsoft.com/office/drawing/2014/chart" uri="{C3380CC4-5D6E-409C-BE32-E72D297353CC}">
              <c16:uniqueId val="{00000001-2FB8-4827-8321-F2699E9AFB16}"/>
            </c:ext>
          </c:extLst>
        </c:ser>
        <c:ser>
          <c:idx val="2"/>
          <c:order val="2"/>
          <c:tx>
            <c:strRef>
              <c:f>'[DanaFarber_Occupancy_1025.xlsx]Umass MEM'!$P$1</c:f>
              <c:strCache>
                <c:ptCount val="1"/>
                <c:pt idx="0">
                  <c:v>Occupied(M/S)/Licensed(M/S)</c:v>
                </c:pt>
              </c:strCache>
            </c:strRef>
          </c:tx>
          <c:spPr>
            <a:ln w="19050" cap="rnd">
              <a:solidFill>
                <a:schemeClr val="accent3"/>
              </a:solidFill>
              <a:round/>
            </a:ln>
            <a:effectLst/>
          </c:spPr>
          <c:marker>
            <c:symbol val="none"/>
          </c:marker>
          <c:cat>
            <c:numRef>
              <c:f>'[DanaFarber_Occupancy_1025.xlsx]Umass MEM'!$M$2:$M$33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MEM'!$P$2:$P$33</c:f>
              <c:numCache>
                <c:formatCode>0%</c:formatCode>
                <c:ptCount val="32"/>
                <c:pt idx="0">
                  <c:v>0.88528549249611876</c:v>
                </c:pt>
                <c:pt idx="1">
                  <c:v>0.89171122994652408</c:v>
                </c:pt>
                <c:pt idx="2">
                  <c:v>0.89701569777471113</c:v>
                </c:pt>
                <c:pt idx="3">
                  <c:v>0.91711229946524064</c:v>
                </c:pt>
                <c:pt idx="4">
                  <c:v>0.91236846644816294</c:v>
                </c:pt>
                <c:pt idx="5">
                  <c:v>0.88966131907308377</c:v>
                </c:pt>
                <c:pt idx="6">
                  <c:v>0.89753320683111959</c:v>
                </c:pt>
                <c:pt idx="7">
                  <c:v>0.91236846644816294</c:v>
                </c:pt>
                <c:pt idx="8">
                  <c:v>0.90677361853832439</c:v>
                </c:pt>
                <c:pt idx="9">
                  <c:v>0.91202346041055726</c:v>
                </c:pt>
                <c:pt idx="10">
                  <c:v>0.90606060606060612</c:v>
                </c:pt>
                <c:pt idx="11">
                  <c:v>0.9156460238054166</c:v>
                </c:pt>
                <c:pt idx="12">
                  <c:v>0.93462135587372785</c:v>
                </c:pt>
                <c:pt idx="13">
                  <c:v>0.90278838808250583</c:v>
                </c:pt>
                <c:pt idx="14">
                  <c:v>0.9113334483353458</c:v>
                </c:pt>
                <c:pt idx="15">
                  <c:v>0.88841354723707666</c:v>
                </c:pt>
                <c:pt idx="16">
                  <c:v>0.86458513023977923</c:v>
                </c:pt>
                <c:pt idx="17">
                  <c:v>0.89162210338680925</c:v>
                </c:pt>
                <c:pt idx="18">
                  <c:v>0.90150077626358471</c:v>
                </c:pt>
                <c:pt idx="19">
                  <c:v>0.90874590305330349</c:v>
                </c:pt>
                <c:pt idx="20">
                  <c:v>0.89803921568627454</c:v>
                </c:pt>
                <c:pt idx="21">
                  <c:v>0.91323098154217697</c:v>
                </c:pt>
                <c:pt idx="22">
                  <c:v>0.89893048128342246</c:v>
                </c:pt>
                <c:pt idx="23">
                  <c:v>0.90253579437640163</c:v>
                </c:pt>
                <c:pt idx="24">
                  <c:v>0.93255131964809379</c:v>
                </c:pt>
                <c:pt idx="25">
                  <c:v>0.92642448829061408</c:v>
                </c:pt>
                <c:pt idx="26">
                  <c:v>0.93289632568569947</c:v>
                </c:pt>
                <c:pt idx="27">
                  <c:v>0.91069518716577547</c:v>
                </c:pt>
                <c:pt idx="28">
                  <c:v>0.90150077626358471</c:v>
                </c:pt>
                <c:pt idx="29">
                  <c:v>0.87486631016042782</c:v>
                </c:pt>
                <c:pt idx="30">
                  <c:v>0.914265999654994</c:v>
                </c:pt>
                <c:pt idx="31">
                  <c:v>0.92720372606520607</c:v>
                </c:pt>
              </c:numCache>
            </c:numRef>
          </c:val>
          <c:smooth val="0"/>
          <c:extLst>
            <c:ext xmlns:c16="http://schemas.microsoft.com/office/drawing/2014/chart" uri="{C3380CC4-5D6E-409C-BE32-E72D297353CC}">
              <c16:uniqueId val="{00000002-2FB8-4827-8321-F2699E9AFB16}"/>
            </c:ext>
          </c:extLst>
        </c:ser>
        <c:dLbls>
          <c:showLegendKey val="0"/>
          <c:showVal val="0"/>
          <c:showCatName val="0"/>
          <c:showSerName val="0"/>
          <c:showPercent val="0"/>
          <c:showBubbleSize val="0"/>
        </c:dLbls>
        <c:smooth val="0"/>
        <c:axId val="1570916288"/>
        <c:axId val="1570918208"/>
      </c:lineChart>
      <c:dateAx>
        <c:axId val="15709162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70918208"/>
        <c:crosses val="autoZero"/>
        <c:auto val="1"/>
        <c:lblOffset val="100"/>
        <c:baseTimeUnit val="months"/>
      </c:dateAx>
      <c:valAx>
        <c:axId val="1570918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70916288"/>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UMass MEM Campus</a:t>
            </a:r>
            <a:r>
              <a:rPr lang="en-US" sz="1000" b="1" baseline="0"/>
              <a:t> </a:t>
            </a:r>
            <a:r>
              <a:rPr lang="en-US" sz="1000" b="1"/>
              <a:t>Occupancy (ICU)</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'[DanaFarber_Occupancy_1025.xlsx]Umass MEM'!$T$1</c:f>
              <c:strCache>
                <c:ptCount val="1"/>
                <c:pt idx="0">
                  <c:v>Industry Standard </c:v>
                </c:pt>
              </c:strCache>
            </c:strRef>
          </c:tx>
          <c:spPr>
            <a:ln w="19050" cap="rnd">
              <a:solidFill>
                <a:srgbClr val="C00000"/>
              </a:solidFill>
              <a:round/>
            </a:ln>
            <a:effectLst/>
          </c:spPr>
          <c:marker>
            <c:symbol val="none"/>
          </c:marker>
          <c:cat>
            <c:numRef>
              <c:f>'[DanaFarber_Occupancy_1025.xlsx]Umass MEM'!$M$2:$M$33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MEM'!$T$2:$T$33</c:f>
              <c:numCache>
                <c:formatCode>0%</c:formatCode>
                <c:ptCount val="32"/>
                <c:pt idx="0">
                  <c:v>0.75</c:v>
                </c:pt>
                <c:pt idx="1">
                  <c:v>0.75</c:v>
                </c:pt>
                <c:pt idx="2">
                  <c:v>0.75</c:v>
                </c:pt>
                <c:pt idx="3">
                  <c:v>0.75</c:v>
                </c:pt>
                <c:pt idx="4">
                  <c:v>0.75</c:v>
                </c:pt>
                <c:pt idx="5">
                  <c:v>0.75</c:v>
                </c:pt>
                <c:pt idx="6">
                  <c:v>0.75</c:v>
                </c:pt>
                <c:pt idx="7">
                  <c:v>0.75</c:v>
                </c:pt>
                <c:pt idx="8">
                  <c:v>0.75</c:v>
                </c:pt>
                <c:pt idx="9">
                  <c:v>0.75</c:v>
                </c:pt>
                <c:pt idx="10">
                  <c:v>0.75</c:v>
                </c:pt>
                <c:pt idx="11">
                  <c:v>0.75</c:v>
                </c:pt>
                <c:pt idx="12">
                  <c:v>0.75</c:v>
                </c:pt>
                <c:pt idx="13">
                  <c:v>0.75</c:v>
                </c:pt>
                <c:pt idx="14">
                  <c:v>0.75</c:v>
                </c:pt>
                <c:pt idx="15">
                  <c:v>0.75</c:v>
                </c:pt>
                <c:pt idx="16">
                  <c:v>0.75</c:v>
                </c:pt>
                <c:pt idx="17">
                  <c:v>0.75</c:v>
                </c:pt>
                <c:pt idx="18">
                  <c:v>0.75</c:v>
                </c:pt>
                <c:pt idx="19">
                  <c:v>0.75</c:v>
                </c:pt>
                <c:pt idx="20">
                  <c:v>0.75</c:v>
                </c:pt>
                <c:pt idx="21">
                  <c:v>0.75</c:v>
                </c:pt>
                <c:pt idx="22">
                  <c:v>0.75</c:v>
                </c:pt>
                <c:pt idx="23">
                  <c:v>0.75</c:v>
                </c:pt>
                <c:pt idx="24">
                  <c:v>0.75</c:v>
                </c:pt>
                <c:pt idx="25">
                  <c:v>0.75</c:v>
                </c:pt>
                <c:pt idx="26">
                  <c:v>0.75</c:v>
                </c:pt>
                <c:pt idx="27">
                  <c:v>0.75</c:v>
                </c:pt>
                <c:pt idx="28">
                  <c:v>0.75</c:v>
                </c:pt>
                <c:pt idx="29">
                  <c:v>0.75</c:v>
                </c:pt>
                <c:pt idx="30">
                  <c:v>0.75</c:v>
                </c:pt>
                <c:pt idx="31">
                  <c:v>0.75</c:v>
                </c:pt>
              </c:numCache>
            </c:numRef>
          </c:val>
          <c:smooth val="0"/>
          <c:extLst>
            <c:ext xmlns:c16="http://schemas.microsoft.com/office/drawing/2014/chart" uri="{C3380CC4-5D6E-409C-BE32-E72D297353CC}">
              <c16:uniqueId val="{00000000-AD34-47EC-82D4-4EBD04623BC0}"/>
            </c:ext>
          </c:extLst>
        </c:ser>
        <c:ser>
          <c:idx val="1"/>
          <c:order val="1"/>
          <c:tx>
            <c:strRef>
              <c:f>'[DanaFarber_Occupancy_1025.xlsx]Umass MEM'!$U$1</c:f>
              <c:strCache>
                <c:ptCount val="1"/>
                <c:pt idx="0">
                  <c:v>Occupied(ICU)/Staffed(ICU)</c:v>
                </c:pt>
              </c:strCache>
            </c:strRef>
          </c:tx>
          <c:spPr>
            <a:ln w="19050" cap="rnd">
              <a:solidFill>
                <a:schemeClr val="tx2"/>
              </a:solidFill>
              <a:round/>
            </a:ln>
            <a:effectLst/>
          </c:spPr>
          <c:marker>
            <c:symbol val="none"/>
          </c:marker>
          <c:cat>
            <c:numRef>
              <c:f>'[DanaFarber_Occupancy_1025.xlsx]Umass MEM'!$M$2:$M$33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MEM'!$U$2:$U$33</c:f>
              <c:numCache>
                <c:formatCode>0%</c:formatCode>
                <c:ptCount val="32"/>
                <c:pt idx="0">
                  <c:v>0.98316970546984572</c:v>
                </c:pt>
                <c:pt idx="1">
                  <c:v>0.96573208722741433</c:v>
                </c:pt>
                <c:pt idx="2">
                  <c:v>0.94810659186535762</c:v>
                </c:pt>
                <c:pt idx="3">
                  <c:v>0.94622093023255804</c:v>
                </c:pt>
                <c:pt idx="4">
                  <c:v>0.95633802816901403</c:v>
                </c:pt>
                <c:pt idx="5">
                  <c:v>0.92162554426705379</c:v>
                </c:pt>
                <c:pt idx="6">
                  <c:v>0.93408134642356244</c:v>
                </c:pt>
                <c:pt idx="7">
                  <c:v>0.93108298171589321</c:v>
                </c:pt>
                <c:pt idx="8">
                  <c:v>0.95072463768115945</c:v>
                </c:pt>
                <c:pt idx="9">
                  <c:v>0.95511921458625526</c:v>
                </c:pt>
                <c:pt idx="10">
                  <c:v>0.93333333333333324</c:v>
                </c:pt>
                <c:pt idx="11">
                  <c:v>0.9508426966292135</c:v>
                </c:pt>
                <c:pt idx="12">
                  <c:v>0.96072931276297335</c:v>
                </c:pt>
                <c:pt idx="13">
                  <c:v>0.95454545454545459</c:v>
                </c:pt>
                <c:pt idx="14">
                  <c:v>0.93688639551192143</c:v>
                </c:pt>
                <c:pt idx="15">
                  <c:v>0.93333333333333324</c:v>
                </c:pt>
                <c:pt idx="16">
                  <c:v>0.87839771101573672</c:v>
                </c:pt>
                <c:pt idx="17">
                  <c:v>0.90144927536231889</c:v>
                </c:pt>
                <c:pt idx="18">
                  <c:v>0.90638297872340423</c:v>
                </c:pt>
                <c:pt idx="19">
                  <c:v>0.88760806916426516</c:v>
                </c:pt>
                <c:pt idx="20">
                  <c:v>0.94494047619047628</c:v>
                </c:pt>
                <c:pt idx="21">
                  <c:v>0.93217893217893222</c:v>
                </c:pt>
                <c:pt idx="22">
                  <c:v>0.94023323615160348</c:v>
                </c:pt>
                <c:pt idx="23">
                  <c:v>0.93874643874643871</c:v>
                </c:pt>
                <c:pt idx="24">
                  <c:v>0.97615708274894819</c:v>
                </c:pt>
                <c:pt idx="25">
                  <c:v>0.95052473763118439</c:v>
                </c:pt>
                <c:pt idx="26">
                  <c:v>0.9578651685393258</c:v>
                </c:pt>
                <c:pt idx="27">
                  <c:v>0.93519882179676006</c:v>
                </c:pt>
                <c:pt idx="28">
                  <c:v>0.90743338008415153</c:v>
                </c:pt>
                <c:pt idx="29">
                  <c:v>0.92028985507246386</c:v>
                </c:pt>
                <c:pt idx="30">
                  <c:v>0.93258426966292129</c:v>
                </c:pt>
                <c:pt idx="31">
                  <c:v>0.94810659186535762</c:v>
                </c:pt>
              </c:numCache>
            </c:numRef>
          </c:val>
          <c:smooth val="0"/>
          <c:extLst>
            <c:ext xmlns:c16="http://schemas.microsoft.com/office/drawing/2014/chart" uri="{C3380CC4-5D6E-409C-BE32-E72D297353CC}">
              <c16:uniqueId val="{00000001-AD34-47EC-82D4-4EBD04623BC0}"/>
            </c:ext>
          </c:extLst>
        </c:ser>
        <c:ser>
          <c:idx val="2"/>
          <c:order val="2"/>
          <c:tx>
            <c:strRef>
              <c:f>'[DanaFarber_Occupancy_1025.xlsx]Umass MEM'!$V$1</c:f>
              <c:strCache>
                <c:ptCount val="1"/>
                <c:pt idx="0">
                  <c:v>Occupied(ICU)/Licensed(ICU)</c:v>
                </c:pt>
              </c:strCache>
            </c:strRef>
          </c:tx>
          <c:spPr>
            <a:ln w="19050" cap="rnd">
              <a:solidFill>
                <a:schemeClr val="accent3"/>
              </a:solidFill>
              <a:round/>
            </a:ln>
            <a:effectLst/>
          </c:spPr>
          <c:marker>
            <c:symbol val="none"/>
          </c:marker>
          <c:cat>
            <c:numRef>
              <c:f>'[DanaFarber_Occupancy_1025.xlsx]Umass MEM'!$M$2:$M$33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MEM'!$V$2:$V$33</c:f>
              <c:numCache>
                <c:formatCode>0%</c:formatCode>
                <c:ptCount val="32"/>
                <c:pt idx="0">
                  <c:v>2.5125448028673834</c:v>
                </c:pt>
                <c:pt idx="1">
                  <c:v>2.4603174603174605</c:v>
                </c:pt>
                <c:pt idx="2">
                  <c:v>2.4229390681003582</c:v>
                </c:pt>
                <c:pt idx="3">
                  <c:v>2.411111111111111</c:v>
                </c:pt>
                <c:pt idx="4">
                  <c:v>2.4336917562724012</c:v>
                </c:pt>
                <c:pt idx="5">
                  <c:v>2.3518518518518521</c:v>
                </c:pt>
                <c:pt idx="6">
                  <c:v>2.3870967741935485</c:v>
                </c:pt>
                <c:pt idx="7">
                  <c:v>2.3727598566308243</c:v>
                </c:pt>
                <c:pt idx="8">
                  <c:v>2.4296296296296296</c:v>
                </c:pt>
                <c:pt idx="9">
                  <c:v>2.4408602150537635</c:v>
                </c:pt>
                <c:pt idx="10">
                  <c:v>2.3851851851851849</c:v>
                </c:pt>
                <c:pt idx="11">
                  <c:v>2.4265232974910393</c:v>
                </c:pt>
                <c:pt idx="12">
                  <c:v>2.4551971326164876</c:v>
                </c:pt>
                <c:pt idx="13">
                  <c:v>2.4166666666666665</c:v>
                </c:pt>
                <c:pt idx="14">
                  <c:v>2.3942652329749103</c:v>
                </c:pt>
                <c:pt idx="15">
                  <c:v>2.3851851851851849</c:v>
                </c:pt>
                <c:pt idx="16">
                  <c:v>2.2007168458781359</c:v>
                </c:pt>
                <c:pt idx="17">
                  <c:v>2.3037037037037038</c:v>
                </c:pt>
                <c:pt idx="18">
                  <c:v>2.2903225806451615</c:v>
                </c:pt>
                <c:pt idx="19">
                  <c:v>2.2078853046594982</c:v>
                </c:pt>
                <c:pt idx="20">
                  <c:v>2.3518518518518521</c:v>
                </c:pt>
                <c:pt idx="21">
                  <c:v>2.3154121863799286</c:v>
                </c:pt>
                <c:pt idx="22">
                  <c:v>2.3888888888888888</c:v>
                </c:pt>
                <c:pt idx="23">
                  <c:v>2.3620071684587813</c:v>
                </c:pt>
                <c:pt idx="24">
                  <c:v>2.4946236559139785</c:v>
                </c:pt>
                <c:pt idx="25">
                  <c:v>2.4291187739463602</c:v>
                </c:pt>
                <c:pt idx="26">
                  <c:v>2.4444444444444446</c:v>
                </c:pt>
                <c:pt idx="27">
                  <c:v>2.3518518518518521</c:v>
                </c:pt>
                <c:pt idx="28">
                  <c:v>2.3189964157706093</c:v>
                </c:pt>
                <c:pt idx="29">
                  <c:v>2.3518518518518521</c:v>
                </c:pt>
                <c:pt idx="30">
                  <c:v>2.3799283154121862</c:v>
                </c:pt>
                <c:pt idx="31">
                  <c:v>2.4229390681003582</c:v>
                </c:pt>
              </c:numCache>
            </c:numRef>
          </c:val>
          <c:smooth val="0"/>
          <c:extLst>
            <c:ext xmlns:c16="http://schemas.microsoft.com/office/drawing/2014/chart" uri="{C3380CC4-5D6E-409C-BE32-E72D297353CC}">
              <c16:uniqueId val="{00000002-AD34-47EC-82D4-4EBD04623BC0}"/>
            </c:ext>
          </c:extLst>
        </c:ser>
        <c:dLbls>
          <c:showLegendKey val="0"/>
          <c:showVal val="0"/>
          <c:showCatName val="0"/>
          <c:showSerName val="0"/>
          <c:showPercent val="0"/>
          <c:showBubbleSize val="0"/>
        </c:dLbls>
        <c:smooth val="0"/>
        <c:axId val="1486351344"/>
        <c:axId val="1486357584"/>
      </c:lineChart>
      <c:dateAx>
        <c:axId val="14863513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86357584"/>
        <c:crosses val="autoZero"/>
        <c:auto val="1"/>
        <c:lblOffset val="100"/>
        <c:baseTimeUnit val="months"/>
      </c:dateAx>
      <c:valAx>
        <c:axId val="1486357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86351344"/>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UMass Univ Campus</a:t>
            </a:r>
            <a:r>
              <a:rPr lang="en-US" sz="1000" b="1" baseline="0"/>
              <a:t> </a:t>
            </a:r>
            <a:r>
              <a:rPr lang="en-US" sz="1000" b="1"/>
              <a:t>Occupancy Rate</a:t>
            </a:r>
            <a:r>
              <a:rPr lang="en-US" sz="1000" b="1" baseline="0"/>
              <a:t> (M/S)</a:t>
            </a:r>
            <a:r>
              <a:rPr lang="en-US" sz="1000"/>
              <a:t> </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'[DanaFarber_Occupancy_1025.xlsx]Umass Univ'!$N$1</c:f>
              <c:strCache>
                <c:ptCount val="1"/>
                <c:pt idx="0">
                  <c:v>Industry Standard</c:v>
                </c:pt>
              </c:strCache>
            </c:strRef>
          </c:tx>
          <c:spPr>
            <a:ln w="19050" cap="rnd">
              <a:solidFill>
                <a:srgbClr val="C00000"/>
              </a:solidFill>
              <a:round/>
            </a:ln>
            <a:effectLst/>
          </c:spPr>
          <c:marker>
            <c:symbol val="none"/>
          </c:marker>
          <c:cat>
            <c:numRef>
              <c:f>'[DanaFarber_Occupancy_1025.xlsx]Umass Univ'!$M$2:$M$33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Univ'!$N$2:$N$33</c:f>
              <c:numCache>
                <c:formatCode>0%</c:formatCode>
                <c:ptCount val="32"/>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numCache>
            </c:numRef>
          </c:val>
          <c:smooth val="0"/>
          <c:extLst>
            <c:ext xmlns:c16="http://schemas.microsoft.com/office/drawing/2014/chart" uri="{C3380CC4-5D6E-409C-BE32-E72D297353CC}">
              <c16:uniqueId val="{00000000-F504-436E-9C37-1FD5E12B7346}"/>
            </c:ext>
          </c:extLst>
        </c:ser>
        <c:ser>
          <c:idx val="1"/>
          <c:order val="1"/>
          <c:tx>
            <c:strRef>
              <c:f>'[DanaFarber_Occupancy_1025.xlsx]Umass Univ'!$O$1</c:f>
              <c:strCache>
                <c:ptCount val="1"/>
                <c:pt idx="0">
                  <c:v>Occupied(M/S)/Staffed(M/S)</c:v>
                </c:pt>
              </c:strCache>
            </c:strRef>
          </c:tx>
          <c:spPr>
            <a:ln w="19050" cap="rnd">
              <a:solidFill>
                <a:schemeClr val="tx2"/>
              </a:solidFill>
              <a:round/>
            </a:ln>
            <a:effectLst/>
          </c:spPr>
          <c:marker>
            <c:symbol val="none"/>
          </c:marker>
          <c:cat>
            <c:numRef>
              <c:f>'[DanaFarber_Occupancy_1025.xlsx]Umass Univ'!$M$2:$M$33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Univ'!$O$2:$O$33</c:f>
              <c:numCache>
                <c:formatCode>0%</c:formatCode>
                <c:ptCount val="32"/>
                <c:pt idx="0">
                  <c:v>0.97687928430347404</c:v>
                </c:pt>
                <c:pt idx="1">
                  <c:v>0.98960605671756718</c:v>
                </c:pt>
                <c:pt idx="2">
                  <c:v>0.99073859689743005</c:v>
                </c:pt>
                <c:pt idx="3">
                  <c:v>0.99054458408138846</c:v>
                </c:pt>
                <c:pt idx="4">
                  <c:v>0.98562818729717194</c:v>
                </c:pt>
                <c:pt idx="5">
                  <c:v>0.98870673952641153</c:v>
                </c:pt>
                <c:pt idx="6">
                  <c:v>0.98481817111921843</c:v>
                </c:pt>
                <c:pt idx="7">
                  <c:v>0.98525073746312697</c:v>
                </c:pt>
                <c:pt idx="8">
                  <c:v>0.98743657888378822</c:v>
                </c:pt>
                <c:pt idx="9">
                  <c:v>0.98133982382939267</c:v>
                </c:pt>
                <c:pt idx="10">
                  <c:v>0.98660126809426962</c:v>
                </c:pt>
                <c:pt idx="11">
                  <c:v>0.9897026495429827</c:v>
                </c:pt>
                <c:pt idx="12">
                  <c:v>0.95918603306740668</c:v>
                </c:pt>
                <c:pt idx="13">
                  <c:v>0.9898873527905786</c:v>
                </c:pt>
                <c:pt idx="14">
                  <c:v>0.98726262158406686</c:v>
                </c:pt>
                <c:pt idx="15">
                  <c:v>0.98753894080996896</c:v>
                </c:pt>
                <c:pt idx="16">
                  <c:v>0.98966438276622926</c:v>
                </c:pt>
                <c:pt idx="17">
                  <c:v>0.98994493655733795</c:v>
                </c:pt>
                <c:pt idx="18">
                  <c:v>0.98724045934346361</c:v>
                </c:pt>
                <c:pt idx="19">
                  <c:v>0.99027890290475651</c:v>
                </c:pt>
                <c:pt idx="20">
                  <c:v>0.99127524799808775</c:v>
                </c:pt>
                <c:pt idx="21">
                  <c:v>0.99082568807339466</c:v>
                </c:pt>
                <c:pt idx="22">
                  <c:v>0.9862505978000955</c:v>
                </c:pt>
                <c:pt idx="23">
                  <c:v>0.98587962962962961</c:v>
                </c:pt>
                <c:pt idx="24">
                  <c:v>0.98033772842933165</c:v>
                </c:pt>
                <c:pt idx="25">
                  <c:v>0.98899740388181501</c:v>
                </c:pt>
                <c:pt idx="26">
                  <c:v>0.9887679481241316</c:v>
                </c:pt>
                <c:pt idx="27">
                  <c:v>0.9896758703481392</c:v>
                </c:pt>
                <c:pt idx="28">
                  <c:v>0.99303944315545245</c:v>
                </c:pt>
                <c:pt idx="29">
                  <c:v>0.99172165566886639</c:v>
                </c:pt>
                <c:pt idx="30">
                  <c:v>0.98920988513748698</c:v>
                </c:pt>
                <c:pt idx="31">
                  <c:v>0.9888307155322863</c:v>
                </c:pt>
              </c:numCache>
            </c:numRef>
          </c:val>
          <c:smooth val="0"/>
          <c:extLst>
            <c:ext xmlns:c16="http://schemas.microsoft.com/office/drawing/2014/chart" uri="{C3380CC4-5D6E-409C-BE32-E72D297353CC}">
              <c16:uniqueId val="{00000001-F504-436E-9C37-1FD5E12B7346}"/>
            </c:ext>
          </c:extLst>
        </c:ser>
        <c:ser>
          <c:idx val="2"/>
          <c:order val="2"/>
          <c:tx>
            <c:strRef>
              <c:f>'[DanaFarber_Occupancy_1025.xlsx]Umass Univ'!$P$1</c:f>
              <c:strCache>
                <c:ptCount val="1"/>
                <c:pt idx="0">
                  <c:v>Occupied(M/S)/Licensed(M/S)</c:v>
                </c:pt>
              </c:strCache>
            </c:strRef>
          </c:tx>
          <c:spPr>
            <a:ln w="19050" cap="rnd">
              <a:solidFill>
                <a:schemeClr val="accent3"/>
              </a:solidFill>
              <a:round/>
            </a:ln>
            <a:effectLst/>
          </c:spPr>
          <c:marker>
            <c:symbol val="none"/>
          </c:marker>
          <c:cat>
            <c:numRef>
              <c:f>'[DanaFarber_Occupancy_1025.xlsx]Umass Univ'!$M$2:$M$33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Univ'!$P$2:$P$33</c:f>
              <c:numCache>
                <c:formatCode>0%</c:formatCode>
                <c:ptCount val="32"/>
                <c:pt idx="0">
                  <c:v>0.98627565982404697</c:v>
                </c:pt>
                <c:pt idx="1">
                  <c:v>1.0015584415584415</c:v>
                </c:pt>
                <c:pt idx="2">
                  <c:v>1.0038709677419355</c:v>
                </c:pt>
                <c:pt idx="3">
                  <c:v>1.0031515151515151</c:v>
                </c:pt>
                <c:pt idx="4">
                  <c:v>0.99753665689149562</c:v>
                </c:pt>
                <c:pt idx="5">
                  <c:v>0.98690909090909085</c:v>
                </c:pt>
                <c:pt idx="6">
                  <c:v>0.98158357771260996</c:v>
                </c:pt>
                <c:pt idx="7">
                  <c:v>0.97947214076246336</c:v>
                </c:pt>
                <c:pt idx="8">
                  <c:v>0.99078787878787866</c:v>
                </c:pt>
                <c:pt idx="9">
                  <c:v>0.99319648093841639</c:v>
                </c:pt>
                <c:pt idx="10">
                  <c:v>0.99963636363636355</c:v>
                </c:pt>
                <c:pt idx="11">
                  <c:v>1.0034017595307918</c:v>
                </c:pt>
                <c:pt idx="12">
                  <c:v>0.97313782991202347</c:v>
                </c:pt>
                <c:pt idx="13">
                  <c:v>1.0042857142857144</c:v>
                </c:pt>
                <c:pt idx="14">
                  <c:v>1.000117302052786</c:v>
                </c:pt>
                <c:pt idx="15">
                  <c:v>0.99903030303030305</c:v>
                </c:pt>
                <c:pt idx="16">
                  <c:v>0.9996480938416421</c:v>
                </c:pt>
                <c:pt idx="17">
                  <c:v>1.0024242424242424</c:v>
                </c:pt>
                <c:pt idx="18">
                  <c:v>0.99835777126099712</c:v>
                </c:pt>
                <c:pt idx="19">
                  <c:v>1.0037536656891497</c:v>
                </c:pt>
                <c:pt idx="20">
                  <c:v>1.0053333333333332</c:v>
                </c:pt>
                <c:pt idx="21">
                  <c:v>1.0008211143695016</c:v>
                </c:pt>
                <c:pt idx="22">
                  <c:v>0.99987878787878781</c:v>
                </c:pt>
                <c:pt idx="23">
                  <c:v>0.9991788856304985</c:v>
                </c:pt>
                <c:pt idx="24">
                  <c:v>0.99425219941348975</c:v>
                </c:pt>
                <c:pt idx="25">
                  <c:v>1.0031347962382446</c:v>
                </c:pt>
                <c:pt idx="26">
                  <c:v>1.001642228739003</c:v>
                </c:pt>
                <c:pt idx="27">
                  <c:v>0.99927272727272731</c:v>
                </c:pt>
                <c:pt idx="28">
                  <c:v>1.0041055718475074</c:v>
                </c:pt>
                <c:pt idx="29">
                  <c:v>1.0019393939393941</c:v>
                </c:pt>
                <c:pt idx="30">
                  <c:v>1.000117302052786</c:v>
                </c:pt>
                <c:pt idx="31">
                  <c:v>0.99695014662756609</c:v>
                </c:pt>
              </c:numCache>
            </c:numRef>
          </c:val>
          <c:smooth val="0"/>
          <c:extLst>
            <c:ext xmlns:c16="http://schemas.microsoft.com/office/drawing/2014/chart" uri="{C3380CC4-5D6E-409C-BE32-E72D297353CC}">
              <c16:uniqueId val="{00000002-F504-436E-9C37-1FD5E12B7346}"/>
            </c:ext>
          </c:extLst>
        </c:ser>
        <c:dLbls>
          <c:showLegendKey val="0"/>
          <c:showVal val="0"/>
          <c:showCatName val="0"/>
          <c:showSerName val="0"/>
          <c:showPercent val="0"/>
          <c:showBubbleSize val="0"/>
        </c:dLbls>
        <c:smooth val="0"/>
        <c:axId val="1334859551"/>
        <c:axId val="1334845631"/>
      </c:lineChart>
      <c:dateAx>
        <c:axId val="133485955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34845631"/>
        <c:crosses val="autoZero"/>
        <c:auto val="1"/>
        <c:lblOffset val="100"/>
        <c:baseTimeUnit val="months"/>
      </c:dateAx>
      <c:valAx>
        <c:axId val="13348456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Bed 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34859551"/>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UMass Univ Campus</a:t>
            </a:r>
            <a:r>
              <a:rPr lang="en-US" sz="1000" b="1" baseline="0"/>
              <a:t> </a:t>
            </a:r>
            <a:r>
              <a:rPr lang="en-US" sz="1000" b="1"/>
              <a:t>Occupancy Rate (ICU)</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'[DanaFarber_Occupancy_1025.xlsx]Umass Univ'!$T$1</c:f>
              <c:strCache>
                <c:ptCount val="1"/>
                <c:pt idx="0">
                  <c:v>Industry Standard </c:v>
                </c:pt>
              </c:strCache>
            </c:strRef>
          </c:tx>
          <c:spPr>
            <a:ln w="19050" cap="rnd">
              <a:solidFill>
                <a:srgbClr val="C00000"/>
              </a:solidFill>
              <a:round/>
            </a:ln>
            <a:effectLst/>
          </c:spPr>
          <c:marker>
            <c:symbol val="none"/>
          </c:marker>
          <c:cat>
            <c:numRef>
              <c:f>'[DanaFarber_Occupancy_1025.xlsx]Umass Univ'!$M$2:$M$33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Univ'!$T$2:$T$33</c:f>
              <c:numCache>
                <c:formatCode>0%</c:formatCode>
                <c:ptCount val="32"/>
                <c:pt idx="0">
                  <c:v>0.75</c:v>
                </c:pt>
                <c:pt idx="1">
                  <c:v>0.75</c:v>
                </c:pt>
                <c:pt idx="2">
                  <c:v>0.75</c:v>
                </c:pt>
                <c:pt idx="3">
                  <c:v>0.75</c:v>
                </c:pt>
                <c:pt idx="4">
                  <c:v>0.75</c:v>
                </c:pt>
                <c:pt idx="5">
                  <c:v>0.75</c:v>
                </c:pt>
                <c:pt idx="6">
                  <c:v>0.75</c:v>
                </c:pt>
                <c:pt idx="7">
                  <c:v>0.75</c:v>
                </c:pt>
                <c:pt idx="8">
                  <c:v>0.75</c:v>
                </c:pt>
                <c:pt idx="9">
                  <c:v>0.75</c:v>
                </c:pt>
                <c:pt idx="10">
                  <c:v>0.75</c:v>
                </c:pt>
                <c:pt idx="11">
                  <c:v>0.75</c:v>
                </c:pt>
                <c:pt idx="12">
                  <c:v>0.75</c:v>
                </c:pt>
                <c:pt idx="13">
                  <c:v>0.75</c:v>
                </c:pt>
                <c:pt idx="14">
                  <c:v>0.75</c:v>
                </c:pt>
                <c:pt idx="15">
                  <c:v>0.75</c:v>
                </c:pt>
                <c:pt idx="16">
                  <c:v>0.75</c:v>
                </c:pt>
                <c:pt idx="17">
                  <c:v>0.75</c:v>
                </c:pt>
                <c:pt idx="18">
                  <c:v>0.75</c:v>
                </c:pt>
                <c:pt idx="19">
                  <c:v>0.75</c:v>
                </c:pt>
                <c:pt idx="20">
                  <c:v>0.75</c:v>
                </c:pt>
                <c:pt idx="21">
                  <c:v>0.75</c:v>
                </c:pt>
                <c:pt idx="22">
                  <c:v>0.75</c:v>
                </c:pt>
                <c:pt idx="23">
                  <c:v>0.75</c:v>
                </c:pt>
                <c:pt idx="24">
                  <c:v>0.75</c:v>
                </c:pt>
                <c:pt idx="25">
                  <c:v>0.75</c:v>
                </c:pt>
                <c:pt idx="26">
                  <c:v>0.75</c:v>
                </c:pt>
                <c:pt idx="27">
                  <c:v>0.75</c:v>
                </c:pt>
                <c:pt idx="28">
                  <c:v>0.75</c:v>
                </c:pt>
                <c:pt idx="29">
                  <c:v>0.75</c:v>
                </c:pt>
                <c:pt idx="30">
                  <c:v>0.75</c:v>
                </c:pt>
                <c:pt idx="31">
                  <c:v>0.75</c:v>
                </c:pt>
              </c:numCache>
            </c:numRef>
          </c:val>
          <c:smooth val="0"/>
          <c:extLst>
            <c:ext xmlns:c16="http://schemas.microsoft.com/office/drawing/2014/chart" uri="{C3380CC4-5D6E-409C-BE32-E72D297353CC}">
              <c16:uniqueId val="{00000000-6AF9-4E04-A79D-0FE68CE61A54}"/>
            </c:ext>
          </c:extLst>
        </c:ser>
        <c:ser>
          <c:idx val="1"/>
          <c:order val="1"/>
          <c:tx>
            <c:strRef>
              <c:f>'[DanaFarber_Occupancy_1025.xlsx]Umass Univ'!$U$1</c:f>
              <c:strCache>
                <c:ptCount val="1"/>
                <c:pt idx="0">
                  <c:v>Occupied (ICU)/Staffed(ICU)</c:v>
                </c:pt>
              </c:strCache>
            </c:strRef>
          </c:tx>
          <c:spPr>
            <a:ln w="19050" cap="rnd">
              <a:solidFill>
                <a:schemeClr val="tx2"/>
              </a:solidFill>
              <a:round/>
            </a:ln>
            <a:effectLst/>
          </c:spPr>
          <c:marker>
            <c:symbol val="none"/>
          </c:marker>
          <c:cat>
            <c:numRef>
              <c:f>'[DanaFarber_Occupancy_1025.xlsx]Umass Univ'!$M$2:$M$33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Univ'!$U$2:$U$33</c:f>
              <c:numCache>
                <c:formatCode>0%</c:formatCode>
                <c:ptCount val="32"/>
                <c:pt idx="0">
                  <c:v>0.97917517354022054</c:v>
                </c:pt>
                <c:pt idx="1">
                  <c:v>0.98056057866184443</c:v>
                </c:pt>
                <c:pt idx="2">
                  <c:v>0.9693752552062066</c:v>
                </c:pt>
                <c:pt idx="3">
                  <c:v>0.96070055531824017</c:v>
                </c:pt>
                <c:pt idx="4">
                  <c:v>0.95727913728743252</c:v>
                </c:pt>
                <c:pt idx="5">
                  <c:v>0.96223175965665231</c:v>
                </c:pt>
                <c:pt idx="6">
                  <c:v>0.96731485312370713</c:v>
                </c:pt>
                <c:pt idx="7">
                  <c:v>0.9409578860445913</c:v>
                </c:pt>
                <c:pt idx="8">
                  <c:v>0.96378355347251821</c:v>
                </c:pt>
                <c:pt idx="9">
                  <c:v>0.96291718170580964</c:v>
                </c:pt>
                <c:pt idx="10">
                  <c:v>0.95406210123351776</c:v>
                </c:pt>
                <c:pt idx="11">
                  <c:v>0.96253602305475505</c:v>
                </c:pt>
                <c:pt idx="12">
                  <c:v>0.96714579055441485</c:v>
                </c:pt>
                <c:pt idx="13">
                  <c:v>0.96066907775768529</c:v>
                </c:pt>
                <c:pt idx="14">
                  <c:v>0.96771557008581943</c:v>
                </c:pt>
                <c:pt idx="15">
                  <c:v>0.95185810810810811</c:v>
                </c:pt>
                <c:pt idx="16">
                  <c:v>0.95255623721881377</c:v>
                </c:pt>
                <c:pt idx="17">
                  <c:v>0.96744186046511638</c:v>
                </c:pt>
                <c:pt idx="18">
                  <c:v>0.94358135731807036</c:v>
                </c:pt>
                <c:pt idx="19">
                  <c:v>0.9664072101597706</c:v>
                </c:pt>
                <c:pt idx="20">
                  <c:v>0.96791895314478682</c:v>
                </c:pt>
                <c:pt idx="21">
                  <c:v>0.9710085749285422</c:v>
                </c:pt>
                <c:pt idx="22">
                  <c:v>0.96244725738396619</c:v>
                </c:pt>
                <c:pt idx="23">
                  <c:v>0.96444626072742123</c:v>
                </c:pt>
                <c:pt idx="24">
                  <c:v>0.97348021215830272</c:v>
                </c:pt>
                <c:pt idx="25">
                  <c:v>0.96595373199476209</c:v>
                </c:pt>
                <c:pt idx="26">
                  <c:v>0.96323529411764708</c:v>
                </c:pt>
                <c:pt idx="27">
                  <c:v>0.95608108108108103</c:v>
                </c:pt>
                <c:pt idx="28">
                  <c:v>0.95304205798285024</c:v>
                </c:pt>
                <c:pt idx="29">
                  <c:v>0.96244725738396619</c:v>
                </c:pt>
                <c:pt idx="30">
                  <c:v>0.95584627964022895</c:v>
                </c:pt>
                <c:pt idx="31">
                  <c:v>0.96854575163398693</c:v>
                </c:pt>
              </c:numCache>
            </c:numRef>
          </c:val>
          <c:smooth val="0"/>
          <c:extLst>
            <c:ext xmlns:c16="http://schemas.microsoft.com/office/drawing/2014/chart" uri="{C3380CC4-5D6E-409C-BE32-E72D297353CC}">
              <c16:uniqueId val="{00000001-6AF9-4E04-A79D-0FE68CE61A54}"/>
            </c:ext>
          </c:extLst>
        </c:ser>
        <c:ser>
          <c:idx val="2"/>
          <c:order val="2"/>
          <c:tx>
            <c:strRef>
              <c:f>'[DanaFarber_Occupancy_1025.xlsx]Umass Univ'!$V$1</c:f>
              <c:strCache>
                <c:ptCount val="1"/>
                <c:pt idx="0">
                  <c:v>Occupied (ICU)/Licensed(ICU)</c:v>
                </c:pt>
              </c:strCache>
            </c:strRef>
          </c:tx>
          <c:spPr>
            <a:ln w="19050" cap="rnd">
              <a:solidFill>
                <a:schemeClr val="accent3"/>
              </a:solidFill>
              <a:round/>
            </a:ln>
            <a:effectLst/>
          </c:spPr>
          <c:marker>
            <c:symbol val="none"/>
          </c:marker>
          <c:cat>
            <c:numRef>
              <c:f>'[DanaFarber_Occupancy_1025.xlsx]Umass Univ'!$M$2:$M$33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'[DanaFarber_Occupancy_1025.xlsx]Umass Univ'!$V$2:$V$33</c:f>
              <c:numCache>
                <c:formatCode>0%</c:formatCode>
                <c:ptCount val="32"/>
                <c:pt idx="0">
                  <c:v>1.2086693548387097</c:v>
                </c:pt>
                <c:pt idx="1">
                  <c:v>1.2103794642857142</c:v>
                </c:pt>
                <c:pt idx="2">
                  <c:v>1.1965725806451613</c:v>
                </c:pt>
                <c:pt idx="3">
                  <c:v>1.1713541666666667</c:v>
                </c:pt>
                <c:pt idx="4">
                  <c:v>1.1633064516129032</c:v>
                </c:pt>
                <c:pt idx="5">
                  <c:v>1.1677083333333333</c:v>
                </c:pt>
                <c:pt idx="6">
                  <c:v>1.1784274193548387</c:v>
                </c:pt>
                <c:pt idx="7">
                  <c:v>1.1486895161290323</c:v>
                </c:pt>
                <c:pt idx="8">
                  <c:v>1.1781250000000001</c:v>
                </c:pt>
                <c:pt idx="9">
                  <c:v>1.1779233870967742</c:v>
                </c:pt>
                <c:pt idx="10">
                  <c:v>1.1682291666666667</c:v>
                </c:pt>
                <c:pt idx="11">
                  <c:v>1.1784274193548387</c:v>
                </c:pt>
                <c:pt idx="12">
                  <c:v>1.1869959677419355</c:v>
                </c:pt>
                <c:pt idx="13">
                  <c:v>1.1858258928571428</c:v>
                </c:pt>
                <c:pt idx="14">
                  <c:v>1.1935483870967742</c:v>
                </c:pt>
                <c:pt idx="15">
                  <c:v>1.1739583333333334</c:v>
                </c:pt>
                <c:pt idx="16">
                  <c:v>1.173891129032258</c:v>
                </c:pt>
                <c:pt idx="17">
                  <c:v>1.1916666666666667</c:v>
                </c:pt>
                <c:pt idx="18">
                  <c:v>1.1633064516129032</c:v>
                </c:pt>
                <c:pt idx="19">
                  <c:v>1.1890120967741935</c:v>
                </c:pt>
                <c:pt idx="20">
                  <c:v>1.1942708333333334</c:v>
                </c:pt>
                <c:pt idx="21">
                  <c:v>1.1985887096774193</c:v>
                </c:pt>
                <c:pt idx="22">
                  <c:v>1.1880208333333333</c:v>
                </c:pt>
                <c:pt idx="23">
                  <c:v>1.189516129032258</c:v>
                </c:pt>
                <c:pt idx="24">
                  <c:v>1.2026209677419355</c:v>
                </c:pt>
                <c:pt idx="25">
                  <c:v>1.1923491379310345</c:v>
                </c:pt>
                <c:pt idx="26">
                  <c:v>1.188508064516129</c:v>
                </c:pt>
                <c:pt idx="27">
                  <c:v>1.1791666666666667</c:v>
                </c:pt>
                <c:pt idx="28">
                  <c:v>1.1764112903225807</c:v>
                </c:pt>
                <c:pt idx="29">
                  <c:v>1.1880208333333333</c:v>
                </c:pt>
                <c:pt idx="30">
                  <c:v>1.1784274193548387</c:v>
                </c:pt>
                <c:pt idx="31">
                  <c:v>1.1950604838709677</c:v>
                </c:pt>
              </c:numCache>
            </c:numRef>
          </c:val>
          <c:smooth val="0"/>
          <c:extLst>
            <c:ext xmlns:c16="http://schemas.microsoft.com/office/drawing/2014/chart" uri="{C3380CC4-5D6E-409C-BE32-E72D297353CC}">
              <c16:uniqueId val="{00000002-6AF9-4E04-A79D-0FE68CE61A54}"/>
            </c:ext>
          </c:extLst>
        </c:ser>
        <c:dLbls>
          <c:showLegendKey val="0"/>
          <c:showVal val="0"/>
          <c:showCatName val="0"/>
          <c:showSerName val="0"/>
          <c:showPercent val="0"/>
          <c:showBubbleSize val="0"/>
        </c:dLbls>
        <c:smooth val="0"/>
        <c:axId val="1662613903"/>
        <c:axId val="1662614383"/>
      </c:lineChart>
      <c:dateAx>
        <c:axId val="166261390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62614383"/>
        <c:crosses val="autoZero"/>
        <c:auto val="1"/>
        <c:lblOffset val="100"/>
        <c:baseTimeUnit val="months"/>
      </c:dateAx>
      <c:valAx>
        <c:axId val="1662614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62613903"/>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BMC</a:t>
            </a:r>
            <a:r>
              <a:rPr lang="en-US" sz="1000" b="1" baseline="0"/>
              <a:t> </a:t>
            </a:r>
            <a:r>
              <a:rPr lang="en-US" sz="1000" b="1"/>
              <a:t>Occupancy Rate (ICU)</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[DanaFarber_Occupancy_1025.xlsx]Boston_MC!$T$1</c:f>
              <c:strCache>
                <c:ptCount val="1"/>
                <c:pt idx="0">
                  <c:v>Industry Standard</c:v>
                </c:pt>
              </c:strCache>
            </c:strRef>
          </c:tx>
          <c:spPr>
            <a:ln w="19050" cap="rnd">
              <a:solidFill>
                <a:srgbClr val="C00000"/>
              </a:solidFill>
              <a:round/>
            </a:ln>
            <a:effectLst/>
          </c:spPr>
          <c:marker>
            <c:symbol val="none"/>
          </c:marker>
          <c:cat>
            <c:numRef>
              <c:f>[DanaFarber_Occupancy_1025.xlsx]Boston_MC!$M$2:$M$33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[DanaFarber_Occupancy_1025.xlsx]Boston_MC!$T$2:$T$33</c:f>
              <c:numCache>
                <c:formatCode>0%</c:formatCode>
                <c:ptCount val="32"/>
                <c:pt idx="0">
                  <c:v>0.75</c:v>
                </c:pt>
                <c:pt idx="1">
                  <c:v>0.75</c:v>
                </c:pt>
                <c:pt idx="2">
                  <c:v>0.75</c:v>
                </c:pt>
                <c:pt idx="3">
                  <c:v>0.75</c:v>
                </c:pt>
                <c:pt idx="4">
                  <c:v>0.75</c:v>
                </c:pt>
                <c:pt idx="5">
                  <c:v>0.75</c:v>
                </c:pt>
                <c:pt idx="6">
                  <c:v>0.75</c:v>
                </c:pt>
                <c:pt idx="7">
                  <c:v>0.75</c:v>
                </c:pt>
                <c:pt idx="8">
                  <c:v>0.75</c:v>
                </c:pt>
                <c:pt idx="9">
                  <c:v>0.75</c:v>
                </c:pt>
                <c:pt idx="10">
                  <c:v>0.75</c:v>
                </c:pt>
                <c:pt idx="11">
                  <c:v>0.75</c:v>
                </c:pt>
                <c:pt idx="12">
                  <c:v>0.75</c:v>
                </c:pt>
                <c:pt idx="13">
                  <c:v>0.75</c:v>
                </c:pt>
                <c:pt idx="14">
                  <c:v>0.75</c:v>
                </c:pt>
                <c:pt idx="15">
                  <c:v>0.75</c:v>
                </c:pt>
                <c:pt idx="16">
                  <c:v>0.75</c:v>
                </c:pt>
                <c:pt idx="17">
                  <c:v>0.75</c:v>
                </c:pt>
                <c:pt idx="18">
                  <c:v>0.75</c:v>
                </c:pt>
                <c:pt idx="19">
                  <c:v>0.75</c:v>
                </c:pt>
                <c:pt idx="20">
                  <c:v>0.75</c:v>
                </c:pt>
                <c:pt idx="21">
                  <c:v>0.75</c:v>
                </c:pt>
                <c:pt idx="22">
                  <c:v>0.75</c:v>
                </c:pt>
                <c:pt idx="23">
                  <c:v>0.75</c:v>
                </c:pt>
                <c:pt idx="24">
                  <c:v>0.75</c:v>
                </c:pt>
                <c:pt idx="25">
                  <c:v>0.75</c:v>
                </c:pt>
                <c:pt idx="26">
                  <c:v>0.75</c:v>
                </c:pt>
                <c:pt idx="27">
                  <c:v>0.75</c:v>
                </c:pt>
                <c:pt idx="28">
                  <c:v>0.75</c:v>
                </c:pt>
                <c:pt idx="29">
                  <c:v>0.75</c:v>
                </c:pt>
                <c:pt idx="30">
                  <c:v>0.75</c:v>
                </c:pt>
                <c:pt idx="31">
                  <c:v>0.75</c:v>
                </c:pt>
              </c:numCache>
            </c:numRef>
          </c:val>
          <c:smooth val="0"/>
          <c:extLst>
            <c:ext xmlns:c16="http://schemas.microsoft.com/office/drawing/2014/chart" uri="{C3380CC4-5D6E-409C-BE32-E72D297353CC}">
              <c16:uniqueId val="{00000000-6028-473B-B61B-6DC00A0CE755}"/>
            </c:ext>
          </c:extLst>
        </c:ser>
        <c:ser>
          <c:idx val="1"/>
          <c:order val="1"/>
          <c:tx>
            <c:strRef>
              <c:f>[DanaFarber_Occupancy_1025.xlsx]Boston_MC!$U$1</c:f>
              <c:strCache>
                <c:ptCount val="1"/>
                <c:pt idx="0">
                  <c:v>Occupied(ICU)/Staffed(ICU)</c:v>
                </c:pt>
              </c:strCache>
            </c:strRef>
          </c:tx>
          <c:spPr>
            <a:ln w="19050" cap="rnd">
              <a:solidFill>
                <a:schemeClr val="tx2"/>
              </a:solidFill>
              <a:round/>
            </a:ln>
            <a:effectLst/>
          </c:spPr>
          <c:marker>
            <c:symbol val="none"/>
          </c:marker>
          <c:cat>
            <c:numRef>
              <c:f>[DanaFarber_Occupancy_1025.xlsx]Boston_MC!$M$2:$M$33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[DanaFarber_Occupancy_1025.xlsx]Boston_MC!$U$2:$U$33</c:f>
              <c:numCache>
                <c:formatCode>0%</c:formatCode>
                <c:ptCount val="32"/>
                <c:pt idx="0">
                  <c:v>0.82804232804232802</c:v>
                </c:pt>
                <c:pt idx="1">
                  <c:v>0.71938775510204078</c:v>
                </c:pt>
                <c:pt idx="2">
                  <c:v>0.76190476190476186</c:v>
                </c:pt>
                <c:pt idx="3">
                  <c:v>0.76560846560846563</c:v>
                </c:pt>
                <c:pt idx="4">
                  <c:v>0.81976446492575528</c:v>
                </c:pt>
                <c:pt idx="5">
                  <c:v>0.76137566137566137</c:v>
                </c:pt>
                <c:pt idx="6">
                  <c:v>0.81798941798941793</c:v>
                </c:pt>
                <c:pt idx="7">
                  <c:v>0.78801843317972353</c:v>
                </c:pt>
                <c:pt idx="8">
                  <c:v>0.7772486772486773</c:v>
                </c:pt>
                <c:pt idx="9">
                  <c:v>0.77880184331797231</c:v>
                </c:pt>
                <c:pt idx="10">
                  <c:v>0.82116402116402121</c:v>
                </c:pt>
                <c:pt idx="11">
                  <c:v>0.85560675883256532</c:v>
                </c:pt>
                <c:pt idx="12">
                  <c:v>0.8341013824884792</c:v>
                </c:pt>
                <c:pt idx="13">
                  <c:v>0.80328798185941042</c:v>
                </c:pt>
                <c:pt idx="14">
                  <c:v>0.78853046594982079</c:v>
                </c:pt>
                <c:pt idx="15">
                  <c:v>0.77777777777777779</c:v>
                </c:pt>
                <c:pt idx="16">
                  <c:v>0.81566820276497698</c:v>
                </c:pt>
                <c:pt idx="17">
                  <c:v>0.83121693121693119</c:v>
                </c:pt>
                <c:pt idx="18">
                  <c:v>0.81208397337429594</c:v>
                </c:pt>
                <c:pt idx="19">
                  <c:v>0.82130056323604717</c:v>
                </c:pt>
                <c:pt idx="20">
                  <c:v>0.72486772486772488</c:v>
                </c:pt>
                <c:pt idx="21">
                  <c:v>0.8356374807987712</c:v>
                </c:pt>
                <c:pt idx="22">
                  <c:v>0.84232804232804237</c:v>
                </c:pt>
                <c:pt idx="23">
                  <c:v>0.81976446492575528</c:v>
                </c:pt>
                <c:pt idx="24">
                  <c:v>0.84126984126984128</c:v>
                </c:pt>
                <c:pt idx="25">
                  <c:v>0.82484948002189384</c:v>
                </c:pt>
                <c:pt idx="26">
                  <c:v>0.82795698924731187</c:v>
                </c:pt>
                <c:pt idx="27">
                  <c:v>0.80793650793650795</c:v>
                </c:pt>
                <c:pt idx="28">
                  <c:v>0.81720430107526887</c:v>
                </c:pt>
                <c:pt idx="29">
                  <c:v>0.82910052910052912</c:v>
                </c:pt>
                <c:pt idx="30">
                  <c:v>0.81618023553507424</c:v>
                </c:pt>
                <c:pt idx="31">
                  <c:v>0.81413210445468509</c:v>
                </c:pt>
              </c:numCache>
            </c:numRef>
          </c:val>
          <c:smooth val="0"/>
          <c:extLst>
            <c:ext xmlns:c16="http://schemas.microsoft.com/office/drawing/2014/chart" uri="{C3380CC4-5D6E-409C-BE32-E72D297353CC}">
              <c16:uniqueId val="{00000001-6028-473B-B61B-6DC00A0CE755}"/>
            </c:ext>
          </c:extLst>
        </c:ser>
        <c:ser>
          <c:idx val="2"/>
          <c:order val="2"/>
          <c:tx>
            <c:strRef>
              <c:f>[DanaFarber_Occupancy_1025.xlsx]Boston_MC!$V$1</c:f>
              <c:strCache>
                <c:ptCount val="1"/>
                <c:pt idx="0">
                  <c:v>Occupied(ICU)/Licensed(ICU)</c:v>
                </c:pt>
              </c:strCache>
            </c:strRef>
          </c:tx>
          <c:spPr>
            <a:ln w="19050" cap="rnd">
              <a:solidFill>
                <a:schemeClr val="accent3"/>
              </a:solidFill>
              <a:round/>
            </a:ln>
            <a:effectLst/>
          </c:spPr>
          <c:marker>
            <c:symbol val="none"/>
          </c:marker>
          <c:cat>
            <c:numRef>
              <c:f>[DanaFarber_Occupancy_1025.xlsx]Boston_MC!$M$2:$M$33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[DanaFarber_Occupancy_1025.xlsx]Boston_MC!$V$2:$V$33</c:f>
              <c:numCache>
                <c:formatCode>0%</c:formatCode>
                <c:ptCount val="32"/>
                <c:pt idx="0">
                  <c:v>0.94848484848484849</c:v>
                </c:pt>
                <c:pt idx="1">
                  <c:v>0.824025974025974</c:v>
                </c:pt>
                <c:pt idx="2">
                  <c:v>0.87272727272727268</c:v>
                </c:pt>
                <c:pt idx="3">
                  <c:v>0.87696969696969695</c:v>
                </c:pt>
                <c:pt idx="4">
                  <c:v>0.93900293255131972</c:v>
                </c:pt>
                <c:pt idx="5">
                  <c:v>0.87212121212121219</c:v>
                </c:pt>
                <c:pt idx="6">
                  <c:v>0.9369696969696969</c:v>
                </c:pt>
                <c:pt idx="7">
                  <c:v>0.90263929618768335</c:v>
                </c:pt>
                <c:pt idx="8">
                  <c:v>0.89030303030303037</c:v>
                </c:pt>
                <c:pt idx="9">
                  <c:v>0.89208211143695015</c:v>
                </c:pt>
                <c:pt idx="10">
                  <c:v>0.94060606060606067</c:v>
                </c:pt>
                <c:pt idx="11">
                  <c:v>0.980058651026393</c:v>
                </c:pt>
                <c:pt idx="12">
                  <c:v>0.95542521994134899</c:v>
                </c:pt>
                <c:pt idx="13">
                  <c:v>0.92012987012987002</c:v>
                </c:pt>
                <c:pt idx="14">
                  <c:v>0.90322580645161299</c:v>
                </c:pt>
                <c:pt idx="15">
                  <c:v>0.89090909090909087</c:v>
                </c:pt>
                <c:pt idx="16">
                  <c:v>0.93431085043988271</c:v>
                </c:pt>
                <c:pt idx="17">
                  <c:v>0.95212121212121215</c:v>
                </c:pt>
                <c:pt idx="18">
                  <c:v>0.93020527859237545</c:v>
                </c:pt>
                <c:pt idx="19">
                  <c:v>0.94076246334310853</c:v>
                </c:pt>
                <c:pt idx="20">
                  <c:v>0.83030303030303021</c:v>
                </c:pt>
                <c:pt idx="21">
                  <c:v>0.95718475073313791</c:v>
                </c:pt>
                <c:pt idx="22">
                  <c:v>0.96484848484848496</c:v>
                </c:pt>
                <c:pt idx="23">
                  <c:v>0.93900293255131972</c:v>
                </c:pt>
                <c:pt idx="24">
                  <c:v>0.96363636363636362</c:v>
                </c:pt>
                <c:pt idx="25">
                  <c:v>0.94482758620689655</c:v>
                </c:pt>
                <c:pt idx="26">
                  <c:v>0.94838709677419364</c:v>
                </c:pt>
                <c:pt idx="27">
                  <c:v>0.92545454545454542</c:v>
                </c:pt>
                <c:pt idx="28">
                  <c:v>0.93607038123167152</c:v>
                </c:pt>
                <c:pt idx="29">
                  <c:v>0.94969696969696971</c:v>
                </c:pt>
                <c:pt idx="30">
                  <c:v>0.93489736070381235</c:v>
                </c:pt>
                <c:pt idx="31">
                  <c:v>0.93255131964809379</c:v>
                </c:pt>
              </c:numCache>
            </c:numRef>
          </c:val>
          <c:smooth val="0"/>
          <c:extLst>
            <c:ext xmlns:c16="http://schemas.microsoft.com/office/drawing/2014/chart" uri="{C3380CC4-5D6E-409C-BE32-E72D297353CC}">
              <c16:uniqueId val="{00000002-6028-473B-B61B-6DC00A0CE755}"/>
            </c:ext>
          </c:extLst>
        </c:ser>
        <c:dLbls>
          <c:showLegendKey val="0"/>
          <c:showVal val="0"/>
          <c:showCatName val="0"/>
          <c:showSerName val="0"/>
          <c:showPercent val="0"/>
          <c:showBubbleSize val="0"/>
        </c:dLbls>
        <c:smooth val="0"/>
        <c:axId val="1486357584"/>
        <c:axId val="1486376784"/>
      </c:lineChart>
      <c:dateAx>
        <c:axId val="148635758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86376784"/>
        <c:crosses val="autoZero"/>
        <c:auto val="1"/>
        <c:lblOffset val="100"/>
        <c:baseTimeUnit val="months"/>
      </c:dateAx>
      <c:valAx>
        <c:axId val="1486376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86357584"/>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BIDMC</a:t>
            </a:r>
            <a:r>
              <a:rPr lang="en-US" sz="1000" b="1" baseline="0"/>
              <a:t> </a:t>
            </a:r>
            <a:r>
              <a:rPr lang="en-US" sz="1000" b="1"/>
              <a:t>Occupancy Rate (M/S</a:t>
            </a:r>
            <a:r>
              <a:rPr lang="en-US" sz="1000"/>
              <a:t>)</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[DanaFarber_Occupancy_1025.xlsx]BID_MC!$N$1</c:f>
              <c:strCache>
                <c:ptCount val="1"/>
                <c:pt idx="0">
                  <c:v>Industry Standard</c:v>
                </c:pt>
              </c:strCache>
            </c:strRef>
          </c:tx>
          <c:spPr>
            <a:ln w="19050" cap="rnd">
              <a:solidFill>
                <a:srgbClr val="C00000"/>
              </a:solidFill>
              <a:round/>
            </a:ln>
            <a:effectLst/>
          </c:spPr>
          <c:marker>
            <c:symbol val="none"/>
          </c:marker>
          <c:cat>
            <c:numRef>
              <c:f>[DanaFarber_Occupancy_1025.xlsx]BID_MC!$M$2:$M$33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[DanaFarber_Occupancy_1025.xlsx]BID_MC!$N$2:$N$33</c:f>
              <c:numCache>
                <c:formatCode>0%</c:formatCode>
                <c:ptCount val="32"/>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numCache>
            </c:numRef>
          </c:val>
          <c:smooth val="0"/>
          <c:extLst>
            <c:ext xmlns:c16="http://schemas.microsoft.com/office/drawing/2014/chart" uri="{C3380CC4-5D6E-409C-BE32-E72D297353CC}">
              <c16:uniqueId val="{00000000-1B99-4F03-ACFA-80A8C2D6D53E}"/>
            </c:ext>
          </c:extLst>
        </c:ser>
        <c:ser>
          <c:idx val="1"/>
          <c:order val="1"/>
          <c:tx>
            <c:strRef>
              <c:f>[DanaFarber_Occupancy_1025.xlsx]BID_MC!$O$1</c:f>
              <c:strCache>
                <c:ptCount val="1"/>
                <c:pt idx="0">
                  <c:v>Occupied(M/S)/Staffed(M/S)</c:v>
                </c:pt>
              </c:strCache>
            </c:strRef>
          </c:tx>
          <c:spPr>
            <a:ln w="19050" cap="rnd">
              <a:solidFill>
                <a:schemeClr val="tx2"/>
              </a:solidFill>
              <a:round/>
            </a:ln>
            <a:effectLst/>
          </c:spPr>
          <c:marker>
            <c:symbol val="none"/>
          </c:marker>
          <c:cat>
            <c:numRef>
              <c:f>[DanaFarber_Occupancy_1025.xlsx]BID_MC!$M$2:$M$33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[DanaFarber_Occupancy_1025.xlsx]BID_MC!$O$2:$O$33</c:f>
              <c:numCache>
                <c:formatCode>0%</c:formatCode>
                <c:ptCount val="32"/>
                <c:pt idx="0">
                  <c:v>0.9741396199307778</c:v>
                </c:pt>
                <c:pt idx="1">
                  <c:v>0.98722222222222211</c:v>
                </c:pt>
                <c:pt idx="2">
                  <c:v>0.97841365461847374</c:v>
                </c:pt>
                <c:pt idx="3">
                  <c:v>0.98009724473257709</c:v>
                </c:pt>
                <c:pt idx="4">
                  <c:v>0.98836263530000612</c:v>
                </c:pt>
                <c:pt idx="5">
                  <c:v>0.99139233852421316</c:v>
                </c:pt>
                <c:pt idx="6">
                  <c:v>1</c:v>
                </c:pt>
                <c:pt idx="7">
                  <c:v>0.99398124683223521</c:v>
                </c:pt>
                <c:pt idx="8">
                  <c:v>0.9913330314986093</c:v>
                </c:pt>
                <c:pt idx="9">
                  <c:v>0.98302508234101837</c:v>
                </c:pt>
                <c:pt idx="10">
                  <c:v>0.97677285408421466</c:v>
                </c:pt>
                <c:pt idx="11">
                  <c:v>0.9745656006043818</c:v>
                </c:pt>
                <c:pt idx="12">
                  <c:v>0.98035030447611271</c:v>
                </c:pt>
                <c:pt idx="13">
                  <c:v>0.97987691031049029</c:v>
                </c:pt>
                <c:pt idx="14">
                  <c:v>0.97610454262601121</c:v>
                </c:pt>
                <c:pt idx="15">
                  <c:v>0.95080179602309178</c:v>
                </c:pt>
                <c:pt idx="16">
                  <c:v>0.98333024634191513</c:v>
                </c:pt>
                <c:pt idx="17">
                  <c:v>0.98361934477379098</c:v>
                </c:pt>
                <c:pt idx="18">
                  <c:v>0.96132736104977612</c:v>
                </c:pt>
                <c:pt idx="19">
                  <c:v>0.98472266244057061</c:v>
                </c:pt>
                <c:pt idx="20">
                  <c:v>0.98143201511499123</c:v>
                </c:pt>
                <c:pt idx="21">
                  <c:v>0.99181979122153729</c:v>
                </c:pt>
                <c:pt idx="22">
                  <c:v>0.97953142713188057</c:v>
                </c:pt>
                <c:pt idx="23">
                  <c:v>0.98825879077649337</c:v>
                </c:pt>
                <c:pt idx="24">
                  <c:v>0.99202289611496763</c:v>
                </c:pt>
                <c:pt idx="25">
                  <c:v>0.98200880144965075</c:v>
                </c:pt>
                <c:pt idx="26">
                  <c:v>0.99024448994339409</c:v>
                </c:pt>
                <c:pt idx="27">
                  <c:v>0.99189836125943665</c:v>
                </c:pt>
                <c:pt idx="28">
                  <c:v>0.98652452536383783</c:v>
                </c:pt>
                <c:pt idx="29">
                  <c:v>0.96829439103584369</c:v>
                </c:pt>
                <c:pt idx="30">
                  <c:v>0.96639064783244044</c:v>
                </c:pt>
                <c:pt idx="31">
                  <c:v>0.97425668515863617</c:v>
                </c:pt>
              </c:numCache>
            </c:numRef>
          </c:val>
          <c:smooth val="0"/>
          <c:extLst>
            <c:ext xmlns:c16="http://schemas.microsoft.com/office/drawing/2014/chart" uri="{C3380CC4-5D6E-409C-BE32-E72D297353CC}">
              <c16:uniqueId val="{00000001-1B99-4F03-ACFA-80A8C2D6D53E}"/>
            </c:ext>
          </c:extLst>
        </c:ser>
        <c:ser>
          <c:idx val="2"/>
          <c:order val="2"/>
          <c:tx>
            <c:strRef>
              <c:f>[DanaFarber_Occupancy_1025.xlsx]BID_MC!$P$1</c:f>
              <c:strCache>
                <c:ptCount val="1"/>
                <c:pt idx="0">
                  <c:v>Occupied (M/S)/ Licensed (M/S)</c:v>
                </c:pt>
              </c:strCache>
            </c:strRef>
          </c:tx>
          <c:spPr>
            <a:ln w="19050" cap="rnd">
              <a:solidFill>
                <a:schemeClr val="accent3"/>
              </a:solidFill>
              <a:round/>
            </a:ln>
            <a:effectLst/>
          </c:spPr>
          <c:marker>
            <c:symbol val="none"/>
          </c:marker>
          <c:cat>
            <c:numRef>
              <c:f>[DanaFarber_Occupancy_1025.xlsx]BID_MC!$M$2:$M$33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[DanaFarber_Occupancy_1025.xlsx]BID_MC!$P$2:$P$33</c:f>
              <c:numCache>
                <c:formatCode>0%</c:formatCode>
                <c:ptCount val="32"/>
                <c:pt idx="0">
                  <c:v>0.89430455635491612</c:v>
                </c:pt>
                <c:pt idx="1">
                  <c:v>0.91315519013360746</c:v>
                </c:pt>
                <c:pt idx="2">
                  <c:v>0.90461824089115794</c:v>
                </c:pt>
                <c:pt idx="3">
                  <c:v>0.90635491606714624</c:v>
                </c:pt>
                <c:pt idx="4">
                  <c:v>0.9165119517289394</c:v>
                </c:pt>
                <c:pt idx="5">
                  <c:v>0.90455635491606712</c:v>
                </c:pt>
                <c:pt idx="6">
                  <c:v>0.9048503132977489</c:v>
                </c:pt>
                <c:pt idx="7">
                  <c:v>0.91024599675098639</c:v>
                </c:pt>
                <c:pt idx="8">
                  <c:v>0.91888489208633084</c:v>
                </c:pt>
                <c:pt idx="9">
                  <c:v>0.90044093757252264</c:v>
                </c:pt>
                <c:pt idx="10">
                  <c:v>0.90257793764988004</c:v>
                </c:pt>
                <c:pt idx="11">
                  <c:v>0.89812021350661408</c:v>
                </c:pt>
                <c:pt idx="12">
                  <c:v>0.90601067533070323</c:v>
                </c:pt>
                <c:pt idx="13">
                  <c:v>0.91020041109969163</c:v>
                </c:pt>
                <c:pt idx="14">
                  <c:v>0.91007194244604317</c:v>
                </c:pt>
                <c:pt idx="15">
                  <c:v>0.88866906474820151</c:v>
                </c:pt>
                <c:pt idx="16">
                  <c:v>0.92405430494314222</c:v>
                </c:pt>
                <c:pt idx="17">
                  <c:v>0.90719424460431652</c:v>
                </c:pt>
                <c:pt idx="18">
                  <c:v>0.88407983290786729</c:v>
                </c:pt>
                <c:pt idx="19">
                  <c:v>0.90125319099559065</c:v>
                </c:pt>
                <c:pt idx="20">
                  <c:v>0.9031175059952038</c:v>
                </c:pt>
                <c:pt idx="21">
                  <c:v>0.94262009747041087</c:v>
                </c:pt>
                <c:pt idx="22">
                  <c:v>0.93243405275779367</c:v>
                </c:pt>
                <c:pt idx="23">
                  <c:v>0.94737758180552334</c:v>
                </c:pt>
                <c:pt idx="24">
                  <c:v>0.94517289394291015</c:v>
                </c:pt>
                <c:pt idx="25">
                  <c:v>0.94108161746464902</c:v>
                </c:pt>
                <c:pt idx="26">
                  <c:v>0.95404966349501052</c:v>
                </c:pt>
                <c:pt idx="27">
                  <c:v>0.968884892086331</c:v>
                </c:pt>
                <c:pt idx="28">
                  <c:v>0.95567417034114643</c:v>
                </c:pt>
                <c:pt idx="29">
                  <c:v>0.9118105515587529</c:v>
                </c:pt>
                <c:pt idx="30">
                  <c:v>0.92086330935251803</c:v>
                </c:pt>
                <c:pt idx="31">
                  <c:v>0.90682292875377113</c:v>
                </c:pt>
              </c:numCache>
            </c:numRef>
          </c:val>
          <c:smooth val="0"/>
          <c:extLst>
            <c:ext xmlns:c16="http://schemas.microsoft.com/office/drawing/2014/chart" uri="{C3380CC4-5D6E-409C-BE32-E72D297353CC}">
              <c16:uniqueId val="{00000002-1B99-4F03-ACFA-80A8C2D6D53E}"/>
            </c:ext>
          </c:extLst>
        </c:ser>
        <c:dLbls>
          <c:showLegendKey val="0"/>
          <c:showVal val="0"/>
          <c:showCatName val="0"/>
          <c:showSerName val="0"/>
          <c:showPercent val="0"/>
          <c:showBubbleSize val="0"/>
        </c:dLbls>
        <c:smooth val="0"/>
        <c:axId val="1663272287"/>
        <c:axId val="1663265567"/>
      </c:lineChart>
      <c:dateAx>
        <c:axId val="166327228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63265567"/>
        <c:crosses val="autoZero"/>
        <c:auto val="1"/>
        <c:lblOffset val="100"/>
        <c:baseTimeUnit val="months"/>
      </c:dateAx>
      <c:valAx>
        <c:axId val="16632655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63272287"/>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BIDMC</a:t>
            </a:r>
            <a:r>
              <a:rPr lang="en-US" sz="1000" b="1" baseline="0"/>
              <a:t> </a:t>
            </a:r>
            <a:r>
              <a:rPr lang="en-US" sz="1000" b="1"/>
              <a:t>Occupancy Rate (ICU)</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[DanaFarber_Occupancy_1025.xlsx]BID_MC!$T$1</c:f>
              <c:strCache>
                <c:ptCount val="1"/>
                <c:pt idx="0">
                  <c:v>Industry Standard</c:v>
                </c:pt>
              </c:strCache>
            </c:strRef>
          </c:tx>
          <c:spPr>
            <a:ln w="19050" cap="rnd">
              <a:solidFill>
                <a:srgbClr val="C00000"/>
              </a:solidFill>
              <a:round/>
            </a:ln>
            <a:effectLst/>
          </c:spPr>
          <c:marker>
            <c:symbol val="none"/>
          </c:marker>
          <c:cat>
            <c:numRef>
              <c:f>[DanaFarber_Occupancy_1025.xlsx]BID_MC!$M$2:$M$33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[DanaFarber_Occupancy_1025.xlsx]BID_MC!$T$2:$T$33</c:f>
              <c:numCache>
                <c:formatCode>0%</c:formatCode>
                <c:ptCount val="32"/>
                <c:pt idx="0">
                  <c:v>0.75</c:v>
                </c:pt>
                <c:pt idx="1">
                  <c:v>0.75</c:v>
                </c:pt>
                <c:pt idx="2">
                  <c:v>0.75</c:v>
                </c:pt>
                <c:pt idx="3">
                  <c:v>0.75</c:v>
                </c:pt>
                <c:pt idx="4">
                  <c:v>0.75</c:v>
                </c:pt>
                <c:pt idx="5">
                  <c:v>0.75</c:v>
                </c:pt>
                <c:pt idx="6">
                  <c:v>0.75</c:v>
                </c:pt>
                <c:pt idx="7">
                  <c:v>0.75</c:v>
                </c:pt>
                <c:pt idx="8">
                  <c:v>0.75</c:v>
                </c:pt>
                <c:pt idx="9">
                  <c:v>0.75</c:v>
                </c:pt>
                <c:pt idx="10">
                  <c:v>0.75</c:v>
                </c:pt>
                <c:pt idx="11">
                  <c:v>0.75</c:v>
                </c:pt>
                <c:pt idx="12">
                  <c:v>0.75</c:v>
                </c:pt>
                <c:pt idx="13">
                  <c:v>0.75</c:v>
                </c:pt>
                <c:pt idx="14">
                  <c:v>0.75</c:v>
                </c:pt>
                <c:pt idx="15">
                  <c:v>0.75</c:v>
                </c:pt>
                <c:pt idx="16">
                  <c:v>0.75</c:v>
                </c:pt>
                <c:pt idx="17">
                  <c:v>0.75</c:v>
                </c:pt>
                <c:pt idx="18">
                  <c:v>0.75</c:v>
                </c:pt>
                <c:pt idx="19">
                  <c:v>0.75</c:v>
                </c:pt>
                <c:pt idx="20">
                  <c:v>0.75</c:v>
                </c:pt>
                <c:pt idx="21">
                  <c:v>0.75</c:v>
                </c:pt>
                <c:pt idx="22">
                  <c:v>0.75</c:v>
                </c:pt>
                <c:pt idx="23">
                  <c:v>0.75</c:v>
                </c:pt>
                <c:pt idx="24">
                  <c:v>0.75</c:v>
                </c:pt>
                <c:pt idx="25">
                  <c:v>0.75</c:v>
                </c:pt>
                <c:pt idx="26">
                  <c:v>0.75</c:v>
                </c:pt>
                <c:pt idx="27">
                  <c:v>0.75</c:v>
                </c:pt>
                <c:pt idx="28">
                  <c:v>0.75</c:v>
                </c:pt>
                <c:pt idx="29">
                  <c:v>0.75</c:v>
                </c:pt>
                <c:pt idx="30">
                  <c:v>0.75</c:v>
                </c:pt>
                <c:pt idx="31">
                  <c:v>0.75</c:v>
                </c:pt>
              </c:numCache>
            </c:numRef>
          </c:val>
          <c:smooth val="0"/>
          <c:extLst>
            <c:ext xmlns:c16="http://schemas.microsoft.com/office/drawing/2014/chart" uri="{C3380CC4-5D6E-409C-BE32-E72D297353CC}">
              <c16:uniqueId val="{00000000-BE03-4611-B1EE-6E01D9C3CCD9}"/>
            </c:ext>
          </c:extLst>
        </c:ser>
        <c:ser>
          <c:idx val="1"/>
          <c:order val="1"/>
          <c:tx>
            <c:strRef>
              <c:f>[DanaFarber_Occupancy_1025.xlsx]BID_MC!$U$1</c:f>
              <c:strCache>
                <c:ptCount val="1"/>
                <c:pt idx="0">
                  <c:v>Occupied(ICU)/Staffed (ICU)</c:v>
                </c:pt>
              </c:strCache>
            </c:strRef>
          </c:tx>
          <c:spPr>
            <a:ln w="19050" cap="rnd">
              <a:solidFill>
                <a:schemeClr val="tx2"/>
              </a:solidFill>
              <a:round/>
            </a:ln>
            <a:effectLst/>
          </c:spPr>
          <c:marker>
            <c:symbol val="none"/>
          </c:marker>
          <c:cat>
            <c:numRef>
              <c:f>[DanaFarber_Occupancy_1025.xlsx]BID_MC!$M$2:$M$33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[DanaFarber_Occupancy_1025.xlsx]BID_MC!$U$2:$U$33</c:f>
              <c:numCache>
                <c:formatCode>0%</c:formatCode>
                <c:ptCount val="32"/>
                <c:pt idx="0">
                  <c:v>0.725059181602976</c:v>
                </c:pt>
                <c:pt idx="1">
                  <c:v>0.91818181818181832</c:v>
                </c:pt>
                <c:pt idx="2">
                  <c:v>0.91057609630266556</c:v>
                </c:pt>
                <c:pt idx="3">
                  <c:v>0.90745732255166212</c:v>
                </c:pt>
                <c:pt idx="4">
                  <c:v>0.89430543572044863</c:v>
                </c:pt>
                <c:pt idx="5">
                  <c:v>0.7613122171945701</c:v>
                </c:pt>
                <c:pt idx="6">
                  <c:v>1</c:v>
                </c:pt>
                <c:pt idx="7">
                  <c:v>0.95403837572512262</c:v>
                </c:pt>
                <c:pt idx="8">
                  <c:v>0.91715181370353782</c:v>
                </c:pt>
                <c:pt idx="9">
                  <c:v>0.89698821475338286</c:v>
                </c:pt>
                <c:pt idx="10">
                  <c:v>0.89910714285714288</c:v>
                </c:pt>
                <c:pt idx="11">
                  <c:v>0.88622493461203133</c:v>
                </c:pt>
                <c:pt idx="12">
                  <c:v>0.92672413793103448</c:v>
                </c:pt>
                <c:pt idx="13">
                  <c:v>0.87297039159503342</c:v>
                </c:pt>
                <c:pt idx="14">
                  <c:v>0.86254448398576511</c:v>
                </c:pt>
                <c:pt idx="15">
                  <c:v>0.83431952662721898</c:v>
                </c:pt>
                <c:pt idx="16">
                  <c:v>0.81694098755519862</c:v>
                </c:pt>
                <c:pt idx="17">
                  <c:v>0.85012594458438284</c:v>
                </c:pt>
                <c:pt idx="18">
                  <c:v>0.80040983606557381</c:v>
                </c:pt>
                <c:pt idx="19">
                  <c:v>0.86380520016508466</c:v>
                </c:pt>
                <c:pt idx="20">
                  <c:v>0.80938538205980071</c:v>
                </c:pt>
                <c:pt idx="21">
                  <c:v>0.88056506849315064</c:v>
                </c:pt>
                <c:pt idx="22">
                  <c:v>0.89230103806228378</c:v>
                </c:pt>
                <c:pt idx="23">
                  <c:v>0.9197720298114862</c:v>
                </c:pt>
                <c:pt idx="24">
                  <c:v>0.88267683185091061</c:v>
                </c:pt>
                <c:pt idx="25">
                  <c:v>0.83280471227911201</c:v>
                </c:pt>
                <c:pt idx="26">
                  <c:v>0.83105022831050235</c:v>
                </c:pt>
                <c:pt idx="27">
                  <c:v>0.83274492497793473</c:v>
                </c:pt>
                <c:pt idx="28">
                  <c:v>0.88413098236775811</c:v>
                </c:pt>
                <c:pt idx="29">
                  <c:v>0.82107526881720427</c:v>
                </c:pt>
                <c:pt idx="30">
                  <c:v>0.8494997825141366</c:v>
                </c:pt>
                <c:pt idx="31">
                  <c:v>0.86944444444444446</c:v>
                </c:pt>
              </c:numCache>
            </c:numRef>
          </c:val>
          <c:smooth val="0"/>
          <c:extLst>
            <c:ext xmlns:c16="http://schemas.microsoft.com/office/drawing/2014/chart" uri="{C3380CC4-5D6E-409C-BE32-E72D297353CC}">
              <c16:uniqueId val="{00000001-BE03-4611-B1EE-6E01D9C3CCD9}"/>
            </c:ext>
          </c:extLst>
        </c:ser>
        <c:ser>
          <c:idx val="2"/>
          <c:order val="2"/>
          <c:tx>
            <c:strRef>
              <c:f>[DanaFarber_Occupancy_1025.xlsx]BID_MC!$V$1</c:f>
              <c:strCache>
                <c:ptCount val="1"/>
                <c:pt idx="0">
                  <c:v>Occupied (ICU)/Licensed(ICU)</c:v>
                </c:pt>
              </c:strCache>
            </c:strRef>
          </c:tx>
          <c:spPr>
            <a:ln w="19050" cap="rnd">
              <a:solidFill>
                <a:schemeClr val="accent3"/>
              </a:solidFill>
              <a:round/>
            </a:ln>
            <a:effectLst/>
          </c:spPr>
          <c:marker>
            <c:symbol val="none"/>
          </c:marker>
          <c:cat>
            <c:numRef>
              <c:f>[DanaFarber_Occupancy_1025.xlsx]BID_MC!$M$2:$M$33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[DanaFarber_Occupancy_1025.xlsx]BID_MC!$V$2:$V$33</c:f>
              <c:numCache>
                <c:formatCode>0%</c:formatCode>
                <c:ptCount val="32"/>
                <c:pt idx="0">
                  <c:v>0.77681159420289858</c:v>
                </c:pt>
                <c:pt idx="1">
                  <c:v>0.7449534161490684</c:v>
                </c:pt>
                <c:pt idx="2">
                  <c:v>0.74263674614305752</c:v>
                </c:pt>
                <c:pt idx="3">
                  <c:v>0.73188405797101441</c:v>
                </c:pt>
                <c:pt idx="4">
                  <c:v>0.72685834502103785</c:v>
                </c:pt>
                <c:pt idx="5">
                  <c:v>0.73152173913043472</c:v>
                </c:pt>
                <c:pt idx="6">
                  <c:v>0.69109396914445997</c:v>
                </c:pt>
                <c:pt idx="7">
                  <c:v>0.74964936886395517</c:v>
                </c:pt>
                <c:pt idx="8">
                  <c:v>0.74202898550724639</c:v>
                </c:pt>
                <c:pt idx="9">
                  <c:v>0.7205469845722301</c:v>
                </c:pt>
                <c:pt idx="10">
                  <c:v>0.72971014492753628</c:v>
                </c:pt>
                <c:pt idx="11">
                  <c:v>0.71283309957924257</c:v>
                </c:pt>
                <c:pt idx="12">
                  <c:v>0.75385694249649371</c:v>
                </c:pt>
                <c:pt idx="13">
                  <c:v>0.70962732919254667</c:v>
                </c:pt>
                <c:pt idx="14">
                  <c:v>0.67987377279102379</c:v>
                </c:pt>
                <c:pt idx="15">
                  <c:v>0.7152173913043478</c:v>
                </c:pt>
                <c:pt idx="16">
                  <c:v>0.71353436185133234</c:v>
                </c:pt>
                <c:pt idx="17">
                  <c:v>0.73369565217391308</c:v>
                </c:pt>
                <c:pt idx="18">
                  <c:v>0.68478260869565222</c:v>
                </c:pt>
                <c:pt idx="19">
                  <c:v>0.7338709677419355</c:v>
                </c:pt>
                <c:pt idx="20">
                  <c:v>0.70615942028985512</c:v>
                </c:pt>
                <c:pt idx="21">
                  <c:v>0.72124824684431987</c:v>
                </c:pt>
                <c:pt idx="22">
                  <c:v>0.74746376811594206</c:v>
                </c:pt>
                <c:pt idx="23">
                  <c:v>0.73562412342215988</c:v>
                </c:pt>
                <c:pt idx="24">
                  <c:v>0.73071528751753145</c:v>
                </c:pt>
                <c:pt idx="25">
                  <c:v>0.68890554722638686</c:v>
                </c:pt>
                <c:pt idx="26">
                  <c:v>0.70196353436185133</c:v>
                </c:pt>
                <c:pt idx="27">
                  <c:v>0.68369565217391304</c:v>
                </c:pt>
                <c:pt idx="28">
                  <c:v>0.73842917251051898</c:v>
                </c:pt>
                <c:pt idx="29">
                  <c:v>0.69166666666666665</c:v>
                </c:pt>
                <c:pt idx="30">
                  <c:v>0.68478260869565222</c:v>
                </c:pt>
                <c:pt idx="31">
                  <c:v>0.65848527349228614</c:v>
                </c:pt>
              </c:numCache>
            </c:numRef>
          </c:val>
          <c:smooth val="0"/>
          <c:extLst>
            <c:ext xmlns:c16="http://schemas.microsoft.com/office/drawing/2014/chart" uri="{C3380CC4-5D6E-409C-BE32-E72D297353CC}">
              <c16:uniqueId val="{00000002-BE03-4611-B1EE-6E01D9C3CCD9}"/>
            </c:ext>
          </c:extLst>
        </c:ser>
        <c:dLbls>
          <c:showLegendKey val="0"/>
          <c:showVal val="0"/>
          <c:showCatName val="0"/>
          <c:showSerName val="0"/>
          <c:showPercent val="0"/>
          <c:showBubbleSize val="0"/>
        </c:dLbls>
        <c:smooth val="0"/>
        <c:axId val="1659439039"/>
        <c:axId val="1659440479"/>
      </c:lineChart>
      <c:dateAx>
        <c:axId val="1659439039"/>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59440479"/>
        <c:crosses val="autoZero"/>
        <c:auto val="1"/>
        <c:lblOffset val="100"/>
        <c:baseTimeUnit val="months"/>
      </c:dateAx>
      <c:valAx>
        <c:axId val="1659440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59439039"/>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BWH</a:t>
            </a:r>
            <a:r>
              <a:rPr lang="en-US" sz="1000" b="1" baseline="0"/>
              <a:t> </a:t>
            </a:r>
            <a:r>
              <a:rPr lang="en-US" sz="1000" b="1"/>
              <a:t>Occupancy Rate (M/S) </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[DanaFarber_Occupancy_1025.xlsx]Brigham_Women!$N$1</c:f>
              <c:strCache>
                <c:ptCount val="1"/>
                <c:pt idx="0">
                  <c:v>Industry Standard</c:v>
                </c:pt>
              </c:strCache>
            </c:strRef>
          </c:tx>
          <c:spPr>
            <a:ln w="19050" cap="rnd">
              <a:solidFill>
                <a:srgbClr val="C00000"/>
              </a:solidFill>
              <a:round/>
            </a:ln>
            <a:effectLst/>
          </c:spPr>
          <c:marker>
            <c:symbol val="none"/>
          </c:marker>
          <c:cat>
            <c:numRef>
              <c:f>[DanaFarber_Occupancy_1025.xlsx]Brigham_Women!$M$2:$M$33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[DanaFarber_Occupancy_1025.xlsx]Brigham_Women!$N$2:$N$33</c:f>
              <c:numCache>
                <c:formatCode>0%</c:formatCode>
                <c:ptCount val="32"/>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numCache>
            </c:numRef>
          </c:val>
          <c:smooth val="0"/>
          <c:extLst>
            <c:ext xmlns:c16="http://schemas.microsoft.com/office/drawing/2014/chart" uri="{C3380CC4-5D6E-409C-BE32-E72D297353CC}">
              <c16:uniqueId val="{00000000-2AAA-4605-BB96-29889C599FAE}"/>
            </c:ext>
          </c:extLst>
        </c:ser>
        <c:ser>
          <c:idx val="1"/>
          <c:order val="1"/>
          <c:tx>
            <c:strRef>
              <c:f>[DanaFarber_Occupancy_1025.xlsx]Brigham_Women!$O$1</c:f>
              <c:strCache>
                <c:ptCount val="1"/>
                <c:pt idx="0">
                  <c:v>Occupied(M/S)/Staffed(M/S)</c:v>
                </c:pt>
              </c:strCache>
            </c:strRef>
          </c:tx>
          <c:spPr>
            <a:ln w="19050" cap="rnd">
              <a:solidFill>
                <a:schemeClr val="tx2"/>
              </a:solidFill>
              <a:round/>
            </a:ln>
            <a:effectLst/>
          </c:spPr>
          <c:marker>
            <c:symbol val="none"/>
          </c:marker>
          <c:cat>
            <c:numRef>
              <c:f>[DanaFarber_Occupancy_1025.xlsx]Brigham_Women!$M$2:$M$33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[DanaFarber_Occupancy_1025.xlsx]Brigham_Women!$O$2:$O$33</c:f>
              <c:numCache>
                <c:formatCode>0%</c:formatCode>
                <c:ptCount val="32"/>
                <c:pt idx="0">
                  <c:v>0.94905143225667754</c:v>
                </c:pt>
                <c:pt idx="1">
                  <c:v>0.9644175317185697</c:v>
                </c:pt>
                <c:pt idx="2">
                  <c:v>0.97356440765649266</c:v>
                </c:pt>
                <c:pt idx="3">
                  <c:v>0.97676778466139713</c:v>
                </c:pt>
                <c:pt idx="4">
                  <c:v>0.97678395605534529</c:v>
                </c:pt>
                <c:pt idx="5">
                  <c:v>0.97745045527584351</c:v>
                </c:pt>
                <c:pt idx="6">
                  <c:v>0.98433639947437579</c:v>
                </c:pt>
                <c:pt idx="7">
                  <c:v>0.98496868475991639</c:v>
                </c:pt>
                <c:pt idx="8">
                  <c:v>0.98365347570036865</c:v>
                </c:pt>
                <c:pt idx="9">
                  <c:v>0.95149823582073845</c:v>
                </c:pt>
                <c:pt idx="10">
                  <c:v>0.97963286250859649</c:v>
                </c:pt>
                <c:pt idx="11">
                  <c:v>0.97329896907216507</c:v>
                </c:pt>
                <c:pt idx="12">
                  <c:v>0.97848250422665106</c:v>
                </c:pt>
                <c:pt idx="13">
                  <c:v>0.98623905379278975</c:v>
                </c:pt>
                <c:pt idx="14">
                  <c:v>0.98798582943985225</c:v>
                </c:pt>
                <c:pt idx="15">
                  <c:v>0.98962986598596048</c:v>
                </c:pt>
                <c:pt idx="16">
                  <c:v>0.95557845916001016</c:v>
                </c:pt>
                <c:pt idx="17">
                  <c:v>0.98889359001480859</c:v>
                </c:pt>
                <c:pt idx="18">
                  <c:v>0.99086992203528923</c:v>
                </c:pt>
                <c:pt idx="19">
                  <c:v>0.98914518317503386</c:v>
                </c:pt>
                <c:pt idx="20">
                  <c:v>0.98867279333190849</c:v>
                </c:pt>
                <c:pt idx="21">
                  <c:v>0.98675462557336502</c:v>
                </c:pt>
                <c:pt idx="22">
                  <c:v>0.98327847966875459</c:v>
                </c:pt>
                <c:pt idx="23">
                  <c:v>0.98210652616203231</c:v>
                </c:pt>
                <c:pt idx="24">
                  <c:v>0.98781757600999587</c:v>
                </c:pt>
                <c:pt idx="25">
                  <c:v>0.98247734138972809</c:v>
                </c:pt>
                <c:pt idx="26">
                  <c:v>0.98705352573943306</c:v>
                </c:pt>
                <c:pt idx="27">
                  <c:v>0.98076718733397095</c:v>
                </c:pt>
                <c:pt idx="28">
                  <c:v>0.95941481831052378</c:v>
                </c:pt>
                <c:pt idx="29">
                  <c:v>0.9852446566127806</c:v>
                </c:pt>
                <c:pt idx="30">
                  <c:v>0.98809212931529744</c:v>
                </c:pt>
                <c:pt idx="31">
                  <c:v>0.9821623023074928</c:v>
                </c:pt>
              </c:numCache>
            </c:numRef>
          </c:val>
          <c:smooth val="0"/>
          <c:extLst>
            <c:ext xmlns:c16="http://schemas.microsoft.com/office/drawing/2014/chart" uri="{C3380CC4-5D6E-409C-BE32-E72D297353CC}">
              <c16:uniqueId val="{00000001-2AAA-4605-BB96-29889C599FAE}"/>
            </c:ext>
          </c:extLst>
        </c:ser>
        <c:ser>
          <c:idx val="2"/>
          <c:order val="2"/>
          <c:tx>
            <c:strRef>
              <c:f>[DanaFarber_Occupancy_1025.xlsx]Brigham_Women!$P$1</c:f>
              <c:strCache>
                <c:ptCount val="1"/>
                <c:pt idx="0">
                  <c:v>Occupied(M/S)/Licensed(M/S)</c:v>
                </c:pt>
              </c:strCache>
            </c:strRef>
          </c:tx>
          <c:spPr>
            <a:ln w="19050" cap="rnd">
              <a:solidFill>
                <a:schemeClr val="accent3"/>
              </a:solidFill>
              <a:round/>
            </a:ln>
            <a:effectLst/>
          </c:spPr>
          <c:marker>
            <c:symbol val="none"/>
          </c:marker>
          <c:cat>
            <c:numRef>
              <c:f>[DanaFarber_Occupancy_1025.xlsx]Brigham_Women!$M$2:$M$33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[DanaFarber_Occupancy_1025.xlsx]Brigham_Women!$P$2:$P$33</c:f>
              <c:numCache>
                <c:formatCode>0%</c:formatCode>
                <c:ptCount val="32"/>
                <c:pt idx="0">
                  <c:v>0.91878251821019763</c:v>
                </c:pt>
                <c:pt idx="1">
                  <c:v>0.96330645161290318</c:v>
                </c:pt>
                <c:pt idx="2">
                  <c:v>0.97913631633714893</c:v>
                </c:pt>
                <c:pt idx="3">
                  <c:v>0.98327956989247312</c:v>
                </c:pt>
                <c:pt idx="4">
                  <c:v>0.98069719042663883</c:v>
                </c:pt>
                <c:pt idx="5">
                  <c:v>0.98112903225806447</c:v>
                </c:pt>
                <c:pt idx="6">
                  <c:v>0.97434963579604583</c:v>
                </c:pt>
                <c:pt idx="7">
                  <c:v>0.98189386056191463</c:v>
                </c:pt>
                <c:pt idx="8">
                  <c:v>0.99399332591768619</c:v>
                </c:pt>
                <c:pt idx="9">
                  <c:v>0.94006243496357966</c:v>
                </c:pt>
                <c:pt idx="10">
                  <c:v>0.99559139784946238</c:v>
                </c:pt>
                <c:pt idx="11">
                  <c:v>0.98241415192507808</c:v>
                </c:pt>
                <c:pt idx="12">
                  <c:v>0.9937044745057233</c:v>
                </c:pt>
                <c:pt idx="13">
                  <c:v>0.99907834101382487</c:v>
                </c:pt>
                <c:pt idx="14">
                  <c:v>1.0011966701352757</c:v>
                </c:pt>
                <c:pt idx="15">
                  <c:v>1.0004838709677419</c:v>
                </c:pt>
                <c:pt idx="16">
                  <c:v>0.96477627471383964</c:v>
                </c:pt>
                <c:pt idx="17">
                  <c:v>1.0052688172043009</c:v>
                </c:pt>
                <c:pt idx="18">
                  <c:v>1.005098855359001</c:v>
                </c:pt>
                <c:pt idx="19">
                  <c:v>0.98616024973985428</c:v>
                </c:pt>
                <c:pt idx="20">
                  <c:v>0.99483870967741928</c:v>
                </c:pt>
                <c:pt idx="21">
                  <c:v>0.99614984391259109</c:v>
                </c:pt>
                <c:pt idx="22">
                  <c:v>0.99586021505376332</c:v>
                </c:pt>
                <c:pt idx="23">
                  <c:v>0.97950052029136314</c:v>
                </c:pt>
                <c:pt idx="24">
                  <c:v>0.98720083246618118</c:v>
                </c:pt>
                <c:pt idx="25">
                  <c:v>0.99477196885428243</c:v>
                </c:pt>
                <c:pt idx="26">
                  <c:v>1.0035900104058273</c:v>
                </c:pt>
                <c:pt idx="27">
                  <c:v>0.99247311827956997</c:v>
                </c:pt>
                <c:pt idx="28">
                  <c:v>0.95197710718002082</c:v>
                </c:pt>
                <c:pt idx="29">
                  <c:v>0.9764516129032258</c:v>
                </c:pt>
                <c:pt idx="30">
                  <c:v>0.98433922996878243</c:v>
                </c:pt>
                <c:pt idx="31">
                  <c:v>0.98548387096774193</c:v>
                </c:pt>
              </c:numCache>
            </c:numRef>
          </c:val>
          <c:smooth val="0"/>
          <c:extLst>
            <c:ext xmlns:c16="http://schemas.microsoft.com/office/drawing/2014/chart" uri="{C3380CC4-5D6E-409C-BE32-E72D297353CC}">
              <c16:uniqueId val="{00000002-2AAA-4605-BB96-29889C599FAE}"/>
            </c:ext>
          </c:extLst>
        </c:ser>
        <c:dLbls>
          <c:showLegendKey val="0"/>
          <c:showVal val="0"/>
          <c:showCatName val="0"/>
          <c:showSerName val="0"/>
          <c:showPercent val="0"/>
          <c:showBubbleSize val="0"/>
        </c:dLbls>
        <c:smooth val="0"/>
        <c:axId val="1331219519"/>
        <c:axId val="1331219999"/>
      </c:lineChart>
      <c:dateAx>
        <c:axId val="1331219519"/>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31219999"/>
        <c:crosses val="autoZero"/>
        <c:auto val="1"/>
        <c:lblOffset val="100"/>
        <c:baseTimeUnit val="months"/>
      </c:dateAx>
      <c:valAx>
        <c:axId val="1331219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 </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31219519"/>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BWH</a:t>
            </a:r>
            <a:r>
              <a:rPr lang="en-US" sz="1000" b="1" baseline="0"/>
              <a:t> </a:t>
            </a:r>
            <a:r>
              <a:rPr lang="en-US" sz="1000" b="1"/>
              <a:t>Occupancy</a:t>
            </a:r>
            <a:r>
              <a:rPr lang="en-US" sz="1000" b="1" baseline="0"/>
              <a:t> Rate (ICU)</a:t>
            </a:r>
            <a:endParaRPr lang="en-US" sz="1000" b="1"/>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[DanaFarber_Occupancy_1025.xlsx]Brigham_Women!$T$1</c:f>
              <c:strCache>
                <c:ptCount val="1"/>
                <c:pt idx="0">
                  <c:v>Industry Standard </c:v>
                </c:pt>
              </c:strCache>
            </c:strRef>
          </c:tx>
          <c:spPr>
            <a:ln w="19050" cap="rnd">
              <a:solidFill>
                <a:srgbClr val="C00000"/>
              </a:solidFill>
              <a:round/>
            </a:ln>
            <a:effectLst/>
          </c:spPr>
          <c:marker>
            <c:symbol val="none"/>
          </c:marker>
          <c:cat>
            <c:numRef>
              <c:f>[DanaFarber_Occupancy_1025.xlsx]Brigham_Women!$M$2:$M$33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[DanaFarber_Occupancy_1025.xlsx]Brigham_Women!$T$2:$T$33</c:f>
              <c:numCache>
                <c:formatCode>0%</c:formatCode>
                <c:ptCount val="32"/>
                <c:pt idx="0">
                  <c:v>0.75</c:v>
                </c:pt>
                <c:pt idx="1">
                  <c:v>0.75</c:v>
                </c:pt>
                <c:pt idx="2">
                  <c:v>0.75</c:v>
                </c:pt>
                <c:pt idx="3">
                  <c:v>0.75</c:v>
                </c:pt>
                <c:pt idx="4">
                  <c:v>0.75</c:v>
                </c:pt>
                <c:pt idx="5">
                  <c:v>0.75</c:v>
                </c:pt>
                <c:pt idx="6">
                  <c:v>0.75</c:v>
                </c:pt>
                <c:pt idx="7">
                  <c:v>0.75</c:v>
                </c:pt>
                <c:pt idx="8">
                  <c:v>0.75</c:v>
                </c:pt>
                <c:pt idx="9">
                  <c:v>0.75</c:v>
                </c:pt>
                <c:pt idx="10">
                  <c:v>0.75</c:v>
                </c:pt>
                <c:pt idx="11">
                  <c:v>0.75</c:v>
                </c:pt>
                <c:pt idx="12">
                  <c:v>0.75</c:v>
                </c:pt>
                <c:pt idx="13">
                  <c:v>0.75</c:v>
                </c:pt>
                <c:pt idx="14">
                  <c:v>0.75</c:v>
                </c:pt>
                <c:pt idx="15">
                  <c:v>0.75</c:v>
                </c:pt>
                <c:pt idx="16">
                  <c:v>0.75</c:v>
                </c:pt>
                <c:pt idx="17">
                  <c:v>0.75</c:v>
                </c:pt>
                <c:pt idx="18">
                  <c:v>0.75</c:v>
                </c:pt>
                <c:pt idx="19">
                  <c:v>0.75</c:v>
                </c:pt>
                <c:pt idx="20">
                  <c:v>0.75</c:v>
                </c:pt>
                <c:pt idx="21">
                  <c:v>0.75</c:v>
                </c:pt>
                <c:pt idx="22">
                  <c:v>0.75</c:v>
                </c:pt>
                <c:pt idx="23">
                  <c:v>0.75</c:v>
                </c:pt>
                <c:pt idx="24">
                  <c:v>0.75</c:v>
                </c:pt>
                <c:pt idx="25">
                  <c:v>0.75</c:v>
                </c:pt>
                <c:pt idx="26">
                  <c:v>0.75</c:v>
                </c:pt>
                <c:pt idx="27">
                  <c:v>0.75</c:v>
                </c:pt>
                <c:pt idx="28">
                  <c:v>0.75</c:v>
                </c:pt>
                <c:pt idx="29">
                  <c:v>0.75</c:v>
                </c:pt>
                <c:pt idx="30">
                  <c:v>0.75</c:v>
                </c:pt>
                <c:pt idx="31">
                  <c:v>0.75</c:v>
                </c:pt>
              </c:numCache>
            </c:numRef>
          </c:val>
          <c:smooth val="0"/>
          <c:extLst>
            <c:ext xmlns:c16="http://schemas.microsoft.com/office/drawing/2014/chart" uri="{C3380CC4-5D6E-409C-BE32-E72D297353CC}">
              <c16:uniqueId val="{00000000-E208-43D6-97E3-610BE414CC8C}"/>
            </c:ext>
          </c:extLst>
        </c:ser>
        <c:ser>
          <c:idx val="1"/>
          <c:order val="1"/>
          <c:tx>
            <c:strRef>
              <c:f>[DanaFarber_Occupancy_1025.xlsx]Brigham_Women!$U$1</c:f>
              <c:strCache>
                <c:ptCount val="1"/>
                <c:pt idx="0">
                  <c:v>Occupied(ICU)/Staffed(ICU)</c:v>
                </c:pt>
              </c:strCache>
            </c:strRef>
          </c:tx>
          <c:spPr>
            <a:ln w="19050" cap="rnd">
              <a:solidFill>
                <a:schemeClr val="tx2"/>
              </a:solidFill>
              <a:round/>
            </a:ln>
            <a:effectLst/>
          </c:spPr>
          <c:marker>
            <c:symbol val="none"/>
          </c:marker>
          <c:cat>
            <c:numRef>
              <c:f>[DanaFarber_Occupancy_1025.xlsx]Brigham_Women!$M$2:$M$33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[DanaFarber_Occupancy_1025.xlsx]Brigham_Women!$U$2:$U$33</c:f>
              <c:numCache>
                <c:formatCode>0%</c:formatCode>
                <c:ptCount val="32"/>
                <c:pt idx="0">
                  <c:v>0.91994618230743352</c:v>
                </c:pt>
                <c:pt idx="1">
                  <c:v>0.91768953068592063</c:v>
                </c:pt>
                <c:pt idx="2">
                  <c:v>0.90852047556142668</c:v>
                </c:pt>
                <c:pt idx="3">
                  <c:v>0.91776204920795412</c:v>
                </c:pt>
                <c:pt idx="4">
                  <c:v>0.90333010022631743</c:v>
                </c:pt>
                <c:pt idx="5">
                  <c:v>0.86904365211596135</c:v>
                </c:pt>
                <c:pt idx="6">
                  <c:v>0.87923797223119149</c:v>
                </c:pt>
                <c:pt idx="7">
                  <c:v>0.86586942469295403</c:v>
                </c:pt>
                <c:pt idx="8">
                  <c:v>0.87053720387053735</c:v>
                </c:pt>
                <c:pt idx="9">
                  <c:v>0.89188342212472582</c:v>
                </c:pt>
                <c:pt idx="10">
                  <c:v>0.86603475513428119</c:v>
                </c:pt>
                <c:pt idx="11">
                  <c:v>0.86687500000000006</c:v>
                </c:pt>
                <c:pt idx="12">
                  <c:v>0.9122480620155039</c:v>
                </c:pt>
                <c:pt idx="13">
                  <c:v>0.84351663272233546</c:v>
                </c:pt>
                <c:pt idx="14">
                  <c:v>0.86977886977886987</c:v>
                </c:pt>
                <c:pt idx="15">
                  <c:v>0.89793322734499215</c:v>
                </c:pt>
                <c:pt idx="16">
                  <c:v>0.89025514909314485</c:v>
                </c:pt>
                <c:pt idx="17">
                  <c:v>0.90595313489550344</c:v>
                </c:pt>
                <c:pt idx="18">
                  <c:v>0.89008620689655171</c:v>
                </c:pt>
                <c:pt idx="19">
                  <c:v>0.90027363940407423</c:v>
                </c:pt>
                <c:pt idx="20">
                  <c:v>0.89363037339190465</c:v>
                </c:pt>
                <c:pt idx="21">
                  <c:v>0.94495133819951338</c:v>
                </c:pt>
                <c:pt idx="22">
                  <c:v>0.93714644877435582</c:v>
                </c:pt>
                <c:pt idx="23">
                  <c:v>0.91584158415841577</c:v>
                </c:pt>
                <c:pt idx="24">
                  <c:v>0.88248267170762451</c:v>
                </c:pt>
                <c:pt idx="25">
                  <c:v>0.92998379254457053</c:v>
                </c:pt>
                <c:pt idx="26">
                  <c:v>0.93050075872534144</c:v>
                </c:pt>
                <c:pt idx="27">
                  <c:v>0.92031249999999998</c:v>
                </c:pt>
                <c:pt idx="28">
                  <c:v>0.92110036275695295</c:v>
                </c:pt>
                <c:pt idx="29">
                  <c:v>0.91248073959938369</c:v>
                </c:pt>
                <c:pt idx="30">
                  <c:v>0.92827380952380945</c:v>
                </c:pt>
                <c:pt idx="31">
                  <c:v>0.88578227245687091</c:v>
                </c:pt>
              </c:numCache>
            </c:numRef>
          </c:val>
          <c:smooth val="0"/>
          <c:extLst>
            <c:ext xmlns:c16="http://schemas.microsoft.com/office/drawing/2014/chart" uri="{C3380CC4-5D6E-409C-BE32-E72D297353CC}">
              <c16:uniqueId val="{00000001-E208-43D6-97E3-610BE414CC8C}"/>
            </c:ext>
          </c:extLst>
        </c:ser>
        <c:ser>
          <c:idx val="2"/>
          <c:order val="2"/>
          <c:tx>
            <c:strRef>
              <c:f>[DanaFarber_Occupancy_1025.xlsx]Brigham_Women!$V$1</c:f>
              <c:strCache>
                <c:ptCount val="1"/>
                <c:pt idx="0">
                  <c:v>Occupied(ICU)/Licensed(ICU)</c:v>
                </c:pt>
              </c:strCache>
            </c:strRef>
          </c:tx>
          <c:spPr>
            <a:ln w="19050" cap="rnd">
              <a:solidFill>
                <a:schemeClr val="accent3"/>
              </a:solidFill>
              <a:round/>
            </a:ln>
            <a:effectLst/>
          </c:spPr>
          <c:marker>
            <c:symbol val="none"/>
          </c:marker>
          <c:cat>
            <c:numRef>
              <c:f>[DanaFarber_Occupancy_1025.xlsx]Brigham_Women!$M$2:$M$33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[DanaFarber_Occupancy_1025.xlsx]Brigham_Women!$V$2:$V$33</c:f>
              <c:numCache>
                <c:formatCode>0%</c:formatCode>
                <c:ptCount val="32"/>
                <c:pt idx="0">
                  <c:v>0.99130119608553813</c:v>
                </c:pt>
                <c:pt idx="1">
                  <c:v>1.020064205457464</c:v>
                </c:pt>
                <c:pt idx="2">
                  <c:v>0.9971003986951793</c:v>
                </c:pt>
                <c:pt idx="3">
                  <c:v>1.0198501872659176</c:v>
                </c:pt>
                <c:pt idx="4">
                  <c:v>1.01268575570859</c:v>
                </c:pt>
                <c:pt idx="5">
                  <c:v>0.97677902621722845</c:v>
                </c:pt>
                <c:pt idx="6">
                  <c:v>0.98695179412830736</c:v>
                </c:pt>
                <c:pt idx="7">
                  <c:v>0.97100398695179413</c:v>
                </c:pt>
                <c:pt idx="8">
                  <c:v>1.0108485083301046</c:v>
                </c:pt>
                <c:pt idx="9">
                  <c:v>1.0315331641899239</c:v>
                </c:pt>
                <c:pt idx="10">
                  <c:v>1.0265917602996253</c:v>
                </c:pt>
                <c:pt idx="11">
                  <c:v>1.0054367524465386</c:v>
                </c:pt>
                <c:pt idx="12">
                  <c:v>1.066328379847771</c:v>
                </c:pt>
                <c:pt idx="13">
                  <c:v>0.9971910112359551</c:v>
                </c:pt>
                <c:pt idx="14">
                  <c:v>1.0264588619064878</c:v>
                </c:pt>
                <c:pt idx="15">
                  <c:v>1.0576779026217229</c:v>
                </c:pt>
                <c:pt idx="16">
                  <c:v>1.0496556723450525</c:v>
                </c:pt>
                <c:pt idx="17">
                  <c:v>1.0715355805243445</c:v>
                </c:pt>
                <c:pt idx="18">
                  <c:v>1.0478434215295398</c:v>
                </c:pt>
                <c:pt idx="19">
                  <c:v>1.0732149329467198</c:v>
                </c:pt>
                <c:pt idx="20">
                  <c:v>1.0666666666666667</c:v>
                </c:pt>
                <c:pt idx="21">
                  <c:v>1.1261326567596954</c:v>
                </c:pt>
                <c:pt idx="22">
                  <c:v>1.1168539325842697</c:v>
                </c:pt>
                <c:pt idx="23">
                  <c:v>1.0728524827836172</c:v>
                </c:pt>
                <c:pt idx="24">
                  <c:v>1.015222906850308</c:v>
                </c:pt>
                <c:pt idx="25">
                  <c:v>1.1115846571096475</c:v>
                </c:pt>
                <c:pt idx="26">
                  <c:v>1.1112722000724902</c:v>
                </c:pt>
                <c:pt idx="27">
                  <c:v>1.1029962546816481</c:v>
                </c:pt>
                <c:pt idx="28">
                  <c:v>1.1043856469735411</c:v>
                </c:pt>
                <c:pt idx="29">
                  <c:v>1.1089887640449438</c:v>
                </c:pt>
                <c:pt idx="30">
                  <c:v>1.1304820587169264</c:v>
                </c:pt>
                <c:pt idx="31">
                  <c:v>1.0793765857194635</c:v>
                </c:pt>
              </c:numCache>
            </c:numRef>
          </c:val>
          <c:smooth val="0"/>
          <c:extLst>
            <c:ext xmlns:c16="http://schemas.microsoft.com/office/drawing/2014/chart" uri="{C3380CC4-5D6E-409C-BE32-E72D297353CC}">
              <c16:uniqueId val="{00000002-E208-43D6-97E3-610BE414CC8C}"/>
            </c:ext>
          </c:extLst>
        </c:ser>
        <c:dLbls>
          <c:showLegendKey val="0"/>
          <c:showVal val="0"/>
          <c:showCatName val="0"/>
          <c:showSerName val="0"/>
          <c:showPercent val="0"/>
          <c:showBubbleSize val="0"/>
        </c:dLbls>
        <c:smooth val="0"/>
        <c:axId val="1662612943"/>
        <c:axId val="1662613903"/>
      </c:lineChart>
      <c:dateAx>
        <c:axId val="166261294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62613903"/>
        <c:crosses val="autoZero"/>
        <c:auto val="1"/>
        <c:lblOffset val="100"/>
        <c:baseTimeUnit val="months"/>
      </c:dateAx>
      <c:valAx>
        <c:axId val="16626139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62612943"/>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MGH</a:t>
            </a:r>
            <a:r>
              <a:rPr lang="en-US" sz="1000" b="1" baseline="0"/>
              <a:t> </a:t>
            </a:r>
            <a:r>
              <a:rPr lang="en-US" sz="1000" b="1"/>
              <a:t>Occupancy Rate (M/S)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[DanaFarber_Occupancy_1025.xlsx]MGH!$N$1</c:f>
              <c:strCache>
                <c:ptCount val="1"/>
                <c:pt idx="0">
                  <c:v>Industry Standard </c:v>
                </c:pt>
              </c:strCache>
            </c:strRef>
          </c:tx>
          <c:spPr>
            <a:ln w="19050" cap="rnd">
              <a:solidFill>
                <a:srgbClr val="C00000"/>
              </a:solidFill>
              <a:round/>
            </a:ln>
            <a:effectLst/>
          </c:spPr>
          <c:marker>
            <c:symbol val="none"/>
          </c:marker>
          <c:cat>
            <c:numRef>
              <c:f>[DanaFarber_Occupancy_1025.xlsx]MGH!$M$2:$M$33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[DanaFarber_Occupancy_1025.xlsx]MGH!$N$2:$N$33</c:f>
              <c:numCache>
                <c:formatCode>0%</c:formatCode>
                <c:ptCount val="32"/>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numCache>
            </c:numRef>
          </c:val>
          <c:smooth val="0"/>
          <c:extLst>
            <c:ext xmlns:c16="http://schemas.microsoft.com/office/drawing/2014/chart" uri="{C3380CC4-5D6E-409C-BE32-E72D297353CC}">
              <c16:uniqueId val="{00000000-0ECA-4CCB-9A52-115FB9FF1E85}"/>
            </c:ext>
          </c:extLst>
        </c:ser>
        <c:ser>
          <c:idx val="1"/>
          <c:order val="1"/>
          <c:tx>
            <c:strRef>
              <c:f>[DanaFarber_Occupancy_1025.xlsx]MGH!$O$1</c:f>
              <c:strCache>
                <c:ptCount val="1"/>
                <c:pt idx="0">
                  <c:v>Occupied(M/S)/Staffed(M/S)</c:v>
                </c:pt>
              </c:strCache>
            </c:strRef>
          </c:tx>
          <c:spPr>
            <a:ln w="19050" cap="rnd">
              <a:solidFill>
                <a:schemeClr val="tx2"/>
              </a:solidFill>
              <a:round/>
            </a:ln>
            <a:effectLst/>
          </c:spPr>
          <c:marker>
            <c:symbol val="none"/>
          </c:marker>
          <c:cat>
            <c:numRef>
              <c:f>[DanaFarber_Occupancy_1025.xlsx]MGH!$M$2:$M$33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[DanaFarber_Occupancy_1025.xlsx]MGH!$O$2:$O$33</c:f>
              <c:numCache>
                <c:formatCode>0%</c:formatCode>
                <c:ptCount val="32"/>
                <c:pt idx="0">
                  <c:v>0.98100789770590435</c:v>
                </c:pt>
                <c:pt idx="1">
                  <c:v>0.98634517766497454</c:v>
                </c:pt>
                <c:pt idx="2">
                  <c:v>0.98660572876600761</c:v>
                </c:pt>
                <c:pt idx="3">
                  <c:v>0.98776887389287227</c:v>
                </c:pt>
                <c:pt idx="4">
                  <c:v>0.989054311024535</c:v>
                </c:pt>
                <c:pt idx="5">
                  <c:v>0.99030878859857485</c:v>
                </c:pt>
                <c:pt idx="6">
                  <c:v>0.98069388718432859</c:v>
                </c:pt>
                <c:pt idx="7">
                  <c:v>0.99202237403145199</c:v>
                </c:pt>
                <c:pt idx="8">
                  <c:v>0.98556041578477016</c:v>
                </c:pt>
                <c:pt idx="9">
                  <c:v>0.98942618841438401</c:v>
                </c:pt>
                <c:pt idx="10">
                  <c:v>0.97895959126799825</c:v>
                </c:pt>
                <c:pt idx="11">
                  <c:v>0.98735771809061046</c:v>
                </c:pt>
                <c:pt idx="12">
                  <c:v>0.99070168276863069</c:v>
                </c:pt>
                <c:pt idx="13">
                  <c:v>0.98930615523646948</c:v>
                </c:pt>
                <c:pt idx="14">
                  <c:v>0.98260439609835026</c:v>
                </c:pt>
                <c:pt idx="15">
                  <c:v>0.98019202087994028</c:v>
                </c:pt>
                <c:pt idx="16">
                  <c:v>0.98510062806583232</c:v>
                </c:pt>
                <c:pt idx="17">
                  <c:v>0.98369262218918407</c:v>
                </c:pt>
                <c:pt idx="18">
                  <c:v>0.9855281547270186</c:v>
                </c:pt>
                <c:pt idx="19">
                  <c:v>0.98764254236518112</c:v>
                </c:pt>
                <c:pt idx="20">
                  <c:v>0.98914721429573838</c:v>
                </c:pt>
                <c:pt idx="21">
                  <c:v>0.98555428571428583</c:v>
                </c:pt>
                <c:pt idx="22">
                  <c:v>0.98338106192197561</c:v>
                </c:pt>
                <c:pt idx="23">
                  <c:v>0.98862494289629976</c:v>
                </c:pt>
                <c:pt idx="24">
                  <c:v>0.99001798561151089</c:v>
                </c:pt>
                <c:pt idx="25">
                  <c:v>0.99335931860834403</c:v>
                </c:pt>
                <c:pt idx="26">
                  <c:v>0.98882931188561218</c:v>
                </c:pt>
                <c:pt idx="27">
                  <c:v>0.9849453400037057</c:v>
                </c:pt>
                <c:pt idx="28">
                  <c:v>0.98997437396034715</c:v>
                </c:pt>
                <c:pt idx="29">
                  <c:v>0.99043084979766727</c:v>
                </c:pt>
                <c:pt idx="30">
                  <c:v>0.98933563260119795</c:v>
                </c:pt>
                <c:pt idx="31">
                  <c:v>0.99446008536917641</c:v>
                </c:pt>
              </c:numCache>
            </c:numRef>
          </c:val>
          <c:smooth val="0"/>
          <c:extLst>
            <c:ext xmlns:c16="http://schemas.microsoft.com/office/drawing/2014/chart" uri="{C3380CC4-5D6E-409C-BE32-E72D297353CC}">
              <c16:uniqueId val="{00000001-0ECA-4CCB-9A52-115FB9FF1E85}"/>
            </c:ext>
          </c:extLst>
        </c:ser>
        <c:ser>
          <c:idx val="2"/>
          <c:order val="2"/>
          <c:tx>
            <c:strRef>
              <c:f>[DanaFarber_Occupancy_1025.xlsx]MGH!$P$1</c:f>
              <c:strCache>
                <c:ptCount val="1"/>
                <c:pt idx="0">
                  <c:v>Occupied(M/S)/Licensed(M/S)</c:v>
                </c:pt>
              </c:strCache>
            </c:strRef>
          </c:tx>
          <c:spPr>
            <a:ln w="19050" cap="rnd">
              <a:solidFill>
                <a:schemeClr val="accent3"/>
              </a:solidFill>
              <a:round/>
            </a:ln>
            <a:effectLst/>
          </c:spPr>
          <c:marker>
            <c:symbol val="none"/>
          </c:marker>
          <c:cat>
            <c:numRef>
              <c:f>[DanaFarber_Occupancy_1025.xlsx]MGH!$M$2:$M$33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[DanaFarber_Occupancy_1025.xlsx]MGH!$P$2:$P$33</c:f>
              <c:numCache>
                <c:formatCode>0%</c:formatCode>
                <c:ptCount val="32"/>
                <c:pt idx="0">
                  <c:v>0.85318287746841648</c:v>
                </c:pt>
                <c:pt idx="1">
                  <c:v>0.87954915806626832</c:v>
                </c:pt>
                <c:pt idx="2">
                  <c:v>0.89141011488613608</c:v>
                </c:pt>
                <c:pt idx="3">
                  <c:v>0.89049429657794676</c:v>
                </c:pt>
                <c:pt idx="4">
                  <c:v>0.87186720634531256</c:v>
                </c:pt>
                <c:pt idx="5">
                  <c:v>0.88069286016054082</c:v>
                </c:pt>
                <c:pt idx="6">
                  <c:v>0.877735530207013</c:v>
                </c:pt>
                <c:pt idx="7">
                  <c:v>0.88462324706651951</c:v>
                </c:pt>
                <c:pt idx="8">
                  <c:v>0.88525559780312635</c:v>
                </c:pt>
                <c:pt idx="9">
                  <c:v>0.88756694877141329</c:v>
                </c:pt>
                <c:pt idx="10">
                  <c:v>0.89045204900718211</c:v>
                </c:pt>
                <c:pt idx="11">
                  <c:v>0.89725663355002239</c:v>
                </c:pt>
                <c:pt idx="12">
                  <c:v>0.89300461997628688</c:v>
                </c:pt>
                <c:pt idx="13">
                  <c:v>0.89195183776932829</c:v>
                </c:pt>
                <c:pt idx="14">
                  <c:v>0.89374054540251024</c:v>
                </c:pt>
                <c:pt idx="15">
                  <c:v>0.88850866075200674</c:v>
                </c:pt>
                <c:pt idx="16">
                  <c:v>0.87853141992722517</c:v>
                </c:pt>
                <c:pt idx="17">
                  <c:v>0.89450781580059147</c:v>
                </c:pt>
                <c:pt idx="18">
                  <c:v>0.89374054540251024</c:v>
                </c:pt>
                <c:pt idx="19">
                  <c:v>0.88879349114845252</c:v>
                </c:pt>
                <c:pt idx="20">
                  <c:v>0.8933248838191804</c:v>
                </c:pt>
                <c:pt idx="21">
                  <c:v>0.8814342368862178</c:v>
                </c:pt>
                <c:pt idx="22">
                  <c:v>0.88495986480777356</c:v>
                </c:pt>
                <c:pt idx="23">
                  <c:v>0.88478678605012473</c:v>
                </c:pt>
                <c:pt idx="24">
                  <c:v>0.90020033525491638</c:v>
                </c:pt>
                <c:pt idx="25">
                  <c:v>0.90218958961583839</c:v>
                </c:pt>
                <c:pt idx="26">
                  <c:v>0.90477942679586243</c:v>
                </c:pt>
                <c:pt idx="27">
                  <c:v>0.89831009716941279</c:v>
                </c:pt>
                <c:pt idx="28">
                  <c:v>0.9002821047467191</c:v>
                </c:pt>
                <c:pt idx="29">
                  <c:v>0.87891846218842418</c:v>
                </c:pt>
                <c:pt idx="30">
                  <c:v>0.89132834539433337</c:v>
                </c:pt>
                <c:pt idx="31">
                  <c:v>0.89537593523856251</c:v>
                </c:pt>
              </c:numCache>
            </c:numRef>
          </c:val>
          <c:smooth val="0"/>
          <c:extLst>
            <c:ext xmlns:c16="http://schemas.microsoft.com/office/drawing/2014/chart" uri="{C3380CC4-5D6E-409C-BE32-E72D297353CC}">
              <c16:uniqueId val="{00000002-0ECA-4CCB-9A52-115FB9FF1E85}"/>
            </c:ext>
          </c:extLst>
        </c:ser>
        <c:dLbls>
          <c:showLegendKey val="0"/>
          <c:showVal val="0"/>
          <c:showCatName val="0"/>
          <c:showSerName val="0"/>
          <c:showPercent val="0"/>
          <c:showBubbleSize val="0"/>
        </c:dLbls>
        <c:smooth val="0"/>
        <c:axId val="1570896608"/>
        <c:axId val="1570897568"/>
      </c:lineChart>
      <c:dateAx>
        <c:axId val="157089660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70897568"/>
        <c:crosses val="autoZero"/>
        <c:auto val="1"/>
        <c:lblOffset val="100"/>
        <c:baseTimeUnit val="months"/>
      </c:dateAx>
      <c:valAx>
        <c:axId val="1570897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70896608"/>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MGH</a:t>
            </a:r>
            <a:r>
              <a:rPr lang="en-US" sz="1000" b="1" baseline="0"/>
              <a:t> </a:t>
            </a:r>
            <a:r>
              <a:rPr lang="en-US" sz="1000" b="1"/>
              <a:t>Occupancy</a:t>
            </a:r>
            <a:r>
              <a:rPr lang="en-US" sz="1000" b="1" baseline="0"/>
              <a:t> Rate (ICU)</a:t>
            </a:r>
            <a:endParaRPr lang="en-US" sz="1000" b="1"/>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[DanaFarber_Occupancy_1025.xlsx]MGH!$T$1</c:f>
              <c:strCache>
                <c:ptCount val="1"/>
                <c:pt idx="0">
                  <c:v>Industry Standard </c:v>
                </c:pt>
              </c:strCache>
            </c:strRef>
          </c:tx>
          <c:spPr>
            <a:ln w="19050" cap="rnd">
              <a:solidFill>
                <a:srgbClr val="C00000"/>
              </a:solidFill>
              <a:round/>
            </a:ln>
            <a:effectLst/>
          </c:spPr>
          <c:marker>
            <c:symbol val="none"/>
          </c:marker>
          <c:cat>
            <c:numRef>
              <c:f>[DanaFarber_Occupancy_1025.xlsx]MGH!$M$2:$M$33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[DanaFarber_Occupancy_1025.xlsx]MGH!$T$2:$T$33</c:f>
              <c:numCache>
                <c:formatCode>0%</c:formatCode>
                <c:ptCount val="32"/>
                <c:pt idx="0">
                  <c:v>0.75</c:v>
                </c:pt>
                <c:pt idx="1">
                  <c:v>0.75</c:v>
                </c:pt>
                <c:pt idx="2">
                  <c:v>0.75</c:v>
                </c:pt>
                <c:pt idx="3">
                  <c:v>0.75</c:v>
                </c:pt>
                <c:pt idx="4">
                  <c:v>0.75</c:v>
                </c:pt>
                <c:pt idx="5">
                  <c:v>0.75</c:v>
                </c:pt>
                <c:pt idx="6">
                  <c:v>0.75</c:v>
                </c:pt>
                <c:pt idx="7">
                  <c:v>0.75</c:v>
                </c:pt>
                <c:pt idx="8">
                  <c:v>0.75</c:v>
                </c:pt>
                <c:pt idx="9">
                  <c:v>0.75</c:v>
                </c:pt>
                <c:pt idx="10">
                  <c:v>0.75</c:v>
                </c:pt>
                <c:pt idx="11">
                  <c:v>0.75</c:v>
                </c:pt>
                <c:pt idx="12">
                  <c:v>0.75</c:v>
                </c:pt>
                <c:pt idx="13">
                  <c:v>0.75</c:v>
                </c:pt>
                <c:pt idx="14">
                  <c:v>0.75</c:v>
                </c:pt>
                <c:pt idx="15">
                  <c:v>0.75</c:v>
                </c:pt>
                <c:pt idx="16">
                  <c:v>0.75</c:v>
                </c:pt>
                <c:pt idx="17">
                  <c:v>0.75</c:v>
                </c:pt>
                <c:pt idx="18">
                  <c:v>0.75</c:v>
                </c:pt>
                <c:pt idx="19">
                  <c:v>0.75</c:v>
                </c:pt>
                <c:pt idx="20">
                  <c:v>0.75</c:v>
                </c:pt>
                <c:pt idx="21">
                  <c:v>0.75</c:v>
                </c:pt>
                <c:pt idx="22">
                  <c:v>0.75</c:v>
                </c:pt>
                <c:pt idx="23">
                  <c:v>0.75</c:v>
                </c:pt>
                <c:pt idx="24">
                  <c:v>0.75</c:v>
                </c:pt>
                <c:pt idx="25">
                  <c:v>0.75</c:v>
                </c:pt>
                <c:pt idx="26">
                  <c:v>0.75</c:v>
                </c:pt>
                <c:pt idx="27">
                  <c:v>0.75</c:v>
                </c:pt>
                <c:pt idx="28">
                  <c:v>0.75</c:v>
                </c:pt>
                <c:pt idx="29">
                  <c:v>0.75</c:v>
                </c:pt>
                <c:pt idx="30">
                  <c:v>0.75</c:v>
                </c:pt>
                <c:pt idx="31">
                  <c:v>0.75</c:v>
                </c:pt>
              </c:numCache>
            </c:numRef>
          </c:val>
          <c:smooth val="0"/>
          <c:extLst>
            <c:ext xmlns:c16="http://schemas.microsoft.com/office/drawing/2014/chart" uri="{C3380CC4-5D6E-409C-BE32-E72D297353CC}">
              <c16:uniqueId val="{00000000-377F-4C79-B247-42DEDD8CA26C}"/>
            </c:ext>
          </c:extLst>
        </c:ser>
        <c:ser>
          <c:idx val="1"/>
          <c:order val="1"/>
          <c:tx>
            <c:strRef>
              <c:f>[DanaFarber_Occupancy_1025.xlsx]MGH!$U$1</c:f>
              <c:strCache>
                <c:ptCount val="1"/>
                <c:pt idx="0">
                  <c:v>Occupied(ICU)/Staffed(ICU)</c:v>
                </c:pt>
              </c:strCache>
            </c:strRef>
          </c:tx>
          <c:spPr>
            <a:ln w="19050" cap="rnd">
              <a:solidFill>
                <a:schemeClr val="tx2"/>
              </a:solidFill>
              <a:round/>
            </a:ln>
            <a:effectLst/>
          </c:spPr>
          <c:marker>
            <c:symbol val="none"/>
          </c:marker>
          <c:cat>
            <c:numRef>
              <c:f>[DanaFarber_Occupancy_1025.xlsx]MGH!$M$2:$M$33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[DanaFarber_Occupancy_1025.xlsx]MGH!$U$2:$U$33</c:f>
              <c:numCache>
                <c:formatCode>0%</c:formatCode>
                <c:ptCount val="32"/>
                <c:pt idx="0">
                  <c:v>0.9509803921568627</c:v>
                </c:pt>
                <c:pt idx="1">
                  <c:v>0.9373493975903614</c:v>
                </c:pt>
                <c:pt idx="2">
                  <c:v>0.91786283891547049</c:v>
                </c:pt>
                <c:pt idx="3">
                  <c:v>0.93046171171171166</c:v>
                </c:pt>
                <c:pt idx="4">
                  <c:v>0.93917808219178089</c:v>
                </c:pt>
                <c:pt idx="5">
                  <c:v>0.95561210065026858</c:v>
                </c:pt>
                <c:pt idx="6">
                  <c:v>0.94562446898895491</c:v>
                </c:pt>
                <c:pt idx="7">
                  <c:v>0.94502188183807434</c:v>
                </c:pt>
                <c:pt idx="8">
                  <c:v>0.9610499576629975</c:v>
                </c:pt>
                <c:pt idx="9">
                  <c:v>0.94106359649122806</c:v>
                </c:pt>
                <c:pt idx="10">
                  <c:v>0.95719515629400176</c:v>
                </c:pt>
                <c:pt idx="11">
                  <c:v>0.94128839358521332</c:v>
                </c:pt>
                <c:pt idx="12">
                  <c:v>0.94714014638113309</c:v>
                </c:pt>
                <c:pt idx="13">
                  <c:v>0.95198079231692678</c:v>
                </c:pt>
                <c:pt idx="14">
                  <c:v>0.93282567310307318</c:v>
                </c:pt>
                <c:pt idx="15">
                  <c:v>0.93913043478260871</c:v>
                </c:pt>
                <c:pt idx="16">
                  <c:v>0.95009328358208955</c:v>
                </c:pt>
                <c:pt idx="17">
                  <c:v>0.91277433877321335</c:v>
                </c:pt>
                <c:pt idx="18">
                  <c:v>0.91150922909880561</c:v>
                </c:pt>
                <c:pt idx="19">
                  <c:v>0.95372890582471426</c:v>
                </c:pt>
                <c:pt idx="20">
                  <c:v>0.94815022421524664</c:v>
                </c:pt>
                <c:pt idx="21">
                  <c:v>0.95364597451883981</c:v>
                </c:pt>
                <c:pt idx="22">
                  <c:v>0.95490196078431377</c:v>
                </c:pt>
                <c:pt idx="23">
                  <c:v>0.97038848139092637</c:v>
                </c:pt>
                <c:pt idx="24">
                  <c:v>0.96954866775421422</c:v>
                </c:pt>
                <c:pt idx="25">
                  <c:v>0.94376811594202903</c:v>
                </c:pt>
                <c:pt idx="26">
                  <c:v>0.94900463594218709</c:v>
                </c:pt>
                <c:pt idx="27">
                  <c:v>0.92726247533126593</c:v>
                </c:pt>
                <c:pt idx="28">
                  <c:v>0.94938478747203581</c:v>
                </c:pt>
                <c:pt idx="29">
                  <c:v>0.92100840336134449</c:v>
                </c:pt>
                <c:pt idx="30">
                  <c:v>0.95361527967257842</c:v>
                </c:pt>
                <c:pt idx="31">
                  <c:v>0.94615175414740271</c:v>
                </c:pt>
              </c:numCache>
            </c:numRef>
          </c:val>
          <c:smooth val="0"/>
          <c:extLst>
            <c:ext xmlns:c16="http://schemas.microsoft.com/office/drawing/2014/chart" uri="{C3380CC4-5D6E-409C-BE32-E72D297353CC}">
              <c16:uniqueId val="{00000001-377F-4C79-B247-42DEDD8CA26C}"/>
            </c:ext>
          </c:extLst>
        </c:ser>
        <c:ser>
          <c:idx val="2"/>
          <c:order val="2"/>
          <c:tx>
            <c:strRef>
              <c:f>[DanaFarber_Occupancy_1025.xlsx]MGH!$V$1</c:f>
              <c:strCache>
                <c:ptCount val="1"/>
                <c:pt idx="0">
                  <c:v>Occupied(ICU)/Licensed(ICU)</c:v>
                </c:pt>
              </c:strCache>
            </c:strRef>
          </c:tx>
          <c:spPr>
            <a:ln w="19050" cap="rnd">
              <a:solidFill>
                <a:schemeClr val="accent3"/>
              </a:solidFill>
              <a:round/>
            </a:ln>
            <a:effectLst/>
          </c:spPr>
          <c:marker>
            <c:symbol val="none"/>
          </c:marker>
          <c:cat>
            <c:numRef>
              <c:f>[DanaFarber_Occupancy_1025.xlsx]MGH!$M$2:$M$33</c:f>
              <c:numCache>
                <c:formatCode>mmm\-yy</c:formatCode>
                <c:ptCount val="3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[DanaFarber_Occupancy_1025.xlsx]MGH!$V$2:$V$33</c:f>
              <c:numCache>
                <c:formatCode>0%</c:formatCode>
                <c:ptCount val="32"/>
                <c:pt idx="0">
                  <c:v>1.1152986266368572</c:v>
                </c:pt>
                <c:pt idx="1">
                  <c:v>1.1004243281471005</c:v>
                </c:pt>
                <c:pt idx="2">
                  <c:v>1.102842542318748</c:v>
                </c:pt>
                <c:pt idx="3">
                  <c:v>1.0907590759075909</c:v>
                </c:pt>
                <c:pt idx="4">
                  <c:v>1.0948578728840626</c:v>
                </c:pt>
                <c:pt idx="5">
                  <c:v>1.1155115511551155</c:v>
                </c:pt>
                <c:pt idx="6">
                  <c:v>1.1019801980198018</c:v>
                </c:pt>
                <c:pt idx="7">
                  <c:v>1.1034813158735228</c:v>
                </c:pt>
                <c:pt idx="8">
                  <c:v>1.1237623762376239</c:v>
                </c:pt>
                <c:pt idx="9">
                  <c:v>1.0964548067709996</c:v>
                </c:pt>
                <c:pt idx="10">
                  <c:v>1.1217821782178217</c:v>
                </c:pt>
                <c:pt idx="11">
                  <c:v>1.1060364100926221</c:v>
                </c:pt>
                <c:pt idx="12">
                  <c:v>1.115937400191632</c:v>
                </c:pt>
                <c:pt idx="13">
                  <c:v>1.1216407355021216</c:v>
                </c:pt>
                <c:pt idx="14">
                  <c:v>1.0954966464388374</c:v>
                </c:pt>
                <c:pt idx="15">
                  <c:v>1.1049504950495048</c:v>
                </c:pt>
                <c:pt idx="16">
                  <c:v>1.3011817310763334</c:v>
                </c:pt>
                <c:pt idx="17">
                  <c:v>1.0706270627062706</c:v>
                </c:pt>
                <c:pt idx="18">
                  <c:v>1.0725007984669435</c:v>
                </c:pt>
                <c:pt idx="19">
                  <c:v>1.1191312679655063</c:v>
                </c:pt>
                <c:pt idx="20">
                  <c:v>1.1165016501650165</c:v>
                </c:pt>
                <c:pt idx="21">
                  <c:v>1.1236026828489301</c:v>
                </c:pt>
                <c:pt idx="22">
                  <c:v>1.1250825082508251</c:v>
                </c:pt>
                <c:pt idx="23">
                  <c:v>1.1408495688278504</c:v>
                </c:pt>
                <c:pt idx="24">
                  <c:v>1.1389332481635259</c:v>
                </c:pt>
                <c:pt idx="25">
                  <c:v>1.111642198702629</c:v>
                </c:pt>
                <c:pt idx="26">
                  <c:v>1.1114659853082083</c:v>
                </c:pt>
                <c:pt idx="27">
                  <c:v>1.0854785478547855</c:v>
                </c:pt>
                <c:pt idx="28">
                  <c:v>1.0843181092302778</c:v>
                </c:pt>
                <c:pt idx="29">
                  <c:v>1.085148514851485</c:v>
                </c:pt>
                <c:pt idx="30">
                  <c:v>1.1162567869690194</c:v>
                </c:pt>
                <c:pt idx="31">
                  <c:v>1.1111465985308207</c:v>
                </c:pt>
              </c:numCache>
            </c:numRef>
          </c:val>
          <c:smooth val="0"/>
          <c:extLst>
            <c:ext xmlns:c16="http://schemas.microsoft.com/office/drawing/2014/chart" uri="{C3380CC4-5D6E-409C-BE32-E72D297353CC}">
              <c16:uniqueId val="{00000002-377F-4C79-B247-42DEDD8CA26C}"/>
            </c:ext>
          </c:extLst>
        </c:ser>
        <c:dLbls>
          <c:showLegendKey val="0"/>
          <c:showVal val="0"/>
          <c:showCatName val="0"/>
          <c:showSerName val="0"/>
          <c:showPercent val="0"/>
          <c:showBubbleSize val="0"/>
        </c:dLbls>
        <c:smooth val="0"/>
        <c:axId val="1570906688"/>
        <c:axId val="1570900928"/>
      </c:lineChart>
      <c:dateAx>
        <c:axId val="15709066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70900928"/>
        <c:crosses val="autoZero"/>
        <c:auto val="1"/>
        <c:lblOffset val="100"/>
        <c:baseTimeUnit val="months"/>
      </c:dateAx>
      <c:valAx>
        <c:axId val="157090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70906688"/>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TMC</a:t>
            </a:r>
            <a:r>
              <a:rPr lang="en-US" sz="1000" b="1" baseline="0"/>
              <a:t> </a:t>
            </a:r>
            <a:r>
              <a:rPr lang="en-US" sz="1000" b="1"/>
              <a:t>Occupancy Rate (M/S)</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[DanaFarber_Occupancy_1025.xlsx]TuftMC!$N$1</c:f>
              <c:strCache>
                <c:ptCount val="1"/>
                <c:pt idx="0">
                  <c:v>Industry Standard </c:v>
                </c:pt>
              </c:strCache>
            </c:strRef>
          </c:tx>
          <c:spPr>
            <a:ln w="19050" cap="rnd">
              <a:solidFill>
                <a:srgbClr val="C00000"/>
              </a:solidFill>
              <a:round/>
            </a:ln>
            <a:effectLst/>
          </c:spPr>
          <c:marker>
            <c:symbol val="none"/>
          </c:marker>
          <c:cat>
            <c:numRef>
              <c:f>[DanaFarber_Occupancy_1025.xlsx]TuftMC!$M$2:$M$34</c:f>
              <c:numCache>
                <c:formatCode>mmm\-yy</c:formatCode>
                <c:ptCount val="33"/>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[DanaFarber_Occupancy_1025.xlsx]TuftMC!$N$2:$N$34</c:f>
              <c:numCache>
                <c:formatCode>0%</c:formatCode>
                <c:ptCount val="33"/>
                <c:pt idx="0">
                  <c:v>0.85</c:v>
                </c:pt>
                <c:pt idx="1">
                  <c:v>0.85</c:v>
                </c:pt>
                <c:pt idx="2">
                  <c:v>0.85</c:v>
                </c:pt>
                <c:pt idx="3">
                  <c:v>0.85</c:v>
                </c:pt>
                <c:pt idx="4">
                  <c:v>0.85</c:v>
                </c:pt>
                <c:pt idx="5">
                  <c:v>0.85</c:v>
                </c:pt>
                <c:pt idx="6">
                  <c:v>0.85</c:v>
                </c:pt>
                <c:pt idx="7">
                  <c:v>0.85</c:v>
                </c:pt>
                <c:pt idx="8">
                  <c:v>0.85</c:v>
                </c:pt>
                <c:pt idx="9">
                  <c:v>0.85</c:v>
                </c:pt>
                <c:pt idx="10">
                  <c:v>0.85</c:v>
                </c:pt>
                <c:pt idx="11">
                  <c:v>0.85</c:v>
                </c:pt>
                <c:pt idx="12">
                  <c:v>0.85</c:v>
                </c:pt>
                <c:pt idx="13">
                  <c:v>0.85</c:v>
                </c:pt>
                <c:pt idx="14">
                  <c:v>0.85</c:v>
                </c:pt>
                <c:pt idx="15">
                  <c:v>0.85</c:v>
                </c:pt>
                <c:pt idx="16">
                  <c:v>0.85</c:v>
                </c:pt>
                <c:pt idx="17">
                  <c:v>0.85</c:v>
                </c:pt>
                <c:pt idx="18">
                  <c:v>0.85</c:v>
                </c:pt>
                <c:pt idx="19">
                  <c:v>0.85</c:v>
                </c:pt>
                <c:pt idx="20">
                  <c:v>0.85</c:v>
                </c:pt>
                <c:pt idx="21">
                  <c:v>0.85</c:v>
                </c:pt>
                <c:pt idx="22">
                  <c:v>0.85</c:v>
                </c:pt>
                <c:pt idx="23">
                  <c:v>0.85</c:v>
                </c:pt>
                <c:pt idx="24">
                  <c:v>0.85</c:v>
                </c:pt>
                <c:pt idx="25">
                  <c:v>0.85</c:v>
                </c:pt>
                <c:pt idx="26">
                  <c:v>0.85</c:v>
                </c:pt>
                <c:pt idx="27">
                  <c:v>0.85</c:v>
                </c:pt>
                <c:pt idx="28">
                  <c:v>0.85</c:v>
                </c:pt>
                <c:pt idx="29">
                  <c:v>0.85</c:v>
                </c:pt>
                <c:pt idx="30">
                  <c:v>0.85</c:v>
                </c:pt>
                <c:pt idx="31">
                  <c:v>0.85</c:v>
                </c:pt>
              </c:numCache>
            </c:numRef>
          </c:val>
          <c:smooth val="0"/>
          <c:extLst>
            <c:ext xmlns:c16="http://schemas.microsoft.com/office/drawing/2014/chart" uri="{C3380CC4-5D6E-409C-BE32-E72D297353CC}">
              <c16:uniqueId val="{00000000-5CE7-4D55-9316-49955E377075}"/>
            </c:ext>
          </c:extLst>
        </c:ser>
        <c:ser>
          <c:idx val="1"/>
          <c:order val="1"/>
          <c:tx>
            <c:strRef>
              <c:f>[DanaFarber_Occupancy_1025.xlsx]TuftMC!$O$1</c:f>
              <c:strCache>
                <c:ptCount val="1"/>
                <c:pt idx="0">
                  <c:v>Occupied(M/S)/Staffed(M/S)</c:v>
                </c:pt>
              </c:strCache>
            </c:strRef>
          </c:tx>
          <c:spPr>
            <a:ln w="19050" cap="rnd">
              <a:solidFill>
                <a:schemeClr val="tx2"/>
              </a:solidFill>
              <a:round/>
            </a:ln>
            <a:effectLst/>
          </c:spPr>
          <c:marker>
            <c:symbol val="none"/>
          </c:marker>
          <c:cat>
            <c:numRef>
              <c:f>[DanaFarber_Occupancy_1025.xlsx]TuftMC!$M$2:$M$34</c:f>
              <c:numCache>
                <c:formatCode>mmm\-yy</c:formatCode>
                <c:ptCount val="33"/>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[DanaFarber_Occupancy_1025.xlsx]TuftMC!$O$2:$O$34</c:f>
              <c:numCache>
                <c:formatCode>0%</c:formatCode>
                <c:ptCount val="33"/>
                <c:pt idx="0">
                  <c:v>0.96460340993328397</c:v>
                </c:pt>
                <c:pt idx="1">
                  <c:v>0.97809485530546625</c:v>
                </c:pt>
                <c:pt idx="2">
                  <c:v>0.87618595825426948</c:v>
                </c:pt>
                <c:pt idx="3">
                  <c:v>0.81343283582089543</c:v>
                </c:pt>
                <c:pt idx="4">
                  <c:v>0.80336187757691091</c:v>
                </c:pt>
                <c:pt idx="5">
                  <c:v>0.85424836601307197</c:v>
                </c:pt>
                <c:pt idx="6">
                  <c:v>0.83380771663504105</c:v>
                </c:pt>
                <c:pt idx="7">
                  <c:v>0.83997469955724224</c:v>
                </c:pt>
                <c:pt idx="8">
                  <c:v>0.83322379231022015</c:v>
                </c:pt>
                <c:pt idx="9">
                  <c:v>0.8262175838077167</c:v>
                </c:pt>
                <c:pt idx="10">
                  <c:v>0.89063556457065574</c:v>
                </c:pt>
                <c:pt idx="11">
                  <c:v>0.87476280834914599</c:v>
                </c:pt>
                <c:pt idx="12">
                  <c:v>0.87666034155597727</c:v>
                </c:pt>
                <c:pt idx="13">
                  <c:v>0.93452049712483765</c:v>
                </c:pt>
                <c:pt idx="14">
                  <c:v>0.95276008492569009</c:v>
                </c:pt>
                <c:pt idx="15">
                  <c:v>0.96124579720403458</c:v>
                </c:pt>
                <c:pt idx="16">
                  <c:v>0.96232755571276984</c:v>
                </c:pt>
                <c:pt idx="17">
                  <c:v>0.97957355312667971</c:v>
                </c:pt>
                <c:pt idx="18">
                  <c:v>0.97435897435897445</c:v>
                </c:pt>
                <c:pt idx="19">
                  <c:v>0.96335697399527187</c:v>
                </c:pt>
                <c:pt idx="20">
                  <c:v>0.97180731889469751</c:v>
                </c:pt>
                <c:pt idx="21">
                  <c:v>0.97351221190230475</c:v>
                </c:pt>
                <c:pt idx="22">
                  <c:v>0.96479252739356924</c:v>
                </c:pt>
                <c:pt idx="23">
                  <c:v>0.97986577181208068</c:v>
                </c:pt>
                <c:pt idx="24">
                  <c:v>0.98117014122394075</c:v>
                </c:pt>
                <c:pt idx="25">
                  <c:v>0.97998927997141327</c:v>
                </c:pt>
                <c:pt idx="26">
                  <c:v>0.97583892617449675</c:v>
                </c:pt>
                <c:pt idx="27">
                  <c:v>0.97207519620368688</c:v>
                </c:pt>
                <c:pt idx="28">
                  <c:v>0.97140876797782016</c:v>
                </c:pt>
                <c:pt idx="29">
                  <c:v>0.9732142857142857</c:v>
                </c:pt>
                <c:pt idx="30">
                  <c:v>0.98700641241984477</c:v>
                </c:pt>
                <c:pt idx="31">
                  <c:v>0.98466922179636729</c:v>
                </c:pt>
              </c:numCache>
            </c:numRef>
          </c:val>
          <c:smooth val="0"/>
          <c:extLst>
            <c:ext xmlns:c16="http://schemas.microsoft.com/office/drawing/2014/chart" uri="{C3380CC4-5D6E-409C-BE32-E72D297353CC}">
              <c16:uniqueId val="{00000001-5CE7-4D55-9316-49955E377075}"/>
            </c:ext>
          </c:extLst>
        </c:ser>
        <c:ser>
          <c:idx val="2"/>
          <c:order val="2"/>
          <c:tx>
            <c:strRef>
              <c:f>[DanaFarber_Occupancy_1025.xlsx]TuftMC!$P$1</c:f>
              <c:strCache>
                <c:ptCount val="1"/>
                <c:pt idx="0">
                  <c:v>Occupied(M/S)/Licensed (M/S)</c:v>
                </c:pt>
              </c:strCache>
            </c:strRef>
          </c:tx>
          <c:spPr>
            <a:ln w="19050" cap="rnd">
              <a:solidFill>
                <a:schemeClr val="accent3"/>
              </a:solidFill>
              <a:round/>
            </a:ln>
            <a:effectLst/>
          </c:spPr>
          <c:marker>
            <c:symbol val="none"/>
          </c:marker>
          <c:cat>
            <c:numRef>
              <c:f>[DanaFarber_Occupancy_1025.xlsx]TuftMC!$M$2:$M$34</c:f>
              <c:numCache>
                <c:formatCode>mmm\-yy</c:formatCode>
                <c:ptCount val="33"/>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pt idx="12">
                  <c:v>44927</c:v>
                </c:pt>
                <c:pt idx="13">
                  <c:v>44958</c:v>
                </c:pt>
                <c:pt idx="14">
                  <c:v>44986</c:v>
                </c:pt>
                <c:pt idx="15">
                  <c:v>45017</c:v>
                </c:pt>
                <c:pt idx="16">
                  <c:v>45047</c:v>
                </c:pt>
                <c:pt idx="17">
                  <c:v>45078</c:v>
                </c:pt>
                <c:pt idx="18">
                  <c:v>45108</c:v>
                </c:pt>
                <c:pt idx="19">
                  <c:v>45139</c:v>
                </c:pt>
                <c:pt idx="20">
                  <c:v>45170</c:v>
                </c:pt>
                <c:pt idx="21">
                  <c:v>45200</c:v>
                </c:pt>
                <c:pt idx="22">
                  <c:v>45231</c:v>
                </c:pt>
                <c:pt idx="23">
                  <c:v>45261</c:v>
                </c:pt>
                <c:pt idx="24">
                  <c:v>45292</c:v>
                </c:pt>
                <c:pt idx="25">
                  <c:v>45323</c:v>
                </c:pt>
                <c:pt idx="26">
                  <c:v>45352</c:v>
                </c:pt>
                <c:pt idx="27">
                  <c:v>45383</c:v>
                </c:pt>
                <c:pt idx="28">
                  <c:v>45413</c:v>
                </c:pt>
                <c:pt idx="29">
                  <c:v>45444</c:v>
                </c:pt>
                <c:pt idx="30">
                  <c:v>45474</c:v>
                </c:pt>
                <c:pt idx="31">
                  <c:v>45505</c:v>
                </c:pt>
              </c:numCache>
            </c:numRef>
          </c:cat>
          <c:val>
            <c:numRef>
              <c:f>[DanaFarber_Occupancy_1025.xlsx]TuftMC!$P$2:$P$34</c:f>
              <c:numCache>
                <c:formatCode>0%</c:formatCode>
                <c:ptCount val="33"/>
                <c:pt idx="0">
                  <c:v>0.8744959677419355</c:v>
                </c:pt>
                <c:pt idx="1">
                  <c:v>0.90531994047619058</c:v>
                </c:pt>
                <c:pt idx="2">
                  <c:v>0.93094758064516137</c:v>
                </c:pt>
                <c:pt idx="3">
                  <c:v>0.87048611111111107</c:v>
                </c:pt>
                <c:pt idx="4">
                  <c:v>0.85114247311827951</c:v>
                </c:pt>
                <c:pt idx="5">
                  <c:v>0.90763888888888899</c:v>
                </c:pt>
                <c:pt idx="6">
                  <c:v>0.88592069892473113</c:v>
                </c:pt>
                <c:pt idx="7">
                  <c:v>0.89247311827956988</c:v>
                </c:pt>
                <c:pt idx="8">
                  <c:v>0.8803819444444444</c:v>
                </c:pt>
                <c:pt idx="9">
                  <c:v>0.87785618279569899</c:v>
                </c:pt>
                <c:pt idx="10">
                  <c:v>0.94630028735632177</c:v>
                </c:pt>
                <c:pt idx="11">
                  <c:v>0.92943548387096764</c:v>
                </c:pt>
                <c:pt idx="12">
                  <c:v>0.93145161290322587</c:v>
                </c:pt>
                <c:pt idx="13">
                  <c:v>0.93712797619047616</c:v>
                </c:pt>
                <c:pt idx="14">
                  <c:v>0.90473790322580649</c:v>
                </c:pt>
                <c:pt idx="15">
                  <c:v>0.94305555555555554</c:v>
                </c:pt>
                <c:pt idx="16">
                  <c:v>0.91414650537634412</c:v>
                </c:pt>
                <c:pt idx="17">
                  <c:v>0.94913194444444438</c:v>
                </c:pt>
                <c:pt idx="18">
                  <c:v>0.95127688172043012</c:v>
                </c:pt>
                <c:pt idx="19">
                  <c:v>0.9585013440860215</c:v>
                </c:pt>
                <c:pt idx="20">
                  <c:v>0.90364583333333337</c:v>
                </c:pt>
                <c:pt idx="21">
                  <c:v>0.95094086021505386</c:v>
                </c:pt>
                <c:pt idx="22">
                  <c:v>0.93246527777777777</c:v>
                </c:pt>
                <c:pt idx="23">
                  <c:v>0.95665322580645162</c:v>
                </c:pt>
                <c:pt idx="24">
                  <c:v>0.980510752688172</c:v>
                </c:pt>
                <c:pt idx="25">
                  <c:v>0.98509339080459768</c:v>
                </c:pt>
                <c:pt idx="26">
                  <c:v>0.97715053763440862</c:v>
                </c:pt>
                <c:pt idx="27">
                  <c:v>0.92465277777777777</c:v>
                </c:pt>
                <c:pt idx="28">
                  <c:v>0.9418682795698925</c:v>
                </c:pt>
                <c:pt idx="29">
                  <c:v>0.94618055555555547</c:v>
                </c:pt>
                <c:pt idx="30">
                  <c:v>0.98269489247311836</c:v>
                </c:pt>
                <c:pt idx="31">
                  <c:v>0.99277553763440862</c:v>
                </c:pt>
              </c:numCache>
            </c:numRef>
          </c:val>
          <c:smooth val="0"/>
          <c:extLst>
            <c:ext xmlns:c16="http://schemas.microsoft.com/office/drawing/2014/chart" uri="{C3380CC4-5D6E-409C-BE32-E72D297353CC}">
              <c16:uniqueId val="{00000002-5CE7-4D55-9316-49955E377075}"/>
            </c:ext>
          </c:extLst>
        </c:ser>
        <c:dLbls>
          <c:showLegendKey val="0"/>
          <c:showVal val="0"/>
          <c:showCatName val="0"/>
          <c:showSerName val="0"/>
          <c:showPercent val="0"/>
          <c:showBubbleSize val="0"/>
        </c:dLbls>
        <c:smooth val="0"/>
        <c:axId val="1671226336"/>
        <c:axId val="1671225376"/>
      </c:lineChart>
      <c:dateAx>
        <c:axId val="16712263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71225376"/>
        <c:crosses val="autoZero"/>
        <c:auto val="1"/>
        <c:lblOffset val="100"/>
        <c:baseTimeUnit val="months"/>
      </c:dateAx>
      <c:valAx>
        <c:axId val="167122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Occupancy Rate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671226336"/>
        <c:crosses val="autoZero"/>
        <c:crossBetween val="between"/>
      </c:valAx>
      <c:spPr>
        <a:solidFill>
          <a:schemeClr val="bg1">
            <a:lumMod val="95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8114</TotalTime>
  <Pages>108</Pages>
  <Words>37222</Words>
  <Characters>212170</Characters>
  <Application>Microsoft Office Word</Application>
  <DocSecurity>0</DocSecurity>
  <Lines>1768</Lines>
  <Paragraphs>497</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248895</CharactersWithSpaces>
  <SharedDoc>false</SharedDoc>
  <HLinks>
    <vt:vector size="408" baseType="variant">
      <vt:variant>
        <vt:i4>4391024</vt:i4>
      </vt:variant>
      <vt:variant>
        <vt:i4>183</vt:i4>
      </vt:variant>
      <vt:variant>
        <vt:i4>0</vt:i4>
      </vt:variant>
      <vt:variant>
        <vt:i4>5</vt:i4>
      </vt:variant>
      <vt:variant>
        <vt:lpwstr>mailto:DONCHI@Mass.gov</vt:lpwstr>
      </vt:variant>
      <vt:variant>
        <vt:lpwstr/>
      </vt:variant>
      <vt:variant>
        <vt:i4>5898347</vt:i4>
      </vt:variant>
      <vt:variant>
        <vt:i4>180</vt:i4>
      </vt:variant>
      <vt:variant>
        <vt:i4>0</vt:i4>
      </vt:variant>
      <vt:variant>
        <vt:i4>5</vt:i4>
      </vt:variant>
      <vt:variant>
        <vt:lpwstr>mailto:dongrants@hria.org</vt:lpwstr>
      </vt:variant>
      <vt:variant>
        <vt:lpwstr/>
      </vt:variant>
      <vt:variant>
        <vt:i4>1638463</vt:i4>
      </vt:variant>
      <vt:variant>
        <vt:i4>152</vt:i4>
      </vt:variant>
      <vt:variant>
        <vt:i4>0</vt:i4>
      </vt:variant>
      <vt:variant>
        <vt:i4>5</vt:i4>
      </vt:variant>
      <vt:variant>
        <vt:lpwstr/>
      </vt:variant>
      <vt:variant>
        <vt:lpwstr>_Toc190780605</vt:lpwstr>
      </vt:variant>
      <vt:variant>
        <vt:i4>1638463</vt:i4>
      </vt:variant>
      <vt:variant>
        <vt:i4>146</vt:i4>
      </vt:variant>
      <vt:variant>
        <vt:i4>0</vt:i4>
      </vt:variant>
      <vt:variant>
        <vt:i4>5</vt:i4>
      </vt:variant>
      <vt:variant>
        <vt:lpwstr/>
      </vt:variant>
      <vt:variant>
        <vt:lpwstr>_Toc190780604</vt:lpwstr>
      </vt:variant>
      <vt:variant>
        <vt:i4>1638463</vt:i4>
      </vt:variant>
      <vt:variant>
        <vt:i4>140</vt:i4>
      </vt:variant>
      <vt:variant>
        <vt:i4>0</vt:i4>
      </vt:variant>
      <vt:variant>
        <vt:i4>5</vt:i4>
      </vt:variant>
      <vt:variant>
        <vt:lpwstr/>
      </vt:variant>
      <vt:variant>
        <vt:lpwstr>_Toc190780603</vt:lpwstr>
      </vt:variant>
      <vt:variant>
        <vt:i4>1638463</vt:i4>
      </vt:variant>
      <vt:variant>
        <vt:i4>134</vt:i4>
      </vt:variant>
      <vt:variant>
        <vt:i4>0</vt:i4>
      </vt:variant>
      <vt:variant>
        <vt:i4>5</vt:i4>
      </vt:variant>
      <vt:variant>
        <vt:lpwstr/>
      </vt:variant>
      <vt:variant>
        <vt:lpwstr>_Toc190780602</vt:lpwstr>
      </vt:variant>
      <vt:variant>
        <vt:i4>1638463</vt:i4>
      </vt:variant>
      <vt:variant>
        <vt:i4>128</vt:i4>
      </vt:variant>
      <vt:variant>
        <vt:i4>0</vt:i4>
      </vt:variant>
      <vt:variant>
        <vt:i4>5</vt:i4>
      </vt:variant>
      <vt:variant>
        <vt:lpwstr/>
      </vt:variant>
      <vt:variant>
        <vt:lpwstr>_Toc190780601</vt:lpwstr>
      </vt:variant>
      <vt:variant>
        <vt:i4>1638463</vt:i4>
      </vt:variant>
      <vt:variant>
        <vt:i4>122</vt:i4>
      </vt:variant>
      <vt:variant>
        <vt:i4>0</vt:i4>
      </vt:variant>
      <vt:variant>
        <vt:i4>5</vt:i4>
      </vt:variant>
      <vt:variant>
        <vt:lpwstr/>
      </vt:variant>
      <vt:variant>
        <vt:lpwstr>_Toc190780600</vt:lpwstr>
      </vt:variant>
      <vt:variant>
        <vt:i4>1048636</vt:i4>
      </vt:variant>
      <vt:variant>
        <vt:i4>116</vt:i4>
      </vt:variant>
      <vt:variant>
        <vt:i4>0</vt:i4>
      </vt:variant>
      <vt:variant>
        <vt:i4>5</vt:i4>
      </vt:variant>
      <vt:variant>
        <vt:lpwstr/>
      </vt:variant>
      <vt:variant>
        <vt:lpwstr>_Toc190780599</vt:lpwstr>
      </vt:variant>
      <vt:variant>
        <vt:i4>1048636</vt:i4>
      </vt:variant>
      <vt:variant>
        <vt:i4>110</vt:i4>
      </vt:variant>
      <vt:variant>
        <vt:i4>0</vt:i4>
      </vt:variant>
      <vt:variant>
        <vt:i4>5</vt:i4>
      </vt:variant>
      <vt:variant>
        <vt:lpwstr/>
      </vt:variant>
      <vt:variant>
        <vt:lpwstr>_Toc190780598</vt:lpwstr>
      </vt:variant>
      <vt:variant>
        <vt:i4>1048636</vt:i4>
      </vt:variant>
      <vt:variant>
        <vt:i4>104</vt:i4>
      </vt:variant>
      <vt:variant>
        <vt:i4>0</vt:i4>
      </vt:variant>
      <vt:variant>
        <vt:i4>5</vt:i4>
      </vt:variant>
      <vt:variant>
        <vt:lpwstr/>
      </vt:variant>
      <vt:variant>
        <vt:lpwstr>_Toc190780597</vt:lpwstr>
      </vt:variant>
      <vt:variant>
        <vt:i4>1048636</vt:i4>
      </vt:variant>
      <vt:variant>
        <vt:i4>98</vt:i4>
      </vt:variant>
      <vt:variant>
        <vt:i4>0</vt:i4>
      </vt:variant>
      <vt:variant>
        <vt:i4>5</vt:i4>
      </vt:variant>
      <vt:variant>
        <vt:lpwstr/>
      </vt:variant>
      <vt:variant>
        <vt:lpwstr>_Toc190780596</vt:lpwstr>
      </vt:variant>
      <vt:variant>
        <vt:i4>1048636</vt:i4>
      </vt:variant>
      <vt:variant>
        <vt:i4>92</vt:i4>
      </vt:variant>
      <vt:variant>
        <vt:i4>0</vt:i4>
      </vt:variant>
      <vt:variant>
        <vt:i4>5</vt:i4>
      </vt:variant>
      <vt:variant>
        <vt:lpwstr/>
      </vt:variant>
      <vt:variant>
        <vt:lpwstr>_Toc190780595</vt:lpwstr>
      </vt:variant>
      <vt:variant>
        <vt:i4>1048636</vt:i4>
      </vt:variant>
      <vt:variant>
        <vt:i4>86</vt:i4>
      </vt:variant>
      <vt:variant>
        <vt:i4>0</vt:i4>
      </vt:variant>
      <vt:variant>
        <vt:i4>5</vt:i4>
      </vt:variant>
      <vt:variant>
        <vt:lpwstr/>
      </vt:variant>
      <vt:variant>
        <vt:lpwstr>_Toc190780594</vt:lpwstr>
      </vt:variant>
      <vt:variant>
        <vt:i4>1048636</vt:i4>
      </vt:variant>
      <vt:variant>
        <vt:i4>80</vt:i4>
      </vt:variant>
      <vt:variant>
        <vt:i4>0</vt:i4>
      </vt:variant>
      <vt:variant>
        <vt:i4>5</vt:i4>
      </vt:variant>
      <vt:variant>
        <vt:lpwstr/>
      </vt:variant>
      <vt:variant>
        <vt:lpwstr>_Toc190780593</vt:lpwstr>
      </vt:variant>
      <vt:variant>
        <vt:i4>1048636</vt:i4>
      </vt:variant>
      <vt:variant>
        <vt:i4>74</vt:i4>
      </vt:variant>
      <vt:variant>
        <vt:i4>0</vt:i4>
      </vt:variant>
      <vt:variant>
        <vt:i4>5</vt:i4>
      </vt:variant>
      <vt:variant>
        <vt:lpwstr/>
      </vt:variant>
      <vt:variant>
        <vt:lpwstr>_Toc190780592</vt:lpwstr>
      </vt:variant>
      <vt:variant>
        <vt:i4>1048636</vt:i4>
      </vt:variant>
      <vt:variant>
        <vt:i4>68</vt:i4>
      </vt:variant>
      <vt:variant>
        <vt:i4>0</vt:i4>
      </vt:variant>
      <vt:variant>
        <vt:i4>5</vt:i4>
      </vt:variant>
      <vt:variant>
        <vt:lpwstr/>
      </vt:variant>
      <vt:variant>
        <vt:lpwstr>_Toc190780591</vt:lpwstr>
      </vt:variant>
      <vt:variant>
        <vt:i4>1048636</vt:i4>
      </vt:variant>
      <vt:variant>
        <vt:i4>62</vt:i4>
      </vt:variant>
      <vt:variant>
        <vt:i4>0</vt:i4>
      </vt:variant>
      <vt:variant>
        <vt:i4>5</vt:i4>
      </vt:variant>
      <vt:variant>
        <vt:lpwstr/>
      </vt:variant>
      <vt:variant>
        <vt:lpwstr>_Toc190780590</vt:lpwstr>
      </vt:variant>
      <vt:variant>
        <vt:i4>1114172</vt:i4>
      </vt:variant>
      <vt:variant>
        <vt:i4>56</vt:i4>
      </vt:variant>
      <vt:variant>
        <vt:i4>0</vt:i4>
      </vt:variant>
      <vt:variant>
        <vt:i4>5</vt:i4>
      </vt:variant>
      <vt:variant>
        <vt:lpwstr/>
      </vt:variant>
      <vt:variant>
        <vt:lpwstr>_Toc190780589</vt:lpwstr>
      </vt:variant>
      <vt:variant>
        <vt:i4>1114172</vt:i4>
      </vt:variant>
      <vt:variant>
        <vt:i4>50</vt:i4>
      </vt:variant>
      <vt:variant>
        <vt:i4>0</vt:i4>
      </vt:variant>
      <vt:variant>
        <vt:i4>5</vt:i4>
      </vt:variant>
      <vt:variant>
        <vt:lpwstr/>
      </vt:variant>
      <vt:variant>
        <vt:lpwstr>_Toc190780588</vt:lpwstr>
      </vt:variant>
      <vt:variant>
        <vt:i4>1114172</vt:i4>
      </vt:variant>
      <vt:variant>
        <vt:i4>44</vt:i4>
      </vt:variant>
      <vt:variant>
        <vt:i4>0</vt:i4>
      </vt:variant>
      <vt:variant>
        <vt:i4>5</vt:i4>
      </vt:variant>
      <vt:variant>
        <vt:lpwstr/>
      </vt:variant>
      <vt:variant>
        <vt:lpwstr>_Toc190780587</vt:lpwstr>
      </vt:variant>
      <vt:variant>
        <vt:i4>1114172</vt:i4>
      </vt:variant>
      <vt:variant>
        <vt:i4>38</vt:i4>
      </vt:variant>
      <vt:variant>
        <vt:i4>0</vt:i4>
      </vt:variant>
      <vt:variant>
        <vt:i4>5</vt:i4>
      </vt:variant>
      <vt:variant>
        <vt:lpwstr/>
      </vt:variant>
      <vt:variant>
        <vt:lpwstr>_Toc190780586</vt:lpwstr>
      </vt:variant>
      <vt:variant>
        <vt:i4>1114172</vt:i4>
      </vt:variant>
      <vt:variant>
        <vt:i4>32</vt:i4>
      </vt:variant>
      <vt:variant>
        <vt:i4>0</vt:i4>
      </vt:variant>
      <vt:variant>
        <vt:i4>5</vt:i4>
      </vt:variant>
      <vt:variant>
        <vt:lpwstr/>
      </vt:variant>
      <vt:variant>
        <vt:lpwstr>_Toc190780585</vt:lpwstr>
      </vt:variant>
      <vt:variant>
        <vt:i4>1114172</vt:i4>
      </vt:variant>
      <vt:variant>
        <vt:i4>26</vt:i4>
      </vt:variant>
      <vt:variant>
        <vt:i4>0</vt:i4>
      </vt:variant>
      <vt:variant>
        <vt:i4>5</vt:i4>
      </vt:variant>
      <vt:variant>
        <vt:lpwstr/>
      </vt:variant>
      <vt:variant>
        <vt:lpwstr>_Toc190780584</vt:lpwstr>
      </vt:variant>
      <vt:variant>
        <vt:i4>1114172</vt:i4>
      </vt:variant>
      <vt:variant>
        <vt:i4>20</vt:i4>
      </vt:variant>
      <vt:variant>
        <vt:i4>0</vt:i4>
      </vt:variant>
      <vt:variant>
        <vt:i4>5</vt:i4>
      </vt:variant>
      <vt:variant>
        <vt:lpwstr/>
      </vt:variant>
      <vt:variant>
        <vt:lpwstr>_Toc190780583</vt:lpwstr>
      </vt:variant>
      <vt:variant>
        <vt:i4>1114172</vt:i4>
      </vt:variant>
      <vt:variant>
        <vt:i4>14</vt:i4>
      </vt:variant>
      <vt:variant>
        <vt:i4>0</vt:i4>
      </vt:variant>
      <vt:variant>
        <vt:i4>5</vt:i4>
      </vt:variant>
      <vt:variant>
        <vt:lpwstr/>
      </vt:variant>
      <vt:variant>
        <vt:lpwstr>_Toc190780582</vt:lpwstr>
      </vt:variant>
      <vt:variant>
        <vt:i4>1114172</vt:i4>
      </vt:variant>
      <vt:variant>
        <vt:i4>8</vt:i4>
      </vt:variant>
      <vt:variant>
        <vt:i4>0</vt:i4>
      </vt:variant>
      <vt:variant>
        <vt:i4>5</vt:i4>
      </vt:variant>
      <vt:variant>
        <vt:lpwstr/>
      </vt:variant>
      <vt:variant>
        <vt:lpwstr>_Toc190780581</vt:lpwstr>
      </vt:variant>
      <vt:variant>
        <vt:i4>1114172</vt:i4>
      </vt:variant>
      <vt:variant>
        <vt:i4>2</vt:i4>
      </vt:variant>
      <vt:variant>
        <vt:i4>0</vt:i4>
      </vt:variant>
      <vt:variant>
        <vt:i4>5</vt:i4>
      </vt:variant>
      <vt:variant>
        <vt:lpwstr/>
      </vt:variant>
      <vt:variant>
        <vt:lpwstr>_Toc190780580</vt:lpwstr>
      </vt:variant>
      <vt:variant>
        <vt:i4>3145848</vt:i4>
      </vt:variant>
      <vt:variant>
        <vt:i4>3</vt:i4>
      </vt:variant>
      <vt:variant>
        <vt:i4>0</vt:i4>
      </vt:variant>
      <vt:variant>
        <vt:i4>5</vt:i4>
      </vt:variant>
      <vt:variant>
        <vt:lpwstr>https://data.cms.gov/provider-data/topics/hospitals/pps-exempt-cancer-hospitals</vt:lpwstr>
      </vt:variant>
      <vt:variant>
        <vt:lpwstr/>
      </vt:variant>
      <vt:variant>
        <vt:i4>589833</vt:i4>
      </vt:variant>
      <vt:variant>
        <vt:i4>0</vt:i4>
      </vt:variant>
      <vt:variant>
        <vt:i4>0</vt:i4>
      </vt:variant>
      <vt:variant>
        <vt:i4>5</vt:i4>
      </vt:variant>
      <vt:variant>
        <vt:lpwstr>https://pubmed.ncbi.nlm.nih.gov/33910041/</vt:lpwstr>
      </vt:variant>
      <vt:variant>
        <vt:lpwstr/>
      </vt:variant>
      <vt:variant>
        <vt:i4>7405679</vt:i4>
      </vt:variant>
      <vt:variant>
        <vt:i4>111</vt:i4>
      </vt:variant>
      <vt:variant>
        <vt:i4>0</vt:i4>
      </vt:variant>
      <vt:variant>
        <vt:i4>5</vt:i4>
      </vt:variant>
      <vt:variant>
        <vt:lpwstr>https://www.radiologyinfo.org/en/info/linac</vt:lpwstr>
      </vt:variant>
      <vt:variant>
        <vt:lpwstr/>
      </vt:variant>
      <vt:variant>
        <vt:i4>6226004</vt:i4>
      </vt:variant>
      <vt:variant>
        <vt:i4>108</vt:i4>
      </vt:variant>
      <vt:variant>
        <vt:i4>0</vt:i4>
      </vt:variant>
      <vt:variant>
        <vt:i4>5</vt:i4>
      </vt:variant>
      <vt:variant>
        <vt:lpwstr>https://www.cancer.org/cancer/managing-cancer/treatment-types/radiation/external-beam-radiation-therapy.html</vt:lpwstr>
      </vt:variant>
      <vt:variant>
        <vt:lpwstr/>
      </vt:variant>
      <vt:variant>
        <vt:i4>1507333</vt:i4>
      </vt:variant>
      <vt:variant>
        <vt:i4>105</vt:i4>
      </vt:variant>
      <vt:variant>
        <vt:i4>0</vt:i4>
      </vt:variant>
      <vt:variant>
        <vt:i4>5</vt:i4>
      </vt:variant>
      <vt:variant>
        <vt:lpwstr>https://radonc.med.ufl.edu/patient-care/technologies-and-resources/treatment-techniques/</vt:lpwstr>
      </vt:variant>
      <vt:variant>
        <vt:lpwstr/>
      </vt:variant>
      <vt:variant>
        <vt:i4>7143480</vt:i4>
      </vt:variant>
      <vt:variant>
        <vt:i4>102</vt:i4>
      </vt:variant>
      <vt:variant>
        <vt:i4>0</vt:i4>
      </vt:variant>
      <vt:variant>
        <vt:i4>5</vt:i4>
      </vt:variant>
      <vt:variant>
        <vt:lpwstr>https://www.amberusa.com/blog/ct-scanner-and-ct-simulator-what-are-the-differences</vt:lpwstr>
      </vt:variant>
      <vt:variant>
        <vt:lpwstr/>
      </vt:variant>
      <vt:variant>
        <vt:i4>2031626</vt:i4>
      </vt:variant>
      <vt:variant>
        <vt:i4>99</vt:i4>
      </vt:variant>
      <vt:variant>
        <vt:i4>0</vt:i4>
      </vt:variant>
      <vt:variant>
        <vt:i4>5</vt:i4>
      </vt:variant>
      <vt:variant>
        <vt:lpwstr>https://info.atlantisworldwide.com/blog/the-difference-between-a-ct-scanner-ct-simulator</vt:lpwstr>
      </vt:variant>
      <vt:variant>
        <vt:lpwstr/>
      </vt:variant>
      <vt:variant>
        <vt:i4>524300</vt:i4>
      </vt:variant>
      <vt:variant>
        <vt:i4>96</vt:i4>
      </vt:variant>
      <vt:variant>
        <vt:i4>0</vt:i4>
      </vt:variant>
      <vt:variant>
        <vt:i4>5</vt:i4>
      </vt:variant>
      <vt:variant>
        <vt:lpwstr>https://www.radiologyinfo.org/en/info/pet</vt:lpwstr>
      </vt:variant>
      <vt:variant>
        <vt:lpwstr>:~:text=A%20PET%20scan%20measures%20important,the%20inside%20of%20the%20body</vt:lpwstr>
      </vt:variant>
      <vt:variant>
        <vt:i4>2162808</vt:i4>
      </vt:variant>
      <vt:variant>
        <vt:i4>93</vt:i4>
      </vt:variant>
      <vt:variant>
        <vt:i4>0</vt:i4>
      </vt:variant>
      <vt:variant>
        <vt:i4>5</vt:i4>
      </vt:variant>
      <vt:variant>
        <vt:lpwstr>https://www.cancer.org/cancer/diagnosis-staging/tests/imaging-tests/mri-for-cancer.html</vt:lpwstr>
      </vt:variant>
      <vt:variant>
        <vt:lpwstr/>
      </vt:variant>
      <vt:variant>
        <vt:i4>2031626</vt:i4>
      </vt:variant>
      <vt:variant>
        <vt:i4>90</vt:i4>
      </vt:variant>
      <vt:variant>
        <vt:i4>0</vt:i4>
      </vt:variant>
      <vt:variant>
        <vt:i4>5</vt:i4>
      </vt:variant>
      <vt:variant>
        <vt:lpwstr>https://info.atlantisworldwide.com/blog/the-difference-between-a-ct-scanner-ct-simulator</vt:lpwstr>
      </vt:variant>
      <vt:variant>
        <vt:lpwstr/>
      </vt:variant>
      <vt:variant>
        <vt:i4>3473471</vt:i4>
      </vt:variant>
      <vt:variant>
        <vt:i4>87</vt:i4>
      </vt:variant>
      <vt:variant>
        <vt:i4>0</vt:i4>
      </vt:variant>
      <vt:variant>
        <vt:i4>5</vt:i4>
      </vt:variant>
      <vt:variant>
        <vt:lpwstr>https://www.cancer.org/cancer/diagnosis-staging/tests/imaging-tests/ct-scan-for-cancer.html</vt:lpwstr>
      </vt:variant>
      <vt:variant>
        <vt:lpwstr/>
      </vt:variant>
      <vt:variant>
        <vt:i4>851968</vt:i4>
      </vt:variant>
      <vt:variant>
        <vt:i4>84</vt:i4>
      </vt:variant>
      <vt:variant>
        <vt:i4>0</vt:i4>
      </vt:variant>
      <vt:variant>
        <vt:i4>5</vt:i4>
      </vt:variant>
      <vt:variant>
        <vt:lpwstr>https://www.cms.gov/medicare/payment/prospective-payment-systems/acute-inpatient-pps/pps-exempt-cancer-hospitals-pchs</vt:lpwstr>
      </vt:variant>
      <vt:variant>
        <vt:lpwstr/>
      </vt:variant>
      <vt:variant>
        <vt:i4>6488160</vt:i4>
      </vt:variant>
      <vt:variant>
        <vt:i4>81</vt:i4>
      </vt:variant>
      <vt:variant>
        <vt:i4>0</vt:i4>
      </vt:variant>
      <vt:variant>
        <vt:i4>5</vt:i4>
      </vt:variant>
      <vt:variant>
        <vt:lpwstr>https://www.mass.gov/doc/2023-health-care-cost-trends-report-chartpack/download</vt:lpwstr>
      </vt:variant>
      <vt:variant>
        <vt:lpwstr/>
      </vt:variant>
      <vt:variant>
        <vt:i4>90</vt:i4>
      </vt:variant>
      <vt:variant>
        <vt:i4>78</vt:i4>
      </vt:variant>
      <vt:variant>
        <vt:i4>0</vt:i4>
      </vt:variant>
      <vt:variant>
        <vt:i4>5</vt:i4>
      </vt:variant>
      <vt:variant>
        <vt:lpwstr>https://www.chiamass.gov/relative-price-and-provider-price-variation/</vt:lpwstr>
      </vt:variant>
      <vt:variant>
        <vt:lpwstr/>
      </vt:variant>
      <vt:variant>
        <vt:i4>8</vt:i4>
      </vt:variant>
      <vt:variant>
        <vt:i4>75</vt:i4>
      </vt:variant>
      <vt:variant>
        <vt:i4>0</vt:i4>
      </vt:variant>
      <vt:variant>
        <vt:i4>5</vt:i4>
      </vt:variant>
      <vt:variant>
        <vt:lpwstr>https://www.mass.gov/files/documents/2018/12/31/jud-lib-105cmr100.pdf</vt:lpwstr>
      </vt:variant>
      <vt:variant>
        <vt:lpwstr/>
      </vt:variant>
      <vt:variant>
        <vt:i4>8192104</vt:i4>
      </vt:variant>
      <vt:variant>
        <vt:i4>72</vt:i4>
      </vt:variant>
      <vt:variant>
        <vt:i4>0</vt:i4>
      </vt:variant>
      <vt:variant>
        <vt:i4>5</vt:i4>
      </vt:variant>
      <vt:variant>
        <vt:lpwstr>https://www.mass.gov/doc/communityengagement-guidelines-for-community-health-planning-pdf/download</vt:lpwstr>
      </vt:variant>
      <vt:variant>
        <vt:lpwstr/>
      </vt:variant>
      <vt:variant>
        <vt:i4>6160454</vt:i4>
      </vt:variant>
      <vt:variant>
        <vt:i4>69</vt:i4>
      </vt:variant>
      <vt:variant>
        <vt:i4>0</vt:i4>
      </vt:variant>
      <vt:variant>
        <vt:i4>5</vt:i4>
      </vt:variant>
      <vt:variant>
        <vt:lpwstr>https://www.cbsnews.com/boston/news/dana-farber-dr-christopher-lathan-cancer-care-equity-program/</vt:lpwstr>
      </vt:variant>
      <vt:variant>
        <vt:lpwstr/>
      </vt:variant>
      <vt:variant>
        <vt:i4>7143504</vt:i4>
      </vt:variant>
      <vt:variant>
        <vt:i4>66</vt:i4>
      </vt:variant>
      <vt:variant>
        <vt:i4>0</vt:i4>
      </vt:variant>
      <vt:variant>
        <vt:i4>5</vt:i4>
      </vt:variant>
      <vt:variant>
        <vt:lpwstr>https://www.jointcommission.org/-/media/tjc/documents/standards/r3-reports/r3_npsg-16.pdf</vt:lpwstr>
      </vt:variant>
      <vt:variant>
        <vt:lpwstr/>
      </vt:variant>
      <vt:variant>
        <vt:i4>7602224</vt:i4>
      </vt:variant>
      <vt:variant>
        <vt:i4>63</vt:i4>
      </vt:variant>
      <vt:variant>
        <vt:i4>0</vt:i4>
      </vt:variant>
      <vt:variant>
        <vt:i4>5</vt:i4>
      </vt:variant>
      <vt:variant>
        <vt:lpwstr>https://www.beckershospitalreview.com/quality/research-identifies-predictive-link-between-cancer-outcomes-and-medicare-claims.html</vt:lpwstr>
      </vt:variant>
      <vt:variant>
        <vt:lpwstr/>
      </vt:variant>
      <vt:variant>
        <vt:i4>6357103</vt:i4>
      </vt:variant>
      <vt:variant>
        <vt:i4>60</vt:i4>
      </vt:variant>
      <vt:variant>
        <vt:i4>0</vt:i4>
      </vt:variant>
      <vt:variant>
        <vt:i4>5</vt:i4>
      </vt:variant>
      <vt:variant>
        <vt:lpwstr>https://bmtinfonet.org/directory-car-t-cell-therapy-centers</vt:lpwstr>
      </vt:variant>
      <vt:variant>
        <vt:lpwstr/>
      </vt:variant>
      <vt:variant>
        <vt:i4>1572943</vt:i4>
      </vt:variant>
      <vt:variant>
        <vt:i4>57</vt:i4>
      </vt:variant>
      <vt:variant>
        <vt:i4>0</vt:i4>
      </vt:variant>
      <vt:variant>
        <vt:i4>5</vt:i4>
      </vt:variant>
      <vt:variant>
        <vt:lpwstr>https://bmtinfonet.org/centersearch?tid=All&amp;treatment=All&amp;state_province=1020&amp;field_tc_unit_value=2</vt:lpwstr>
      </vt:variant>
      <vt:variant>
        <vt:lpwstr/>
      </vt:variant>
      <vt:variant>
        <vt:i4>2490473</vt:i4>
      </vt:variant>
      <vt:variant>
        <vt:i4>54</vt:i4>
      </vt:variant>
      <vt:variant>
        <vt:i4>0</vt:i4>
      </vt:variant>
      <vt:variant>
        <vt:i4>5</vt:i4>
      </vt:variant>
      <vt:variant>
        <vt:lpwstr>https://www.boston.com/news/local-news/2024/01/21/mass-general-declares-capacity-disaster/</vt:lpwstr>
      </vt:variant>
      <vt:variant>
        <vt:lpwstr/>
      </vt:variant>
      <vt:variant>
        <vt:i4>5505099</vt:i4>
      </vt:variant>
      <vt:variant>
        <vt:i4>51</vt:i4>
      </vt:variant>
      <vt:variant>
        <vt:i4>0</vt:i4>
      </vt:variant>
      <vt:variant>
        <vt:i4>5</vt:i4>
      </vt:variant>
      <vt:variant>
        <vt:lpwstr>https://www.bostonglobe.com/2024/02/06/business/some-mass-hospitals-at-tier-3-risk-due-to-capacity-issues-report-says/?event=event12</vt:lpwstr>
      </vt:variant>
      <vt:variant>
        <vt:lpwstr/>
      </vt:variant>
      <vt:variant>
        <vt:i4>1310746</vt:i4>
      </vt:variant>
      <vt:variant>
        <vt:i4>48</vt:i4>
      </vt:variant>
      <vt:variant>
        <vt:i4>0</vt:i4>
      </vt:variant>
      <vt:variant>
        <vt:i4>5</vt:i4>
      </vt:variant>
      <vt:variant>
        <vt:lpwstr>https://www.mass.gov/info-details/covid-19-public-health-guidance-and-directives</vt:lpwstr>
      </vt:variant>
      <vt:variant>
        <vt:lpwstr/>
      </vt:variant>
      <vt:variant>
        <vt:i4>1966088</vt:i4>
      </vt:variant>
      <vt:variant>
        <vt:i4>45</vt:i4>
      </vt:variant>
      <vt:variant>
        <vt:i4>0</vt:i4>
      </vt:variant>
      <vt:variant>
        <vt:i4>5</vt:i4>
      </vt:variant>
      <vt:variant>
        <vt:lpwstr>https://blog.dana-farber.org/insight/2019/06/whats-the-difference-between-outpatient-stem-cell-transplants-and-inpatient-transplants/</vt:lpwstr>
      </vt:variant>
      <vt:variant>
        <vt:lpwstr/>
      </vt:variant>
      <vt:variant>
        <vt:i4>6029378</vt:i4>
      </vt:variant>
      <vt:variant>
        <vt:i4>42</vt:i4>
      </vt:variant>
      <vt:variant>
        <vt:i4>0</vt:i4>
      </vt:variant>
      <vt:variant>
        <vt:i4>5</vt:i4>
      </vt:variant>
      <vt:variant>
        <vt:lpwstr>https://www.cancer.org/cancer/managing-cancer/treatment-types/immunotherapy/car-t-cell1.html</vt:lpwstr>
      </vt:variant>
      <vt:variant>
        <vt:lpwstr/>
      </vt:variant>
      <vt:variant>
        <vt:i4>5242911</vt:i4>
      </vt:variant>
      <vt:variant>
        <vt:i4>39</vt:i4>
      </vt:variant>
      <vt:variant>
        <vt:i4>0</vt:i4>
      </vt:variant>
      <vt:variant>
        <vt:i4>5</vt:i4>
      </vt:variant>
      <vt:variant>
        <vt:lpwstr>https://www.lls.org/leukemia/acute-lymphoblastic-leukemia/treatment/chemotherapy</vt:lpwstr>
      </vt:variant>
      <vt:variant>
        <vt:lpwstr/>
      </vt:variant>
      <vt:variant>
        <vt:i4>3801197</vt:i4>
      </vt:variant>
      <vt:variant>
        <vt:i4>36</vt:i4>
      </vt:variant>
      <vt:variant>
        <vt:i4>0</vt:i4>
      </vt:variant>
      <vt:variant>
        <vt:i4>5</vt:i4>
      </vt:variant>
      <vt:variant>
        <vt:lpwstr>https://www.cancer.org/content/dam/cancer-org/research/cancer-facts-and-statistics/cancer-treatment-and-survivorship-facts-and-figures/2022-cancer-treatment-and-survivorship-fandf-acs.pdf</vt:lpwstr>
      </vt:variant>
      <vt:variant>
        <vt:lpwstr/>
      </vt:variant>
      <vt:variant>
        <vt:i4>4390913</vt:i4>
      </vt:variant>
      <vt:variant>
        <vt:i4>33</vt:i4>
      </vt:variant>
      <vt:variant>
        <vt:i4>0</vt:i4>
      </vt:variant>
      <vt:variant>
        <vt:i4>5</vt:i4>
      </vt:variant>
      <vt:variant>
        <vt:lpwstr>https://www.cdc.gov/cancer-survivors/hcp/info/index.html</vt:lpwstr>
      </vt:variant>
      <vt:variant>
        <vt:lpwstr/>
      </vt:variant>
      <vt:variant>
        <vt:i4>6422646</vt:i4>
      </vt:variant>
      <vt:variant>
        <vt:i4>30</vt:i4>
      </vt:variant>
      <vt:variant>
        <vt:i4>0</vt:i4>
      </vt:variant>
      <vt:variant>
        <vt:i4>5</vt:i4>
      </vt:variant>
      <vt:variant>
        <vt:lpwstr>https://dfci.widen.net/s/rgj28wdsgj/cancer-chna-report-2022.pdf</vt:lpwstr>
      </vt:variant>
      <vt:variant>
        <vt:lpwstr/>
      </vt:variant>
      <vt:variant>
        <vt:i4>3342372</vt:i4>
      </vt:variant>
      <vt:variant>
        <vt:i4>27</vt:i4>
      </vt:variant>
      <vt:variant>
        <vt:i4>0</vt:i4>
      </vt:variant>
      <vt:variant>
        <vt:i4>5</vt:i4>
      </vt:variant>
      <vt:variant>
        <vt:lpwstr>https://doi.org/10.1093/jnci/djz106</vt:lpwstr>
      </vt:variant>
      <vt:variant>
        <vt:lpwstr/>
      </vt:variant>
      <vt:variant>
        <vt:i4>7667745</vt:i4>
      </vt:variant>
      <vt:variant>
        <vt:i4>24</vt:i4>
      </vt:variant>
      <vt:variant>
        <vt:i4>0</vt:i4>
      </vt:variant>
      <vt:variant>
        <vt:i4>5</vt:i4>
      </vt:variant>
      <vt:variant>
        <vt:lpwstr>https://hdpulse.nimhd.nih.gov/</vt:lpwstr>
      </vt:variant>
      <vt:variant>
        <vt:lpwstr/>
      </vt:variant>
      <vt:variant>
        <vt:i4>2359413</vt:i4>
      </vt:variant>
      <vt:variant>
        <vt:i4>21</vt:i4>
      </vt:variant>
      <vt:variant>
        <vt:i4>0</vt:i4>
      </vt:variant>
      <vt:variant>
        <vt:i4>5</vt:i4>
      </vt:variant>
      <vt:variant>
        <vt:lpwstr>http://dx.doi.org/10.5888/pcd18.210006</vt:lpwstr>
      </vt:variant>
      <vt:variant>
        <vt:lpwstr/>
      </vt:variant>
      <vt:variant>
        <vt:i4>5767180</vt:i4>
      </vt:variant>
      <vt:variant>
        <vt:i4>18</vt:i4>
      </vt:variant>
      <vt:variant>
        <vt:i4>0</vt:i4>
      </vt:variant>
      <vt:variant>
        <vt:i4>5</vt:i4>
      </vt:variant>
      <vt:variant>
        <vt:lpwstr>https://www.cancer.org/content/dam/cancer-org/research/cancer-facts-and-statistics/annual-cancer-facts-and-figures/2024/2024-cancer-facts-and-figures-acs.pdf</vt:lpwstr>
      </vt:variant>
      <vt:variant>
        <vt:lpwstr/>
      </vt:variant>
      <vt:variant>
        <vt:i4>3604598</vt:i4>
      </vt:variant>
      <vt:variant>
        <vt:i4>15</vt:i4>
      </vt:variant>
      <vt:variant>
        <vt:i4>0</vt:i4>
      </vt:variant>
      <vt:variant>
        <vt:i4>5</vt:i4>
      </vt:variant>
      <vt:variant>
        <vt:lpwstr>https://www.cancer.gov/about-cancer/causes-prevention/risk/age</vt:lpwstr>
      </vt:variant>
      <vt:variant>
        <vt:lpwstr/>
      </vt:variant>
      <vt:variant>
        <vt:i4>8192058</vt:i4>
      </vt:variant>
      <vt:variant>
        <vt:i4>12</vt:i4>
      </vt:variant>
      <vt:variant>
        <vt:i4>0</vt:i4>
      </vt:variant>
      <vt:variant>
        <vt:i4>5</vt:i4>
      </vt:variant>
      <vt:variant>
        <vt:lpwstr>https://donahue.umass.edu/business-groups/economic-public-policy-research/massachusetts-population-estimates-program/population-projections</vt:lpwstr>
      </vt:variant>
      <vt:variant>
        <vt:lpwstr/>
      </vt:variant>
      <vt:variant>
        <vt:i4>4587613</vt:i4>
      </vt:variant>
      <vt:variant>
        <vt:i4>9</vt:i4>
      </vt:variant>
      <vt:variant>
        <vt:i4>0</vt:i4>
      </vt:variant>
      <vt:variant>
        <vt:i4>5</vt:i4>
      </vt:variant>
      <vt:variant>
        <vt:lpwstr>https://www.prb.org/wp-content/uploads/2020/10/2019-74-1-Pop-Bulletin-Census.pdf</vt:lpwstr>
      </vt:variant>
      <vt:variant>
        <vt:lpwstr/>
      </vt:variant>
      <vt:variant>
        <vt:i4>5963786</vt:i4>
      </vt:variant>
      <vt:variant>
        <vt:i4>6</vt:i4>
      </vt:variant>
      <vt:variant>
        <vt:i4>0</vt:i4>
      </vt:variant>
      <vt:variant>
        <vt:i4>5</vt:i4>
      </vt:variant>
      <vt:variant>
        <vt:lpwstr>https://www.mass.gov/doc/presentation-board-meetings-january-25-2024/download</vt:lpwstr>
      </vt:variant>
      <vt:variant>
        <vt:lpwstr/>
      </vt:variant>
      <vt:variant>
        <vt:i4>5963786</vt:i4>
      </vt:variant>
      <vt:variant>
        <vt:i4>3</vt:i4>
      </vt:variant>
      <vt:variant>
        <vt:i4>0</vt:i4>
      </vt:variant>
      <vt:variant>
        <vt:i4>5</vt:i4>
      </vt:variant>
      <vt:variant>
        <vt:lpwstr>https://www.mass.gov/doc/presentation-board-meetings-january-25-2024/download</vt:lpwstr>
      </vt:variant>
      <vt:variant>
        <vt:lpwstr/>
      </vt:variant>
      <vt:variant>
        <vt:i4>5046274</vt:i4>
      </vt:variant>
      <vt:variant>
        <vt:i4>0</vt:i4>
      </vt:variant>
      <vt:variant>
        <vt:i4>0</vt:i4>
      </vt:variant>
      <vt:variant>
        <vt:i4>5</vt:i4>
      </vt:variant>
      <vt:variant>
        <vt:lpwstr>https://www.cancer.gov/research/infrastructure/cancer-centers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Lynn</dc:creator>
  <cp:keywords/>
  <cp:lastModifiedBy>Marks, Brett (DPH)</cp:lastModifiedBy>
  <cp:revision>3641</cp:revision>
  <cp:lastPrinted>2025-02-01T14:39:00Z</cp:lastPrinted>
  <dcterms:created xsi:type="dcterms:W3CDTF">2024-08-22T14:26:00Z</dcterms:created>
  <dcterms:modified xsi:type="dcterms:W3CDTF">2025-02-19T15:49:00Z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