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862"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139"/>
        <w:gridCol w:w="4953"/>
      </w:tblGrid>
      <w:tr w:rsidR="008C0709" w:rsidRPr="0016671D" w14:paraId="5E2173C9" w14:textId="77777777" w:rsidTr="3655DEAD">
        <w:trPr>
          <w:trHeight w:val="686"/>
          <w:tblHeader/>
        </w:trPr>
        <w:tc>
          <w:tcPr>
            <w:tcW w:w="5000" w:type="pct"/>
            <w:gridSpan w:val="2"/>
            <w:shd w:val="clear" w:color="auto" w:fill="D7F9FD"/>
            <w:vAlign w:val="center"/>
          </w:tcPr>
          <w:p w14:paraId="1B8C4D3E" w14:textId="48AF65AE" w:rsidR="008C0709" w:rsidRPr="0016671D" w:rsidRDefault="000A59C8" w:rsidP="00076C25">
            <w:pPr>
              <w:pStyle w:val="NoSpacing"/>
              <w:ind w:right="540"/>
              <w:contextualSpacing/>
              <w:jc w:val="center"/>
              <w:rPr>
                <w:b/>
              </w:rPr>
            </w:pPr>
            <w:r>
              <w:br w:type="page"/>
            </w:r>
            <w:r w:rsidR="00B02CF4">
              <w:rPr>
                <w:b/>
              </w:rPr>
              <w:t>S</w:t>
            </w:r>
            <w:r w:rsidR="008C0709" w:rsidRPr="0016671D">
              <w:rPr>
                <w:b/>
              </w:rPr>
              <w:t>TAFF REPORT TO THE PUBLIC HEALTH COUNCIL</w:t>
            </w:r>
          </w:p>
          <w:p w14:paraId="707BF2E0" w14:textId="77777777" w:rsidR="008C0709" w:rsidRPr="0016671D" w:rsidRDefault="008C0709" w:rsidP="00076C2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4313D9" w:rsidRPr="0016671D" w14:paraId="37A21A4B" w14:textId="77777777" w:rsidTr="3655DEAD">
        <w:trPr>
          <w:trHeight w:val="368"/>
        </w:trPr>
        <w:tc>
          <w:tcPr>
            <w:tcW w:w="2276" w:type="pct"/>
            <w:shd w:val="clear" w:color="auto" w:fill="auto"/>
            <w:vAlign w:val="center"/>
          </w:tcPr>
          <w:p w14:paraId="4463BBF6" w14:textId="77777777" w:rsidR="004313D9" w:rsidRPr="0016671D" w:rsidRDefault="004313D9" w:rsidP="004313D9">
            <w:pPr>
              <w:ind w:right="540"/>
              <w:contextualSpacing/>
            </w:pPr>
            <w:r w:rsidRPr="0016671D">
              <w:t xml:space="preserve">Applicant Name </w:t>
            </w:r>
          </w:p>
        </w:tc>
        <w:tc>
          <w:tcPr>
            <w:tcW w:w="2724" w:type="pct"/>
            <w:shd w:val="clear" w:color="auto" w:fill="auto"/>
            <w:vAlign w:val="center"/>
          </w:tcPr>
          <w:p w14:paraId="412EB352" w14:textId="7AB9A745" w:rsidR="004313D9" w:rsidRPr="002738AD" w:rsidRDefault="00C5577C" w:rsidP="004313D9">
            <w:pPr>
              <w:ind w:right="540"/>
              <w:contextualSpacing/>
            </w:pPr>
            <w:bookmarkStart w:id="0" w:name="_Hlk181112855"/>
            <w:r>
              <w:t>Atrius Health, Inc.</w:t>
            </w:r>
            <w:bookmarkEnd w:id="0"/>
          </w:p>
        </w:tc>
      </w:tr>
      <w:tr w:rsidR="004313D9" w:rsidRPr="0016671D" w14:paraId="7D5C8C8A" w14:textId="77777777" w:rsidTr="3655DEAD">
        <w:trPr>
          <w:trHeight w:val="306"/>
        </w:trPr>
        <w:tc>
          <w:tcPr>
            <w:tcW w:w="2276" w:type="pct"/>
            <w:shd w:val="clear" w:color="auto" w:fill="auto"/>
            <w:vAlign w:val="center"/>
          </w:tcPr>
          <w:p w14:paraId="60D7905A" w14:textId="77777777" w:rsidR="004313D9" w:rsidRPr="0016671D" w:rsidRDefault="004313D9" w:rsidP="004313D9">
            <w:pPr>
              <w:ind w:right="540"/>
              <w:contextualSpacing/>
            </w:pPr>
            <w:r w:rsidRPr="0016671D">
              <w:t xml:space="preserve">Applicant Address </w:t>
            </w:r>
          </w:p>
        </w:tc>
        <w:tc>
          <w:tcPr>
            <w:tcW w:w="2724" w:type="pct"/>
            <w:shd w:val="clear" w:color="auto" w:fill="auto"/>
            <w:vAlign w:val="center"/>
          </w:tcPr>
          <w:p w14:paraId="1241E44E" w14:textId="77777777" w:rsidR="00B8700C" w:rsidRDefault="001535F1" w:rsidP="00440274">
            <w:pPr>
              <w:ind w:right="-20"/>
              <w:contextualSpacing/>
              <w:rPr>
                <w:lang w:val="fr-FR"/>
              </w:rPr>
            </w:pPr>
            <w:r w:rsidRPr="001535F1">
              <w:rPr>
                <w:lang w:val="fr-FR"/>
              </w:rPr>
              <w:t>275 Grove Street, Suite 2-300</w:t>
            </w:r>
          </w:p>
          <w:p w14:paraId="48C9B61F" w14:textId="79AED87A" w:rsidR="001535F1" w:rsidRPr="002738AD" w:rsidRDefault="009B6340" w:rsidP="00440274">
            <w:pPr>
              <w:ind w:right="-20"/>
              <w:contextualSpacing/>
              <w:rPr>
                <w:lang w:val="fr-FR"/>
              </w:rPr>
            </w:pPr>
            <w:r>
              <w:rPr>
                <w:lang w:val="fr-FR"/>
              </w:rPr>
              <w:t>Newton, MA 02466</w:t>
            </w:r>
          </w:p>
        </w:tc>
      </w:tr>
      <w:tr w:rsidR="004313D9" w:rsidRPr="0016671D" w14:paraId="7F48402A" w14:textId="77777777" w:rsidTr="3655DEAD">
        <w:trPr>
          <w:trHeight w:val="323"/>
        </w:trPr>
        <w:tc>
          <w:tcPr>
            <w:tcW w:w="2276" w:type="pct"/>
            <w:shd w:val="clear" w:color="auto" w:fill="auto"/>
            <w:vAlign w:val="center"/>
          </w:tcPr>
          <w:p w14:paraId="62887CB2" w14:textId="77777777" w:rsidR="004313D9" w:rsidRPr="0016671D" w:rsidRDefault="004313D9" w:rsidP="004313D9">
            <w:pPr>
              <w:ind w:right="540"/>
              <w:contextualSpacing/>
            </w:pPr>
            <w:r w:rsidRPr="0016671D">
              <w:t>Filing Date</w:t>
            </w:r>
          </w:p>
        </w:tc>
        <w:tc>
          <w:tcPr>
            <w:tcW w:w="2724" w:type="pct"/>
            <w:shd w:val="clear" w:color="auto" w:fill="auto"/>
            <w:vAlign w:val="center"/>
          </w:tcPr>
          <w:p w14:paraId="2924AE87" w14:textId="36DC88A1" w:rsidR="004313D9" w:rsidRPr="002738AD" w:rsidRDefault="00E64DCD" w:rsidP="004313D9">
            <w:pPr>
              <w:ind w:right="540"/>
              <w:contextualSpacing/>
            </w:pPr>
            <w:r>
              <w:t>August 28, 2024</w:t>
            </w:r>
          </w:p>
        </w:tc>
      </w:tr>
      <w:tr w:rsidR="004313D9" w:rsidRPr="0016671D" w14:paraId="45BF54E4" w14:textId="77777777" w:rsidTr="3655DEAD">
        <w:trPr>
          <w:trHeight w:val="300"/>
        </w:trPr>
        <w:tc>
          <w:tcPr>
            <w:tcW w:w="2276" w:type="pct"/>
            <w:shd w:val="clear" w:color="auto" w:fill="auto"/>
            <w:vAlign w:val="center"/>
          </w:tcPr>
          <w:p w14:paraId="11D28445" w14:textId="77777777" w:rsidR="004313D9" w:rsidRPr="0016671D" w:rsidRDefault="004313D9" w:rsidP="004313D9">
            <w:pPr>
              <w:ind w:right="540"/>
              <w:contextualSpacing/>
            </w:pPr>
            <w:r w:rsidRPr="0016671D">
              <w:t>Type of DoN Application</w:t>
            </w:r>
          </w:p>
        </w:tc>
        <w:tc>
          <w:tcPr>
            <w:tcW w:w="2724" w:type="pct"/>
            <w:shd w:val="clear" w:color="auto" w:fill="auto"/>
            <w:vAlign w:val="center"/>
          </w:tcPr>
          <w:p w14:paraId="54290C07" w14:textId="71C12102" w:rsidR="004313D9" w:rsidRPr="002738AD" w:rsidRDefault="00984CD7" w:rsidP="004313D9">
            <w:pPr>
              <w:ind w:right="540"/>
              <w:contextualSpacing/>
            </w:pPr>
            <w:r>
              <w:t>Ambulatory Surgery Center</w:t>
            </w:r>
          </w:p>
        </w:tc>
      </w:tr>
      <w:tr w:rsidR="004313D9" w:rsidRPr="0016671D" w14:paraId="1C2D799A" w14:textId="77777777" w:rsidTr="3655DEAD">
        <w:trPr>
          <w:trHeight w:val="300"/>
        </w:trPr>
        <w:tc>
          <w:tcPr>
            <w:tcW w:w="2276" w:type="pct"/>
            <w:shd w:val="clear" w:color="auto" w:fill="auto"/>
            <w:vAlign w:val="center"/>
          </w:tcPr>
          <w:p w14:paraId="58287B54" w14:textId="77777777" w:rsidR="004313D9" w:rsidRPr="0016671D" w:rsidRDefault="004313D9" w:rsidP="004313D9">
            <w:pPr>
              <w:ind w:right="540"/>
              <w:contextualSpacing/>
            </w:pPr>
            <w:r w:rsidRPr="0016671D">
              <w:t>Total Value</w:t>
            </w:r>
          </w:p>
        </w:tc>
        <w:tc>
          <w:tcPr>
            <w:tcW w:w="2724" w:type="pct"/>
            <w:shd w:val="clear" w:color="auto" w:fill="auto"/>
            <w:vAlign w:val="center"/>
          </w:tcPr>
          <w:p w14:paraId="241030D1" w14:textId="62BB18A8" w:rsidR="004313D9" w:rsidRPr="002738AD" w:rsidRDefault="00BF4377" w:rsidP="004313D9">
            <w:pPr>
              <w:ind w:right="540"/>
              <w:contextualSpacing/>
            </w:pPr>
            <w:r w:rsidRPr="00BF4377">
              <w:t>$20,777,721.00</w:t>
            </w:r>
          </w:p>
        </w:tc>
      </w:tr>
      <w:tr w:rsidR="004313D9" w:rsidRPr="0016671D" w14:paraId="375F89F8" w14:textId="77777777" w:rsidTr="3655DEAD">
        <w:trPr>
          <w:trHeight w:val="300"/>
        </w:trPr>
        <w:tc>
          <w:tcPr>
            <w:tcW w:w="2276" w:type="pct"/>
            <w:shd w:val="clear" w:color="auto" w:fill="auto"/>
            <w:vAlign w:val="center"/>
          </w:tcPr>
          <w:p w14:paraId="179EBADA" w14:textId="77777777" w:rsidR="004313D9" w:rsidRPr="0016671D" w:rsidRDefault="004313D9" w:rsidP="004313D9">
            <w:pPr>
              <w:ind w:right="540"/>
              <w:contextualSpacing/>
            </w:pPr>
            <w:bookmarkStart w:id="1" w:name="_Hlk181112898"/>
            <w:r w:rsidRPr="0016671D">
              <w:t>Project Number</w:t>
            </w:r>
          </w:p>
        </w:tc>
        <w:tc>
          <w:tcPr>
            <w:tcW w:w="2724" w:type="pct"/>
            <w:shd w:val="clear" w:color="auto" w:fill="auto"/>
            <w:vAlign w:val="center"/>
          </w:tcPr>
          <w:p w14:paraId="3F72EF9F" w14:textId="29EEEE1E" w:rsidR="004313D9" w:rsidRPr="002738AD" w:rsidRDefault="00A96FBF" w:rsidP="004313D9">
            <w:pPr>
              <w:ind w:right="540"/>
              <w:contextualSpacing/>
            </w:pPr>
            <w:r w:rsidRPr="00A96FBF">
              <w:t>24061110-AS</w:t>
            </w:r>
          </w:p>
        </w:tc>
      </w:tr>
      <w:bookmarkEnd w:id="1"/>
      <w:tr w:rsidR="004313D9" w:rsidRPr="0016671D" w14:paraId="5AB437F4" w14:textId="77777777" w:rsidTr="3655DEAD">
        <w:trPr>
          <w:trHeight w:val="300"/>
        </w:trPr>
        <w:tc>
          <w:tcPr>
            <w:tcW w:w="2276" w:type="pct"/>
            <w:shd w:val="clear" w:color="auto" w:fill="auto"/>
            <w:vAlign w:val="center"/>
          </w:tcPr>
          <w:p w14:paraId="673CB573" w14:textId="77777777" w:rsidR="004313D9" w:rsidRPr="0016671D" w:rsidRDefault="004313D9" w:rsidP="004313D9">
            <w:pPr>
              <w:ind w:right="540"/>
              <w:contextualSpacing/>
            </w:pPr>
            <w:r w:rsidRPr="0016671D">
              <w:t>Ten Taxpayer Groups (TTG)</w:t>
            </w:r>
          </w:p>
        </w:tc>
        <w:tc>
          <w:tcPr>
            <w:tcW w:w="2724" w:type="pct"/>
            <w:shd w:val="clear" w:color="auto" w:fill="auto"/>
            <w:vAlign w:val="center"/>
          </w:tcPr>
          <w:p w14:paraId="1F09EC20" w14:textId="4A77E793" w:rsidR="004313D9" w:rsidRPr="002738AD" w:rsidRDefault="00995764" w:rsidP="004313D9">
            <w:pPr>
              <w:ind w:right="540"/>
              <w:contextualSpacing/>
            </w:pPr>
            <w:r>
              <w:t>None</w:t>
            </w:r>
          </w:p>
        </w:tc>
      </w:tr>
      <w:tr w:rsidR="004313D9" w:rsidRPr="0016671D" w14:paraId="4DC78A97" w14:textId="77777777" w:rsidTr="3655DEAD">
        <w:trPr>
          <w:trHeight w:val="300"/>
        </w:trPr>
        <w:tc>
          <w:tcPr>
            <w:tcW w:w="2276" w:type="pct"/>
            <w:shd w:val="clear" w:color="auto" w:fill="auto"/>
            <w:vAlign w:val="center"/>
          </w:tcPr>
          <w:p w14:paraId="4ED36B8C" w14:textId="77777777" w:rsidR="004313D9" w:rsidRPr="0016671D" w:rsidRDefault="004313D9" w:rsidP="004313D9">
            <w:pPr>
              <w:ind w:right="540"/>
              <w:contextualSpacing/>
            </w:pPr>
            <w:r w:rsidRPr="0016671D">
              <w:t>Community Health Initiative (CHI)</w:t>
            </w:r>
            <w:r w:rsidRPr="0016671D" w:rsidDel="00FB532E">
              <w:t xml:space="preserve"> </w:t>
            </w:r>
          </w:p>
        </w:tc>
        <w:tc>
          <w:tcPr>
            <w:tcW w:w="2724" w:type="pct"/>
            <w:shd w:val="clear" w:color="auto" w:fill="auto"/>
            <w:vAlign w:val="center"/>
          </w:tcPr>
          <w:p w14:paraId="1FD1C6E2" w14:textId="09C8D791" w:rsidR="004313D9" w:rsidRPr="002738AD" w:rsidRDefault="0062776D" w:rsidP="004313D9">
            <w:pPr>
              <w:ind w:right="540"/>
              <w:contextualSpacing/>
            </w:pPr>
            <w:r w:rsidRPr="0062776D">
              <w:t>$1,038,886.05</w:t>
            </w:r>
          </w:p>
        </w:tc>
      </w:tr>
      <w:tr w:rsidR="004313D9" w:rsidRPr="0016671D" w14:paraId="328C674C" w14:textId="77777777" w:rsidTr="3655DEAD">
        <w:trPr>
          <w:trHeight w:val="300"/>
        </w:trPr>
        <w:tc>
          <w:tcPr>
            <w:tcW w:w="2276" w:type="pct"/>
            <w:shd w:val="clear" w:color="auto" w:fill="auto"/>
            <w:vAlign w:val="center"/>
          </w:tcPr>
          <w:p w14:paraId="7B1CAF6C" w14:textId="77777777" w:rsidR="004313D9" w:rsidRPr="0016671D" w:rsidRDefault="004313D9" w:rsidP="004313D9">
            <w:pPr>
              <w:ind w:right="540"/>
              <w:contextualSpacing/>
            </w:pPr>
            <w:r w:rsidRPr="0016671D">
              <w:t>Staff Recommendation</w:t>
            </w:r>
          </w:p>
        </w:tc>
        <w:tc>
          <w:tcPr>
            <w:tcW w:w="2724" w:type="pct"/>
            <w:shd w:val="clear" w:color="auto" w:fill="auto"/>
            <w:vAlign w:val="center"/>
          </w:tcPr>
          <w:p w14:paraId="1682CA02" w14:textId="2FA49424" w:rsidR="004313D9" w:rsidRPr="002738AD" w:rsidRDefault="00E64DCD" w:rsidP="004313D9">
            <w:pPr>
              <w:ind w:right="540"/>
              <w:contextualSpacing/>
            </w:pPr>
            <w:r>
              <w:t>Approval</w:t>
            </w:r>
          </w:p>
        </w:tc>
      </w:tr>
      <w:tr w:rsidR="004313D9" w:rsidRPr="0016671D" w14:paraId="40C51467" w14:textId="77777777" w:rsidTr="3655DEAD">
        <w:trPr>
          <w:trHeight w:val="300"/>
        </w:trPr>
        <w:tc>
          <w:tcPr>
            <w:tcW w:w="2276" w:type="pct"/>
            <w:shd w:val="clear" w:color="auto" w:fill="auto"/>
            <w:vAlign w:val="center"/>
          </w:tcPr>
          <w:p w14:paraId="4F63ADC5" w14:textId="50D08DEE" w:rsidR="004313D9" w:rsidRPr="0016671D" w:rsidRDefault="00C40991" w:rsidP="004313D9">
            <w:pPr>
              <w:ind w:right="540"/>
              <w:contextualSpacing/>
            </w:pPr>
            <w:r w:rsidRPr="0016671D">
              <w:t>Public Health Council</w:t>
            </w:r>
          </w:p>
        </w:tc>
        <w:tc>
          <w:tcPr>
            <w:tcW w:w="2724" w:type="pct"/>
            <w:shd w:val="clear" w:color="auto" w:fill="auto"/>
            <w:vAlign w:val="center"/>
          </w:tcPr>
          <w:p w14:paraId="3E0E2C44" w14:textId="75D4DD40" w:rsidR="004313D9" w:rsidRPr="002738AD" w:rsidRDefault="0026415A" w:rsidP="004313D9">
            <w:pPr>
              <w:ind w:right="540"/>
              <w:contextualSpacing/>
            </w:pPr>
            <w:r>
              <w:t>January 25, 20</w:t>
            </w:r>
            <w:r>
              <w:t>2</w:t>
            </w:r>
            <w:r>
              <w:t>5</w:t>
            </w:r>
          </w:p>
        </w:tc>
      </w:tr>
      <w:tr w:rsidR="00D113E6" w:rsidRPr="0016671D" w14:paraId="5B8B03D1" w14:textId="77777777" w:rsidTr="3655DEAD">
        <w:trPr>
          <w:trHeight w:val="300"/>
        </w:trPr>
        <w:tc>
          <w:tcPr>
            <w:tcW w:w="5000" w:type="pct"/>
            <w:gridSpan w:val="2"/>
            <w:shd w:val="clear" w:color="auto" w:fill="auto"/>
            <w:vAlign w:val="center"/>
          </w:tcPr>
          <w:p w14:paraId="115595BA" w14:textId="710578A9" w:rsidR="00D113E6" w:rsidRPr="0016671D" w:rsidRDefault="00D113E6" w:rsidP="00D113E6">
            <w:pPr>
              <w:spacing w:before="240" w:after="200"/>
              <w:ind w:left="108" w:right="70"/>
              <w:jc w:val="center"/>
              <w:rPr>
                <w:rFonts w:eastAsia="Calibri"/>
                <w:b/>
              </w:rPr>
            </w:pPr>
            <w:r w:rsidRPr="0016671D">
              <w:rPr>
                <w:rFonts w:eastAsia="Calibri"/>
                <w:b/>
                <w:u w:val="single"/>
              </w:rPr>
              <w:t>Project Summary and Regulatory Review</w:t>
            </w:r>
            <w:r w:rsidR="00D6672E">
              <w:rPr>
                <w:rFonts w:eastAsia="Calibri"/>
                <w:b/>
                <w:u w:val="single"/>
              </w:rPr>
              <w:t xml:space="preserve"> </w:t>
            </w:r>
          </w:p>
          <w:p w14:paraId="7CCC0B0F" w14:textId="77777777" w:rsidR="0066528C" w:rsidRDefault="0066528C" w:rsidP="0066528C">
            <w:pPr>
              <w:widowControl w:val="0"/>
              <w:autoSpaceDE w:val="0"/>
              <w:autoSpaceDN w:val="0"/>
              <w:spacing w:before="4"/>
              <w:rPr>
                <w:rFonts w:ascii="Calibri" w:eastAsia="Calibri" w:hAnsi="Calibri" w:cs="Calibri"/>
                <w:szCs w:val="20"/>
              </w:rPr>
            </w:pPr>
            <w:r w:rsidRPr="0066528C">
              <w:rPr>
                <w:rFonts w:ascii="Calibri" w:eastAsia="Times New Roman" w:hAnsi="Calibri" w:cs="Calibri"/>
                <w:kern w:val="2"/>
              </w:rPr>
              <w:t xml:space="preserve">Atrius Health, Inc. </w:t>
            </w:r>
            <w:r w:rsidRPr="0066528C">
              <w:rPr>
                <w:rFonts w:ascii="Calibri" w:eastAsia="Calibri" w:hAnsi="Calibri" w:cs="Calibri"/>
              </w:rPr>
              <w:t>(Applicant)</w:t>
            </w:r>
            <w:r w:rsidRPr="0066528C">
              <w:rPr>
                <w:rFonts w:ascii="Calibri" w:eastAsia="Calibri" w:hAnsi="Calibri" w:cs="Calibri"/>
                <w:szCs w:val="20"/>
              </w:rPr>
              <w:t xml:space="preserve"> </w:t>
            </w:r>
            <w:proofErr w:type="gramStart"/>
            <w:r w:rsidRPr="0066528C">
              <w:rPr>
                <w:rFonts w:ascii="Calibri" w:eastAsia="Calibri" w:hAnsi="Calibri" w:cs="Calibri"/>
                <w:szCs w:val="20"/>
              </w:rPr>
              <w:t>submitted an Application</w:t>
            </w:r>
            <w:proofErr w:type="gramEnd"/>
            <w:r w:rsidRPr="0066528C">
              <w:rPr>
                <w:rFonts w:ascii="Calibri" w:eastAsia="Calibri" w:hAnsi="Calibri" w:cs="Calibri"/>
                <w:szCs w:val="20"/>
              </w:rPr>
              <w:t xml:space="preserve"> for a Notice of Determination of Need (</w:t>
            </w:r>
            <w:r>
              <w:rPr>
                <w:rFonts w:ascii="Calibri" w:eastAsia="Calibri" w:hAnsi="Calibri" w:cs="Calibri"/>
                <w:szCs w:val="20"/>
              </w:rPr>
              <w:t>“</w:t>
            </w:r>
            <w:r w:rsidRPr="0066528C">
              <w:rPr>
                <w:rFonts w:ascii="Calibri" w:eastAsia="Calibri" w:hAnsi="Calibri" w:cs="Calibri"/>
                <w:szCs w:val="20"/>
              </w:rPr>
              <w:t>DoN</w:t>
            </w:r>
            <w:r>
              <w:rPr>
                <w:rFonts w:ascii="Calibri" w:eastAsia="Calibri" w:hAnsi="Calibri" w:cs="Calibri"/>
                <w:szCs w:val="20"/>
              </w:rPr>
              <w:t>”</w:t>
            </w:r>
            <w:r w:rsidRPr="0066528C">
              <w:rPr>
                <w:rFonts w:ascii="Calibri" w:eastAsia="Calibri" w:hAnsi="Calibri" w:cs="Calibri"/>
                <w:szCs w:val="20"/>
              </w:rPr>
              <w:t>) for the development of a freestanding ambulatory surgery center (</w:t>
            </w:r>
            <w:r>
              <w:rPr>
                <w:rFonts w:ascii="Calibri" w:eastAsia="Calibri" w:hAnsi="Calibri" w:cs="Calibri"/>
                <w:szCs w:val="20"/>
              </w:rPr>
              <w:t>“</w:t>
            </w:r>
            <w:r w:rsidRPr="0066528C">
              <w:rPr>
                <w:rFonts w:ascii="Calibri" w:eastAsia="Calibri" w:hAnsi="Calibri" w:cs="Calibri"/>
                <w:szCs w:val="20"/>
              </w:rPr>
              <w:t>ASC</w:t>
            </w:r>
            <w:r>
              <w:rPr>
                <w:rFonts w:ascii="Calibri" w:eastAsia="Calibri" w:hAnsi="Calibri" w:cs="Calibri"/>
                <w:szCs w:val="20"/>
              </w:rPr>
              <w:t>”</w:t>
            </w:r>
            <w:r w:rsidRPr="0066528C">
              <w:rPr>
                <w:rFonts w:ascii="Calibri" w:eastAsia="Calibri" w:hAnsi="Calibri" w:cs="Calibri"/>
                <w:szCs w:val="20"/>
              </w:rPr>
              <w:t>) to be located at 153 Second Avenue, Waltham, Massachusetts, 02451 (</w:t>
            </w:r>
            <w:r>
              <w:rPr>
                <w:rFonts w:ascii="Calibri" w:eastAsia="Calibri" w:hAnsi="Calibri" w:cs="Calibri"/>
                <w:szCs w:val="20"/>
              </w:rPr>
              <w:t>“</w:t>
            </w:r>
            <w:r w:rsidRPr="0066528C">
              <w:rPr>
                <w:rFonts w:ascii="Calibri" w:eastAsia="Calibri" w:hAnsi="Calibri" w:cs="Calibri"/>
                <w:szCs w:val="20"/>
              </w:rPr>
              <w:t>Proposed Project</w:t>
            </w:r>
            <w:r>
              <w:rPr>
                <w:rFonts w:ascii="Calibri" w:eastAsia="Calibri" w:hAnsi="Calibri" w:cs="Calibri"/>
                <w:szCs w:val="20"/>
              </w:rPr>
              <w:t>”</w:t>
            </w:r>
            <w:r w:rsidRPr="0066528C">
              <w:rPr>
                <w:rFonts w:ascii="Calibri" w:eastAsia="Calibri" w:hAnsi="Calibri" w:cs="Calibri"/>
                <w:szCs w:val="20"/>
              </w:rPr>
              <w:t xml:space="preserve">). </w:t>
            </w:r>
            <w:r>
              <w:rPr>
                <w:rFonts w:ascii="Calibri" w:eastAsia="Calibri" w:hAnsi="Calibri" w:cs="Calibri"/>
                <w:szCs w:val="20"/>
              </w:rPr>
              <w:t xml:space="preserve">The site will </w:t>
            </w:r>
            <w:r w:rsidRPr="0066528C">
              <w:rPr>
                <w:rFonts w:ascii="Calibri" w:eastAsia="Calibri" w:hAnsi="Calibri" w:cs="Calibri"/>
                <w:szCs w:val="20"/>
              </w:rPr>
              <w:t>be operated by Atrius Health Ambulatory Surgery Center, LLC</w:t>
            </w:r>
            <w:r w:rsidRPr="0066528C">
              <w:rPr>
                <w:rFonts w:ascii="Calibri" w:eastAsia="Calibri" w:hAnsi="Calibri" w:cs="Calibri"/>
                <w:szCs w:val="20"/>
                <w:vertAlign w:val="superscript"/>
              </w:rPr>
              <w:footnoteReference w:id="2"/>
            </w:r>
            <w:r w:rsidRPr="0066528C">
              <w:rPr>
                <w:rFonts w:ascii="Calibri" w:eastAsia="Calibri" w:hAnsi="Calibri" w:cs="Calibri"/>
                <w:szCs w:val="20"/>
              </w:rPr>
              <w:t xml:space="preserve"> (“AHASC”)</w:t>
            </w:r>
            <w:r>
              <w:rPr>
                <w:rFonts w:ascii="Calibri" w:eastAsia="Calibri" w:hAnsi="Calibri" w:cs="Calibri"/>
                <w:szCs w:val="20"/>
              </w:rPr>
              <w:t>.</w:t>
            </w:r>
          </w:p>
          <w:p w14:paraId="42E3F78E" w14:textId="3ABA8331" w:rsidR="0066528C" w:rsidRPr="0066528C" w:rsidRDefault="0066528C" w:rsidP="0066528C">
            <w:pPr>
              <w:widowControl w:val="0"/>
              <w:autoSpaceDE w:val="0"/>
              <w:autoSpaceDN w:val="0"/>
              <w:spacing w:before="4"/>
              <w:rPr>
                <w:rFonts w:ascii="Calibri" w:eastAsia="Calibri" w:hAnsi="Calibri" w:cs="Calibri"/>
                <w:szCs w:val="20"/>
                <w:highlight w:val="yellow"/>
              </w:rPr>
            </w:pPr>
            <w:r w:rsidRPr="0066528C">
              <w:rPr>
                <w:rFonts w:ascii="Calibri" w:eastAsia="Calibri" w:hAnsi="Calibri" w:cs="Calibri"/>
                <w:szCs w:val="20"/>
              </w:rPr>
              <w:t xml:space="preserve">The </w:t>
            </w:r>
            <w:r>
              <w:rPr>
                <w:rFonts w:ascii="Calibri" w:eastAsia="Calibri" w:hAnsi="Calibri" w:cs="Calibri"/>
                <w:szCs w:val="20"/>
              </w:rPr>
              <w:t xml:space="preserve">Applicant will </w:t>
            </w:r>
            <w:r w:rsidRPr="0066528C">
              <w:rPr>
                <w:rFonts w:ascii="Calibri" w:eastAsia="Calibri" w:hAnsi="Calibri" w:cs="Calibri"/>
                <w:szCs w:val="20"/>
              </w:rPr>
              <w:t>renovate 22,000 gross square gross square feet (GSF)</w:t>
            </w:r>
            <w:r>
              <w:rPr>
                <w:rFonts w:ascii="Calibri" w:eastAsia="Calibri" w:hAnsi="Calibri" w:cs="Calibri"/>
                <w:szCs w:val="20"/>
              </w:rPr>
              <w:t xml:space="preserve"> of leased space </w:t>
            </w:r>
            <w:r w:rsidRPr="0066528C">
              <w:rPr>
                <w:rFonts w:ascii="Calibri" w:eastAsia="Calibri" w:hAnsi="Calibri" w:cs="Calibri"/>
                <w:szCs w:val="20"/>
              </w:rPr>
              <w:t xml:space="preserve">to accommodate </w:t>
            </w:r>
            <w:r>
              <w:rPr>
                <w:rFonts w:ascii="Calibri" w:eastAsia="Calibri" w:hAnsi="Calibri" w:cs="Calibri"/>
                <w:szCs w:val="20"/>
              </w:rPr>
              <w:t>six (6)</w:t>
            </w:r>
            <w:r w:rsidRPr="0066528C">
              <w:rPr>
                <w:rFonts w:ascii="Calibri" w:eastAsia="Calibri" w:hAnsi="Calibri" w:cs="Calibri"/>
                <w:szCs w:val="20"/>
              </w:rPr>
              <w:t xml:space="preserve"> operating rooms (</w:t>
            </w:r>
            <w:r>
              <w:rPr>
                <w:rFonts w:ascii="Calibri" w:eastAsia="Calibri" w:hAnsi="Calibri" w:cs="Calibri"/>
                <w:szCs w:val="20"/>
              </w:rPr>
              <w:t>“</w:t>
            </w:r>
            <w:r w:rsidRPr="0066528C">
              <w:rPr>
                <w:rFonts w:ascii="Calibri" w:eastAsia="Calibri" w:hAnsi="Calibri" w:cs="Calibri"/>
                <w:szCs w:val="20"/>
              </w:rPr>
              <w:t>ORs</w:t>
            </w:r>
            <w:r>
              <w:rPr>
                <w:rFonts w:ascii="Calibri" w:eastAsia="Calibri" w:hAnsi="Calibri" w:cs="Calibri"/>
                <w:szCs w:val="20"/>
              </w:rPr>
              <w:t>”</w:t>
            </w:r>
            <w:r w:rsidRPr="0066528C">
              <w:rPr>
                <w:rFonts w:ascii="Calibri" w:eastAsia="Calibri" w:hAnsi="Calibri" w:cs="Calibri"/>
                <w:szCs w:val="20"/>
              </w:rPr>
              <w:t xml:space="preserve">) and associated </w:t>
            </w:r>
            <w:r>
              <w:rPr>
                <w:rFonts w:ascii="Calibri" w:eastAsia="Calibri" w:hAnsi="Calibri" w:cs="Calibri"/>
                <w:szCs w:val="20"/>
              </w:rPr>
              <w:t xml:space="preserve">clinical and </w:t>
            </w:r>
            <w:r w:rsidRPr="0066528C">
              <w:rPr>
                <w:rFonts w:ascii="Calibri" w:eastAsia="Calibri" w:hAnsi="Calibri" w:cs="Calibri"/>
                <w:szCs w:val="20"/>
              </w:rPr>
              <w:t>administrative space</w:t>
            </w:r>
            <w:r>
              <w:rPr>
                <w:rFonts w:ascii="Calibri" w:eastAsia="Calibri" w:hAnsi="Calibri" w:cs="Calibri"/>
                <w:szCs w:val="20"/>
              </w:rPr>
              <w:t>s</w:t>
            </w:r>
            <w:r w:rsidRPr="0066528C">
              <w:rPr>
                <w:rFonts w:ascii="Calibri" w:eastAsia="Calibri" w:hAnsi="Calibri" w:cs="Calibri"/>
                <w:szCs w:val="20"/>
              </w:rPr>
              <w:t xml:space="preserve">. </w:t>
            </w:r>
            <w:r w:rsidRPr="0066528C">
              <w:rPr>
                <w:rFonts w:ascii="Calibri" w:eastAsia="Calibri" w:hAnsi="Calibri" w:cs="Calibri"/>
              </w:rPr>
              <w:t>The capital expenditure for the Proposed Project is</w:t>
            </w:r>
            <w:r>
              <w:rPr>
                <w:rFonts w:ascii="Calibri" w:eastAsia="Calibri" w:hAnsi="Calibri" w:cs="Calibri"/>
              </w:rPr>
              <w:t xml:space="preserve"> </w:t>
            </w:r>
            <w:r w:rsidRPr="0066528C">
              <w:rPr>
                <w:rFonts w:ascii="Calibri" w:eastAsia="Calibri" w:hAnsi="Calibri" w:cs="Calibri"/>
              </w:rPr>
              <w:t>$20,777,721.00. The Community Health Initiatives (</w:t>
            </w:r>
            <w:r>
              <w:rPr>
                <w:rFonts w:ascii="Calibri" w:eastAsia="Calibri" w:hAnsi="Calibri" w:cs="Calibri"/>
              </w:rPr>
              <w:t>‘</w:t>
            </w:r>
            <w:r w:rsidRPr="0066528C">
              <w:rPr>
                <w:rFonts w:ascii="Calibri" w:eastAsia="Calibri" w:hAnsi="Calibri" w:cs="Calibri"/>
              </w:rPr>
              <w:t>CHI</w:t>
            </w:r>
            <w:r>
              <w:rPr>
                <w:rFonts w:ascii="Calibri" w:eastAsia="Calibri" w:hAnsi="Calibri" w:cs="Calibri"/>
              </w:rPr>
              <w:t>”</w:t>
            </w:r>
            <w:r w:rsidRPr="0066528C">
              <w:rPr>
                <w:rFonts w:ascii="Calibri" w:eastAsia="Calibri" w:hAnsi="Calibri" w:cs="Calibri"/>
              </w:rPr>
              <w:t>) contribution is</w:t>
            </w:r>
            <w:r>
              <w:rPr>
                <w:rFonts w:ascii="Calibri" w:eastAsia="Calibri" w:hAnsi="Calibri" w:cs="Calibri"/>
              </w:rPr>
              <w:t xml:space="preserve"> </w:t>
            </w:r>
            <w:r w:rsidRPr="0066528C">
              <w:rPr>
                <w:rFonts w:ascii="Calibri" w:eastAsia="Calibri" w:hAnsi="Calibri" w:cs="Calibri"/>
              </w:rPr>
              <w:t>$1,038,886.05.</w:t>
            </w:r>
            <w:r w:rsidRPr="0066528C">
              <w:rPr>
                <w:rFonts w:ascii="Calibri" w:eastAsia="Calibri" w:hAnsi="Calibri" w:cs="Calibri"/>
                <w:szCs w:val="20"/>
              </w:rPr>
              <w:t xml:space="preserve"> </w:t>
            </w:r>
          </w:p>
          <w:p w14:paraId="1510DF43" w14:textId="77777777" w:rsidR="00891DA7" w:rsidRPr="00186479" w:rsidRDefault="00891DA7" w:rsidP="00186479">
            <w:pPr>
              <w:ind w:left="108" w:right="70"/>
              <w:rPr>
                <w:rFonts w:eastAsia="Calibri"/>
              </w:rPr>
            </w:pPr>
          </w:p>
          <w:p w14:paraId="0E631155" w14:textId="77777777" w:rsidR="00D3582F" w:rsidRPr="00D3582F" w:rsidRDefault="00D3582F" w:rsidP="00D3582F">
            <w:pPr>
              <w:widowControl w:val="0"/>
              <w:autoSpaceDE w:val="0"/>
              <w:autoSpaceDN w:val="0"/>
              <w:ind w:right="164"/>
              <w:rPr>
                <w:rFonts w:ascii="Calibri" w:eastAsia="Calibri" w:hAnsi="Calibri" w:cs="Calibri"/>
                <w:szCs w:val="20"/>
              </w:rPr>
            </w:pPr>
            <w:r w:rsidRPr="00D3582F">
              <w:rPr>
                <w:rFonts w:ascii="Calibri" w:eastAsia="Calibri" w:hAnsi="Calibri" w:cs="Calibri"/>
                <w:szCs w:val="20"/>
              </w:rPr>
              <w:t xml:space="preserve">This DoN Application falls within the definition of Ambulatory Surgery, which is reviewed under the DoN regulation 105 CMR 100.000. The Department must determine that need exists for a Proposed Project, </w:t>
            </w:r>
            <w:bookmarkStart w:id="2" w:name="_Int_eF0C7Txz"/>
            <w:r w:rsidRPr="00D3582F">
              <w:rPr>
                <w:rFonts w:ascii="Calibri" w:eastAsia="Calibri" w:hAnsi="Calibri" w:cs="Calibri"/>
                <w:szCs w:val="20"/>
              </w:rPr>
              <w:t>on the basis of</w:t>
            </w:r>
            <w:bookmarkEnd w:id="2"/>
            <w:r w:rsidRPr="00D3582F">
              <w:rPr>
                <w:rFonts w:ascii="Calibri" w:eastAsia="Calibri" w:hAnsi="Calibri" w:cs="Calibri"/>
                <w:szCs w:val="20"/>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 </w:t>
            </w:r>
          </w:p>
          <w:p w14:paraId="53897644" w14:textId="247A58B4" w:rsidR="00D113E6" w:rsidRPr="00D113E6" w:rsidRDefault="00D113E6" w:rsidP="00186479">
            <w:pPr>
              <w:ind w:left="108" w:right="70"/>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5ED450E7" w14:textId="7354CD95" w:rsidR="00590524" w:rsidRDefault="00A13015">
      <w:pPr>
        <w:pStyle w:val="TOC1"/>
        <w:rPr>
          <w:rFonts w:asciiTheme="minorHAnsi" w:eastAsiaTheme="minorEastAsia" w:hAnsiTheme="minorHAnsi" w:cstheme="minorBidi"/>
          <w:kern w:val="2"/>
          <w:szCs w:val="24"/>
          <w14:ligatures w14:val="standardContextual"/>
        </w:rPr>
      </w:pPr>
      <w:r>
        <w:rPr>
          <w:rFonts w:ascii="Garamond" w:hAnsi="Garamond"/>
          <w:sz w:val="22"/>
        </w:rPr>
        <w:lastRenderedPageBreak/>
        <w:fldChar w:fldCharType="begin"/>
      </w:r>
      <w:r>
        <w:rPr>
          <w:rFonts w:ascii="Garamond" w:hAnsi="Garamond"/>
          <w:sz w:val="22"/>
        </w:rPr>
        <w:instrText xml:space="preserve"> TOC \o "1-3" \h \z \u </w:instrText>
      </w:r>
      <w:r>
        <w:rPr>
          <w:rFonts w:ascii="Garamond" w:hAnsi="Garamond"/>
          <w:sz w:val="22"/>
        </w:rPr>
        <w:fldChar w:fldCharType="separate"/>
      </w:r>
      <w:hyperlink w:anchor="_Toc181356974" w:history="1">
        <w:r w:rsidR="00590524" w:rsidRPr="00F738DA">
          <w:rPr>
            <w:rStyle w:val="Hyperlink"/>
            <w:rFonts w:cstheme="minorHAnsi"/>
            <w:color w:val="auto"/>
          </w:rPr>
          <w:t>Background and Application Overview</w:t>
        </w:r>
        <w:r w:rsidR="00590524">
          <w:rPr>
            <w:webHidden/>
          </w:rPr>
          <w:tab/>
        </w:r>
        <w:r w:rsidR="00590524">
          <w:rPr>
            <w:webHidden/>
          </w:rPr>
          <w:fldChar w:fldCharType="begin"/>
        </w:r>
        <w:r w:rsidR="00590524">
          <w:rPr>
            <w:webHidden/>
          </w:rPr>
          <w:instrText xml:space="preserve"> PAGEREF _Toc181356974 \h </w:instrText>
        </w:r>
        <w:r w:rsidR="00590524">
          <w:rPr>
            <w:webHidden/>
          </w:rPr>
        </w:r>
        <w:r w:rsidR="00590524">
          <w:rPr>
            <w:webHidden/>
          </w:rPr>
          <w:fldChar w:fldCharType="separate"/>
        </w:r>
        <w:r w:rsidR="00590524">
          <w:rPr>
            <w:webHidden/>
          </w:rPr>
          <w:t>3</w:t>
        </w:r>
        <w:r w:rsidR="00590524">
          <w:rPr>
            <w:webHidden/>
          </w:rPr>
          <w:fldChar w:fldCharType="end"/>
        </w:r>
      </w:hyperlink>
    </w:p>
    <w:p w14:paraId="1230A62E" w14:textId="75E7D2F0" w:rsidR="00590524" w:rsidRDefault="00590524">
      <w:pPr>
        <w:pStyle w:val="TOC1"/>
        <w:rPr>
          <w:rFonts w:asciiTheme="minorHAnsi" w:eastAsiaTheme="minorEastAsia" w:hAnsiTheme="minorHAnsi" w:cstheme="minorBidi"/>
          <w:kern w:val="2"/>
          <w:szCs w:val="24"/>
          <w14:ligatures w14:val="standardContextual"/>
        </w:rPr>
      </w:pPr>
      <w:hyperlink w:anchor="_Toc181356975" w:history="1">
        <w:r w:rsidRPr="00F738DA">
          <w:rPr>
            <w:rStyle w:val="Hyperlink"/>
            <w:rFonts w:cstheme="minorHAnsi"/>
            <w:color w:val="auto"/>
          </w:rPr>
          <w:t>Patient Panel</w:t>
        </w:r>
        <w:r>
          <w:rPr>
            <w:webHidden/>
          </w:rPr>
          <w:tab/>
        </w:r>
        <w:r>
          <w:rPr>
            <w:webHidden/>
          </w:rPr>
          <w:fldChar w:fldCharType="begin"/>
        </w:r>
        <w:r>
          <w:rPr>
            <w:webHidden/>
          </w:rPr>
          <w:instrText xml:space="preserve"> PAGEREF _Toc181356975 \h </w:instrText>
        </w:r>
        <w:r>
          <w:rPr>
            <w:webHidden/>
          </w:rPr>
        </w:r>
        <w:r>
          <w:rPr>
            <w:webHidden/>
          </w:rPr>
          <w:fldChar w:fldCharType="separate"/>
        </w:r>
        <w:r>
          <w:rPr>
            <w:webHidden/>
          </w:rPr>
          <w:t>3</w:t>
        </w:r>
        <w:r>
          <w:rPr>
            <w:webHidden/>
          </w:rPr>
          <w:fldChar w:fldCharType="end"/>
        </w:r>
      </w:hyperlink>
    </w:p>
    <w:p w14:paraId="6F63FAA4" w14:textId="7D053690" w:rsidR="00590524" w:rsidRDefault="00590524">
      <w:pPr>
        <w:pStyle w:val="TOC1"/>
        <w:rPr>
          <w:rFonts w:asciiTheme="minorHAnsi" w:eastAsiaTheme="minorEastAsia" w:hAnsiTheme="minorHAnsi" w:cstheme="minorBidi"/>
          <w:kern w:val="2"/>
          <w:szCs w:val="24"/>
          <w14:ligatures w14:val="standardContextual"/>
        </w:rPr>
      </w:pPr>
      <w:hyperlink w:anchor="_Toc181356976" w:history="1">
        <w:r w:rsidRPr="00F738DA">
          <w:rPr>
            <w:rStyle w:val="Hyperlink"/>
            <w:rFonts w:eastAsia="Calibri" w:cstheme="minorHAnsi"/>
            <w:color w:val="auto"/>
          </w:rPr>
          <w:t>Factor 1: a) Patient Panel Need</w:t>
        </w:r>
        <w:r>
          <w:rPr>
            <w:webHidden/>
          </w:rPr>
          <w:tab/>
        </w:r>
        <w:r>
          <w:rPr>
            <w:webHidden/>
          </w:rPr>
          <w:fldChar w:fldCharType="begin"/>
        </w:r>
        <w:r>
          <w:rPr>
            <w:webHidden/>
          </w:rPr>
          <w:instrText xml:space="preserve"> PAGEREF _Toc181356976 \h </w:instrText>
        </w:r>
        <w:r>
          <w:rPr>
            <w:webHidden/>
          </w:rPr>
        </w:r>
        <w:r>
          <w:rPr>
            <w:webHidden/>
          </w:rPr>
          <w:fldChar w:fldCharType="separate"/>
        </w:r>
        <w:r>
          <w:rPr>
            <w:webHidden/>
          </w:rPr>
          <w:t>6</w:t>
        </w:r>
        <w:r>
          <w:rPr>
            <w:webHidden/>
          </w:rPr>
          <w:fldChar w:fldCharType="end"/>
        </w:r>
      </w:hyperlink>
    </w:p>
    <w:p w14:paraId="69934DCD" w14:textId="56C054E8" w:rsidR="00590524" w:rsidRDefault="00590524">
      <w:pPr>
        <w:pStyle w:val="TOC2"/>
        <w:rPr>
          <w:rFonts w:eastAsiaTheme="minorEastAsia" w:cstheme="minorBidi"/>
          <w:color w:val="auto"/>
          <w:kern w:val="2"/>
          <w14:ligatures w14:val="standardContextual"/>
        </w:rPr>
      </w:pPr>
      <w:hyperlink w:anchor="_Toc181356977" w:history="1">
        <w:r w:rsidRPr="00F738DA">
          <w:rPr>
            <w:rStyle w:val="Hyperlink"/>
            <w:color w:val="auto"/>
          </w:rPr>
          <w:t>Factor 1: b) Public health value, improved health outcomes and quality of life; assurances of health equity</w:t>
        </w:r>
        <w:r>
          <w:rPr>
            <w:webHidden/>
          </w:rPr>
          <w:tab/>
        </w:r>
        <w:r>
          <w:rPr>
            <w:webHidden/>
          </w:rPr>
          <w:fldChar w:fldCharType="begin"/>
        </w:r>
        <w:r>
          <w:rPr>
            <w:webHidden/>
          </w:rPr>
          <w:instrText xml:space="preserve"> PAGEREF _Toc181356977 \h </w:instrText>
        </w:r>
        <w:r>
          <w:rPr>
            <w:webHidden/>
          </w:rPr>
        </w:r>
        <w:r>
          <w:rPr>
            <w:webHidden/>
          </w:rPr>
          <w:fldChar w:fldCharType="separate"/>
        </w:r>
        <w:r>
          <w:rPr>
            <w:webHidden/>
          </w:rPr>
          <w:t>12</w:t>
        </w:r>
        <w:r>
          <w:rPr>
            <w:webHidden/>
          </w:rPr>
          <w:fldChar w:fldCharType="end"/>
        </w:r>
      </w:hyperlink>
    </w:p>
    <w:p w14:paraId="531CA4C9" w14:textId="1AE1A9DA" w:rsidR="00590524" w:rsidRDefault="00590524">
      <w:pPr>
        <w:pStyle w:val="TOC1"/>
        <w:rPr>
          <w:rFonts w:asciiTheme="minorHAnsi" w:eastAsiaTheme="minorEastAsia" w:hAnsiTheme="minorHAnsi" w:cstheme="minorBidi"/>
          <w:kern w:val="2"/>
          <w:szCs w:val="24"/>
          <w14:ligatures w14:val="standardContextual"/>
        </w:rPr>
      </w:pPr>
      <w:hyperlink w:anchor="_Toc181356978" w:history="1">
        <w:r w:rsidRPr="00F738DA">
          <w:rPr>
            <w:rStyle w:val="Hyperlink"/>
            <w:rFonts w:cstheme="minorHAnsi"/>
            <w:color w:val="auto"/>
          </w:rPr>
          <w:t>Factor 1: c) Efficiency, Continuity and Coordination of Care</w:t>
        </w:r>
        <w:r>
          <w:rPr>
            <w:webHidden/>
          </w:rPr>
          <w:tab/>
        </w:r>
        <w:r>
          <w:rPr>
            <w:webHidden/>
          </w:rPr>
          <w:fldChar w:fldCharType="begin"/>
        </w:r>
        <w:r>
          <w:rPr>
            <w:webHidden/>
          </w:rPr>
          <w:instrText xml:space="preserve"> PAGEREF _Toc181356978 \h </w:instrText>
        </w:r>
        <w:r>
          <w:rPr>
            <w:webHidden/>
          </w:rPr>
        </w:r>
        <w:r>
          <w:rPr>
            <w:webHidden/>
          </w:rPr>
          <w:fldChar w:fldCharType="separate"/>
        </w:r>
        <w:r>
          <w:rPr>
            <w:webHidden/>
          </w:rPr>
          <w:t>14</w:t>
        </w:r>
        <w:r>
          <w:rPr>
            <w:webHidden/>
          </w:rPr>
          <w:fldChar w:fldCharType="end"/>
        </w:r>
      </w:hyperlink>
    </w:p>
    <w:p w14:paraId="0CEAA1C4" w14:textId="6FE7AC02" w:rsidR="00590524" w:rsidRDefault="00590524">
      <w:pPr>
        <w:pStyle w:val="TOC1"/>
        <w:rPr>
          <w:rFonts w:asciiTheme="minorHAnsi" w:eastAsiaTheme="minorEastAsia" w:hAnsiTheme="minorHAnsi" w:cstheme="minorBidi"/>
          <w:kern w:val="2"/>
          <w:szCs w:val="24"/>
          <w14:ligatures w14:val="standardContextual"/>
        </w:rPr>
      </w:pPr>
      <w:hyperlink w:anchor="_Toc181356979" w:history="1">
        <w:r w:rsidRPr="00F738DA">
          <w:rPr>
            <w:rStyle w:val="Hyperlink"/>
            <w:rFonts w:cstheme="minorHAnsi"/>
            <w:color w:val="auto"/>
          </w:rPr>
          <w:t>Factor 1: d) Consultation</w:t>
        </w:r>
        <w:r>
          <w:rPr>
            <w:webHidden/>
          </w:rPr>
          <w:tab/>
        </w:r>
        <w:r>
          <w:rPr>
            <w:webHidden/>
          </w:rPr>
          <w:fldChar w:fldCharType="begin"/>
        </w:r>
        <w:r>
          <w:rPr>
            <w:webHidden/>
          </w:rPr>
          <w:instrText xml:space="preserve"> PAGEREF _Toc181356979 \h </w:instrText>
        </w:r>
        <w:r>
          <w:rPr>
            <w:webHidden/>
          </w:rPr>
        </w:r>
        <w:r>
          <w:rPr>
            <w:webHidden/>
          </w:rPr>
          <w:fldChar w:fldCharType="separate"/>
        </w:r>
        <w:r>
          <w:rPr>
            <w:webHidden/>
          </w:rPr>
          <w:t>16</w:t>
        </w:r>
        <w:r>
          <w:rPr>
            <w:webHidden/>
          </w:rPr>
          <w:fldChar w:fldCharType="end"/>
        </w:r>
      </w:hyperlink>
    </w:p>
    <w:p w14:paraId="204CA184" w14:textId="4363F5F3" w:rsidR="00590524" w:rsidRDefault="00590524">
      <w:pPr>
        <w:pStyle w:val="TOC1"/>
        <w:rPr>
          <w:rFonts w:asciiTheme="minorHAnsi" w:eastAsiaTheme="minorEastAsia" w:hAnsiTheme="minorHAnsi" w:cstheme="minorBidi"/>
          <w:kern w:val="2"/>
          <w:szCs w:val="24"/>
          <w14:ligatures w14:val="standardContextual"/>
        </w:rPr>
      </w:pPr>
      <w:hyperlink w:anchor="_Toc181356980" w:history="1">
        <w:r w:rsidRPr="00F738DA">
          <w:rPr>
            <w:rStyle w:val="Hyperlink"/>
            <w:rFonts w:cstheme="minorHAnsi"/>
            <w:color w:val="auto"/>
          </w:rPr>
          <w:t>Factor 1: e) Evidence of Sound Community Engagement through the Patient Panel</w:t>
        </w:r>
        <w:r>
          <w:rPr>
            <w:webHidden/>
          </w:rPr>
          <w:tab/>
        </w:r>
        <w:r>
          <w:rPr>
            <w:webHidden/>
          </w:rPr>
          <w:fldChar w:fldCharType="begin"/>
        </w:r>
        <w:r>
          <w:rPr>
            <w:webHidden/>
          </w:rPr>
          <w:instrText xml:space="preserve"> PAGEREF _Toc181356980 \h </w:instrText>
        </w:r>
        <w:r>
          <w:rPr>
            <w:webHidden/>
          </w:rPr>
        </w:r>
        <w:r>
          <w:rPr>
            <w:webHidden/>
          </w:rPr>
          <w:fldChar w:fldCharType="separate"/>
        </w:r>
        <w:r>
          <w:rPr>
            <w:webHidden/>
          </w:rPr>
          <w:t>16</w:t>
        </w:r>
        <w:r>
          <w:rPr>
            <w:webHidden/>
          </w:rPr>
          <w:fldChar w:fldCharType="end"/>
        </w:r>
      </w:hyperlink>
    </w:p>
    <w:p w14:paraId="36DCF91B" w14:textId="56A2FC43" w:rsidR="00590524" w:rsidRDefault="00590524">
      <w:pPr>
        <w:pStyle w:val="TOC1"/>
        <w:rPr>
          <w:rFonts w:asciiTheme="minorHAnsi" w:eastAsiaTheme="minorEastAsia" w:hAnsiTheme="minorHAnsi" w:cstheme="minorBidi"/>
          <w:kern w:val="2"/>
          <w:szCs w:val="24"/>
          <w14:ligatures w14:val="standardContextual"/>
        </w:rPr>
      </w:pPr>
      <w:hyperlink w:anchor="_Toc181356981" w:history="1">
        <w:r w:rsidRPr="00F738DA">
          <w:rPr>
            <w:rStyle w:val="Hyperlink"/>
            <w:color w:val="auto"/>
          </w:rPr>
          <w:t>Factor 1: f) Competition on Price, Total Medical Expenses (TME), Costs and Other Measures of Health Care Spending</w:t>
        </w:r>
        <w:r>
          <w:rPr>
            <w:webHidden/>
          </w:rPr>
          <w:tab/>
        </w:r>
        <w:r>
          <w:rPr>
            <w:webHidden/>
          </w:rPr>
          <w:fldChar w:fldCharType="begin"/>
        </w:r>
        <w:r>
          <w:rPr>
            <w:webHidden/>
          </w:rPr>
          <w:instrText xml:space="preserve"> PAGEREF _Toc181356981 \h </w:instrText>
        </w:r>
        <w:r>
          <w:rPr>
            <w:webHidden/>
          </w:rPr>
        </w:r>
        <w:r>
          <w:rPr>
            <w:webHidden/>
          </w:rPr>
          <w:fldChar w:fldCharType="separate"/>
        </w:r>
        <w:r>
          <w:rPr>
            <w:webHidden/>
          </w:rPr>
          <w:t>17</w:t>
        </w:r>
        <w:r>
          <w:rPr>
            <w:webHidden/>
          </w:rPr>
          <w:fldChar w:fldCharType="end"/>
        </w:r>
      </w:hyperlink>
    </w:p>
    <w:p w14:paraId="564D4478" w14:textId="6F774909" w:rsidR="00590524" w:rsidRDefault="00590524">
      <w:pPr>
        <w:pStyle w:val="TOC2"/>
        <w:rPr>
          <w:rFonts w:eastAsiaTheme="minorEastAsia" w:cstheme="minorBidi"/>
          <w:color w:val="auto"/>
          <w:kern w:val="2"/>
          <w14:ligatures w14:val="standardContextual"/>
        </w:rPr>
      </w:pPr>
      <w:hyperlink w:anchor="_Toc181356982" w:history="1">
        <w:r w:rsidRPr="00F738DA">
          <w:rPr>
            <w:rStyle w:val="Hyperlink"/>
            <w:color w:val="auto"/>
          </w:rPr>
          <w:t>FACTOR 1 Summary Analysis</w:t>
        </w:r>
        <w:r>
          <w:rPr>
            <w:webHidden/>
          </w:rPr>
          <w:tab/>
        </w:r>
        <w:r>
          <w:rPr>
            <w:webHidden/>
          </w:rPr>
          <w:fldChar w:fldCharType="begin"/>
        </w:r>
        <w:r>
          <w:rPr>
            <w:webHidden/>
          </w:rPr>
          <w:instrText xml:space="preserve"> PAGEREF _Toc181356982 \h </w:instrText>
        </w:r>
        <w:r>
          <w:rPr>
            <w:webHidden/>
          </w:rPr>
        </w:r>
        <w:r>
          <w:rPr>
            <w:webHidden/>
          </w:rPr>
          <w:fldChar w:fldCharType="separate"/>
        </w:r>
        <w:r>
          <w:rPr>
            <w:webHidden/>
          </w:rPr>
          <w:t>20</w:t>
        </w:r>
        <w:r>
          <w:rPr>
            <w:webHidden/>
          </w:rPr>
          <w:fldChar w:fldCharType="end"/>
        </w:r>
      </w:hyperlink>
    </w:p>
    <w:p w14:paraId="6D488A41" w14:textId="5E48CBEC" w:rsidR="00590524" w:rsidRDefault="00590524">
      <w:pPr>
        <w:pStyle w:val="TOC1"/>
        <w:rPr>
          <w:rFonts w:asciiTheme="minorHAnsi" w:eastAsiaTheme="minorEastAsia" w:hAnsiTheme="minorHAnsi" w:cstheme="minorBidi"/>
          <w:kern w:val="2"/>
          <w:szCs w:val="24"/>
          <w14:ligatures w14:val="standardContextual"/>
        </w:rPr>
      </w:pPr>
      <w:hyperlink w:anchor="_Toc181356983" w:history="1">
        <w:r w:rsidRPr="00F738DA">
          <w:rPr>
            <w:rStyle w:val="Hyperlink"/>
            <w:rFonts w:cstheme="minorHAnsi"/>
            <w:color w:val="auto"/>
          </w:rPr>
          <w:t>Factor 2: Cost Containment, Improved Public Health Outcomes and Delivery System Transformation</w:t>
        </w:r>
        <w:r>
          <w:rPr>
            <w:webHidden/>
          </w:rPr>
          <w:tab/>
        </w:r>
        <w:r>
          <w:rPr>
            <w:webHidden/>
          </w:rPr>
          <w:fldChar w:fldCharType="begin"/>
        </w:r>
        <w:r>
          <w:rPr>
            <w:webHidden/>
          </w:rPr>
          <w:instrText xml:space="preserve"> PAGEREF _Toc181356983 \h </w:instrText>
        </w:r>
        <w:r>
          <w:rPr>
            <w:webHidden/>
          </w:rPr>
        </w:r>
        <w:r>
          <w:rPr>
            <w:webHidden/>
          </w:rPr>
          <w:fldChar w:fldCharType="separate"/>
        </w:r>
        <w:r>
          <w:rPr>
            <w:webHidden/>
          </w:rPr>
          <w:t>20</w:t>
        </w:r>
        <w:r>
          <w:rPr>
            <w:webHidden/>
          </w:rPr>
          <w:fldChar w:fldCharType="end"/>
        </w:r>
      </w:hyperlink>
    </w:p>
    <w:p w14:paraId="12ECD794" w14:textId="165DC235" w:rsidR="00590524" w:rsidRDefault="00590524">
      <w:pPr>
        <w:pStyle w:val="TOC1"/>
        <w:rPr>
          <w:rFonts w:asciiTheme="minorHAnsi" w:eastAsiaTheme="minorEastAsia" w:hAnsiTheme="minorHAnsi" w:cstheme="minorBidi"/>
          <w:kern w:val="2"/>
          <w:szCs w:val="24"/>
          <w14:ligatures w14:val="standardContextual"/>
        </w:rPr>
      </w:pPr>
      <w:hyperlink w:anchor="_Toc181356984" w:history="1">
        <w:r w:rsidRPr="00F738DA">
          <w:rPr>
            <w:rStyle w:val="Hyperlink"/>
            <w:rFonts w:cstheme="minorHAnsi"/>
            <w:color w:val="auto"/>
          </w:rPr>
          <w:t>Factor 3: Relevant Licensure/Oversight Compliance</w:t>
        </w:r>
        <w:r>
          <w:rPr>
            <w:webHidden/>
          </w:rPr>
          <w:tab/>
        </w:r>
        <w:r>
          <w:rPr>
            <w:webHidden/>
          </w:rPr>
          <w:fldChar w:fldCharType="begin"/>
        </w:r>
        <w:r>
          <w:rPr>
            <w:webHidden/>
          </w:rPr>
          <w:instrText xml:space="preserve"> PAGEREF _Toc181356984 \h </w:instrText>
        </w:r>
        <w:r>
          <w:rPr>
            <w:webHidden/>
          </w:rPr>
        </w:r>
        <w:r>
          <w:rPr>
            <w:webHidden/>
          </w:rPr>
          <w:fldChar w:fldCharType="separate"/>
        </w:r>
        <w:r>
          <w:rPr>
            <w:webHidden/>
          </w:rPr>
          <w:t>22</w:t>
        </w:r>
        <w:r>
          <w:rPr>
            <w:webHidden/>
          </w:rPr>
          <w:fldChar w:fldCharType="end"/>
        </w:r>
      </w:hyperlink>
    </w:p>
    <w:p w14:paraId="2316F4E7" w14:textId="62E5402E" w:rsidR="00590524" w:rsidRDefault="00590524">
      <w:pPr>
        <w:pStyle w:val="TOC1"/>
        <w:rPr>
          <w:rFonts w:asciiTheme="minorHAnsi" w:eastAsiaTheme="minorEastAsia" w:hAnsiTheme="minorHAnsi" w:cstheme="minorBidi"/>
          <w:kern w:val="2"/>
          <w:szCs w:val="24"/>
          <w14:ligatures w14:val="standardContextual"/>
        </w:rPr>
      </w:pPr>
      <w:hyperlink w:anchor="_Toc181356985" w:history="1">
        <w:r w:rsidRPr="00F738DA">
          <w:rPr>
            <w:rStyle w:val="Hyperlink"/>
            <w:rFonts w:cstheme="minorHAnsi"/>
            <w:color w:val="auto"/>
          </w:rPr>
          <w:t>Factor 4: Demonstration of Sufficient Funds Independent CPA Analysis</w:t>
        </w:r>
        <w:r>
          <w:rPr>
            <w:webHidden/>
          </w:rPr>
          <w:tab/>
        </w:r>
        <w:r>
          <w:rPr>
            <w:webHidden/>
          </w:rPr>
          <w:fldChar w:fldCharType="begin"/>
        </w:r>
        <w:r>
          <w:rPr>
            <w:webHidden/>
          </w:rPr>
          <w:instrText xml:space="preserve"> PAGEREF _Toc181356985 \h </w:instrText>
        </w:r>
        <w:r>
          <w:rPr>
            <w:webHidden/>
          </w:rPr>
        </w:r>
        <w:r>
          <w:rPr>
            <w:webHidden/>
          </w:rPr>
          <w:fldChar w:fldCharType="separate"/>
        </w:r>
        <w:r>
          <w:rPr>
            <w:webHidden/>
          </w:rPr>
          <w:t>22</w:t>
        </w:r>
        <w:r>
          <w:rPr>
            <w:webHidden/>
          </w:rPr>
          <w:fldChar w:fldCharType="end"/>
        </w:r>
      </w:hyperlink>
    </w:p>
    <w:p w14:paraId="42BDF4DF" w14:textId="3283BEFA" w:rsidR="00590524" w:rsidRDefault="00590524">
      <w:pPr>
        <w:pStyle w:val="TOC1"/>
        <w:rPr>
          <w:rFonts w:asciiTheme="minorHAnsi" w:eastAsiaTheme="minorEastAsia" w:hAnsiTheme="minorHAnsi" w:cstheme="minorBidi"/>
          <w:kern w:val="2"/>
          <w:szCs w:val="24"/>
          <w14:ligatures w14:val="standardContextual"/>
        </w:rPr>
      </w:pPr>
      <w:hyperlink w:anchor="_Toc181356986" w:history="1">
        <w:r w:rsidRPr="00F738DA">
          <w:rPr>
            <w:rStyle w:val="Hyperlink"/>
            <w:color w:val="auto"/>
          </w:rPr>
          <w:t>Factor 5: Relative Merit</w:t>
        </w:r>
        <w:r>
          <w:rPr>
            <w:webHidden/>
          </w:rPr>
          <w:tab/>
        </w:r>
        <w:r>
          <w:rPr>
            <w:webHidden/>
          </w:rPr>
          <w:fldChar w:fldCharType="begin"/>
        </w:r>
        <w:r>
          <w:rPr>
            <w:webHidden/>
          </w:rPr>
          <w:instrText xml:space="preserve"> PAGEREF _Toc181356986 \h </w:instrText>
        </w:r>
        <w:r>
          <w:rPr>
            <w:webHidden/>
          </w:rPr>
        </w:r>
        <w:r>
          <w:rPr>
            <w:webHidden/>
          </w:rPr>
          <w:fldChar w:fldCharType="separate"/>
        </w:r>
        <w:r>
          <w:rPr>
            <w:webHidden/>
          </w:rPr>
          <w:t>24</w:t>
        </w:r>
        <w:r>
          <w:rPr>
            <w:webHidden/>
          </w:rPr>
          <w:fldChar w:fldCharType="end"/>
        </w:r>
      </w:hyperlink>
    </w:p>
    <w:p w14:paraId="0C67D646" w14:textId="68578561" w:rsidR="00590524" w:rsidRDefault="00590524">
      <w:pPr>
        <w:pStyle w:val="TOC1"/>
        <w:rPr>
          <w:rFonts w:asciiTheme="minorHAnsi" w:eastAsiaTheme="minorEastAsia" w:hAnsiTheme="minorHAnsi" w:cstheme="minorBidi"/>
          <w:kern w:val="2"/>
          <w:szCs w:val="24"/>
          <w14:ligatures w14:val="standardContextual"/>
        </w:rPr>
      </w:pPr>
      <w:hyperlink w:anchor="_Toc181356987" w:history="1">
        <w:r w:rsidRPr="00F738DA">
          <w:rPr>
            <w:rStyle w:val="Hyperlink"/>
            <w:rFonts w:eastAsia="Times New Roman" w:cstheme="minorHAnsi"/>
            <w:color w:val="auto"/>
          </w:rPr>
          <w:t>Factor 6: Community-based Health Initiatives</w:t>
        </w:r>
        <w:r>
          <w:rPr>
            <w:webHidden/>
          </w:rPr>
          <w:tab/>
        </w:r>
        <w:r>
          <w:rPr>
            <w:webHidden/>
          </w:rPr>
          <w:fldChar w:fldCharType="begin"/>
        </w:r>
        <w:r>
          <w:rPr>
            <w:webHidden/>
          </w:rPr>
          <w:instrText xml:space="preserve"> PAGEREF _Toc181356987 \h </w:instrText>
        </w:r>
        <w:r>
          <w:rPr>
            <w:webHidden/>
          </w:rPr>
        </w:r>
        <w:r>
          <w:rPr>
            <w:webHidden/>
          </w:rPr>
          <w:fldChar w:fldCharType="separate"/>
        </w:r>
        <w:r>
          <w:rPr>
            <w:webHidden/>
          </w:rPr>
          <w:t>26</w:t>
        </w:r>
        <w:r>
          <w:rPr>
            <w:webHidden/>
          </w:rPr>
          <w:fldChar w:fldCharType="end"/>
        </w:r>
      </w:hyperlink>
    </w:p>
    <w:p w14:paraId="0693E4F2" w14:textId="41EA801C" w:rsidR="00590524" w:rsidRDefault="00590524">
      <w:pPr>
        <w:pStyle w:val="TOC1"/>
        <w:rPr>
          <w:rFonts w:asciiTheme="minorHAnsi" w:eastAsiaTheme="minorEastAsia" w:hAnsiTheme="minorHAnsi" w:cstheme="minorBidi"/>
          <w:kern w:val="2"/>
          <w:szCs w:val="24"/>
          <w14:ligatures w14:val="standardContextual"/>
        </w:rPr>
      </w:pPr>
      <w:hyperlink w:anchor="_Toc181356988" w:history="1">
        <w:r w:rsidRPr="00F738DA">
          <w:rPr>
            <w:rStyle w:val="Hyperlink"/>
            <w:rFonts w:cstheme="minorHAnsi"/>
            <w:color w:val="auto"/>
          </w:rPr>
          <w:t>Findings and Recommendations</w:t>
        </w:r>
        <w:r>
          <w:rPr>
            <w:webHidden/>
          </w:rPr>
          <w:tab/>
        </w:r>
        <w:r>
          <w:rPr>
            <w:webHidden/>
          </w:rPr>
          <w:fldChar w:fldCharType="begin"/>
        </w:r>
        <w:r>
          <w:rPr>
            <w:webHidden/>
          </w:rPr>
          <w:instrText xml:space="preserve"> PAGEREF _Toc181356988 \h </w:instrText>
        </w:r>
        <w:r>
          <w:rPr>
            <w:webHidden/>
          </w:rPr>
        </w:r>
        <w:r>
          <w:rPr>
            <w:webHidden/>
          </w:rPr>
          <w:fldChar w:fldCharType="separate"/>
        </w:r>
        <w:r>
          <w:rPr>
            <w:webHidden/>
          </w:rPr>
          <w:t>26</w:t>
        </w:r>
        <w:r>
          <w:rPr>
            <w:webHidden/>
          </w:rPr>
          <w:fldChar w:fldCharType="end"/>
        </w:r>
      </w:hyperlink>
    </w:p>
    <w:p w14:paraId="72C2BD27" w14:textId="7D87B807" w:rsidR="00590524" w:rsidRDefault="00590524">
      <w:pPr>
        <w:pStyle w:val="TOC1"/>
        <w:rPr>
          <w:rFonts w:asciiTheme="minorHAnsi" w:eastAsiaTheme="minorEastAsia" w:hAnsiTheme="minorHAnsi" w:cstheme="minorBidi"/>
          <w:kern w:val="2"/>
          <w:szCs w:val="24"/>
          <w14:ligatures w14:val="standardContextual"/>
        </w:rPr>
      </w:pPr>
      <w:hyperlink w:anchor="_Toc181356989" w:history="1">
        <w:r w:rsidRPr="00F738DA">
          <w:rPr>
            <w:rStyle w:val="Hyperlink"/>
            <w:rFonts w:cs="Calibri"/>
            <w:color w:val="auto"/>
          </w:rPr>
          <w:t>Conditions</w:t>
        </w:r>
        <w:r>
          <w:rPr>
            <w:webHidden/>
          </w:rPr>
          <w:tab/>
        </w:r>
        <w:r>
          <w:rPr>
            <w:webHidden/>
          </w:rPr>
          <w:fldChar w:fldCharType="begin"/>
        </w:r>
        <w:r>
          <w:rPr>
            <w:webHidden/>
          </w:rPr>
          <w:instrText xml:space="preserve"> PAGEREF _Toc181356989 \h </w:instrText>
        </w:r>
        <w:r>
          <w:rPr>
            <w:webHidden/>
          </w:rPr>
        </w:r>
        <w:r>
          <w:rPr>
            <w:webHidden/>
          </w:rPr>
          <w:fldChar w:fldCharType="separate"/>
        </w:r>
        <w:r>
          <w:rPr>
            <w:webHidden/>
          </w:rPr>
          <w:t>26</w:t>
        </w:r>
        <w:r>
          <w:rPr>
            <w:webHidden/>
          </w:rPr>
          <w:fldChar w:fldCharType="end"/>
        </w:r>
      </w:hyperlink>
    </w:p>
    <w:p w14:paraId="33DF6593" w14:textId="0BDF41A4" w:rsidR="00590524" w:rsidRDefault="00590524">
      <w:pPr>
        <w:pStyle w:val="TOC1"/>
        <w:rPr>
          <w:rFonts w:asciiTheme="minorHAnsi" w:eastAsiaTheme="minorEastAsia" w:hAnsiTheme="minorHAnsi" w:cstheme="minorBidi"/>
          <w:kern w:val="2"/>
          <w:szCs w:val="24"/>
          <w14:ligatures w14:val="standardContextual"/>
        </w:rPr>
      </w:pPr>
      <w:hyperlink w:anchor="_Toc181356990" w:history="1">
        <w:r w:rsidRPr="00F738DA">
          <w:rPr>
            <w:rStyle w:val="Hyperlink"/>
            <w:rFonts w:cstheme="minorHAnsi"/>
            <w:color w:val="auto"/>
          </w:rPr>
          <w:t>Appendix 1</w:t>
        </w:r>
        <w:r>
          <w:rPr>
            <w:webHidden/>
          </w:rPr>
          <w:tab/>
        </w:r>
        <w:r>
          <w:rPr>
            <w:webHidden/>
          </w:rPr>
          <w:fldChar w:fldCharType="begin"/>
        </w:r>
        <w:r>
          <w:rPr>
            <w:webHidden/>
          </w:rPr>
          <w:instrText xml:space="preserve"> PAGEREF _Toc181356990 \h </w:instrText>
        </w:r>
        <w:r>
          <w:rPr>
            <w:webHidden/>
          </w:rPr>
        </w:r>
        <w:r>
          <w:rPr>
            <w:webHidden/>
          </w:rPr>
          <w:fldChar w:fldCharType="separate"/>
        </w:r>
        <w:r>
          <w:rPr>
            <w:webHidden/>
          </w:rPr>
          <w:t>27</w:t>
        </w:r>
        <w:r>
          <w:rPr>
            <w:webHidden/>
          </w:rPr>
          <w:fldChar w:fldCharType="end"/>
        </w:r>
      </w:hyperlink>
    </w:p>
    <w:p w14:paraId="7FC25410" w14:textId="1C487B2A" w:rsidR="00486F29" w:rsidRDefault="00A13015" w:rsidP="00486F29">
      <w:r>
        <w:rPr>
          <w:rFonts w:ascii="Garamond" w:eastAsiaTheme="majorEastAsia" w:hAnsi="Garamond" w:cstheme="majorBidi"/>
          <w:noProof/>
          <w:sz w:val="22"/>
          <w:szCs w:val="22"/>
        </w:rPr>
        <w:fldChar w:fldCharType="end"/>
      </w:r>
    </w:p>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5E0BC33E" w14:textId="074783BC" w:rsidR="0089038F" w:rsidRDefault="006B4303" w:rsidP="00983114">
      <w:pPr>
        <w:pStyle w:val="Heading1"/>
        <w:rPr>
          <w:rFonts w:asciiTheme="minorHAnsi" w:hAnsiTheme="minorHAnsi" w:cstheme="minorHAnsi"/>
        </w:rPr>
      </w:pPr>
      <w:bookmarkStart w:id="3" w:name="_Toc27567688"/>
      <w:bookmarkStart w:id="4" w:name="_Toc17151134"/>
      <w:bookmarkStart w:id="5" w:name="_Toc17228947"/>
      <w:bookmarkStart w:id="6" w:name="_Toc17731303"/>
      <w:bookmarkStart w:id="7" w:name="_Toc17748221"/>
      <w:bookmarkStart w:id="8" w:name="_Toc17748448"/>
      <w:bookmarkStart w:id="9" w:name="_Toc17748692"/>
      <w:bookmarkStart w:id="10" w:name="_Toc18922392"/>
      <w:bookmarkStart w:id="11" w:name="_Toc23110213"/>
      <w:bookmarkStart w:id="12" w:name="_Toc23157976"/>
      <w:bookmarkStart w:id="13" w:name="_Toc23323238"/>
      <w:bookmarkStart w:id="14" w:name="_Toc23324244"/>
      <w:bookmarkStart w:id="15" w:name="_Toc23424528"/>
      <w:bookmarkStart w:id="16" w:name="_Toc181356974"/>
      <w:r w:rsidRPr="00983114">
        <w:rPr>
          <w:rFonts w:asciiTheme="minorHAnsi" w:hAnsiTheme="minorHAnsi" w:cstheme="minorHAnsi"/>
        </w:rPr>
        <w:lastRenderedPageBreak/>
        <w:t>B</w:t>
      </w:r>
      <w:r w:rsidR="00234964" w:rsidRPr="00983114">
        <w:rPr>
          <w:rFonts w:asciiTheme="minorHAnsi" w:hAnsiTheme="minorHAnsi" w:cstheme="minorHAnsi"/>
        </w:rPr>
        <w:t>ackground</w:t>
      </w:r>
      <w:bookmarkEnd w:id="3"/>
      <w:bookmarkEnd w:id="4"/>
      <w:bookmarkEnd w:id="5"/>
      <w:bookmarkEnd w:id="6"/>
      <w:bookmarkEnd w:id="7"/>
      <w:bookmarkEnd w:id="8"/>
      <w:bookmarkEnd w:id="9"/>
      <w:bookmarkEnd w:id="10"/>
      <w:bookmarkEnd w:id="11"/>
      <w:bookmarkEnd w:id="12"/>
      <w:bookmarkEnd w:id="13"/>
      <w:bookmarkEnd w:id="14"/>
      <w:bookmarkEnd w:id="15"/>
      <w:r w:rsidR="008A5727" w:rsidRPr="00983114">
        <w:rPr>
          <w:rFonts w:asciiTheme="minorHAnsi" w:hAnsiTheme="minorHAnsi" w:cstheme="minorHAnsi"/>
        </w:rPr>
        <w:t xml:space="preserve"> </w:t>
      </w:r>
      <w:r w:rsidRPr="00983114">
        <w:rPr>
          <w:rFonts w:asciiTheme="minorHAnsi" w:hAnsiTheme="minorHAnsi" w:cstheme="minorHAnsi"/>
        </w:rPr>
        <w:t>and Application Overview</w:t>
      </w:r>
      <w:bookmarkStart w:id="17" w:name="_Toc17474921"/>
      <w:bookmarkEnd w:id="16"/>
    </w:p>
    <w:p w14:paraId="50ABB1B9" w14:textId="77777777" w:rsidR="00CB0381" w:rsidRPr="00CB0381" w:rsidRDefault="00CB0381" w:rsidP="00CB0381"/>
    <w:p w14:paraId="21364C62" w14:textId="77777777" w:rsidR="00CB0381" w:rsidRPr="00FA75CF" w:rsidRDefault="00CB0381" w:rsidP="002A51BD">
      <w:pPr>
        <w:tabs>
          <w:tab w:val="left" w:pos="10080"/>
        </w:tabs>
        <w:rPr>
          <w:rFonts w:ascii="Calibri" w:eastAsia="Calibri" w:hAnsi="Calibri" w:cs="Calibri"/>
          <w:b/>
          <w:bCs/>
          <w:szCs w:val="22"/>
        </w:rPr>
      </w:pPr>
      <w:r w:rsidRPr="00FA75CF">
        <w:rPr>
          <w:rFonts w:ascii="Calibri" w:eastAsia="Calibri" w:hAnsi="Calibri" w:cs="Calibri"/>
          <w:b/>
          <w:bCs/>
          <w:szCs w:val="22"/>
        </w:rPr>
        <w:t>The Applicant</w:t>
      </w:r>
    </w:p>
    <w:p w14:paraId="61F86B3A" w14:textId="77777777" w:rsidR="00CB0381" w:rsidRPr="00CB0381" w:rsidRDefault="00CB0381" w:rsidP="002A51BD">
      <w:pPr>
        <w:tabs>
          <w:tab w:val="left" w:pos="10080"/>
        </w:tabs>
        <w:rPr>
          <w:rFonts w:ascii="Calibri" w:eastAsia="Calibri" w:hAnsi="Calibri" w:cs="Calibri"/>
          <w:szCs w:val="22"/>
          <w:u w:val="single"/>
        </w:rPr>
      </w:pPr>
    </w:p>
    <w:p w14:paraId="2EF3741A" w14:textId="46D4543B" w:rsidR="00C8241E" w:rsidRDefault="00CB0381" w:rsidP="002A51BD">
      <w:pPr>
        <w:tabs>
          <w:tab w:val="left" w:pos="10080"/>
        </w:tabs>
        <w:rPr>
          <w:rFonts w:ascii="Calibri" w:eastAsia="Calibri" w:hAnsi="Calibri" w:cs="Calibri"/>
          <w:szCs w:val="22"/>
        </w:rPr>
      </w:pPr>
      <w:r w:rsidRPr="00CB0381">
        <w:rPr>
          <w:rFonts w:ascii="Calibri" w:eastAsia="Calibri" w:hAnsi="Calibri" w:cs="Calibri"/>
          <w:szCs w:val="22"/>
        </w:rPr>
        <w:t>Atrius Health, Inc</w:t>
      </w:r>
      <w:r w:rsidR="001428D7">
        <w:rPr>
          <w:rFonts w:ascii="Calibri" w:eastAsia="Calibri" w:hAnsi="Calibri" w:cs="Calibri"/>
          <w:szCs w:val="22"/>
        </w:rPr>
        <w:t xml:space="preserve">. </w:t>
      </w:r>
      <w:r w:rsidRPr="00CB0381">
        <w:rPr>
          <w:rFonts w:ascii="Calibri" w:eastAsia="Calibri" w:hAnsi="Calibri" w:cs="Calibri"/>
          <w:szCs w:val="22"/>
        </w:rPr>
        <w:t xml:space="preserve">(the “Applicant” or “Atrius Health”) is a </w:t>
      </w:r>
      <w:r w:rsidR="00226AB6">
        <w:rPr>
          <w:rFonts w:ascii="Calibri" w:eastAsia="Calibri" w:hAnsi="Calibri" w:cs="Calibri"/>
          <w:szCs w:val="22"/>
        </w:rPr>
        <w:t xml:space="preserve">physician led </w:t>
      </w:r>
      <w:r w:rsidR="009472C7">
        <w:rPr>
          <w:rFonts w:ascii="Calibri" w:eastAsia="Calibri" w:hAnsi="Calibri" w:cs="Calibri"/>
          <w:szCs w:val="22"/>
        </w:rPr>
        <w:t xml:space="preserve">non-profit, </w:t>
      </w:r>
      <w:r w:rsidRPr="00CB0381">
        <w:rPr>
          <w:rFonts w:ascii="Calibri" w:eastAsia="Calibri" w:hAnsi="Calibri" w:cs="Calibri"/>
          <w:szCs w:val="22"/>
        </w:rPr>
        <w:t>multi-specialty group practice serving adult and pediatric patients throughout eastern Massachusetts</w:t>
      </w:r>
      <w:r w:rsidR="00790B34">
        <w:rPr>
          <w:rStyle w:val="FootnoteReference"/>
          <w:rFonts w:ascii="Calibri" w:eastAsia="Calibri" w:hAnsi="Calibri" w:cs="Calibri"/>
          <w:szCs w:val="22"/>
        </w:rPr>
        <w:footnoteReference w:id="3"/>
      </w:r>
      <w:r w:rsidRPr="00CB0381">
        <w:rPr>
          <w:rFonts w:ascii="Calibri" w:eastAsia="Calibri" w:hAnsi="Calibri" w:cs="Calibri"/>
          <w:szCs w:val="22"/>
        </w:rPr>
        <w:t>. The Applicant is a Health Policy Commission (“HPC”) Certified Accountable Care Organization (“ACO”); and is a member of the Fallon-Health-Atrius Health Care Collaborative, a MassHealth Accountable Care Organization (“MassHealth ACO”).</w:t>
      </w:r>
      <w:r w:rsidR="000C3D77">
        <w:rPr>
          <w:rFonts w:ascii="Calibri" w:eastAsia="Calibri" w:hAnsi="Calibri" w:cs="Calibri"/>
          <w:szCs w:val="22"/>
        </w:rPr>
        <w:t xml:space="preserve"> </w:t>
      </w:r>
    </w:p>
    <w:p w14:paraId="44AD4E83" w14:textId="77777777" w:rsidR="00C8241E" w:rsidRDefault="00C8241E" w:rsidP="002A51BD">
      <w:pPr>
        <w:tabs>
          <w:tab w:val="left" w:pos="10080"/>
        </w:tabs>
        <w:rPr>
          <w:rFonts w:ascii="Calibri" w:eastAsia="Calibri" w:hAnsi="Calibri" w:cs="Calibri"/>
          <w:szCs w:val="22"/>
        </w:rPr>
      </w:pPr>
    </w:p>
    <w:p w14:paraId="522EBA23" w14:textId="4C149F33" w:rsidR="00BD0C22" w:rsidRDefault="00000AF4" w:rsidP="002A51BD">
      <w:pPr>
        <w:tabs>
          <w:tab w:val="left" w:pos="10080"/>
        </w:tabs>
        <w:rPr>
          <w:rFonts w:ascii="Calibri" w:eastAsia="Calibri" w:hAnsi="Calibri" w:cs="Calibri"/>
          <w:szCs w:val="22"/>
        </w:rPr>
      </w:pPr>
      <w:r>
        <w:rPr>
          <w:rFonts w:ascii="Calibri" w:eastAsia="Calibri" w:hAnsi="Calibri" w:cs="Calibri"/>
          <w:szCs w:val="22"/>
        </w:rPr>
        <w:t xml:space="preserve">The Applicant </w:t>
      </w:r>
      <w:r w:rsidR="003876D5">
        <w:rPr>
          <w:rFonts w:ascii="Calibri" w:eastAsia="Calibri" w:hAnsi="Calibri" w:cs="Calibri"/>
          <w:szCs w:val="22"/>
        </w:rPr>
        <w:t xml:space="preserve">currently </w:t>
      </w:r>
      <w:r w:rsidR="00C8241E" w:rsidRPr="00C8241E">
        <w:rPr>
          <w:rFonts w:ascii="Calibri" w:eastAsia="Calibri" w:hAnsi="Calibri" w:cs="Calibri"/>
          <w:szCs w:val="22"/>
        </w:rPr>
        <w:t xml:space="preserve">has a management agreement with Atrius MSO, LLC (“Atrius MSO”), </w:t>
      </w:r>
      <w:r w:rsidR="00BD0C22">
        <w:rPr>
          <w:rFonts w:ascii="Calibri" w:eastAsia="Calibri" w:hAnsi="Calibri" w:cs="Calibri"/>
          <w:szCs w:val="22"/>
        </w:rPr>
        <w:t xml:space="preserve">which </w:t>
      </w:r>
      <w:r w:rsidR="00BD0C22" w:rsidRPr="00BD0C22">
        <w:rPr>
          <w:rFonts w:ascii="Calibri" w:eastAsia="Calibri" w:hAnsi="Calibri" w:cs="Calibri"/>
          <w:szCs w:val="22"/>
        </w:rPr>
        <w:t>provides Atrius with certain administrative services and non-clinical assets to support Atrius’ medical practice.</w:t>
      </w:r>
      <w:r w:rsidR="00DD4AD8">
        <w:rPr>
          <w:rStyle w:val="FootnoteReference"/>
          <w:rFonts w:ascii="Calibri" w:eastAsia="Calibri" w:hAnsi="Calibri" w:cs="Calibri"/>
          <w:szCs w:val="22"/>
        </w:rPr>
        <w:footnoteReference w:id="4"/>
      </w:r>
    </w:p>
    <w:p w14:paraId="3FD1A338" w14:textId="77777777" w:rsidR="00AE6AEF" w:rsidRDefault="00AE6AEF" w:rsidP="002A51BD">
      <w:pPr>
        <w:tabs>
          <w:tab w:val="left" w:pos="10080"/>
        </w:tabs>
        <w:rPr>
          <w:rFonts w:ascii="Calibri" w:eastAsia="Calibri" w:hAnsi="Calibri" w:cs="Calibri"/>
          <w:szCs w:val="22"/>
        </w:rPr>
      </w:pPr>
    </w:p>
    <w:p w14:paraId="63C2C4CE" w14:textId="77777777" w:rsidR="00CB0381" w:rsidRPr="00FA75CF" w:rsidRDefault="00CB0381" w:rsidP="002A51BD">
      <w:pPr>
        <w:tabs>
          <w:tab w:val="left" w:pos="10080"/>
        </w:tabs>
        <w:rPr>
          <w:rFonts w:ascii="Calibri" w:eastAsia="Calibri" w:hAnsi="Calibri" w:cs="Calibri"/>
          <w:b/>
          <w:bCs/>
          <w:szCs w:val="22"/>
        </w:rPr>
      </w:pPr>
      <w:r w:rsidRPr="00FA75CF">
        <w:rPr>
          <w:rFonts w:ascii="Calibri" w:eastAsia="Calibri" w:hAnsi="Calibri" w:cs="Calibri"/>
          <w:b/>
          <w:bCs/>
          <w:szCs w:val="22"/>
        </w:rPr>
        <w:t>The Proposed Project</w:t>
      </w:r>
    </w:p>
    <w:p w14:paraId="50E3F2CD" w14:textId="77777777" w:rsidR="00CB0381" w:rsidRPr="00CB0381" w:rsidRDefault="00CB0381" w:rsidP="002A51BD">
      <w:pPr>
        <w:tabs>
          <w:tab w:val="left" w:pos="10080"/>
        </w:tabs>
        <w:rPr>
          <w:rFonts w:ascii="Calibri" w:eastAsia="Calibri" w:hAnsi="Calibri" w:cs="Calibri"/>
          <w:szCs w:val="22"/>
        </w:rPr>
      </w:pPr>
    </w:p>
    <w:p w14:paraId="0DDF3C1B" w14:textId="382CEBE5" w:rsidR="00655809" w:rsidRDefault="00AE6AEF" w:rsidP="002A51BD">
      <w:pPr>
        <w:tabs>
          <w:tab w:val="left" w:pos="10080"/>
        </w:tabs>
        <w:rPr>
          <w:rFonts w:ascii="Calibri" w:eastAsia="Calibri" w:hAnsi="Calibri" w:cs="Calibri"/>
          <w:szCs w:val="22"/>
        </w:rPr>
      </w:pPr>
      <w:r>
        <w:rPr>
          <w:rFonts w:ascii="Calibri" w:eastAsia="Calibri" w:hAnsi="Calibri" w:cs="Calibri"/>
          <w:szCs w:val="22"/>
        </w:rPr>
        <w:t>T</w:t>
      </w:r>
      <w:r w:rsidR="00CB0381" w:rsidRPr="00CB0381">
        <w:rPr>
          <w:rFonts w:ascii="Calibri" w:eastAsia="Calibri" w:hAnsi="Calibri" w:cs="Calibri"/>
          <w:szCs w:val="22"/>
        </w:rPr>
        <w:t>his Application</w:t>
      </w:r>
      <w:r w:rsidR="001C08FC">
        <w:rPr>
          <w:rFonts w:ascii="Calibri" w:eastAsia="Calibri" w:hAnsi="Calibri" w:cs="Calibri"/>
          <w:szCs w:val="22"/>
        </w:rPr>
        <w:t xml:space="preserve"> is</w:t>
      </w:r>
      <w:r w:rsidR="00CB0381" w:rsidRPr="00CB0381">
        <w:rPr>
          <w:rFonts w:ascii="Calibri" w:eastAsia="Calibri" w:hAnsi="Calibri" w:cs="Calibri"/>
          <w:szCs w:val="22"/>
        </w:rPr>
        <w:t xml:space="preserve"> to establish a </w:t>
      </w:r>
      <w:r w:rsidR="006B0202">
        <w:rPr>
          <w:rFonts w:ascii="Calibri" w:eastAsia="Calibri" w:hAnsi="Calibri" w:cs="Calibri"/>
          <w:szCs w:val="22"/>
        </w:rPr>
        <w:t xml:space="preserve">licensed </w:t>
      </w:r>
      <w:r w:rsidR="00CB0381" w:rsidRPr="00CB0381">
        <w:rPr>
          <w:rFonts w:ascii="Calibri" w:eastAsia="Calibri" w:hAnsi="Calibri" w:cs="Calibri"/>
          <w:szCs w:val="22"/>
        </w:rPr>
        <w:t>freestanding ambulatory surgery center (“ASC”) with six (6) operating rooms</w:t>
      </w:r>
      <w:r w:rsidR="001C08FC">
        <w:rPr>
          <w:rFonts w:ascii="Calibri" w:eastAsia="Calibri" w:hAnsi="Calibri" w:cs="Calibri"/>
          <w:szCs w:val="22"/>
        </w:rPr>
        <w:t xml:space="preserve"> and associated support space </w:t>
      </w:r>
      <w:r w:rsidR="00CB0381" w:rsidRPr="00CB0381">
        <w:rPr>
          <w:rFonts w:ascii="Calibri" w:eastAsia="Calibri" w:hAnsi="Calibri" w:cs="Calibri"/>
          <w:szCs w:val="22"/>
        </w:rPr>
        <w:t xml:space="preserve">located at 153 Second Avenue, Waltham, Massachusetts, 02451 (the “Proposed Project”). The </w:t>
      </w:r>
      <w:r w:rsidR="00152C9B">
        <w:rPr>
          <w:rFonts w:ascii="Calibri" w:eastAsia="Calibri" w:hAnsi="Calibri" w:cs="Calibri"/>
          <w:szCs w:val="22"/>
        </w:rPr>
        <w:t xml:space="preserve">Proposed Project </w:t>
      </w:r>
      <w:r w:rsidR="00CB0381" w:rsidRPr="00CB0381">
        <w:rPr>
          <w:rFonts w:ascii="Calibri" w:eastAsia="Calibri" w:hAnsi="Calibri" w:cs="Calibri"/>
          <w:szCs w:val="22"/>
        </w:rPr>
        <w:t>w</w:t>
      </w:r>
      <w:r w:rsidR="00152C9B">
        <w:rPr>
          <w:rFonts w:ascii="Calibri" w:eastAsia="Calibri" w:hAnsi="Calibri" w:cs="Calibri"/>
          <w:szCs w:val="22"/>
        </w:rPr>
        <w:t>ill</w:t>
      </w:r>
      <w:r w:rsidR="00CB0381" w:rsidRPr="00CB0381">
        <w:rPr>
          <w:rFonts w:ascii="Calibri" w:eastAsia="Calibri" w:hAnsi="Calibri" w:cs="Calibri"/>
          <w:szCs w:val="22"/>
        </w:rPr>
        <w:t xml:space="preserve"> be an affiliate of Atrius Health and </w:t>
      </w:r>
      <w:r w:rsidR="00152C9B">
        <w:rPr>
          <w:rFonts w:ascii="Calibri" w:eastAsia="Calibri" w:hAnsi="Calibri" w:cs="Calibri"/>
          <w:szCs w:val="22"/>
        </w:rPr>
        <w:t xml:space="preserve">be </w:t>
      </w:r>
      <w:r w:rsidR="00CB0381" w:rsidRPr="00CB0381">
        <w:rPr>
          <w:rFonts w:ascii="Calibri" w:eastAsia="Calibri" w:hAnsi="Calibri" w:cs="Calibri"/>
          <w:szCs w:val="22"/>
        </w:rPr>
        <w:t>operated by Atrius Health Ambulatory Surgery Center, LLC</w:t>
      </w:r>
      <w:r w:rsidR="00CB0381" w:rsidRPr="00CB0381">
        <w:rPr>
          <w:rFonts w:ascii="Calibri" w:eastAsia="Calibri" w:hAnsi="Calibri" w:cs="Calibri"/>
          <w:szCs w:val="22"/>
          <w:vertAlign w:val="superscript"/>
        </w:rPr>
        <w:footnoteReference w:id="5"/>
      </w:r>
      <w:r w:rsidR="00CB0381" w:rsidRPr="00CB0381">
        <w:rPr>
          <w:rFonts w:ascii="Calibri" w:eastAsia="Calibri" w:hAnsi="Calibri" w:cs="Calibri"/>
          <w:szCs w:val="22"/>
        </w:rPr>
        <w:t xml:space="preserve"> (“AHASC”) for which clinic licensure will be sought after approval of the Proposed Project. </w:t>
      </w:r>
    </w:p>
    <w:p w14:paraId="79740764" w14:textId="77777777" w:rsidR="00092936" w:rsidRDefault="00092936" w:rsidP="002A51BD">
      <w:pPr>
        <w:tabs>
          <w:tab w:val="left" w:pos="10080"/>
        </w:tabs>
        <w:rPr>
          <w:rFonts w:ascii="Calibri" w:eastAsia="Calibri" w:hAnsi="Calibri" w:cs="Calibri"/>
          <w:szCs w:val="22"/>
        </w:rPr>
      </w:pPr>
    </w:p>
    <w:p w14:paraId="3ACB3F54" w14:textId="126A5F75" w:rsidR="002A51BD" w:rsidRDefault="00450F4C" w:rsidP="61DD6110">
      <w:pPr>
        <w:tabs>
          <w:tab w:val="left" w:pos="10080"/>
        </w:tabs>
        <w:rPr>
          <w:rFonts w:ascii="Calibri" w:eastAsia="Calibri" w:hAnsi="Calibri" w:cs="Calibri"/>
        </w:rPr>
      </w:pPr>
      <w:r w:rsidRPr="61DD6110">
        <w:rPr>
          <w:rFonts w:ascii="Calibri" w:eastAsia="Calibri" w:hAnsi="Calibri" w:cs="Calibri"/>
        </w:rPr>
        <w:t>T</w:t>
      </w:r>
      <w:r w:rsidR="00C001C2" w:rsidRPr="61DD6110">
        <w:rPr>
          <w:rFonts w:ascii="Calibri" w:eastAsia="Calibri" w:hAnsi="Calibri" w:cs="Calibri"/>
        </w:rPr>
        <w:t xml:space="preserve">he </w:t>
      </w:r>
      <w:r w:rsidR="08C64EF8" w:rsidRPr="61DD6110">
        <w:rPr>
          <w:rFonts w:ascii="Calibri" w:eastAsia="Calibri" w:hAnsi="Calibri" w:cs="Calibri"/>
        </w:rPr>
        <w:t xml:space="preserve">proposed ASC </w:t>
      </w:r>
      <w:r w:rsidR="005F2272" w:rsidRPr="61DD6110">
        <w:rPr>
          <w:rFonts w:ascii="Calibri" w:eastAsia="Calibri" w:hAnsi="Calibri" w:cs="Calibri"/>
        </w:rPr>
        <w:t xml:space="preserve">will </w:t>
      </w:r>
      <w:r w:rsidR="00226AB6" w:rsidRPr="61DD6110">
        <w:rPr>
          <w:rFonts w:ascii="Calibri" w:eastAsia="Calibri" w:hAnsi="Calibri" w:cs="Calibri"/>
        </w:rPr>
        <w:t xml:space="preserve">be a multi-specialty clinic, </w:t>
      </w:r>
      <w:r w:rsidRPr="61DD6110">
        <w:rPr>
          <w:rFonts w:ascii="Calibri" w:eastAsia="Calibri" w:hAnsi="Calibri" w:cs="Calibri"/>
        </w:rPr>
        <w:t xml:space="preserve">initially </w:t>
      </w:r>
      <w:r w:rsidR="00CF4D8B" w:rsidRPr="61DD6110">
        <w:rPr>
          <w:rFonts w:ascii="Calibri" w:eastAsia="Calibri" w:hAnsi="Calibri" w:cs="Calibri"/>
        </w:rPr>
        <w:t>offering surgical</w:t>
      </w:r>
      <w:r w:rsidR="00226AB6" w:rsidRPr="61DD6110">
        <w:rPr>
          <w:rFonts w:ascii="Calibri" w:eastAsia="Calibri" w:hAnsi="Calibri" w:cs="Calibri"/>
        </w:rPr>
        <w:t xml:space="preserve"> </w:t>
      </w:r>
      <w:r w:rsidR="00417468" w:rsidRPr="61DD6110">
        <w:rPr>
          <w:rFonts w:ascii="Calibri" w:eastAsia="Calibri" w:hAnsi="Calibri" w:cs="Calibri"/>
        </w:rPr>
        <w:t xml:space="preserve">specialties </w:t>
      </w:r>
      <w:r w:rsidR="00A93B63" w:rsidRPr="61DD6110">
        <w:rPr>
          <w:rFonts w:ascii="Calibri" w:eastAsia="Calibri" w:hAnsi="Calibri" w:cs="Calibri"/>
        </w:rPr>
        <w:t xml:space="preserve">that are currently </w:t>
      </w:r>
      <w:r w:rsidR="00C91C64" w:rsidRPr="61DD6110">
        <w:rPr>
          <w:rFonts w:ascii="Calibri" w:eastAsia="Calibri" w:hAnsi="Calibri" w:cs="Calibri"/>
        </w:rPr>
        <w:t>performed by Atrius Health surgeons</w:t>
      </w:r>
      <w:r w:rsidR="00A93B63" w:rsidRPr="61DD6110">
        <w:rPr>
          <w:rFonts w:ascii="Calibri" w:eastAsia="Calibri" w:hAnsi="Calibri" w:cs="Calibri"/>
        </w:rPr>
        <w:t xml:space="preserve"> at other sites</w:t>
      </w:r>
      <w:r w:rsidR="00226AB6" w:rsidRPr="61DD6110">
        <w:rPr>
          <w:rFonts w:ascii="Calibri" w:eastAsia="Calibri" w:hAnsi="Calibri" w:cs="Calibri"/>
        </w:rPr>
        <w:t>, including the following</w:t>
      </w:r>
      <w:r w:rsidR="00A93B63" w:rsidRPr="61DD6110">
        <w:rPr>
          <w:rFonts w:ascii="Calibri" w:eastAsia="Calibri" w:hAnsi="Calibri" w:cs="Calibri"/>
        </w:rPr>
        <w:t>:</w:t>
      </w:r>
      <w:r w:rsidR="00C91C64" w:rsidRPr="61DD6110">
        <w:rPr>
          <w:rFonts w:ascii="Calibri" w:eastAsia="Calibri" w:hAnsi="Calibri" w:cs="Calibri"/>
        </w:rPr>
        <w:t xml:space="preserve"> </w:t>
      </w:r>
      <w:r w:rsidR="00226AB6" w:rsidRPr="61DD6110">
        <w:rPr>
          <w:rFonts w:ascii="Calibri" w:eastAsia="Calibri" w:hAnsi="Calibri" w:cs="Calibri"/>
        </w:rPr>
        <w:t xml:space="preserve">otorhinolaryngology </w:t>
      </w:r>
      <w:r w:rsidR="00C91C64" w:rsidRPr="61DD6110">
        <w:rPr>
          <w:rFonts w:ascii="Calibri" w:eastAsia="Calibri" w:hAnsi="Calibri" w:cs="Calibri"/>
        </w:rPr>
        <w:t xml:space="preserve">(“ENT”), general surgery, obstetrics and gynecology (“OB/GYN”), orthopedics, and podiatry. </w:t>
      </w:r>
      <w:r w:rsidR="00152C9B" w:rsidRPr="61DD6110">
        <w:rPr>
          <w:rFonts w:ascii="Calibri" w:eastAsia="Calibri" w:hAnsi="Calibri" w:cs="Calibri"/>
        </w:rPr>
        <w:t xml:space="preserve">By shifting </w:t>
      </w:r>
      <w:r w:rsidR="00F52330" w:rsidRPr="61DD6110">
        <w:rPr>
          <w:rFonts w:ascii="Calibri" w:eastAsia="Calibri" w:hAnsi="Calibri" w:cs="Calibri"/>
        </w:rPr>
        <w:t>the provision of</w:t>
      </w:r>
      <w:r w:rsidR="00417468" w:rsidRPr="61DD6110">
        <w:rPr>
          <w:rFonts w:ascii="Calibri" w:eastAsia="Calibri" w:hAnsi="Calibri" w:cs="Calibri"/>
        </w:rPr>
        <w:t xml:space="preserve"> </w:t>
      </w:r>
      <w:r w:rsidR="00152C9B" w:rsidRPr="61DD6110">
        <w:rPr>
          <w:rFonts w:ascii="Calibri" w:eastAsia="Calibri" w:hAnsi="Calibri" w:cs="Calibri"/>
        </w:rPr>
        <w:t xml:space="preserve">surgical procedures </w:t>
      </w:r>
      <w:r w:rsidR="00F52330" w:rsidRPr="61DD6110">
        <w:rPr>
          <w:rFonts w:ascii="Calibri" w:eastAsia="Calibri" w:hAnsi="Calibri" w:cs="Calibri"/>
        </w:rPr>
        <w:t xml:space="preserve">to the Applicant’s </w:t>
      </w:r>
      <w:r w:rsidR="006D37C6" w:rsidRPr="61DD6110">
        <w:rPr>
          <w:rFonts w:ascii="Calibri" w:eastAsia="Calibri" w:hAnsi="Calibri" w:cs="Calibri"/>
        </w:rPr>
        <w:t xml:space="preserve">ASC </w:t>
      </w:r>
      <w:r w:rsidR="00F52330" w:rsidRPr="61DD6110">
        <w:rPr>
          <w:rFonts w:ascii="Calibri" w:eastAsia="Calibri" w:hAnsi="Calibri" w:cs="Calibri"/>
        </w:rPr>
        <w:t>from hospital outpatient departments (“HOPDs”) and unaffiliated ASCs</w:t>
      </w:r>
      <w:r w:rsidR="00152C9B" w:rsidRPr="61DD6110">
        <w:rPr>
          <w:rFonts w:ascii="Calibri" w:eastAsia="Calibri" w:hAnsi="Calibri" w:cs="Calibri"/>
        </w:rPr>
        <w:t xml:space="preserve">, the Applicant </w:t>
      </w:r>
      <w:r w:rsidR="00226AB6" w:rsidRPr="61DD6110">
        <w:rPr>
          <w:rFonts w:ascii="Calibri" w:eastAsia="Calibri" w:hAnsi="Calibri" w:cs="Calibri"/>
        </w:rPr>
        <w:t xml:space="preserve">asserts it </w:t>
      </w:r>
      <w:r w:rsidR="00152C9B" w:rsidRPr="61DD6110">
        <w:rPr>
          <w:rFonts w:ascii="Calibri" w:eastAsia="Calibri" w:hAnsi="Calibri" w:cs="Calibri"/>
        </w:rPr>
        <w:t xml:space="preserve">will be able </w:t>
      </w:r>
      <w:r w:rsidR="009136AC" w:rsidRPr="61DD6110">
        <w:rPr>
          <w:rFonts w:ascii="Calibri" w:eastAsia="Calibri" w:hAnsi="Calibri" w:cs="Calibri"/>
        </w:rPr>
        <w:t>to offer its value-based care model</w:t>
      </w:r>
      <w:r w:rsidR="00152C9B" w:rsidRPr="61DD6110">
        <w:rPr>
          <w:rStyle w:val="FootnoteReference"/>
          <w:rFonts w:ascii="Calibri" w:eastAsia="Calibri" w:hAnsi="Calibri" w:cs="Calibri"/>
        </w:rPr>
        <w:footnoteReference w:id="6"/>
      </w:r>
      <w:r w:rsidR="009136AC" w:rsidRPr="61DD6110">
        <w:rPr>
          <w:rFonts w:ascii="Calibri" w:eastAsia="Calibri" w:hAnsi="Calibri" w:cs="Calibri"/>
        </w:rPr>
        <w:t xml:space="preserve"> </w:t>
      </w:r>
      <w:r w:rsidR="00152C9B" w:rsidRPr="61DD6110">
        <w:rPr>
          <w:rFonts w:ascii="Calibri" w:eastAsia="Calibri" w:hAnsi="Calibri" w:cs="Calibri"/>
        </w:rPr>
        <w:t xml:space="preserve">for </w:t>
      </w:r>
      <w:r w:rsidR="009136AC" w:rsidRPr="61DD6110">
        <w:rPr>
          <w:rFonts w:ascii="Calibri" w:eastAsia="Calibri" w:hAnsi="Calibri" w:cs="Calibri"/>
        </w:rPr>
        <w:t xml:space="preserve">surgical </w:t>
      </w:r>
      <w:r w:rsidR="008D12FE" w:rsidRPr="61DD6110">
        <w:rPr>
          <w:rFonts w:ascii="Calibri" w:eastAsia="Calibri" w:hAnsi="Calibri" w:cs="Calibri"/>
        </w:rPr>
        <w:t xml:space="preserve">care </w:t>
      </w:r>
      <w:r w:rsidR="009136AC" w:rsidRPr="61DD6110">
        <w:rPr>
          <w:rFonts w:ascii="Calibri" w:eastAsia="Calibri" w:hAnsi="Calibri" w:cs="Calibri"/>
        </w:rPr>
        <w:t>to its Patient Panel.</w:t>
      </w:r>
      <w:bookmarkStart w:id="18" w:name="_Toc157428826"/>
      <w:bookmarkStart w:id="19" w:name="_Toc17151135"/>
      <w:bookmarkStart w:id="20" w:name="_Toc17731308"/>
      <w:bookmarkStart w:id="21" w:name="_Toc18420176"/>
      <w:bookmarkStart w:id="22" w:name="_Toc18922397"/>
      <w:bookmarkStart w:id="23" w:name="_Toc27567690"/>
      <w:bookmarkStart w:id="24" w:name="_Toc17151137"/>
      <w:r w:rsidR="00076F76" w:rsidRPr="61DD6110">
        <w:rPr>
          <w:rFonts w:ascii="Calibri" w:eastAsia="Calibri" w:hAnsi="Calibri" w:cs="Calibri"/>
        </w:rPr>
        <w:t xml:space="preserve"> </w:t>
      </w:r>
    </w:p>
    <w:p w14:paraId="1B925C85" w14:textId="5D958981" w:rsidR="00D53BE5" w:rsidRPr="002A51BD" w:rsidRDefault="00CE4434" w:rsidP="002A51BD">
      <w:pPr>
        <w:pStyle w:val="Heading1"/>
        <w:rPr>
          <w:rFonts w:asciiTheme="minorHAnsi" w:hAnsiTheme="minorHAnsi" w:cstheme="minorHAnsi"/>
        </w:rPr>
      </w:pPr>
      <w:bookmarkStart w:id="25" w:name="_Toc181356975"/>
      <w:r w:rsidRPr="002A51BD">
        <w:rPr>
          <w:rFonts w:asciiTheme="minorHAnsi" w:hAnsiTheme="minorHAnsi" w:cstheme="minorHAnsi"/>
        </w:rPr>
        <w:t>Pa</w:t>
      </w:r>
      <w:r w:rsidR="0060259B" w:rsidRPr="002A51BD">
        <w:rPr>
          <w:rFonts w:asciiTheme="minorHAnsi" w:hAnsiTheme="minorHAnsi" w:cstheme="minorHAnsi"/>
        </w:rPr>
        <w:t>tient Panel</w:t>
      </w:r>
      <w:r w:rsidR="0060259B" w:rsidRPr="002A51BD">
        <w:rPr>
          <w:rFonts w:asciiTheme="minorHAnsi" w:hAnsiTheme="minorHAnsi" w:cstheme="minorHAnsi"/>
          <w:vertAlign w:val="superscript"/>
        </w:rPr>
        <w:footnoteReference w:id="7"/>
      </w:r>
      <w:bookmarkEnd w:id="18"/>
      <w:bookmarkEnd w:id="25"/>
      <w:r w:rsidR="00DE0916" w:rsidRPr="002A51BD">
        <w:rPr>
          <w:rFonts w:asciiTheme="minorHAnsi" w:hAnsiTheme="minorHAnsi" w:cstheme="minorHAnsi"/>
        </w:rPr>
        <w:t xml:space="preserve"> </w:t>
      </w:r>
    </w:p>
    <w:p w14:paraId="3BC77640" w14:textId="77777777" w:rsidR="00351727" w:rsidRDefault="00351727" w:rsidP="00685C18"/>
    <w:p w14:paraId="5BD3CC81" w14:textId="5008E67A" w:rsidR="00D74014" w:rsidRPr="006839EB" w:rsidRDefault="0018084B" w:rsidP="00685C18">
      <w:r>
        <w:t>T</w:t>
      </w:r>
      <w:r w:rsidR="00894935" w:rsidRPr="006839EB">
        <w:t>able</w:t>
      </w:r>
      <w:r>
        <w:t xml:space="preserve"> 1</w:t>
      </w:r>
      <w:r w:rsidR="00894935" w:rsidRPr="006839EB">
        <w:t xml:space="preserve"> </w:t>
      </w:r>
      <w:r w:rsidR="00351727" w:rsidRPr="006839EB">
        <w:t>includes</w:t>
      </w:r>
      <w:r w:rsidR="00894935" w:rsidRPr="006839EB">
        <w:t xml:space="preserve"> </w:t>
      </w:r>
      <w:r w:rsidR="00F70CAA">
        <w:t xml:space="preserve">four </w:t>
      </w:r>
      <w:r w:rsidR="007124C5">
        <w:t>c</w:t>
      </w:r>
      <w:r w:rsidR="00BC1169">
        <w:t xml:space="preserve">alendar </w:t>
      </w:r>
      <w:r w:rsidR="007124C5">
        <w:t>y</w:t>
      </w:r>
      <w:r w:rsidR="00BC1169">
        <w:t>ear</w:t>
      </w:r>
      <w:r w:rsidR="00256B53">
        <w:t>s</w:t>
      </w:r>
      <w:r w:rsidR="00F70CAA">
        <w:t xml:space="preserve"> </w:t>
      </w:r>
      <w:r w:rsidR="00256B53" w:rsidRPr="00256B53">
        <w:t>(”CY”)</w:t>
      </w:r>
      <w:r w:rsidR="007124C5">
        <w:t>,</w:t>
      </w:r>
      <w:r w:rsidR="00256B53" w:rsidRPr="00256B53">
        <w:t xml:space="preserve"> </w:t>
      </w:r>
      <w:r w:rsidR="00256B53">
        <w:t>20</w:t>
      </w:r>
      <w:r w:rsidR="00F70CAA">
        <w:t>20-</w:t>
      </w:r>
      <w:r w:rsidR="00256B53">
        <w:t>20</w:t>
      </w:r>
      <w:r w:rsidR="00F70CAA">
        <w:t>2</w:t>
      </w:r>
      <w:r w:rsidR="008D63E9">
        <w:t>3</w:t>
      </w:r>
      <w:r w:rsidR="00256B53">
        <w:t>,</w:t>
      </w:r>
      <w:r w:rsidR="008D63E9">
        <w:t xml:space="preserve"> </w:t>
      </w:r>
      <w:r w:rsidR="00F70CAA">
        <w:t xml:space="preserve">of </w:t>
      </w:r>
      <w:r>
        <w:t xml:space="preserve">the Patient Panel </w:t>
      </w:r>
      <w:r w:rsidR="0066200B">
        <w:t xml:space="preserve">and Surgical </w:t>
      </w:r>
      <w:r w:rsidR="008D63E9">
        <w:t xml:space="preserve">patient population </w:t>
      </w:r>
      <w:r>
        <w:t xml:space="preserve">for </w:t>
      </w:r>
      <w:r w:rsidR="00073C7A" w:rsidRPr="006839EB">
        <w:t>the Applicant</w:t>
      </w:r>
      <w:r w:rsidR="00F70CAA">
        <w:t>.</w:t>
      </w:r>
    </w:p>
    <w:p w14:paraId="4E54C1AB" w14:textId="0CA81D34" w:rsidR="007265F0" w:rsidRPr="006839EB" w:rsidRDefault="007265F0" w:rsidP="00825271">
      <w:pPr>
        <w:jc w:val="center"/>
        <w:rPr>
          <w:b/>
          <w:bCs/>
        </w:rPr>
      </w:pPr>
      <w:bookmarkStart w:id="26" w:name="_Hlk151730381"/>
      <w:r w:rsidRPr="006839EB">
        <w:rPr>
          <w:b/>
          <w:bCs/>
        </w:rPr>
        <w:lastRenderedPageBreak/>
        <w:t xml:space="preserve">Table </w:t>
      </w:r>
      <w:r w:rsidR="0080092C" w:rsidRPr="006839EB">
        <w:rPr>
          <w:b/>
          <w:bCs/>
        </w:rPr>
        <w:t>1</w:t>
      </w:r>
      <w:r w:rsidR="00914391" w:rsidRPr="006839EB">
        <w:rPr>
          <w:b/>
          <w:bCs/>
        </w:rPr>
        <w:t>:</w:t>
      </w:r>
      <w:r w:rsidRPr="006839EB">
        <w:rPr>
          <w:b/>
          <w:bCs/>
        </w:rPr>
        <w:t xml:space="preserve"> Overview of Patient Panel</w:t>
      </w:r>
      <w:r w:rsidR="00844B13" w:rsidRPr="006839EB">
        <w:rPr>
          <w:b/>
          <w:bCs/>
        </w:rPr>
        <w:t>s-</w:t>
      </w:r>
      <w:r w:rsidRPr="006839EB">
        <w:rPr>
          <w:b/>
          <w:bCs/>
        </w:rPr>
        <w:t xml:space="preserve"> FY</w:t>
      </w:r>
      <w:r w:rsidR="00067789" w:rsidRPr="006839EB">
        <w:rPr>
          <w:b/>
          <w:bCs/>
        </w:rPr>
        <w:t>2</w:t>
      </w:r>
      <w:r w:rsidRPr="006839EB">
        <w:rPr>
          <w:b/>
          <w:bCs/>
        </w:rPr>
        <w:t>1-FY2</w:t>
      </w:r>
      <w:r w:rsidR="00FA7531">
        <w:rPr>
          <w:b/>
          <w:bCs/>
        </w:rPr>
        <w:t>3</w:t>
      </w:r>
      <w:r w:rsidR="00F47250" w:rsidRPr="006839EB">
        <w:rPr>
          <w:b/>
          <w:bCs/>
        </w:rPr>
        <w:t xml:space="preserve"> </w:t>
      </w:r>
    </w:p>
    <w:p w14:paraId="40CD0270" w14:textId="77777777" w:rsidR="005F51BD" w:rsidRPr="006839EB" w:rsidRDefault="005F51BD" w:rsidP="00825271">
      <w:pPr>
        <w:jc w:val="center"/>
        <w:rPr>
          <w:b/>
          <w:bCs/>
        </w:rPr>
      </w:pPr>
    </w:p>
    <w:tbl>
      <w:tblPr>
        <w:tblStyle w:val="TableGrid"/>
        <w:tblW w:w="0" w:type="auto"/>
        <w:jc w:val="center"/>
        <w:tblLook w:val="04A0" w:firstRow="1" w:lastRow="0" w:firstColumn="1" w:lastColumn="0" w:noHBand="0" w:noVBand="1"/>
      </w:tblPr>
      <w:tblGrid>
        <w:gridCol w:w="1763"/>
        <w:gridCol w:w="1008"/>
        <w:gridCol w:w="1008"/>
        <w:gridCol w:w="1008"/>
        <w:gridCol w:w="1008"/>
        <w:gridCol w:w="1320"/>
      </w:tblGrid>
      <w:tr w:rsidR="00E269BC" w:rsidRPr="006839EB" w14:paraId="20DA317D" w14:textId="77777777" w:rsidTr="0046493D">
        <w:trPr>
          <w:cantSplit/>
          <w:trHeight w:val="520"/>
          <w:tblHeader/>
          <w:jc w:val="center"/>
        </w:trPr>
        <w:tc>
          <w:tcPr>
            <w:tcW w:w="1763" w:type="dxa"/>
            <w:shd w:val="clear" w:color="auto" w:fill="E5FFFF"/>
            <w:vAlign w:val="center"/>
            <w:hideMark/>
          </w:tcPr>
          <w:p w14:paraId="230B1F72" w14:textId="77777777" w:rsidR="005F51BD" w:rsidRPr="006839EB" w:rsidRDefault="005F51BD" w:rsidP="005F51BD">
            <w:pPr>
              <w:jc w:val="center"/>
              <w:rPr>
                <w:b/>
                <w:bCs/>
              </w:rPr>
            </w:pPr>
            <w:r w:rsidRPr="006839EB">
              <w:rPr>
                <w:b/>
                <w:bCs/>
              </w:rPr>
              <w:t>Unique Patients</w:t>
            </w:r>
          </w:p>
        </w:tc>
        <w:tc>
          <w:tcPr>
            <w:tcW w:w="1008" w:type="dxa"/>
            <w:shd w:val="clear" w:color="auto" w:fill="E5FFFF"/>
            <w:noWrap/>
            <w:vAlign w:val="center"/>
            <w:hideMark/>
          </w:tcPr>
          <w:p w14:paraId="7CC22ECE" w14:textId="77777777" w:rsidR="005F51BD" w:rsidRPr="006839EB" w:rsidRDefault="005F51BD">
            <w:pPr>
              <w:jc w:val="center"/>
              <w:rPr>
                <w:b/>
                <w:bCs/>
              </w:rPr>
            </w:pPr>
            <w:r w:rsidRPr="006839EB">
              <w:rPr>
                <w:b/>
                <w:bCs/>
              </w:rPr>
              <w:t>CY 20</w:t>
            </w:r>
          </w:p>
        </w:tc>
        <w:tc>
          <w:tcPr>
            <w:tcW w:w="1008" w:type="dxa"/>
            <w:shd w:val="clear" w:color="auto" w:fill="E5FFFF"/>
            <w:noWrap/>
            <w:vAlign w:val="center"/>
            <w:hideMark/>
          </w:tcPr>
          <w:p w14:paraId="408A7F3C" w14:textId="77777777" w:rsidR="005F51BD" w:rsidRPr="006839EB" w:rsidRDefault="005F51BD">
            <w:pPr>
              <w:jc w:val="center"/>
              <w:rPr>
                <w:b/>
                <w:bCs/>
              </w:rPr>
            </w:pPr>
            <w:r w:rsidRPr="006839EB">
              <w:rPr>
                <w:b/>
                <w:bCs/>
              </w:rPr>
              <w:t>CY 21</w:t>
            </w:r>
          </w:p>
        </w:tc>
        <w:tc>
          <w:tcPr>
            <w:tcW w:w="1008" w:type="dxa"/>
            <w:shd w:val="clear" w:color="auto" w:fill="E5FFFF"/>
            <w:noWrap/>
            <w:vAlign w:val="center"/>
            <w:hideMark/>
          </w:tcPr>
          <w:p w14:paraId="1C3FF7F1" w14:textId="77777777" w:rsidR="005F51BD" w:rsidRPr="006839EB" w:rsidRDefault="005F51BD">
            <w:pPr>
              <w:jc w:val="center"/>
              <w:rPr>
                <w:b/>
                <w:bCs/>
              </w:rPr>
            </w:pPr>
            <w:r w:rsidRPr="006839EB">
              <w:rPr>
                <w:b/>
                <w:bCs/>
              </w:rPr>
              <w:t>CY 22</w:t>
            </w:r>
          </w:p>
        </w:tc>
        <w:tc>
          <w:tcPr>
            <w:tcW w:w="1008" w:type="dxa"/>
            <w:shd w:val="clear" w:color="auto" w:fill="E5FFFF"/>
            <w:noWrap/>
            <w:vAlign w:val="center"/>
            <w:hideMark/>
          </w:tcPr>
          <w:p w14:paraId="5D17958A" w14:textId="77777777" w:rsidR="005F51BD" w:rsidRPr="006839EB" w:rsidRDefault="005F51BD">
            <w:pPr>
              <w:jc w:val="center"/>
              <w:rPr>
                <w:b/>
                <w:bCs/>
              </w:rPr>
            </w:pPr>
            <w:r w:rsidRPr="006839EB">
              <w:rPr>
                <w:b/>
                <w:bCs/>
              </w:rPr>
              <w:t>CY 23</w:t>
            </w:r>
          </w:p>
        </w:tc>
        <w:tc>
          <w:tcPr>
            <w:tcW w:w="1320" w:type="dxa"/>
            <w:shd w:val="clear" w:color="auto" w:fill="E5FFFF"/>
            <w:vAlign w:val="center"/>
            <w:hideMark/>
          </w:tcPr>
          <w:p w14:paraId="6CD0C9CA" w14:textId="77777777" w:rsidR="005F51BD" w:rsidRPr="006839EB" w:rsidRDefault="005F51BD">
            <w:pPr>
              <w:jc w:val="center"/>
              <w:rPr>
                <w:b/>
                <w:bCs/>
              </w:rPr>
            </w:pPr>
            <w:r w:rsidRPr="006839EB">
              <w:rPr>
                <w:b/>
                <w:bCs/>
              </w:rPr>
              <w:t>% Change CY 20-23</w:t>
            </w:r>
          </w:p>
        </w:tc>
      </w:tr>
      <w:tr w:rsidR="005F51BD" w:rsidRPr="006839EB" w14:paraId="0D9AFB36" w14:textId="77777777" w:rsidTr="0046493D">
        <w:trPr>
          <w:cantSplit/>
          <w:trHeight w:val="290"/>
          <w:jc w:val="center"/>
        </w:trPr>
        <w:tc>
          <w:tcPr>
            <w:tcW w:w="1763" w:type="dxa"/>
            <w:noWrap/>
            <w:hideMark/>
          </w:tcPr>
          <w:p w14:paraId="6DA9397C" w14:textId="69B272DB" w:rsidR="005F51BD" w:rsidRPr="006839EB" w:rsidRDefault="0018084B" w:rsidP="005F51BD">
            <w:pPr>
              <w:jc w:val="center"/>
              <w:rPr>
                <w:b/>
                <w:bCs/>
              </w:rPr>
            </w:pPr>
            <w:r>
              <w:rPr>
                <w:b/>
                <w:bCs/>
              </w:rPr>
              <w:t xml:space="preserve">Atrius </w:t>
            </w:r>
            <w:r w:rsidR="005F51BD" w:rsidRPr="006839EB">
              <w:rPr>
                <w:b/>
                <w:bCs/>
              </w:rPr>
              <w:t xml:space="preserve">Overall </w:t>
            </w:r>
          </w:p>
        </w:tc>
        <w:tc>
          <w:tcPr>
            <w:tcW w:w="1008" w:type="dxa"/>
            <w:noWrap/>
            <w:hideMark/>
          </w:tcPr>
          <w:p w14:paraId="100F4947" w14:textId="77777777" w:rsidR="005F51BD" w:rsidRPr="006839EB" w:rsidRDefault="005F51BD">
            <w:pPr>
              <w:jc w:val="center"/>
              <w:rPr>
                <w:b/>
                <w:bCs/>
              </w:rPr>
            </w:pPr>
            <w:r w:rsidRPr="006839EB">
              <w:rPr>
                <w:b/>
                <w:bCs/>
              </w:rPr>
              <w:t>560,698</w:t>
            </w:r>
          </w:p>
        </w:tc>
        <w:tc>
          <w:tcPr>
            <w:tcW w:w="1008" w:type="dxa"/>
            <w:noWrap/>
            <w:hideMark/>
          </w:tcPr>
          <w:p w14:paraId="357AECC1" w14:textId="77777777" w:rsidR="005F51BD" w:rsidRPr="006839EB" w:rsidRDefault="005F51BD">
            <w:pPr>
              <w:jc w:val="center"/>
              <w:rPr>
                <w:b/>
                <w:bCs/>
              </w:rPr>
            </w:pPr>
            <w:r w:rsidRPr="006839EB">
              <w:rPr>
                <w:b/>
                <w:bCs/>
              </w:rPr>
              <w:t>554,154</w:t>
            </w:r>
          </w:p>
        </w:tc>
        <w:tc>
          <w:tcPr>
            <w:tcW w:w="1008" w:type="dxa"/>
            <w:noWrap/>
            <w:hideMark/>
          </w:tcPr>
          <w:p w14:paraId="47D97849" w14:textId="77777777" w:rsidR="005F51BD" w:rsidRPr="006839EB" w:rsidRDefault="005F51BD">
            <w:pPr>
              <w:jc w:val="center"/>
              <w:rPr>
                <w:b/>
                <w:bCs/>
              </w:rPr>
            </w:pPr>
            <w:r w:rsidRPr="006839EB">
              <w:rPr>
                <w:b/>
                <w:bCs/>
              </w:rPr>
              <w:t>550,915</w:t>
            </w:r>
          </w:p>
        </w:tc>
        <w:tc>
          <w:tcPr>
            <w:tcW w:w="1008" w:type="dxa"/>
            <w:noWrap/>
            <w:hideMark/>
          </w:tcPr>
          <w:p w14:paraId="7CE86FFE" w14:textId="77777777" w:rsidR="005F51BD" w:rsidRPr="006839EB" w:rsidRDefault="005F51BD">
            <w:pPr>
              <w:jc w:val="center"/>
              <w:rPr>
                <w:b/>
                <w:bCs/>
              </w:rPr>
            </w:pPr>
            <w:r w:rsidRPr="006839EB">
              <w:rPr>
                <w:b/>
                <w:bCs/>
              </w:rPr>
              <w:t>573,888</w:t>
            </w:r>
          </w:p>
        </w:tc>
        <w:tc>
          <w:tcPr>
            <w:tcW w:w="1320" w:type="dxa"/>
            <w:noWrap/>
            <w:hideMark/>
          </w:tcPr>
          <w:p w14:paraId="7C1D5D8E" w14:textId="77777777" w:rsidR="005F51BD" w:rsidRPr="006839EB" w:rsidRDefault="005F51BD" w:rsidP="005F51BD">
            <w:pPr>
              <w:jc w:val="center"/>
            </w:pPr>
            <w:r w:rsidRPr="006839EB">
              <w:t>2.4%</w:t>
            </w:r>
          </w:p>
        </w:tc>
      </w:tr>
      <w:tr w:rsidR="005F51BD" w:rsidRPr="006839EB" w14:paraId="1A491A48" w14:textId="77777777" w:rsidTr="0046493D">
        <w:trPr>
          <w:cantSplit/>
          <w:trHeight w:val="290"/>
          <w:jc w:val="center"/>
        </w:trPr>
        <w:tc>
          <w:tcPr>
            <w:tcW w:w="1763" w:type="dxa"/>
            <w:noWrap/>
            <w:hideMark/>
          </w:tcPr>
          <w:p w14:paraId="0DA40C61" w14:textId="54D77A08" w:rsidR="005F51BD" w:rsidRPr="006839EB" w:rsidRDefault="00E269BC" w:rsidP="005F51BD">
            <w:pPr>
              <w:jc w:val="center"/>
              <w:rPr>
                <w:b/>
                <w:bCs/>
              </w:rPr>
            </w:pPr>
            <w:r w:rsidRPr="006839EB">
              <w:rPr>
                <w:b/>
                <w:bCs/>
              </w:rPr>
              <w:t>Surgical</w:t>
            </w:r>
          </w:p>
        </w:tc>
        <w:tc>
          <w:tcPr>
            <w:tcW w:w="1008" w:type="dxa"/>
            <w:noWrap/>
            <w:hideMark/>
          </w:tcPr>
          <w:p w14:paraId="697B9CD5" w14:textId="77777777" w:rsidR="005F51BD" w:rsidRPr="006839EB" w:rsidRDefault="005F51BD">
            <w:pPr>
              <w:jc w:val="center"/>
              <w:rPr>
                <w:b/>
                <w:bCs/>
              </w:rPr>
            </w:pPr>
            <w:r w:rsidRPr="006839EB">
              <w:rPr>
                <w:b/>
                <w:bCs/>
              </w:rPr>
              <w:t>12,573</w:t>
            </w:r>
          </w:p>
        </w:tc>
        <w:tc>
          <w:tcPr>
            <w:tcW w:w="1008" w:type="dxa"/>
            <w:noWrap/>
            <w:hideMark/>
          </w:tcPr>
          <w:p w14:paraId="463C8F0A" w14:textId="77777777" w:rsidR="005F51BD" w:rsidRPr="006839EB" w:rsidRDefault="005F51BD">
            <w:pPr>
              <w:jc w:val="center"/>
              <w:rPr>
                <w:b/>
                <w:bCs/>
              </w:rPr>
            </w:pPr>
            <w:r w:rsidRPr="006839EB">
              <w:rPr>
                <w:b/>
                <w:bCs/>
              </w:rPr>
              <w:t>13,162</w:t>
            </w:r>
          </w:p>
        </w:tc>
        <w:tc>
          <w:tcPr>
            <w:tcW w:w="1008" w:type="dxa"/>
            <w:noWrap/>
            <w:hideMark/>
          </w:tcPr>
          <w:p w14:paraId="1C484F8C" w14:textId="77777777" w:rsidR="005F51BD" w:rsidRPr="006839EB" w:rsidRDefault="005F51BD">
            <w:pPr>
              <w:jc w:val="center"/>
              <w:rPr>
                <w:b/>
                <w:bCs/>
              </w:rPr>
            </w:pPr>
            <w:r w:rsidRPr="006839EB">
              <w:rPr>
                <w:b/>
                <w:bCs/>
              </w:rPr>
              <w:t>14,288</w:t>
            </w:r>
          </w:p>
        </w:tc>
        <w:tc>
          <w:tcPr>
            <w:tcW w:w="1008" w:type="dxa"/>
            <w:hideMark/>
          </w:tcPr>
          <w:p w14:paraId="1D206A54" w14:textId="77777777" w:rsidR="005F51BD" w:rsidRPr="006839EB" w:rsidRDefault="005F51BD">
            <w:pPr>
              <w:jc w:val="center"/>
              <w:rPr>
                <w:b/>
                <w:bCs/>
              </w:rPr>
            </w:pPr>
            <w:r w:rsidRPr="006839EB">
              <w:rPr>
                <w:b/>
                <w:bCs/>
              </w:rPr>
              <w:t>15,396</w:t>
            </w:r>
          </w:p>
        </w:tc>
        <w:tc>
          <w:tcPr>
            <w:tcW w:w="1320" w:type="dxa"/>
            <w:noWrap/>
            <w:hideMark/>
          </w:tcPr>
          <w:p w14:paraId="7F9BE264" w14:textId="77777777" w:rsidR="005F51BD" w:rsidRPr="006839EB" w:rsidRDefault="005F51BD" w:rsidP="005F51BD">
            <w:pPr>
              <w:jc w:val="center"/>
            </w:pPr>
            <w:r w:rsidRPr="006839EB">
              <w:t>22.0%</w:t>
            </w:r>
          </w:p>
        </w:tc>
      </w:tr>
    </w:tbl>
    <w:p w14:paraId="5B6115BF" w14:textId="77777777" w:rsidR="00844B13" w:rsidRPr="006839EB" w:rsidRDefault="00844B13" w:rsidP="005F51BD">
      <w:pPr>
        <w:jc w:val="center"/>
      </w:pPr>
    </w:p>
    <w:bookmarkEnd w:id="26"/>
    <w:p w14:paraId="169FB999" w14:textId="0F419DD7" w:rsidR="000A74D0" w:rsidRPr="000A74D0" w:rsidRDefault="006839EB" w:rsidP="000A74D0">
      <w:r>
        <w:t xml:space="preserve">The overall Patient </w:t>
      </w:r>
      <w:r w:rsidR="000B0E55">
        <w:t>P</w:t>
      </w:r>
      <w:r>
        <w:t xml:space="preserve">anel grew </w:t>
      </w:r>
      <w:r w:rsidR="000B0E55">
        <w:t xml:space="preserve">2.4% </w:t>
      </w:r>
      <w:r>
        <w:t>from C</w:t>
      </w:r>
      <w:r w:rsidR="0042269D">
        <w:t xml:space="preserve">Y </w:t>
      </w:r>
      <w:r>
        <w:t>2020-2023</w:t>
      </w:r>
      <w:r w:rsidR="000B0E55">
        <w:t xml:space="preserve"> and </w:t>
      </w:r>
      <w:r w:rsidR="00887E49">
        <w:t>as discussed further under Factor 1(a)</w:t>
      </w:r>
      <w:r w:rsidR="00994181">
        <w:t>,</w:t>
      </w:r>
      <w:r w:rsidR="00887E49">
        <w:t xml:space="preserve"> Need, </w:t>
      </w:r>
      <w:r w:rsidR="000B0E55">
        <w:t>the surgical patients grew 22% over the same period.</w:t>
      </w:r>
      <w:r w:rsidR="00887E49">
        <w:t xml:space="preserve"> </w:t>
      </w:r>
      <w:r w:rsidR="00426430" w:rsidRPr="00426430">
        <w:t xml:space="preserve">During CY 2020 through CY 2022, the Patient Panel had a slight decrease of 1.7% </w:t>
      </w:r>
      <w:r w:rsidR="00426430">
        <w:t xml:space="preserve">which the Applicant attributes to </w:t>
      </w:r>
      <w:r w:rsidR="00426430" w:rsidRPr="00426430">
        <w:t xml:space="preserve">the impact of COVID-19 and reductions in </w:t>
      </w:r>
      <w:r w:rsidR="00994181">
        <w:t xml:space="preserve">the number of </w:t>
      </w:r>
      <w:r w:rsidR="00426430" w:rsidRPr="00426430">
        <w:t>primary care physicians.</w:t>
      </w:r>
      <w:r w:rsidR="0023727C">
        <w:t xml:space="preserve"> </w:t>
      </w:r>
      <w:r w:rsidR="000A74D0" w:rsidRPr="000A74D0">
        <w:t>From 2021 to 2023, the Applicants’ primary care provider</w:t>
      </w:r>
      <w:r w:rsidR="0060313F">
        <w:t xml:space="preserve"> full time equivalent</w:t>
      </w:r>
      <w:r w:rsidR="000A74D0" w:rsidRPr="000A74D0">
        <w:t xml:space="preserve"> </w:t>
      </w:r>
      <w:r w:rsidR="001D7D2E">
        <w:t>(“</w:t>
      </w:r>
      <w:r w:rsidR="000A74D0" w:rsidRPr="000A74D0">
        <w:t>FTEs</w:t>
      </w:r>
      <w:r w:rsidR="001D7D2E">
        <w:t>”)</w:t>
      </w:r>
      <w:r w:rsidR="000A74D0" w:rsidRPr="000A74D0">
        <w:t xml:space="preserve"> grew by 22.27 FTEs, </w:t>
      </w:r>
      <w:r w:rsidR="00A7371C">
        <w:t>leading to a total Patient Panel growth of 19,734. T</w:t>
      </w:r>
      <w:r w:rsidR="000A74D0" w:rsidRPr="000A74D0">
        <w:t>his includes the primary care providers that previously worked at Compass Medical</w:t>
      </w:r>
      <w:r w:rsidR="00994181">
        <w:t xml:space="preserve"> and assuming </w:t>
      </w:r>
      <w:r w:rsidR="00A7371C" w:rsidRPr="00A7371C">
        <w:t xml:space="preserve">17,894 </w:t>
      </w:r>
      <w:r w:rsidR="00A7371C">
        <w:t xml:space="preserve">of </w:t>
      </w:r>
      <w:r w:rsidR="00994181">
        <w:t xml:space="preserve">their patients. </w:t>
      </w:r>
    </w:p>
    <w:p w14:paraId="2F5B1D8D" w14:textId="77777777" w:rsidR="00351727" w:rsidRDefault="00351727" w:rsidP="00426430"/>
    <w:p w14:paraId="024533EB" w14:textId="1CB7D05D" w:rsidR="000F2A72" w:rsidRDefault="00351727" w:rsidP="00351727">
      <w:pPr>
        <w:rPr>
          <w:b/>
          <w:bCs/>
        </w:rPr>
      </w:pPr>
      <w:r w:rsidRPr="00351727">
        <w:t xml:space="preserve">Table 2 summarizes elements of the Demographic profile reported; there are year over year fluctuations in the reported data, however no significant trends </w:t>
      </w:r>
      <w:r w:rsidR="00994181">
        <w:t xml:space="preserve">are </w:t>
      </w:r>
      <w:r w:rsidRPr="00351727">
        <w:t xml:space="preserve">noted. </w:t>
      </w:r>
      <w:bookmarkStart w:id="27" w:name="_Hlk151730467"/>
      <w:bookmarkStart w:id="28" w:name="_Hlk151730528"/>
    </w:p>
    <w:p w14:paraId="1DE0CEBD" w14:textId="77777777" w:rsidR="00351727" w:rsidRPr="006839EB" w:rsidRDefault="00351727" w:rsidP="00825271">
      <w:pPr>
        <w:jc w:val="center"/>
        <w:rPr>
          <w:b/>
          <w:bCs/>
        </w:rPr>
      </w:pPr>
    </w:p>
    <w:p w14:paraId="786874A5" w14:textId="637261CA" w:rsidR="00942B73" w:rsidRDefault="1B6FA5DA" w:rsidP="00825271">
      <w:pPr>
        <w:jc w:val="center"/>
        <w:rPr>
          <w:b/>
          <w:bCs/>
        </w:rPr>
      </w:pPr>
      <w:r w:rsidRPr="006839EB">
        <w:rPr>
          <w:b/>
          <w:bCs/>
        </w:rPr>
        <w:t>Table</w:t>
      </w:r>
      <w:r w:rsidR="3729CC64" w:rsidRPr="006839EB">
        <w:rPr>
          <w:b/>
          <w:bCs/>
        </w:rPr>
        <w:t xml:space="preserve"> </w:t>
      </w:r>
      <w:r w:rsidR="0066200B">
        <w:rPr>
          <w:b/>
          <w:bCs/>
        </w:rPr>
        <w:t>2</w:t>
      </w:r>
      <w:r w:rsidRPr="006839EB">
        <w:rPr>
          <w:b/>
          <w:bCs/>
        </w:rPr>
        <w:t>:</w:t>
      </w:r>
      <w:r w:rsidR="7646CA97" w:rsidRPr="006839EB">
        <w:rPr>
          <w:b/>
          <w:bCs/>
        </w:rPr>
        <w:t xml:space="preserve"> </w:t>
      </w:r>
      <w:r w:rsidR="553C312A" w:rsidRPr="006839EB">
        <w:rPr>
          <w:b/>
          <w:bCs/>
        </w:rPr>
        <w:t xml:space="preserve">Demographic Profile </w:t>
      </w:r>
      <w:r w:rsidRPr="006839EB">
        <w:rPr>
          <w:b/>
          <w:bCs/>
        </w:rPr>
        <w:t xml:space="preserve">of Patients- </w:t>
      </w:r>
      <w:r w:rsidR="005321B8">
        <w:rPr>
          <w:b/>
          <w:bCs/>
        </w:rPr>
        <w:t>C</w:t>
      </w:r>
      <w:r w:rsidR="00D94434" w:rsidRPr="006839EB">
        <w:rPr>
          <w:b/>
          <w:bCs/>
        </w:rPr>
        <w:t xml:space="preserve">Y </w:t>
      </w:r>
      <w:r w:rsidR="005321B8">
        <w:rPr>
          <w:b/>
          <w:bCs/>
        </w:rPr>
        <w:t>20</w:t>
      </w:r>
      <w:r w:rsidR="00D94434" w:rsidRPr="006839EB">
        <w:rPr>
          <w:b/>
          <w:bCs/>
        </w:rPr>
        <w:t>-23</w:t>
      </w:r>
    </w:p>
    <w:p w14:paraId="72D9DA30" w14:textId="77777777" w:rsidR="005321B8" w:rsidRPr="006839EB" w:rsidRDefault="005321B8" w:rsidP="00825271">
      <w:pPr>
        <w:jc w:val="center"/>
        <w:rPr>
          <w:b/>
          <w:bCs/>
        </w:rPr>
      </w:pPr>
    </w:p>
    <w:tbl>
      <w:tblPr>
        <w:tblW w:w="9630" w:type="dxa"/>
        <w:tblInd w:w="-185" w:type="dxa"/>
        <w:tblLook w:val="04A0" w:firstRow="1" w:lastRow="0" w:firstColumn="1" w:lastColumn="0" w:noHBand="0" w:noVBand="1"/>
      </w:tblPr>
      <w:tblGrid>
        <w:gridCol w:w="1448"/>
        <w:gridCol w:w="975"/>
        <w:gridCol w:w="28"/>
        <w:gridCol w:w="1003"/>
        <w:gridCol w:w="987"/>
        <w:gridCol w:w="8"/>
        <w:gridCol w:w="996"/>
        <w:gridCol w:w="1007"/>
        <w:gridCol w:w="18"/>
        <w:gridCol w:w="1026"/>
        <w:gridCol w:w="1054"/>
        <w:gridCol w:w="13"/>
        <w:gridCol w:w="1067"/>
      </w:tblGrid>
      <w:tr w:rsidR="00FF2DFD" w:rsidRPr="005321B8" w14:paraId="5D8B29F3" w14:textId="77777777" w:rsidTr="00AE6C2A">
        <w:trPr>
          <w:cantSplit/>
          <w:trHeight w:val="290"/>
          <w:tblHeader/>
        </w:trPr>
        <w:tc>
          <w:tcPr>
            <w:tcW w:w="1448"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3BEFA77B" w14:textId="77777777" w:rsidR="00FF2DFD" w:rsidRPr="005321B8" w:rsidRDefault="00FF2DFD" w:rsidP="00FF2DFD">
            <w:pPr>
              <w:rPr>
                <w:rFonts w:eastAsia="Times New Roman"/>
                <w:color w:val="000000"/>
              </w:rPr>
            </w:pPr>
            <w:r w:rsidRPr="005321B8">
              <w:rPr>
                <w:rFonts w:eastAsia="Times New Roman"/>
                <w:color w:val="000000"/>
              </w:rPr>
              <w:t> </w:t>
            </w:r>
          </w:p>
        </w:tc>
        <w:tc>
          <w:tcPr>
            <w:tcW w:w="1003"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55AE249A" w14:textId="77777777" w:rsidR="00FF2DFD" w:rsidRPr="005321B8" w:rsidRDefault="00FF2DFD" w:rsidP="00FF2DFD">
            <w:pPr>
              <w:jc w:val="center"/>
              <w:rPr>
                <w:rFonts w:eastAsia="Times New Roman"/>
                <w:b/>
                <w:bCs/>
                <w:color w:val="000000"/>
              </w:rPr>
            </w:pPr>
            <w:r w:rsidRPr="005321B8">
              <w:rPr>
                <w:rFonts w:eastAsia="Times New Roman"/>
                <w:b/>
                <w:bCs/>
                <w:color w:val="000000"/>
              </w:rPr>
              <w:t>CY 20</w:t>
            </w:r>
          </w:p>
        </w:tc>
        <w:tc>
          <w:tcPr>
            <w:tcW w:w="1003" w:type="dxa"/>
            <w:tcBorders>
              <w:top w:val="single" w:sz="4" w:space="0" w:color="auto"/>
              <w:left w:val="nil"/>
              <w:bottom w:val="single" w:sz="4" w:space="0" w:color="auto"/>
              <w:right w:val="single" w:sz="4" w:space="0" w:color="auto"/>
            </w:tcBorders>
            <w:shd w:val="clear" w:color="auto" w:fill="E5FFFF"/>
            <w:vAlign w:val="center"/>
          </w:tcPr>
          <w:p w14:paraId="73F8F58B" w14:textId="32E3E42D" w:rsidR="00FF2DFD" w:rsidRPr="005321B8" w:rsidRDefault="00FF2DFD" w:rsidP="00FF2DFD">
            <w:pPr>
              <w:jc w:val="center"/>
              <w:rPr>
                <w:rFonts w:eastAsia="Times New Roman"/>
                <w:b/>
                <w:bCs/>
                <w:color w:val="000000"/>
              </w:rPr>
            </w:pPr>
            <w:r w:rsidRPr="005321B8">
              <w:rPr>
                <w:rFonts w:eastAsia="Times New Roman"/>
                <w:b/>
                <w:bCs/>
                <w:color w:val="000000"/>
              </w:rPr>
              <w:t>CY 20</w:t>
            </w:r>
          </w:p>
        </w:tc>
        <w:tc>
          <w:tcPr>
            <w:tcW w:w="995"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4C3AC442" w14:textId="77777777" w:rsidR="00FF2DFD" w:rsidRPr="005321B8" w:rsidRDefault="00FF2DFD" w:rsidP="00FF2DFD">
            <w:pPr>
              <w:jc w:val="center"/>
              <w:rPr>
                <w:rFonts w:eastAsia="Times New Roman"/>
                <w:b/>
                <w:bCs/>
                <w:color w:val="000000"/>
              </w:rPr>
            </w:pPr>
            <w:r w:rsidRPr="005321B8">
              <w:rPr>
                <w:rFonts w:eastAsia="Times New Roman"/>
                <w:b/>
                <w:bCs/>
                <w:color w:val="000000"/>
              </w:rPr>
              <w:t>CY 21</w:t>
            </w:r>
          </w:p>
        </w:tc>
        <w:tc>
          <w:tcPr>
            <w:tcW w:w="996" w:type="dxa"/>
            <w:tcBorders>
              <w:top w:val="single" w:sz="4" w:space="0" w:color="auto"/>
              <w:left w:val="nil"/>
              <w:bottom w:val="single" w:sz="4" w:space="0" w:color="auto"/>
              <w:right w:val="single" w:sz="4" w:space="0" w:color="auto"/>
            </w:tcBorders>
            <w:shd w:val="clear" w:color="auto" w:fill="E5FFFF"/>
            <w:vAlign w:val="center"/>
          </w:tcPr>
          <w:p w14:paraId="30F0C9DC" w14:textId="4D338A2B" w:rsidR="00FF2DFD" w:rsidRPr="005321B8" w:rsidRDefault="00FF2DFD" w:rsidP="00FF2DFD">
            <w:pPr>
              <w:jc w:val="center"/>
              <w:rPr>
                <w:rFonts w:eastAsia="Times New Roman"/>
                <w:b/>
                <w:bCs/>
                <w:color w:val="000000"/>
              </w:rPr>
            </w:pPr>
            <w:r w:rsidRPr="005321B8">
              <w:rPr>
                <w:rFonts w:eastAsia="Times New Roman"/>
                <w:b/>
                <w:bCs/>
                <w:color w:val="000000"/>
              </w:rPr>
              <w:t>CY 21</w:t>
            </w:r>
          </w:p>
        </w:tc>
        <w:tc>
          <w:tcPr>
            <w:tcW w:w="1025"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61D7C453" w14:textId="77777777" w:rsidR="00FF2DFD" w:rsidRPr="005321B8" w:rsidRDefault="00FF2DFD" w:rsidP="00FF2DFD">
            <w:pPr>
              <w:jc w:val="center"/>
              <w:rPr>
                <w:rFonts w:eastAsia="Times New Roman"/>
                <w:b/>
                <w:bCs/>
                <w:color w:val="000000"/>
              </w:rPr>
            </w:pPr>
            <w:r w:rsidRPr="005321B8">
              <w:rPr>
                <w:rFonts w:eastAsia="Times New Roman"/>
                <w:b/>
                <w:bCs/>
                <w:color w:val="000000"/>
              </w:rPr>
              <w:t>CY 22</w:t>
            </w:r>
          </w:p>
        </w:tc>
        <w:tc>
          <w:tcPr>
            <w:tcW w:w="1026" w:type="dxa"/>
            <w:tcBorders>
              <w:top w:val="single" w:sz="4" w:space="0" w:color="auto"/>
              <w:left w:val="nil"/>
              <w:bottom w:val="single" w:sz="4" w:space="0" w:color="auto"/>
              <w:right w:val="single" w:sz="4" w:space="0" w:color="auto"/>
            </w:tcBorders>
            <w:shd w:val="clear" w:color="auto" w:fill="E5FFFF"/>
            <w:vAlign w:val="center"/>
          </w:tcPr>
          <w:p w14:paraId="207CDA36" w14:textId="4943FDD3" w:rsidR="00FF2DFD" w:rsidRPr="005321B8" w:rsidRDefault="00FF2DFD" w:rsidP="00FF2DFD">
            <w:pPr>
              <w:jc w:val="center"/>
              <w:rPr>
                <w:rFonts w:eastAsia="Times New Roman"/>
                <w:b/>
                <w:bCs/>
                <w:color w:val="000000"/>
              </w:rPr>
            </w:pPr>
            <w:r w:rsidRPr="005321B8">
              <w:rPr>
                <w:rFonts w:eastAsia="Times New Roman"/>
                <w:b/>
                <w:bCs/>
                <w:color w:val="000000"/>
              </w:rPr>
              <w:t>CY 22</w:t>
            </w:r>
          </w:p>
        </w:tc>
        <w:tc>
          <w:tcPr>
            <w:tcW w:w="1067"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72761E2D" w14:textId="77777777" w:rsidR="00FF2DFD" w:rsidRPr="005321B8" w:rsidRDefault="00FF2DFD" w:rsidP="00FF2DFD">
            <w:pPr>
              <w:jc w:val="center"/>
              <w:rPr>
                <w:rFonts w:eastAsia="Times New Roman"/>
                <w:b/>
                <w:bCs/>
                <w:color w:val="000000"/>
              </w:rPr>
            </w:pPr>
            <w:r w:rsidRPr="005321B8">
              <w:rPr>
                <w:rFonts w:eastAsia="Times New Roman"/>
                <w:b/>
                <w:bCs/>
                <w:color w:val="000000"/>
              </w:rPr>
              <w:t>CY 23</w:t>
            </w:r>
          </w:p>
        </w:tc>
        <w:tc>
          <w:tcPr>
            <w:tcW w:w="1067" w:type="dxa"/>
            <w:tcBorders>
              <w:top w:val="single" w:sz="4" w:space="0" w:color="auto"/>
              <w:left w:val="nil"/>
              <w:bottom w:val="single" w:sz="4" w:space="0" w:color="auto"/>
              <w:right w:val="single" w:sz="4" w:space="0" w:color="auto"/>
            </w:tcBorders>
            <w:shd w:val="clear" w:color="auto" w:fill="E5FFFF"/>
            <w:vAlign w:val="center"/>
          </w:tcPr>
          <w:p w14:paraId="70CC028F" w14:textId="1373BC46" w:rsidR="00FF2DFD" w:rsidRPr="005321B8" w:rsidRDefault="00FF2DFD" w:rsidP="00FF2DFD">
            <w:pPr>
              <w:jc w:val="center"/>
              <w:rPr>
                <w:rFonts w:eastAsia="Times New Roman"/>
                <w:b/>
                <w:bCs/>
                <w:color w:val="000000"/>
              </w:rPr>
            </w:pPr>
            <w:r w:rsidRPr="005321B8">
              <w:rPr>
                <w:rFonts w:eastAsia="Times New Roman"/>
                <w:b/>
                <w:bCs/>
                <w:color w:val="000000"/>
              </w:rPr>
              <w:t>CY 23</w:t>
            </w:r>
          </w:p>
        </w:tc>
      </w:tr>
      <w:tr w:rsidR="00FF2DFD" w:rsidRPr="005321B8" w14:paraId="5AA7EC87" w14:textId="77777777" w:rsidTr="00AE6C2A">
        <w:trPr>
          <w:cantSplit/>
          <w:trHeight w:val="520"/>
          <w:tblHeader/>
        </w:trPr>
        <w:tc>
          <w:tcPr>
            <w:tcW w:w="1448" w:type="dxa"/>
            <w:tcBorders>
              <w:top w:val="nil"/>
              <w:left w:val="single" w:sz="4" w:space="0" w:color="auto"/>
              <w:bottom w:val="single" w:sz="4" w:space="0" w:color="auto"/>
              <w:right w:val="single" w:sz="4" w:space="0" w:color="auto"/>
            </w:tcBorders>
            <w:shd w:val="clear" w:color="auto" w:fill="auto"/>
            <w:vAlign w:val="center"/>
            <w:hideMark/>
          </w:tcPr>
          <w:p w14:paraId="3ED52ED0" w14:textId="77777777" w:rsidR="00FF2DFD" w:rsidRPr="005321B8" w:rsidRDefault="00FF2DFD" w:rsidP="00FF2DFD">
            <w:pPr>
              <w:rPr>
                <w:rFonts w:eastAsia="Times New Roman"/>
                <w:b/>
                <w:bCs/>
                <w:color w:val="000000"/>
              </w:rPr>
            </w:pPr>
            <w:r w:rsidRPr="005321B8">
              <w:rPr>
                <w:rFonts w:eastAsia="Times New Roman"/>
                <w:b/>
                <w:bCs/>
                <w:color w:val="000000"/>
              </w:rPr>
              <w:t>UNIQUE PATIENTS</w:t>
            </w:r>
          </w:p>
        </w:tc>
        <w:tc>
          <w:tcPr>
            <w:tcW w:w="975" w:type="dxa"/>
            <w:tcBorders>
              <w:top w:val="nil"/>
              <w:left w:val="nil"/>
              <w:bottom w:val="single" w:sz="4" w:space="0" w:color="auto"/>
              <w:right w:val="single" w:sz="4" w:space="0" w:color="auto"/>
            </w:tcBorders>
            <w:shd w:val="clear" w:color="auto" w:fill="auto"/>
            <w:noWrap/>
            <w:vAlign w:val="center"/>
            <w:hideMark/>
          </w:tcPr>
          <w:p w14:paraId="1371ABBF" w14:textId="38380135" w:rsidR="00FF2DFD" w:rsidRPr="005321B8" w:rsidRDefault="00FF2DFD" w:rsidP="00FF2DFD">
            <w:pPr>
              <w:jc w:val="center"/>
              <w:rPr>
                <w:rFonts w:eastAsia="Times New Roman"/>
                <w:b/>
                <w:bCs/>
                <w:color w:val="000000"/>
              </w:rPr>
            </w:pPr>
            <w:r>
              <w:rPr>
                <w:rFonts w:eastAsia="Times New Roman"/>
                <w:b/>
                <w:bCs/>
                <w:color w:val="000000"/>
              </w:rPr>
              <w:t xml:space="preserve">Atrius </w:t>
            </w:r>
            <w:r w:rsidRPr="005321B8">
              <w:rPr>
                <w:rFonts w:eastAsia="Times New Roman"/>
                <w:b/>
                <w:bCs/>
                <w:color w:val="000000"/>
              </w:rPr>
              <w:t>Overall</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AD66B1F" w14:textId="77777777" w:rsidR="00FF2DFD" w:rsidRPr="005321B8" w:rsidRDefault="00FF2DFD" w:rsidP="00FF2DFD">
            <w:pPr>
              <w:rPr>
                <w:rFonts w:eastAsia="Times New Roman"/>
                <w:b/>
                <w:bCs/>
                <w:color w:val="000000"/>
              </w:rPr>
            </w:pPr>
            <w:r w:rsidRPr="005321B8">
              <w:rPr>
                <w:rFonts w:eastAsia="Times New Roman"/>
                <w:b/>
                <w:bCs/>
                <w:color w:val="000000"/>
              </w:rPr>
              <w:t>Surgical</w:t>
            </w:r>
          </w:p>
        </w:tc>
        <w:tc>
          <w:tcPr>
            <w:tcW w:w="987" w:type="dxa"/>
            <w:tcBorders>
              <w:top w:val="nil"/>
              <w:left w:val="nil"/>
              <w:bottom w:val="single" w:sz="4" w:space="0" w:color="auto"/>
              <w:right w:val="single" w:sz="4" w:space="0" w:color="auto"/>
            </w:tcBorders>
            <w:shd w:val="clear" w:color="auto" w:fill="auto"/>
            <w:noWrap/>
            <w:vAlign w:val="center"/>
            <w:hideMark/>
          </w:tcPr>
          <w:p w14:paraId="5ED84898" w14:textId="50F2CDD4" w:rsidR="00FF2DFD" w:rsidRPr="005321B8" w:rsidRDefault="00FF2DFD" w:rsidP="00FF2DFD">
            <w:pPr>
              <w:jc w:val="center"/>
              <w:rPr>
                <w:rFonts w:eastAsia="Times New Roman"/>
                <w:b/>
                <w:bCs/>
                <w:color w:val="000000"/>
              </w:rPr>
            </w:pPr>
            <w:r>
              <w:rPr>
                <w:rFonts w:eastAsia="Times New Roman"/>
                <w:b/>
                <w:bCs/>
                <w:color w:val="000000"/>
              </w:rPr>
              <w:t xml:space="preserve">Atrius </w:t>
            </w:r>
            <w:r w:rsidRPr="005321B8">
              <w:rPr>
                <w:rFonts w:eastAsia="Times New Roman"/>
                <w:b/>
                <w:bCs/>
                <w:color w:val="000000"/>
              </w:rPr>
              <w:t>Overall</w:t>
            </w:r>
          </w:p>
        </w:tc>
        <w:tc>
          <w:tcPr>
            <w:tcW w:w="1004" w:type="dxa"/>
            <w:gridSpan w:val="2"/>
            <w:tcBorders>
              <w:top w:val="nil"/>
              <w:left w:val="nil"/>
              <w:bottom w:val="single" w:sz="4" w:space="0" w:color="auto"/>
              <w:right w:val="single" w:sz="4" w:space="0" w:color="auto"/>
            </w:tcBorders>
            <w:shd w:val="clear" w:color="auto" w:fill="F2F2F2"/>
            <w:noWrap/>
            <w:vAlign w:val="center"/>
            <w:hideMark/>
          </w:tcPr>
          <w:p w14:paraId="2A65E23C" w14:textId="77777777" w:rsidR="00FF2DFD" w:rsidRPr="005321B8" w:rsidRDefault="00FF2DFD" w:rsidP="00FF2DFD">
            <w:pPr>
              <w:rPr>
                <w:rFonts w:eastAsia="Times New Roman"/>
                <w:b/>
                <w:bCs/>
                <w:color w:val="000000"/>
              </w:rPr>
            </w:pPr>
            <w:r w:rsidRPr="005321B8">
              <w:rPr>
                <w:rFonts w:eastAsia="Times New Roman"/>
                <w:b/>
                <w:bCs/>
                <w:color w:val="000000"/>
              </w:rPr>
              <w:t>Surgical</w:t>
            </w:r>
          </w:p>
        </w:tc>
        <w:tc>
          <w:tcPr>
            <w:tcW w:w="1007" w:type="dxa"/>
            <w:tcBorders>
              <w:top w:val="nil"/>
              <w:left w:val="nil"/>
              <w:bottom w:val="single" w:sz="4" w:space="0" w:color="auto"/>
              <w:right w:val="single" w:sz="4" w:space="0" w:color="auto"/>
            </w:tcBorders>
            <w:shd w:val="clear" w:color="auto" w:fill="auto"/>
            <w:noWrap/>
            <w:vAlign w:val="center"/>
            <w:hideMark/>
          </w:tcPr>
          <w:p w14:paraId="21A4EAAB" w14:textId="365D5454" w:rsidR="00FF2DFD" w:rsidRPr="005321B8" w:rsidRDefault="00FF2DFD" w:rsidP="00FF2DFD">
            <w:pPr>
              <w:jc w:val="center"/>
              <w:rPr>
                <w:rFonts w:eastAsia="Times New Roman"/>
                <w:b/>
                <w:bCs/>
                <w:color w:val="000000"/>
              </w:rPr>
            </w:pPr>
            <w:r>
              <w:rPr>
                <w:rFonts w:eastAsia="Times New Roman"/>
                <w:b/>
                <w:bCs/>
                <w:color w:val="000000"/>
              </w:rPr>
              <w:t xml:space="preserve">Atrius </w:t>
            </w:r>
            <w:r w:rsidRPr="005321B8">
              <w:rPr>
                <w:rFonts w:eastAsia="Times New Roman"/>
                <w:b/>
                <w:bCs/>
                <w:color w:val="000000"/>
              </w:rPr>
              <w:t>Overall</w:t>
            </w:r>
          </w:p>
        </w:tc>
        <w:tc>
          <w:tcPr>
            <w:tcW w:w="1044" w:type="dxa"/>
            <w:gridSpan w:val="2"/>
            <w:tcBorders>
              <w:top w:val="nil"/>
              <w:left w:val="nil"/>
              <w:bottom w:val="single" w:sz="4" w:space="0" w:color="auto"/>
              <w:right w:val="single" w:sz="4" w:space="0" w:color="auto"/>
            </w:tcBorders>
            <w:shd w:val="clear" w:color="auto" w:fill="F2F2F2"/>
            <w:noWrap/>
            <w:vAlign w:val="center"/>
            <w:hideMark/>
          </w:tcPr>
          <w:p w14:paraId="4ECB77EA" w14:textId="77777777" w:rsidR="00FF2DFD" w:rsidRPr="005321B8" w:rsidRDefault="00FF2DFD" w:rsidP="00FF2DFD">
            <w:pPr>
              <w:rPr>
                <w:rFonts w:eastAsia="Times New Roman"/>
                <w:b/>
                <w:bCs/>
                <w:color w:val="000000"/>
              </w:rPr>
            </w:pPr>
            <w:r w:rsidRPr="005321B8">
              <w:rPr>
                <w:rFonts w:eastAsia="Times New Roman"/>
                <w:b/>
                <w:bCs/>
                <w:color w:val="000000"/>
              </w:rPr>
              <w:t>Surgical</w:t>
            </w:r>
          </w:p>
        </w:tc>
        <w:tc>
          <w:tcPr>
            <w:tcW w:w="1054" w:type="dxa"/>
            <w:tcBorders>
              <w:top w:val="nil"/>
              <w:left w:val="nil"/>
              <w:bottom w:val="single" w:sz="4" w:space="0" w:color="auto"/>
              <w:right w:val="single" w:sz="4" w:space="0" w:color="auto"/>
            </w:tcBorders>
            <w:shd w:val="clear" w:color="auto" w:fill="auto"/>
            <w:noWrap/>
            <w:vAlign w:val="center"/>
            <w:hideMark/>
          </w:tcPr>
          <w:p w14:paraId="6EC42505" w14:textId="55C1F79D" w:rsidR="00FF2DFD" w:rsidRPr="005321B8" w:rsidRDefault="00FF2DFD" w:rsidP="00FF2DFD">
            <w:pPr>
              <w:jc w:val="center"/>
              <w:rPr>
                <w:rFonts w:eastAsia="Times New Roman"/>
                <w:b/>
                <w:bCs/>
                <w:color w:val="000000"/>
              </w:rPr>
            </w:pPr>
            <w:r>
              <w:rPr>
                <w:rFonts w:eastAsia="Times New Roman"/>
                <w:b/>
                <w:bCs/>
                <w:color w:val="000000"/>
              </w:rPr>
              <w:t xml:space="preserve">Atrius </w:t>
            </w:r>
            <w:r w:rsidRPr="005321B8">
              <w:rPr>
                <w:rFonts w:eastAsia="Times New Roman"/>
                <w:b/>
                <w:bCs/>
                <w:color w:val="000000"/>
              </w:rPr>
              <w:t>Overall</w:t>
            </w:r>
          </w:p>
        </w:tc>
        <w:tc>
          <w:tcPr>
            <w:tcW w:w="1080" w:type="dxa"/>
            <w:gridSpan w:val="2"/>
            <w:tcBorders>
              <w:top w:val="nil"/>
              <w:left w:val="nil"/>
              <w:bottom w:val="single" w:sz="4" w:space="0" w:color="auto"/>
              <w:right w:val="single" w:sz="4" w:space="0" w:color="auto"/>
            </w:tcBorders>
            <w:shd w:val="clear" w:color="auto" w:fill="F2F2F2"/>
            <w:noWrap/>
            <w:vAlign w:val="center"/>
            <w:hideMark/>
          </w:tcPr>
          <w:p w14:paraId="75CD28EC" w14:textId="77777777" w:rsidR="00FF2DFD" w:rsidRPr="005321B8" w:rsidRDefault="00FF2DFD" w:rsidP="00FF2DFD">
            <w:pPr>
              <w:rPr>
                <w:rFonts w:eastAsia="Times New Roman"/>
                <w:b/>
                <w:bCs/>
                <w:color w:val="000000"/>
              </w:rPr>
            </w:pPr>
            <w:r w:rsidRPr="005321B8">
              <w:rPr>
                <w:rFonts w:eastAsia="Times New Roman"/>
                <w:b/>
                <w:bCs/>
                <w:color w:val="000000"/>
              </w:rPr>
              <w:t>Surgical</w:t>
            </w:r>
          </w:p>
        </w:tc>
      </w:tr>
      <w:tr w:rsidR="00FF2DFD" w:rsidRPr="005321B8" w14:paraId="34E52923"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E5FFFF"/>
            <w:noWrap/>
            <w:vAlign w:val="center"/>
            <w:hideMark/>
          </w:tcPr>
          <w:p w14:paraId="7729EE8D" w14:textId="77777777" w:rsidR="00FF2DFD" w:rsidRPr="005321B8" w:rsidRDefault="00FF2DFD" w:rsidP="00FF2DFD">
            <w:pPr>
              <w:rPr>
                <w:rFonts w:eastAsia="Times New Roman"/>
                <w:b/>
                <w:bCs/>
                <w:color w:val="000000"/>
              </w:rPr>
            </w:pPr>
            <w:r w:rsidRPr="005321B8">
              <w:rPr>
                <w:rFonts w:eastAsia="Times New Roman"/>
                <w:b/>
                <w:bCs/>
                <w:color w:val="000000"/>
              </w:rPr>
              <w:t>Age</w:t>
            </w:r>
          </w:p>
        </w:tc>
        <w:tc>
          <w:tcPr>
            <w:tcW w:w="975" w:type="dxa"/>
            <w:tcBorders>
              <w:top w:val="nil"/>
              <w:left w:val="nil"/>
              <w:bottom w:val="single" w:sz="4" w:space="0" w:color="auto"/>
              <w:right w:val="single" w:sz="4" w:space="0" w:color="auto"/>
            </w:tcBorders>
            <w:shd w:val="clear" w:color="auto" w:fill="E5FFFF"/>
            <w:noWrap/>
            <w:vAlign w:val="center"/>
            <w:hideMark/>
          </w:tcPr>
          <w:p w14:paraId="1EB18C90" w14:textId="77777777" w:rsidR="00FF2DFD" w:rsidRPr="005321B8" w:rsidRDefault="00FF2DFD" w:rsidP="00FF2DFD">
            <w:pPr>
              <w:rPr>
                <w:rFonts w:eastAsia="Times New Roman"/>
                <w:b/>
                <w:bCs/>
                <w:color w:val="000000"/>
              </w:rPr>
            </w:pPr>
            <w:r w:rsidRPr="005321B8">
              <w:rPr>
                <w:rFonts w:eastAsia="Times New Roman"/>
                <w:b/>
                <w:bCs/>
                <w:color w:val="000000"/>
              </w:rPr>
              <w:t> </w:t>
            </w:r>
          </w:p>
        </w:tc>
        <w:tc>
          <w:tcPr>
            <w:tcW w:w="1031" w:type="dxa"/>
            <w:gridSpan w:val="2"/>
            <w:tcBorders>
              <w:top w:val="nil"/>
              <w:left w:val="nil"/>
              <w:bottom w:val="single" w:sz="4" w:space="0" w:color="auto"/>
              <w:right w:val="single" w:sz="4" w:space="0" w:color="auto"/>
            </w:tcBorders>
            <w:shd w:val="clear" w:color="auto" w:fill="E5FFFF"/>
            <w:noWrap/>
            <w:vAlign w:val="center"/>
            <w:hideMark/>
          </w:tcPr>
          <w:p w14:paraId="1C6A352D" w14:textId="77777777" w:rsidR="00FF2DFD" w:rsidRPr="005321B8" w:rsidRDefault="00FF2DFD" w:rsidP="00FF2DFD">
            <w:pPr>
              <w:rPr>
                <w:rFonts w:eastAsia="Times New Roman"/>
                <w:color w:val="000000"/>
              </w:rPr>
            </w:pPr>
            <w:r w:rsidRPr="005321B8">
              <w:rPr>
                <w:rFonts w:eastAsia="Times New Roman"/>
                <w:color w:val="000000"/>
              </w:rPr>
              <w:t> </w:t>
            </w:r>
          </w:p>
        </w:tc>
        <w:tc>
          <w:tcPr>
            <w:tcW w:w="987" w:type="dxa"/>
            <w:tcBorders>
              <w:top w:val="nil"/>
              <w:left w:val="nil"/>
              <w:bottom w:val="single" w:sz="4" w:space="0" w:color="auto"/>
              <w:right w:val="single" w:sz="4" w:space="0" w:color="auto"/>
            </w:tcBorders>
            <w:shd w:val="clear" w:color="auto" w:fill="E5FFFF"/>
            <w:noWrap/>
            <w:vAlign w:val="center"/>
            <w:hideMark/>
          </w:tcPr>
          <w:p w14:paraId="3186B00D" w14:textId="77777777" w:rsidR="00FF2DFD" w:rsidRPr="005321B8" w:rsidRDefault="00FF2DFD" w:rsidP="00FF2DFD">
            <w:pPr>
              <w:rPr>
                <w:rFonts w:eastAsia="Times New Roman"/>
                <w:b/>
                <w:bCs/>
                <w:color w:val="000000"/>
              </w:rPr>
            </w:pPr>
            <w:r w:rsidRPr="005321B8">
              <w:rPr>
                <w:rFonts w:eastAsia="Times New Roman"/>
                <w:b/>
                <w:bCs/>
                <w:color w:val="000000"/>
              </w:rPr>
              <w:t> </w:t>
            </w:r>
          </w:p>
        </w:tc>
        <w:tc>
          <w:tcPr>
            <w:tcW w:w="1004" w:type="dxa"/>
            <w:gridSpan w:val="2"/>
            <w:tcBorders>
              <w:top w:val="nil"/>
              <w:left w:val="nil"/>
              <w:bottom w:val="single" w:sz="4" w:space="0" w:color="auto"/>
              <w:right w:val="single" w:sz="4" w:space="0" w:color="auto"/>
            </w:tcBorders>
            <w:shd w:val="clear" w:color="auto" w:fill="E5FFFF"/>
            <w:noWrap/>
            <w:vAlign w:val="center"/>
            <w:hideMark/>
          </w:tcPr>
          <w:p w14:paraId="171CBF1D" w14:textId="77777777" w:rsidR="00FF2DFD" w:rsidRPr="005321B8" w:rsidRDefault="00FF2DFD" w:rsidP="00FF2DFD">
            <w:pPr>
              <w:rPr>
                <w:rFonts w:eastAsia="Times New Roman"/>
                <w:color w:val="000000"/>
              </w:rPr>
            </w:pPr>
            <w:r w:rsidRPr="005321B8">
              <w:rPr>
                <w:rFonts w:eastAsia="Times New Roman"/>
                <w:color w:val="000000"/>
              </w:rPr>
              <w:t> </w:t>
            </w:r>
          </w:p>
        </w:tc>
        <w:tc>
          <w:tcPr>
            <w:tcW w:w="1007" w:type="dxa"/>
            <w:tcBorders>
              <w:top w:val="nil"/>
              <w:left w:val="nil"/>
              <w:bottom w:val="single" w:sz="4" w:space="0" w:color="auto"/>
              <w:right w:val="single" w:sz="4" w:space="0" w:color="auto"/>
            </w:tcBorders>
            <w:shd w:val="clear" w:color="auto" w:fill="E5FFFF"/>
            <w:noWrap/>
            <w:vAlign w:val="center"/>
            <w:hideMark/>
          </w:tcPr>
          <w:p w14:paraId="44DC6D96" w14:textId="77777777" w:rsidR="00FF2DFD" w:rsidRPr="005321B8" w:rsidRDefault="00FF2DFD" w:rsidP="00FF2DFD">
            <w:pPr>
              <w:rPr>
                <w:rFonts w:eastAsia="Times New Roman"/>
                <w:b/>
                <w:bCs/>
                <w:color w:val="000000"/>
              </w:rPr>
            </w:pPr>
            <w:r w:rsidRPr="005321B8">
              <w:rPr>
                <w:rFonts w:eastAsia="Times New Roman"/>
                <w:b/>
                <w:bCs/>
                <w:color w:val="000000"/>
              </w:rPr>
              <w:t> </w:t>
            </w:r>
          </w:p>
        </w:tc>
        <w:tc>
          <w:tcPr>
            <w:tcW w:w="1044" w:type="dxa"/>
            <w:gridSpan w:val="2"/>
            <w:tcBorders>
              <w:top w:val="nil"/>
              <w:left w:val="nil"/>
              <w:bottom w:val="single" w:sz="4" w:space="0" w:color="auto"/>
              <w:right w:val="single" w:sz="4" w:space="0" w:color="auto"/>
            </w:tcBorders>
            <w:shd w:val="clear" w:color="auto" w:fill="E5FFFF"/>
            <w:noWrap/>
            <w:vAlign w:val="center"/>
            <w:hideMark/>
          </w:tcPr>
          <w:p w14:paraId="5764FA38" w14:textId="77777777" w:rsidR="00FF2DFD" w:rsidRPr="005321B8" w:rsidRDefault="00FF2DFD" w:rsidP="00FF2DFD">
            <w:pPr>
              <w:rPr>
                <w:rFonts w:eastAsia="Times New Roman"/>
                <w:color w:val="000000"/>
              </w:rPr>
            </w:pPr>
            <w:r w:rsidRPr="005321B8">
              <w:rPr>
                <w:rFonts w:eastAsia="Times New Roman"/>
                <w:color w:val="000000"/>
              </w:rPr>
              <w:t> </w:t>
            </w:r>
          </w:p>
        </w:tc>
        <w:tc>
          <w:tcPr>
            <w:tcW w:w="1054" w:type="dxa"/>
            <w:tcBorders>
              <w:top w:val="nil"/>
              <w:left w:val="nil"/>
              <w:bottom w:val="single" w:sz="4" w:space="0" w:color="auto"/>
              <w:right w:val="single" w:sz="4" w:space="0" w:color="auto"/>
            </w:tcBorders>
            <w:shd w:val="clear" w:color="auto" w:fill="E5FFFF"/>
            <w:noWrap/>
            <w:vAlign w:val="center"/>
            <w:hideMark/>
          </w:tcPr>
          <w:p w14:paraId="57E0114E" w14:textId="77777777" w:rsidR="00FF2DFD" w:rsidRPr="005321B8" w:rsidRDefault="00FF2DFD" w:rsidP="00FF2DFD">
            <w:pPr>
              <w:rPr>
                <w:rFonts w:eastAsia="Times New Roman"/>
                <w:b/>
                <w:bCs/>
                <w:color w:val="000000"/>
              </w:rPr>
            </w:pPr>
            <w:r w:rsidRPr="005321B8">
              <w:rPr>
                <w:rFonts w:eastAsia="Times New Roman"/>
                <w:b/>
                <w:bCs/>
                <w:color w:val="000000"/>
              </w:rPr>
              <w:t> </w:t>
            </w:r>
          </w:p>
        </w:tc>
        <w:tc>
          <w:tcPr>
            <w:tcW w:w="1080" w:type="dxa"/>
            <w:gridSpan w:val="2"/>
            <w:tcBorders>
              <w:top w:val="nil"/>
              <w:left w:val="nil"/>
              <w:bottom w:val="single" w:sz="4" w:space="0" w:color="auto"/>
              <w:right w:val="single" w:sz="4" w:space="0" w:color="auto"/>
            </w:tcBorders>
            <w:shd w:val="clear" w:color="auto" w:fill="E5FFFF"/>
            <w:vAlign w:val="center"/>
            <w:hideMark/>
          </w:tcPr>
          <w:p w14:paraId="4A04CACE" w14:textId="77777777" w:rsidR="00FF2DFD" w:rsidRPr="005321B8" w:rsidRDefault="00FF2DFD" w:rsidP="00FF2DFD">
            <w:pPr>
              <w:rPr>
                <w:rFonts w:eastAsia="Times New Roman"/>
                <w:color w:val="000000"/>
              </w:rPr>
            </w:pPr>
            <w:r w:rsidRPr="005321B8">
              <w:rPr>
                <w:rFonts w:eastAsia="Times New Roman"/>
                <w:color w:val="000000"/>
              </w:rPr>
              <w:t> </w:t>
            </w:r>
          </w:p>
        </w:tc>
      </w:tr>
      <w:tr w:rsidR="00FF2DFD" w:rsidRPr="005321B8" w14:paraId="481FD9CD"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5667F78F" w14:textId="64FBA6F3" w:rsidR="00FF2DFD" w:rsidRPr="005321B8" w:rsidRDefault="00FF2DFD" w:rsidP="00FF2DFD">
            <w:pPr>
              <w:rPr>
                <w:rFonts w:eastAsia="Times New Roman"/>
                <w:color w:val="000000"/>
              </w:rPr>
            </w:pPr>
            <w:r>
              <w:rPr>
                <w:rFonts w:eastAsia="Times New Roman"/>
                <w:color w:val="000000"/>
              </w:rPr>
              <w:t>0-</w:t>
            </w:r>
            <w:r w:rsidRPr="005321B8">
              <w:rPr>
                <w:rFonts w:eastAsia="Times New Roman"/>
                <w:color w:val="000000"/>
              </w:rPr>
              <w:t>18</w:t>
            </w:r>
          </w:p>
        </w:tc>
        <w:tc>
          <w:tcPr>
            <w:tcW w:w="975" w:type="dxa"/>
            <w:tcBorders>
              <w:top w:val="nil"/>
              <w:left w:val="nil"/>
              <w:bottom w:val="single" w:sz="4" w:space="0" w:color="auto"/>
              <w:right w:val="single" w:sz="4" w:space="0" w:color="auto"/>
            </w:tcBorders>
            <w:shd w:val="clear" w:color="auto" w:fill="auto"/>
            <w:noWrap/>
            <w:vAlign w:val="center"/>
            <w:hideMark/>
          </w:tcPr>
          <w:p w14:paraId="6D910C9A" w14:textId="77777777" w:rsidR="00FF2DFD" w:rsidRPr="005321B8" w:rsidRDefault="00FF2DFD" w:rsidP="00FF2DFD">
            <w:pPr>
              <w:jc w:val="right"/>
              <w:rPr>
                <w:rFonts w:eastAsia="Times New Roman"/>
                <w:color w:val="000000"/>
              </w:rPr>
            </w:pPr>
            <w:r w:rsidRPr="005321B8">
              <w:rPr>
                <w:rFonts w:eastAsia="Times New Roman"/>
                <w:color w:val="000000"/>
              </w:rPr>
              <w:t>20.8%</w:t>
            </w:r>
          </w:p>
        </w:tc>
        <w:tc>
          <w:tcPr>
            <w:tcW w:w="1031" w:type="dxa"/>
            <w:gridSpan w:val="2"/>
            <w:tcBorders>
              <w:top w:val="nil"/>
              <w:left w:val="nil"/>
              <w:bottom w:val="single" w:sz="4" w:space="0" w:color="auto"/>
              <w:right w:val="single" w:sz="4" w:space="0" w:color="auto"/>
            </w:tcBorders>
            <w:shd w:val="clear" w:color="auto" w:fill="F2F2F2"/>
            <w:noWrap/>
            <w:vAlign w:val="center"/>
            <w:hideMark/>
          </w:tcPr>
          <w:p w14:paraId="709D601C" w14:textId="77777777" w:rsidR="00FF2DFD" w:rsidRPr="005321B8" w:rsidRDefault="00FF2DFD" w:rsidP="00FF2DFD">
            <w:pPr>
              <w:jc w:val="right"/>
              <w:rPr>
                <w:rFonts w:eastAsia="Times New Roman"/>
                <w:color w:val="000000"/>
              </w:rPr>
            </w:pPr>
            <w:r w:rsidRPr="005321B8">
              <w:rPr>
                <w:rFonts w:eastAsia="Times New Roman"/>
                <w:color w:val="000000"/>
              </w:rPr>
              <w:t>6.8%</w:t>
            </w:r>
          </w:p>
        </w:tc>
        <w:tc>
          <w:tcPr>
            <w:tcW w:w="987" w:type="dxa"/>
            <w:tcBorders>
              <w:top w:val="nil"/>
              <w:left w:val="nil"/>
              <w:bottom w:val="single" w:sz="4" w:space="0" w:color="auto"/>
              <w:right w:val="single" w:sz="4" w:space="0" w:color="auto"/>
            </w:tcBorders>
            <w:shd w:val="clear" w:color="auto" w:fill="auto"/>
            <w:noWrap/>
            <w:vAlign w:val="center"/>
            <w:hideMark/>
          </w:tcPr>
          <w:p w14:paraId="607D0F3A" w14:textId="77777777" w:rsidR="00FF2DFD" w:rsidRPr="005321B8" w:rsidRDefault="00FF2DFD" w:rsidP="00FF2DFD">
            <w:pPr>
              <w:jc w:val="right"/>
              <w:rPr>
                <w:rFonts w:eastAsia="Times New Roman"/>
                <w:color w:val="000000"/>
              </w:rPr>
            </w:pPr>
            <w:r w:rsidRPr="005321B8">
              <w:rPr>
                <w:rFonts w:eastAsia="Times New Roman"/>
                <w:color w:val="000000"/>
              </w:rPr>
              <w:t>20.6%</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38BE040E" w14:textId="77777777" w:rsidR="00FF2DFD" w:rsidRPr="005321B8" w:rsidRDefault="00FF2DFD" w:rsidP="00FF2DFD">
            <w:pPr>
              <w:jc w:val="right"/>
              <w:rPr>
                <w:rFonts w:eastAsia="Times New Roman"/>
                <w:color w:val="000000"/>
              </w:rPr>
            </w:pPr>
            <w:r w:rsidRPr="005321B8">
              <w:rPr>
                <w:rFonts w:eastAsia="Times New Roman"/>
                <w:color w:val="000000"/>
              </w:rPr>
              <w:t>5.5%</w:t>
            </w:r>
          </w:p>
        </w:tc>
        <w:tc>
          <w:tcPr>
            <w:tcW w:w="1007" w:type="dxa"/>
            <w:tcBorders>
              <w:top w:val="nil"/>
              <w:left w:val="nil"/>
              <w:bottom w:val="single" w:sz="4" w:space="0" w:color="auto"/>
              <w:right w:val="single" w:sz="4" w:space="0" w:color="auto"/>
            </w:tcBorders>
            <w:shd w:val="clear" w:color="auto" w:fill="auto"/>
            <w:noWrap/>
            <w:vAlign w:val="center"/>
            <w:hideMark/>
          </w:tcPr>
          <w:p w14:paraId="6CAE5AB6" w14:textId="77777777" w:rsidR="00FF2DFD" w:rsidRPr="005321B8" w:rsidRDefault="00FF2DFD" w:rsidP="00FF2DFD">
            <w:pPr>
              <w:jc w:val="right"/>
              <w:rPr>
                <w:rFonts w:eastAsia="Times New Roman"/>
                <w:color w:val="000000"/>
              </w:rPr>
            </w:pPr>
            <w:r w:rsidRPr="005321B8">
              <w:rPr>
                <w:rFonts w:eastAsia="Times New Roman"/>
                <w:color w:val="000000"/>
              </w:rPr>
              <w:t>20.6%</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7DAD8D9" w14:textId="77777777" w:rsidR="00FF2DFD" w:rsidRPr="005321B8" w:rsidRDefault="00FF2DFD" w:rsidP="00FF2DFD">
            <w:pPr>
              <w:jc w:val="right"/>
              <w:rPr>
                <w:rFonts w:eastAsia="Times New Roman"/>
                <w:color w:val="000000"/>
              </w:rPr>
            </w:pPr>
            <w:r w:rsidRPr="005321B8">
              <w:rPr>
                <w:rFonts w:eastAsia="Times New Roman"/>
                <w:color w:val="000000"/>
              </w:rPr>
              <w:t>7.6%</w:t>
            </w:r>
          </w:p>
        </w:tc>
        <w:tc>
          <w:tcPr>
            <w:tcW w:w="1054" w:type="dxa"/>
            <w:tcBorders>
              <w:top w:val="nil"/>
              <w:left w:val="nil"/>
              <w:bottom w:val="single" w:sz="4" w:space="0" w:color="auto"/>
              <w:right w:val="single" w:sz="4" w:space="0" w:color="auto"/>
            </w:tcBorders>
            <w:shd w:val="clear" w:color="auto" w:fill="auto"/>
            <w:noWrap/>
            <w:vAlign w:val="center"/>
            <w:hideMark/>
          </w:tcPr>
          <w:p w14:paraId="21BDE9DB" w14:textId="77777777" w:rsidR="00FF2DFD" w:rsidRPr="005321B8" w:rsidRDefault="00FF2DFD" w:rsidP="00FF2DFD">
            <w:pPr>
              <w:jc w:val="right"/>
              <w:rPr>
                <w:rFonts w:eastAsia="Times New Roman"/>
                <w:color w:val="000000"/>
              </w:rPr>
            </w:pPr>
            <w:r w:rsidRPr="005321B8">
              <w:rPr>
                <w:rFonts w:eastAsia="Times New Roman"/>
                <w:color w:val="000000"/>
              </w:rPr>
              <w:t>19.7%</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C13521" w14:textId="77777777" w:rsidR="00FF2DFD" w:rsidRPr="005321B8" w:rsidRDefault="00FF2DFD" w:rsidP="00FF2DFD">
            <w:pPr>
              <w:jc w:val="right"/>
              <w:rPr>
                <w:rFonts w:eastAsia="Times New Roman"/>
                <w:color w:val="000000"/>
              </w:rPr>
            </w:pPr>
            <w:r w:rsidRPr="005321B8">
              <w:rPr>
                <w:rFonts w:eastAsia="Times New Roman"/>
                <w:color w:val="000000"/>
              </w:rPr>
              <w:t>9.3%</w:t>
            </w:r>
          </w:p>
        </w:tc>
      </w:tr>
      <w:tr w:rsidR="00FF2DFD" w:rsidRPr="005321B8" w14:paraId="3B52C4C3"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8F36AC3" w14:textId="77777777" w:rsidR="00FF2DFD" w:rsidRPr="005321B8" w:rsidRDefault="00FF2DFD" w:rsidP="00FF2DFD">
            <w:pPr>
              <w:rPr>
                <w:rFonts w:eastAsia="Times New Roman"/>
                <w:color w:val="000000"/>
              </w:rPr>
            </w:pPr>
            <w:r w:rsidRPr="005321B8">
              <w:rPr>
                <w:rFonts w:eastAsia="Times New Roman"/>
                <w:color w:val="000000"/>
              </w:rPr>
              <w:t>19 - 64</w:t>
            </w:r>
          </w:p>
        </w:tc>
        <w:tc>
          <w:tcPr>
            <w:tcW w:w="975" w:type="dxa"/>
            <w:tcBorders>
              <w:top w:val="nil"/>
              <w:left w:val="nil"/>
              <w:bottom w:val="single" w:sz="4" w:space="0" w:color="auto"/>
              <w:right w:val="single" w:sz="4" w:space="0" w:color="auto"/>
            </w:tcBorders>
            <w:shd w:val="clear" w:color="auto" w:fill="auto"/>
            <w:noWrap/>
            <w:vAlign w:val="center"/>
            <w:hideMark/>
          </w:tcPr>
          <w:p w14:paraId="7D5373C8" w14:textId="77777777" w:rsidR="00FF2DFD" w:rsidRPr="005321B8" w:rsidRDefault="00FF2DFD" w:rsidP="00FF2DFD">
            <w:pPr>
              <w:jc w:val="right"/>
              <w:rPr>
                <w:rFonts w:eastAsia="Times New Roman"/>
                <w:color w:val="000000"/>
              </w:rPr>
            </w:pPr>
            <w:r w:rsidRPr="005321B8">
              <w:rPr>
                <w:rFonts w:eastAsia="Times New Roman"/>
                <w:color w:val="000000"/>
              </w:rPr>
              <w:t>60.5%</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58DC1A9" w14:textId="77777777" w:rsidR="00FF2DFD" w:rsidRPr="005321B8" w:rsidRDefault="00FF2DFD" w:rsidP="00FF2DFD">
            <w:pPr>
              <w:jc w:val="right"/>
              <w:rPr>
                <w:rFonts w:eastAsia="Times New Roman"/>
                <w:color w:val="000000"/>
              </w:rPr>
            </w:pPr>
            <w:r w:rsidRPr="005321B8">
              <w:rPr>
                <w:rFonts w:eastAsia="Times New Roman"/>
                <w:color w:val="000000"/>
              </w:rPr>
              <w:t>56.0%</w:t>
            </w:r>
          </w:p>
        </w:tc>
        <w:tc>
          <w:tcPr>
            <w:tcW w:w="987" w:type="dxa"/>
            <w:tcBorders>
              <w:top w:val="nil"/>
              <w:left w:val="nil"/>
              <w:bottom w:val="single" w:sz="4" w:space="0" w:color="auto"/>
              <w:right w:val="single" w:sz="4" w:space="0" w:color="auto"/>
            </w:tcBorders>
            <w:shd w:val="clear" w:color="auto" w:fill="auto"/>
            <w:noWrap/>
            <w:vAlign w:val="center"/>
            <w:hideMark/>
          </w:tcPr>
          <w:p w14:paraId="2A4B2991" w14:textId="77777777" w:rsidR="00FF2DFD" w:rsidRPr="005321B8" w:rsidRDefault="00FF2DFD" w:rsidP="00FF2DFD">
            <w:pPr>
              <w:jc w:val="right"/>
              <w:rPr>
                <w:rFonts w:eastAsia="Times New Roman"/>
                <w:color w:val="000000"/>
              </w:rPr>
            </w:pPr>
            <w:r w:rsidRPr="005321B8">
              <w:rPr>
                <w:rFonts w:eastAsia="Times New Roman"/>
                <w:color w:val="000000"/>
              </w:rPr>
              <w:t>60.0%</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08669DB" w14:textId="77777777" w:rsidR="00FF2DFD" w:rsidRPr="005321B8" w:rsidRDefault="00FF2DFD" w:rsidP="00FF2DFD">
            <w:pPr>
              <w:jc w:val="right"/>
              <w:rPr>
                <w:rFonts w:eastAsia="Times New Roman"/>
                <w:color w:val="000000"/>
              </w:rPr>
            </w:pPr>
            <w:r w:rsidRPr="005321B8">
              <w:rPr>
                <w:rFonts w:eastAsia="Times New Roman"/>
                <w:color w:val="000000"/>
              </w:rPr>
              <w:t>58.7%</w:t>
            </w:r>
          </w:p>
        </w:tc>
        <w:tc>
          <w:tcPr>
            <w:tcW w:w="1007" w:type="dxa"/>
            <w:tcBorders>
              <w:top w:val="nil"/>
              <w:left w:val="nil"/>
              <w:bottom w:val="single" w:sz="4" w:space="0" w:color="auto"/>
              <w:right w:val="single" w:sz="4" w:space="0" w:color="auto"/>
            </w:tcBorders>
            <w:shd w:val="clear" w:color="auto" w:fill="auto"/>
            <w:noWrap/>
            <w:vAlign w:val="center"/>
            <w:hideMark/>
          </w:tcPr>
          <w:p w14:paraId="5F97C9A7" w14:textId="77777777" w:rsidR="00FF2DFD" w:rsidRPr="005321B8" w:rsidRDefault="00FF2DFD" w:rsidP="00FF2DFD">
            <w:pPr>
              <w:jc w:val="right"/>
              <w:rPr>
                <w:rFonts w:eastAsia="Times New Roman"/>
                <w:color w:val="000000"/>
              </w:rPr>
            </w:pPr>
            <w:r w:rsidRPr="005321B8">
              <w:rPr>
                <w:rFonts w:eastAsia="Times New Roman"/>
                <w:color w:val="000000"/>
              </w:rPr>
              <w:t>59.8%</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5D1FF65D" w14:textId="77777777" w:rsidR="00FF2DFD" w:rsidRPr="005321B8" w:rsidRDefault="00FF2DFD" w:rsidP="00FF2DFD">
            <w:pPr>
              <w:jc w:val="right"/>
              <w:rPr>
                <w:rFonts w:eastAsia="Times New Roman"/>
                <w:color w:val="000000"/>
              </w:rPr>
            </w:pPr>
            <w:r w:rsidRPr="005321B8">
              <w:rPr>
                <w:rFonts w:eastAsia="Times New Roman"/>
                <w:color w:val="000000"/>
              </w:rPr>
              <w:t>55.8%</w:t>
            </w:r>
          </w:p>
        </w:tc>
        <w:tc>
          <w:tcPr>
            <w:tcW w:w="1054" w:type="dxa"/>
            <w:tcBorders>
              <w:top w:val="nil"/>
              <w:left w:val="nil"/>
              <w:bottom w:val="single" w:sz="4" w:space="0" w:color="auto"/>
              <w:right w:val="single" w:sz="4" w:space="0" w:color="auto"/>
            </w:tcBorders>
            <w:shd w:val="clear" w:color="auto" w:fill="auto"/>
            <w:noWrap/>
            <w:vAlign w:val="center"/>
            <w:hideMark/>
          </w:tcPr>
          <w:p w14:paraId="2E3B40CD" w14:textId="77777777" w:rsidR="00FF2DFD" w:rsidRPr="005321B8" w:rsidRDefault="00FF2DFD" w:rsidP="00FF2DFD">
            <w:pPr>
              <w:jc w:val="right"/>
              <w:rPr>
                <w:rFonts w:eastAsia="Times New Roman"/>
                <w:color w:val="000000"/>
              </w:rPr>
            </w:pPr>
            <w:r w:rsidRPr="005321B8">
              <w:rPr>
                <w:rFonts w:eastAsia="Times New Roman"/>
                <w:color w:val="000000"/>
              </w:rPr>
              <w:t>59.9%</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231CB58" w14:textId="77777777" w:rsidR="00FF2DFD" w:rsidRPr="005321B8" w:rsidRDefault="00FF2DFD" w:rsidP="00FF2DFD">
            <w:pPr>
              <w:jc w:val="right"/>
              <w:rPr>
                <w:rFonts w:eastAsia="Times New Roman"/>
                <w:color w:val="000000"/>
              </w:rPr>
            </w:pPr>
            <w:r w:rsidRPr="005321B8">
              <w:rPr>
                <w:rFonts w:eastAsia="Times New Roman"/>
                <w:color w:val="000000"/>
              </w:rPr>
              <w:t>54.4%</w:t>
            </w:r>
          </w:p>
        </w:tc>
      </w:tr>
      <w:tr w:rsidR="00FF2DFD" w:rsidRPr="005321B8" w14:paraId="00570B56"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15345DA" w14:textId="0FD92D74" w:rsidR="00FF2DFD" w:rsidRPr="005321B8" w:rsidRDefault="00FF2DFD" w:rsidP="00FF2DFD">
            <w:pPr>
              <w:rPr>
                <w:rFonts w:eastAsia="Times New Roman"/>
                <w:color w:val="000000"/>
              </w:rPr>
            </w:pPr>
            <w:r w:rsidRPr="005321B8">
              <w:rPr>
                <w:rFonts w:eastAsia="Times New Roman"/>
                <w:color w:val="000000"/>
              </w:rPr>
              <w:t>65 and over</w:t>
            </w:r>
          </w:p>
        </w:tc>
        <w:tc>
          <w:tcPr>
            <w:tcW w:w="975" w:type="dxa"/>
            <w:tcBorders>
              <w:top w:val="nil"/>
              <w:left w:val="nil"/>
              <w:bottom w:val="single" w:sz="4" w:space="0" w:color="auto"/>
              <w:right w:val="single" w:sz="4" w:space="0" w:color="auto"/>
            </w:tcBorders>
            <w:shd w:val="clear" w:color="auto" w:fill="auto"/>
            <w:noWrap/>
            <w:vAlign w:val="center"/>
            <w:hideMark/>
          </w:tcPr>
          <w:p w14:paraId="22ABB44F" w14:textId="77777777" w:rsidR="00FF2DFD" w:rsidRPr="005321B8" w:rsidRDefault="00FF2DFD" w:rsidP="00FF2DFD">
            <w:pPr>
              <w:jc w:val="right"/>
              <w:rPr>
                <w:rFonts w:eastAsia="Times New Roman"/>
                <w:color w:val="000000"/>
              </w:rPr>
            </w:pPr>
            <w:r w:rsidRPr="005321B8">
              <w:rPr>
                <w:rFonts w:eastAsia="Times New Roman"/>
                <w:color w:val="000000"/>
              </w:rPr>
              <w:t>18.7%</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3030F4C5" w14:textId="77777777" w:rsidR="00FF2DFD" w:rsidRPr="005321B8" w:rsidRDefault="00FF2DFD" w:rsidP="00FF2DFD">
            <w:pPr>
              <w:jc w:val="right"/>
              <w:rPr>
                <w:rFonts w:eastAsia="Times New Roman"/>
                <w:color w:val="000000"/>
              </w:rPr>
            </w:pPr>
            <w:r w:rsidRPr="005321B8">
              <w:rPr>
                <w:rFonts w:eastAsia="Times New Roman"/>
                <w:color w:val="000000"/>
              </w:rPr>
              <w:t>37.2%</w:t>
            </w:r>
          </w:p>
        </w:tc>
        <w:tc>
          <w:tcPr>
            <w:tcW w:w="987" w:type="dxa"/>
            <w:tcBorders>
              <w:top w:val="nil"/>
              <w:left w:val="nil"/>
              <w:bottom w:val="single" w:sz="4" w:space="0" w:color="auto"/>
              <w:right w:val="single" w:sz="4" w:space="0" w:color="auto"/>
            </w:tcBorders>
            <w:shd w:val="clear" w:color="auto" w:fill="auto"/>
            <w:noWrap/>
            <w:vAlign w:val="center"/>
            <w:hideMark/>
          </w:tcPr>
          <w:p w14:paraId="612AFAA3" w14:textId="77777777" w:rsidR="00FF2DFD" w:rsidRPr="005321B8" w:rsidRDefault="00FF2DFD" w:rsidP="00FF2DFD">
            <w:pPr>
              <w:jc w:val="right"/>
              <w:rPr>
                <w:rFonts w:eastAsia="Times New Roman"/>
                <w:color w:val="000000"/>
              </w:rPr>
            </w:pPr>
            <w:r w:rsidRPr="005321B8">
              <w:rPr>
                <w:rFonts w:eastAsia="Times New Roman"/>
                <w:color w:val="000000"/>
              </w:rPr>
              <w:t>19.4%</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8DE2D96" w14:textId="77777777" w:rsidR="00FF2DFD" w:rsidRPr="005321B8" w:rsidRDefault="00FF2DFD" w:rsidP="00FF2DFD">
            <w:pPr>
              <w:jc w:val="right"/>
              <w:rPr>
                <w:rFonts w:eastAsia="Times New Roman"/>
                <w:color w:val="000000"/>
              </w:rPr>
            </w:pPr>
            <w:r w:rsidRPr="005321B8">
              <w:rPr>
                <w:rFonts w:eastAsia="Times New Roman"/>
                <w:color w:val="000000"/>
              </w:rPr>
              <w:t>35.8%</w:t>
            </w:r>
          </w:p>
        </w:tc>
        <w:tc>
          <w:tcPr>
            <w:tcW w:w="1007" w:type="dxa"/>
            <w:tcBorders>
              <w:top w:val="nil"/>
              <w:left w:val="nil"/>
              <w:bottom w:val="single" w:sz="4" w:space="0" w:color="auto"/>
              <w:right w:val="single" w:sz="4" w:space="0" w:color="auto"/>
            </w:tcBorders>
            <w:shd w:val="clear" w:color="auto" w:fill="auto"/>
            <w:noWrap/>
            <w:vAlign w:val="center"/>
            <w:hideMark/>
          </w:tcPr>
          <w:p w14:paraId="0E879C53" w14:textId="77777777" w:rsidR="00FF2DFD" w:rsidRPr="005321B8" w:rsidRDefault="00FF2DFD" w:rsidP="00FF2DFD">
            <w:pPr>
              <w:jc w:val="right"/>
              <w:rPr>
                <w:rFonts w:eastAsia="Times New Roman"/>
                <w:color w:val="000000"/>
              </w:rPr>
            </w:pPr>
            <w:r w:rsidRPr="005321B8">
              <w:rPr>
                <w:rFonts w:eastAsia="Times New Roman"/>
                <w:color w:val="000000"/>
              </w:rPr>
              <w:t>19.5%</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384E4E9" w14:textId="77777777" w:rsidR="00FF2DFD" w:rsidRPr="005321B8" w:rsidRDefault="00FF2DFD" w:rsidP="00FF2DFD">
            <w:pPr>
              <w:jc w:val="right"/>
              <w:rPr>
                <w:rFonts w:eastAsia="Times New Roman"/>
                <w:color w:val="000000"/>
              </w:rPr>
            </w:pPr>
            <w:r w:rsidRPr="005321B8">
              <w:rPr>
                <w:rFonts w:eastAsia="Times New Roman"/>
                <w:color w:val="000000"/>
              </w:rPr>
              <w:t>36.6%</w:t>
            </w:r>
          </w:p>
        </w:tc>
        <w:tc>
          <w:tcPr>
            <w:tcW w:w="1054" w:type="dxa"/>
            <w:tcBorders>
              <w:top w:val="nil"/>
              <w:left w:val="nil"/>
              <w:bottom w:val="single" w:sz="4" w:space="0" w:color="auto"/>
              <w:right w:val="single" w:sz="4" w:space="0" w:color="auto"/>
            </w:tcBorders>
            <w:shd w:val="clear" w:color="auto" w:fill="auto"/>
            <w:noWrap/>
            <w:vAlign w:val="center"/>
            <w:hideMark/>
          </w:tcPr>
          <w:p w14:paraId="1C4E806F" w14:textId="77777777" w:rsidR="00FF2DFD" w:rsidRPr="005321B8" w:rsidRDefault="00FF2DFD" w:rsidP="00FF2DFD">
            <w:pPr>
              <w:jc w:val="right"/>
              <w:rPr>
                <w:rFonts w:eastAsia="Times New Roman"/>
                <w:color w:val="000000"/>
              </w:rPr>
            </w:pPr>
            <w:r w:rsidRPr="005321B8">
              <w:rPr>
                <w:rFonts w:eastAsia="Times New Roman"/>
                <w:color w:val="000000"/>
              </w:rPr>
              <w:t>20.4%</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AA1E83C" w14:textId="77777777" w:rsidR="00FF2DFD" w:rsidRPr="005321B8" w:rsidRDefault="00FF2DFD" w:rsidP="00FF2DFD">
            <w:pPr>
              <w:jc w:val="right"/>
              <w:rPr>
                <w:rFonts w:eastAsia="Times New Roman"/>
                <w:color w:val="000000"/>
              </w:rPr>
            </w:pPr>
            <w:r w:rsidRPr="005321B8">
              <w:rPr>
                <w:rFonts w:eastAsia="Times New Roman"/>
                <w:color w:val="000000"/>
              </w:rPr>
              <w:t>36.4%</w:t>
            </w:r>
          </w:p>
        </w:tc>
      </w:tr>
      <w:tr w:rsidR="00FF2DFD" w:rsidRPr="005321B8" w14:paraId="0D829185" w14:textId="77777777" w:rsidTr="00AE6C2A">
        <w:trPr>
          <w:cantSplit/>
          <w:trHeight w:val="422"/>
        </w:trPr>
        <w:tc>
          <w:tcPr>
            <w:tcW w:w="1448" w:type="dxa"/>
            <w:tcBorders>
              <w:top w:val="nil"/>
              <w:left w:val="single" w:sz="4" w:space="0" w:color="auto"/>
              <w:bottom w:val="single" w:sz="4" w:space="0" w:color="auto"/>
              <w:right w:val="single" w:sz="4" w:space="0" w:color="auto"/>
            </w:tcBorders>
            <w:shd w:val="clear" w:color="auto" w:fill="E5FFFF"/>
            <w:noWrap/>
            <w:vAlign w:val="center"/>
          </w:tcPr>
          <w:p w14:paraId="58266EC6" w14:textId="3742F70A" w:rsidR="00FF2DFD" w:rsidRPr="006438AC" w:rsidRDefault="00FF2DFD" w:rsidP="00FF2DFD">
            <w:pPr>
              <w:rPr>
                <w:rFonts w:eastAsia="Times New Roman"/>
                <w:b/>
                <w:bCs/>
                <w:color w:val="000000"/>
              </w:rPr>
            </w:pPr>
            <w:r w:rsidRPr="006438AC">
              <w:rPr>
                <w:rFonts w:eastAsia="Times New Roman"/>
                <w:b/>
                <w:bCs/>
                <w:color w:val="000000"/>
              </w:rPr>
              <w:t>Gender</w:t>
            </w:r>
          </w:p>
        </w:tc>
        <w:tc>
          <w:tcPr>
            <w:tcW w:w="975" w:type="dxa"/>
            <w:tcBorders>
              <w:top w:val="nil"/>
              <w:left w:val="nil"/>
              <w:bottom w:val="single" w:sz="4" w:space="0" w:color="auto"/>
              <w:right w:val="single" w:sz="4" w:space="0" w:color="auto"/>
            </w:tcBorders>
            <w:shd w:val="clear" w:color="auto" w:fill="E5FFFF"/>
            <w:noWrap/>
            <w:vAlign w:val="center"/>
          </w:tcPr>
          <w:p w14:paraId="557477F2" w14:textId="77777777" w:rsidR="00FF2DFD" w:rsidRPr="005321B8" w:rsidRDefault="00FF2DFD" w:rsidP="00FF2DFD">
            <w:pPr>
              <w:jc w:val="right"/>
              <w:rPr>
                <w:rFonts w:eastAsia="Times New Roman"/>
                <w:color w:val="000000"/>
              </w:rPr>
            </w:pPr>
          </w:p>
        </w:tc>
        <w:tc>
          <w:tcPr>
            <w:tcW w:w="1031" w:type="dxa"/>
            <w:gridSpan w:val="2"/>
            <w:tcBorders>
              <w:top w:val="nil"/>
              <w:left w:val="nil"/>
              <w:bottom w:val="single" w:sz="4" w:space="0" w:color="auto"/>
              <w:right w:val="single" w:sz="4" w:space="0" w:color="auto"/>
            </w:tcBorders>
            <w:shd w:val="clear" w:color="auto" w:fill="E5FFFF"/>
            <w:noWrap/>
            <w:vAlign w:val="center"/>
          </w:tcPr>
          <w:p w14:paraId="702A6CD5" w14:textId="77777777" w:rsidR="00FF2DFD" w:rsidRPr="005321B8" w:rsidRDefault="00FF2DFD" w:rsidP="00FF2DFD">
            <w:pPr>
              <w:jc w:val="right"/>
              <w:rPr>
                <w:rFonts w:eastAsia="Times New Roman"/>
                <w:color w:val="000000"/>
              </w:rPr>
            </w:pPr>
          </w:p>
        </w:tc>
        <w:tc>
          <w:tcPr>
            <w:tcW w:w="987" w:type="dxa"/>
            <w:tcBorders>
              <w:top w:val="nil"/>
              <w:left w:val="nil"/>
              <w:bottom w:val="single" w:sz="4" w:space="0" w:color="auto"/>
              <w:right w:val="single" w:sz="4" w:space="0" w:color="auto"/>
            </w:tcBorders>
            <w:shd w:val="clear" w:color="auto" w:fill="E5FFFF"/>
            <w:noWrap/>
            <w:vAlign w:val="center"/>
          </w:tcPr>
          <w:p w14:paraId="269E1321" w14:textId="77777777" w:rsidR="00FF2DFD" w:rsidRPr="005321B8" w:rsidRDefault="00FF2DFD" w:rsidP="00FF2DFD">
            <w:pPr>
              <w:jc w:val="right"/>
              <w:rPr>
                <w:rFonts w:eastAsia="Times New Roman"/>
                <w:color w:val="000000"/>
              </w:rPr>
            </w:pPr>
          </w:p>
        </w:tc>
        <w:tc>
          <w:tcPr>
            <w:tcW w:w="1004" w:type="dxa"/>
            <w:gridSpan w:val="2"/>
            <w:tcBorders>
              <w:top w:val="nil"/>
              <w:left w:val="nil"/>
              <w:bottom w:val="single" w:sz="4" w:space="0" w:color="auto"/>
              <w:right w:val="single" w:sz="4" w:space="0" w:color="auto"/>
            </w:tcBorders>
            <w:shd w:val="clear" w:color="auto" w:fill="E5FFFF"/>
            <w:noWrap/>
            <w:vAlign w:val="center"/>
          </w:tcPr>
          <w:p w14:paraId="19509442" w14:textId="77777777" w:rsidR="00FF2DFD" w:rsidRPr="005321B8" w:rsidRDefault="00FF2DFD" w:rsidP="00FF2DFD">
            <w:pPr>
              <w:jc w:val="right"/>
              <w:rPr>
                <w:rFonts w:eastAsia="Times New Roman"/>
                <w:color w:val="000000"/>
              </w:rPr>
            </w:pPr>
          </w:p>
        </w:tc>
        <w:tc>
          <w:tcPr>
            <w:tcW w:w="1007" w:type="dxa"/>
            <w:tcBorders>
              <w:top w:val="nil"/>
              <w:left w:val="nil"/>
              <w:bottom w:val="single" w:sz="4" w:space="0" w:color="auto"/>
              <w:right w:val="single" w:sz="4" w:space="0" w:color="auto"/>
            </w:tcBorders>
            <w:shd w:val="clear" w:color="auto" w:fill="E5FFFF"/>
            <w:noWrap/>
            <w:vAlign w:val="center"/>
          </w:tcPr>
          <w:p w14:paraId="43547574" w14:textId="77777777" w:rsidR="00FF2DFD" w:rsidRPr="005321B8" w:rsidRDefault="00FF2DFD" w:rsidP="00FF2DFD">
            <w:pPr>
              <w:jc w:val="right"/>
              <w:rPr>
                <w:rFonts w:eastAsia="Times New Roman"/>
                <w:color w:val="000000"/>
              </w:rPr>
            </w:pPr>
          </w:p>
        </w:tc>
        <w:tc>
          <w:tcPr>
            <w:tcW w:w="1044" w:type="dxa"/>
            <w:gridSpan w:val="2"/>
            <w:tcBorders>
              <w:top w:val="nil"/>
              <w:left w:val="nil"/>
              <w:bottom w:val="single" w:sz="4" w:space="0" w:color="auto"/>
              <w:right w:val="single" w:sz="4" w:space="0" w:color="auto"/>
            </w:tcBorders>
            <w:shd w:val="clear" w:color="auto" w:fill="E5FFFF"/>
            <w:noWrap/>
            <w:vAlign w:val="center"/>
          </w:tcPr>
          <w:p w14:paraId="1A2AB5F0" w14:textId="77777777" w:rsidR="00FF2DFD" w:rsidRPr="005321B8" w:rsidRDefault="00FF2DFD" w:rsidP="00FF2DFD">
            <w:pPr>
              <w:jc w:val="right"/>
              <w:rPr>
                <w:rFonts w:eastAsia="Times New Roman"/>
                <w:color w:val="000000"/>
              </w:rPr>
            </w:pPr>
          </w:p>
        </w:tc>
        <w:tc>
          <w:tcPr>
            <w:tcW w:w="1054" w:type="dxa"/>
            <w:tcBorders>
              <w:top w:val="nil"/>
              <w:left w:val="nil"/>
              <w:bottom w:val="single" w:sz="4" w:space="0" w:color="auto"/>
              <w:right w:val="single" w:sz="4" w:space="0" w:color="auto"/>
            </w:tcBorders>
            <w:shd w:val="clear" w:color="auto" w:fill="E5FFFF"/>
            <w:noWrap/>
            <w:vAlign w:val="center"/>
          </w:tcPr>
          <w:p w14:paraId="73928702" w14:textId="77777777" w:rsidR="00FF2DFD" w:rsidRPr="005321B8" w:rsidRDefault="00FF2DFD" w:rsidP="00FF2DFD">
            <w:pPr>
              <w:jc w:val="right"/>
              <w:rPr>
                <w:rFonts w:eastAsia="Times New Roman"/>
                <w:color w:val="000000"/>
              </w:rPr>
            </w:pPr>
          </w:p>
        </w:tc>
        <w:tc>
          <w:tcPr>
            <w:tcW w:w="1080" w:type="dxa"/>
            <w:gridSpan w:val="2"/>
            <w:tcBorders>
              <w:top w:val="nil"/>
              <w:left w:val="nil"/>
              <w:bottom w:val="single" w:sz="4" w:space="0" w:color="auto"/>
              <w:right w:val="single" w:sz="4" w:space="0" w:color="auto"/>
            </w:tcBorders>
            <w:shd w:val="clear" w:color="auto" w:fill="E5FFFF"/>
            <w:vAlign w:val="center"/>
          </w:tcPr>
          <w:p w14:paraId="57525B3A" w14:textId="77777777" w:rsidR="00FF2DFD" w:rsidRPr="005321B8" w:rsidRDefault="00FF2DFD" w:rsidP="00FF2DFD">
            <w:pPr>
              <w:jc w:val="right"/>
              <w:rPr>
                <w:rFonts w:eastAsia="Times New Roman"/>
                <w:color w:val="000000"/>
              </w:rPr>
            </w:pPr>
          </w:p>
        </w:tc>
      </w:tr>
      <w:tr w:rsidR="00FF2DFD" w:rsidRPr="005321B8" w14:paraId="0CE8E198" w14:textId="77777777" w:rsidTr="00AE6C2A">
        <w:trPr>
          <w:cantSplit/>
          <w:trHeight w:val="290"/>
        </w:trPr>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77997" w14:textId="4B1A2FD4" w:rsidR="00FF2DFD" w:rsidRPr="005321B8" w:rsidRDefault="00FF2DFD" w:rsidP="00FF2DFD">
            <w:pPr>
              <w:rPr>
                <w:rFonts w:eastAsia="Times New Roman"/>
                <w:color w:val="000000"/>
              </w:rPr>
            </w:pPr>
            <w:r>
              <w:rPr>
                <w:rFonts w:eastAsia="Times New Roman"/>
                <w:color w:val="000000"/>
              </w:rPr>
              <w:t>Female</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095C2" w14:textId="6C06C035" w:rsidR="00FF2DFD" w:rsidRPr="005321B8" w:rsidRDefault="00FF2DFD" w:rsidP="00FF2DFD">
            <w:pPr>
              <w:jc w:val="right"/>
              <w:rPr>
                <w:rFonts w:eastAsia="Times New Roman"/>
                <w:color w:val="000000"/>
              </w:rPr>
            </w:pPr>
            <w:r>
              <w:rPr>
                <w:rFonts w:ascii="Calibri" w:hAnsi="Calibri" w:cs="Calibri"/>
                <w:color w:val="000000"/>
                <w:sz w:val="22"/>
                <w:szCs w:val="22"/>
              </w:rPr>
              <w:t>56.79%</w:t>
            </w:r>
          </w:p>
        </w:tc>
        <w:tc>
          <w:tcPr>
            <w:tcW w:w="103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074E0FB8" w14:textId="031D259F" w:rsidR="00FF2DFD" w:rsidRPr="005321B8" w:rsidRDefault="00FF2DFD" w:rsidP="00FF2DFD">
            <w:pPr>
              <w:jc w:val="right"/>
              <w:rPr>
                <w:rFonts w:eastAsia="Times New Roman"/>
                <w:color w:val="000000"/>
              </w:rPr>
            </w:pPr>
            <w:r>
              <w:rPr>
                <w:rFonts w:ascii="Calibri" w:hAnsi="Calibri" w:cs="Calibri"/>
                <w:color w:val="000000"/>
                <w:sz w:val="22"/>
                <w:szCs w:val="22"/>
              </w:rPr>
              <w:t>60.46%</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DA9F5" w14:textId="3C35EB41" w:rsidR="00FF2DFD" w:rsidRPr="005321B8" w:rsidRDefault="00FF2DFD" w:rsidP="00FF2DFD">
            <w:pPr>
              <w:jc w:val="right"/>
              <w:rPr>
                <w:rFonts w:eastAsia="Times New Roman"/>
                <w:color w:val="000000"/>
              </w:rPr>
            </w:pPr>
            <w:r>
              <w:rPr>
                <w:rFonts w:ascii="Calibri" w:hAnsi="Calibri" w:cs="Calibri"/>
                <w:color w:val="000000"/>
                <w:sz w:val="22"/>
                <w:szCs w:val="22"/>
              </w:rPr>
              <w:t>56.64%</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7F2E0AF8" w14:textId="04C8A07B" w:rsidR="00FF2DFD" w:rsidRPr="005321B8" w:rsidRDefault="00FF2DFD" w:rsidP="00FF2DFD">
            <w:pPr>
              <w:jc w:val="right"/>
              <w:rPr>
                <w:rFonts w:eastAsia="Times New Roman"/>
                <w:color w:val="000000"/>
              </w:rPr>
            </w:pPr>
            <w:r>
              <w:rPr>
                <w:rFonts w:ascii="Calibri" w:hAnsi="Calibri" w:cs="Calibri"/>
                <w:color w:val="000000"/>
                <w:sz w:val="22"/>
                <w:szCs w:val="22"/>
              </w:rPr>
              <w:t>60.96%</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7CCAC" w14:textId="67DD5286" w:rsidR="00FF2DFD" w:rsidRPr="005321B8" w:rsidRDefault="00FF2DFD" w:rsidP="00FF2DFD">
            <w:pPr>
              <w:jc w:val="right"/>
              <w:rPr>
                <w:rFonts w:eastAsia="Times New Roman"/>
                <w:color w:val="000000"/>
              </w:rPr>
            </w:pPr>
            <w:r>
              <w:rPr>
                <w:rFonts w:ascii="Calibri" w:hAnsi="Calibri" w:cs="Calibri"/>
                <w:color w:val="000000"/>
                <w:sz w:val="22"/>
                <w:szCs w:val="22"/>
              </w:rPr>
              <w:t>56.48%</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3D23B0A3" w14:textId="1D10D5FC" w:rsidR="00FF2DFD" w:rsidRPr="005321B8" w:rsidRDefault="00FF2DFD" w:rsidP="00FF2DFD">
            <w:pPr>
              <w:jc w:val="right"/>
              <w:rPr>
                <w:rFonts w:eastAsia="Times New Roman"/>
                <w:color w:val="000000"/>
              </w:rPr>
            </w:pPr>
            <w:r>
              <w:rPr>
                <w:rFonts w:ascii="Calibri" w:hAnsi="Calibri" w:cs="Calibri"/>
                <w:color w:val="000000"/>
                <w:sz w:val="22"/>
                <w:szCs w:val="22"/>
              </w:rPr>
              <w:t>59.53%</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2200" w14:textId="7EED7C1B" w:rsidR="00FF2DFD" w:rsidRPr="005321B8" w:rsidRDefault="00FF2DFD" w:rsidP="00FF2DFD">
            <w:pPr>
              <w:jc w:val="right"/>
              <w:rPr>
                <w:rFonts w:eastAsia="Times New Roman"/>
                <w:color w:val="000000"/>
              </w:rPr>
            </w:pPr>
            <w:r>
              <w:rPr>
                <w:rFonts w:ascii="Calibri" w:hAnsi="Calibri" w:cs="Calibri"/>
                <w:color w:val="000000"/>
                <w:sz w:val="22"/>
                <w:szCs w:val="22"/>
              </w:rPr>
              <w:t>56.45%</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6F12A1A" w14:textId="679A6FA0" w:rsidR="00FF2DFD" w:rsidRPr="005321B8" w:rsidRDefault="00FF2DFD" w:rsidP="00FF2DFD">
            <w:pPr>
              <w:jc w:val="right"/>
              <w:rPr>
                <w:rFonts w:eastAsia="Times New Roman"/>
                <w:color w:val="000000"/>
              </w:rPr>
            </w:pPr>
            <w:r>
              <w:rPr>
                <w:rFonts w:ascii="Calibri" w:hAnsi="Calibri" w:cs="Calibri"/>
                <w:color w:val="000000"/>
                <w:sz w:val="22"/>
                <w:szCs w:val="22"/>
              </w:rPr>
              <w:t>59.76%</w:t>
            </w:r>
          </w:p>
        </w:tc>
      </w:tr>
      <w:tr w:rsidR="00FF2DFD" w:rsidRPr="005321B8" w14:paraId="083F8A2F" w14:textId="77777777" w:rsidTr="00AE6C2A">
        <w:trPr>
          <w:cantSplit/>
          <w:trHeight w:val="290"/>
        </w:trPr>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1026C" w14:textId="01861ED7" w:rsidR="00FF2DFD" w:rsidRPr="005321B8" w:rsidRDefault="00FF2DFD" w:rsidP="00FF2DFD">
            <w:pPr>
              <w:rPr>
                <w:rFonts w:eastAsia="Times New Roman"/>
                <w:color w:val="000000"/>
              </w:rPr>
            </w:pPr>
            <w:r>
              <w:rPr>
                <w:rFonts w:eastAsia="Times New Roman"/>
                <w:color w:val="000000"/>
              </w:rPr>
              <w:t>Male</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6D788" w14:textId="77BF21AC" w:rsidR="00FF2DFD" w:rsidRPr="005321B8" w:rsidRDefault="00FF2DFD" w:rsidP="00FF2DFD">
            <w:pPr>
              <w:jc w:val="right"/>
              <w:rPr>
                <w:rFonts w:eastAsia="Times New Roman"/>
                <w:color w:val="000000"/>
              </w:rPr>
            </w:pPr>
            <w:r>
              <w:rPr>
                <w:rFonts w:ascii="Calibri" w:hAnsi="Calibri" w:cs="Calibri"/>
                <w:color w:val="000000"/>
                <w:sz w:val="22"/>
                <w:szCs w:val="22"/>
              </w:rPr>
              <w:t>43.20%</w:t>
            </w:r>
          </w:p>
        </w:tc>
        <w:tc>
          <w:tcPr>
            <w:tcW w:w="103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36773E45" w14:textId="1038F64B" w:rsidR="00FF2DFD" w:rsidRPr="005321B8" w:rsidRDefault="00FF2DFD" w:rsidP="00FF2DFD">
            <w:pPr>
              <w:jc w:val="right"/>
              <w:rPr>
                <w:rFonts w:eastAsia="Times New Roman"/>
                <w:color w:val="000000"/>
              </w:rPr>
            </w:pPr>
            <w:r>
              <w:rPr>
                <w:rFonts w:ascii="Calibri" w:hAnsi="Calibri" w:cs="Calibri"/>
                <w:color w:val="000000"/>
                <w:sz w:val="22"/>
                <w:szCs w:val="22"/>
              </w:rPr>
              <w:t>39.54%</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CA9F2" w14:textId="7B8F0356" w:rsidR="00FF2DFD" w:rsidRPr="005321B8" w:rsidRDefault="00FF2DFD" w:rsidP="00FF2DFD">
            <w:pPr>
              <w:jc w:val="right"/>
              <w:rPr>
                <w:rFonts w:eastAsia="Times New Roman"/>
                <w:color w:val="000000"/>
              </w:rPr>
            </w:pPr>
            <w:r>
              <w:rPr>
                <w:rFonts w:ascii="Calibri" w:hAnsi="Calibri" w:cs="Calibri"/>
                <w:color w:val="000000"/>
                <w:sz w:val="22"/>
                <w:szCs w:val="22"/>
              </w:rPr>
              <w:t>43.36%</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70306A53" w14:textId="1FC13BCB" w:rsidR="00FF2DFD" w:rsidRPr="005321B8" w:rsidRDefault="00FF2DFD" w:rsidP="00FF2DFD">
            <w:pPr>
              <w:jc w:val="right"/>
              <w:rPr>
                <w:rFonts w:eastAsia="Times New Roman"/>
                <w:color w:val="000000"/>
              </w:rPr>
            </w:pPr>
            <w:r>
              <w:rPr>
                <w:rFonts w:ascii="Calibri" w:hAnsi="Calibri" w:cs="Calibri"/>
                <w:color w:val="000000"/>
                <w:sz w:val="22"/>
                <w:szCs w:val="22"/>
              </w:rPr>
              <w:t>39.04%</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BE1F3" w14:textId="5535EE95" w:rsidR="00FF2DFD" w:rsidRPr="005321B8" w:rsidRDefault="00FF2DFD" w:rsidP="00FF2DFD">
            <w:pPr>
              <w:jc w:val="right"/>
              <w:rPr>
                <w:rFonts w:eastAsia="Times New Roman"/>
                <w:color w:val="000000"/>
              </w:rPr>
            </w:pPr>
            <w:r>
              <w:rPr>
                <w:rFonts w:ascii="Calibri" w:hAnsi="Calibri" w:cs="Calibri"/>
                <w:color w:val="000000"/>
                <w:sz w:val="22"/>
                <w:szCs w:val="22"/>
              </w:rPr>
              <w:t>43.52%</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21C7DB0E" w14:textId="29EDEE34" w:rsidR="00FF2DFD" w:rsidRPr="005321B8" w:rsidRDefault="00FF2DFD" w:rsidP="00FF2DFD">
            <w:pPr>
              <w:jc w:val="right"/>
              <w:rPr>
                <w:rFonts w:eastAsia="Times New Roman"/>
                <w:color w:val="000000"/>
              </w:rPr>
            </w:pPr>
            <w:r>
              <w:rPr>
                <w:rFonts w:ascii="Calibri" w:hAnsi="Calibri" w:cs="Calibri"/>
                <w:color w:val="000000"/>
                <w:sz w:val="22"/>
                <w:szCs w:val="22"/>
              </w:rPr>
              <w:t>40.47%</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B6F45" w14:textId="7C3635EC" w:rsidR="00FF2DFD" w:rsidRPr="005321B8" w:rsidRDefault="00FF2DFD" w:rsidP="00FF2DFD">
            <w:pPr>
              <w:jc w:val="right"/>
              <w:rPr>
                <w:rFonts w:eastAsia="Times New Roman"/>
                <w:color w:val="000000"/>
              </w:rPr>
            </w:pPr>
            <w:r>
              <w:rPr>
                <w:rFonts w:ascii="Calibri" w:hAnsi="Calibri" w:cs="Calibri"/>
                <w:color w:val="000000"/>
                <w:sz w:val="22"/>
                <w:szCs w:val="22"/>
              </w:rPr>
              <w:t>43.54%</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C5872F9" w14:textId="2AB9453D" w:rsidR="00FF2DFD" w:rsidRPr="005321B8" w:rsidRDefault="00FF2DFD" w:rsidP="00FF2DFD">
            <w:pPr>
              <w:jc w:val="right"/>
              <w:rPr>
                <w:rFonts w:eastAsia="Times New Roman"/>
                <w:color w:val="000000"/>
              </w:rPr>
            </w:pPr>
            <w:r>
              <w:rPr>
                <w:rFonts w:ascii="Calibri" w:hAnsi="Calibri" w:cs="Calibri"/>
                <w:color w:val="000000"/>
                <w:sz w:val="22"/>
                <w:szCs w:val="22"/>
              </w:rPr>
              <w:t>40.24%</w:t>
            </w:r>
          </w:p>
        </w:tc>
      </w:tr>
      <w:tr w:rsidR="00FF2DFD" w:rsidRPr="005321B8" w14:paraId="31FC4C7B" w14:textId="77777777" w:rsidTr="00AE6C2A">
        <w:trPr>
          <w:cantSplit/>
          <w:trHeight w:val="290"/>
        </w:trPr>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1BB4" w14:textId="5A1F72E1" w:rsidR="00FF2DFD" w:rsidRPr="005321B8" w:rsidRDefault="00FF2DFD" w:rsidP="00FF2DFD">
            <w:pPr>
              <w:rPr>
                <w:rFonts w:eastAsia="Times New Roman"/>
                <w:color w:val="000000"/>
              </w:rPr>
            </w:pPr>
            <w:r>
              <w:rPr>
                <w:rFonts w:eastAsia="Times New Roman"/>
                <w:color w:val="000000"/>
              </w:rPr>
              <w:t>Other</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BBDA" w14:textId="3E8E278A" w:rsidR="00FF2DFD" w:rsidRPr="005321B8" w:rsidRDefault="00FF2DFD" w:rsidP="00FF2DFD">
            <w:pPr>
              <w:jc w:val="right"/>
              <w:rPr>
                <w:rFonts w:eastAsia="Times New Roman"/>
                <w:color w:val="000000"/>
              </w:rPr>
            </w:pPr>
            <w:r>
              <w:rPr>
                <w:rFonts w:ascii="Calibri" w:hAnsi="Calibri" w:cs="Calibri"/>
                <w:color w:val="000000"/>
                <w:sz w:val="22"/>
                <w:szCs w:val="22"/>
              </w:rPr>
              <w:t>&lt;0.00%</w:t>
            </w:r>
          </w:p>
        </w:tc>
        <w:tc>
          <w:tcPr>
            <w:tcW w:w="103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490896E0" w14:textId="1B083E2A" w:rsidR="00FF2DFD" w:rsidRPr="005321B8" w:rsidRDefault="00FF2DFD" w:rsidP="00FF2DFD">
            <w:pPr>
              <w:jc w:val="right"/>
              <w:rPr>
                <w:rFonts w:eastAsia="Times New Roman"/>
                <w:color w:val="000000"/>
              </w:rPr>
            </w:pPr>
            <w:r>
              <w:rPr>
                <w:rFonts w:ascii="Calibri" w:hAnsi="Calibri" w:cs="Calibri"/>
                <w:color w:val="000000"/>
                <w:sz w:val="22"/>
                <w:szCs w:val="22"/>
              </w:rPr>
              <w:t>&lt;0.00%</w:t>
            </w:r>
          </w:p>
        </w:tc>
        <w:tc>
          <w:tcPr>
            <w:tcW w:w="9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0F2CD" w14:textId="387FFB92" w:rsidR="00FF2DFD" w:rsidRPr="005321B8" w:rsidRDefault="00FF2DFD" w:rsidP="00FF2DFD">
            <w:pPr>
              <w:jc w:val="right"/>
              <w:rPr>
                <w:rFonts w:eastAsia="Times New Roman"/>
                <w:color w:val="000000"/>
              </w:rPr>
            </w:pPr>
            <w:r>
              <w:rPr>
                <w:rFonts w:ascii="Calibri" w:hAnsi="Calibri" w:cs="Calibri"/>
                <w:color w:val="000000"/>
                <w:sz w:val="22"/>
                <w:szCs w:val="22"/>
              </w:rPr>
              <w:t>0.00%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78BFA418" w14:textId="264593B9" w:rsidR="00FF2DFD" w:rsidRPr="005321B8" w:rsidRDefault="00FF2DFD" w:rsidP="00FF2DFD">
            <w:pPr>
              <w:jc w:val="right"/>
              <w:rPr>
                <w:rFonts w:eastAsia="Times New Roman"/>
                <w:color w:val="000000"/>
              </w:rPr>
            </w:pPr>
            <w:r>
              <w:rPr>
                <w:rFonts w:ascii="Calibri" w:hAnsi="Calibri" w:cs="Calibri"/>
                <w:color w:val="000000"/>
                <w:sz w:val="22"/>
                <w:szCs w:val="22"/>
              </w:rPr>
              <w:t>&lt;0.00%</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360F" w14:textId="5CDE2C57" w:rsidR="00FF2DFD" w:rsidRPr="005321B8" w:rsidRDefault="00FF2DFD" w:rsidP="00FF2DFD">
            <w:pPr>
              <w:jc w:val="right"/>
              <w:rPr>
                <w:rFonts w:eastAsia="Times New Roman"/>
                <w:color w:val="000000"/>
              </w:rPr>
            </w:pPr>
            <w:r>
              <w:rPr>
                <w:rFonts w:ascii="Calibri" w:hAnsi="Calibri" w:cs="Calibri"/>
                <w:color w:val="000000"/>
                <w:sz w:val="22"/>
                <w:szCs w:val="22"/>
              </w:rPr>
              <w:t>&lt;0.00%</w:t>
            </w:r>
          </w:p>
        </w:tc>
        <w:tc>
          <w:tcPr>
            <w:tcW w:w="1044"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tcPr>
          <w:p w14:paraId="0EB1DBB5" w14:textId="5640D81A" w:rsidR="00FF2DFD" w:rsidRPr="005321B8" w:rsidRDefault="00FF2DFD" w:rsidP="00FF2DFD">
            <w:pPr>
              <w:jc w:val="right"/>
              <w:rPr>
                <w:rFonts w:eastAsia="Times New Roman"/>
                <w:color w:val="000000"/>
              </w:rPr>
            </w:pPr>
            <w:r>
              <w:rPr>
                <w:rFonts w:ascii="Calibri" w:hAnsi="Calibri" w:cs="Calibri"/>
                <w:color w:val="000000"/>
                <w:sz w:val="22"/>
                <w:szCs w:val="22"/>
              </w:rPr>
              <w:t>&lt;0.00%</w:t>
            </w:r>
          </w:p>
        </w:tc>
        <w:tc>
          <w:tcPr>
            <w:tcW w:w="10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4664C7" w14:textId="3303BA33" w:rsidR="00FF2DFD" w:rsidRPr="005321B8" w:rsidRDefault="00FF2DFD" w:rsidP="00FF2DFD">
            <w:pPr>
              <w:jc w:val="right"/>
              <w:rPr>
                <w:rFonts w:eastAsia="Times New Roman"/>
                <w:color w:val="000000"/>
              </w:rPr>
            </w:pPr>
            <w:r>
              <w:rPr>
                <w:rFonts w:ascii="Calibri" w:hAnsi="Calibri" w:cs="Calibri"/>
                <w:color w:val="000000"/>
                <w:sz w:val="22"/>
                <w:szCs w:val="22"/>
              </w:rPr>
              <w:t>0.01%</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4FEB6" w14:textId="10AF4A9E" w:rsidR="00FF2DFD" w:rsidRPr="005321B8" w:rsidRDefault="00FF2DFD" w:rsidP="00FF2DFD">
            <w:pPr>
              <w:jc w:val="right"/>
              <w:rPr>
                <w:rFonts w:eastAsia="Times New Roman"/>
                <w:color w:val="000000"/>
              </w:rPr>
            </w:pPr>
            <w:r>
              <w:rPr>
                <w:rFonts w:ascii="Calibri" w:hAnsi="Calibri" w:cs="Calibri"/>
                <w:color w:val="000000"/>
                <w:sz w:val="22"/>
                <w:szCs w:val="22"/>
              </w:rPr>
              <w:t>&lt;0.00%</w:t>
            </w:r>
          </w:p>
        </w:tc>
      </w:tr>
      <w:tr w:rsidR="00FF2DFD" w:rsidRPr="005321B8" w14:paraId="3A0F827D" w14:textId="77777777" w:rsidTr="00AE6C2A">
        <w:trPr>
          <w:cantSplit/>
          <w:trHeight w:val="290"/>
        </w:trPr>
        <w:tc>
          <w:tcPr>
            <w:tcW w:w="1448" w:type="dxa"/>
            <w:tcBorders>
              <w:top w:val="single" w:sz="4" w:space="0" w:color="auto"/>
              <w:left w:val="single" w:sz="4" w:space="0" w:color="auto"/>
              <w:bottom w:val="single" w:sz="4" w:space="0" w:color="auto"/>
              <w:right w:val="single" w:sz="4" w:space="0" w:color="auto"/>
            </w:tcBorders>
            <w:shd w:val="clear" w:color="auto" w:fill="E5FFFF"/>
            <w:noWrap/>
            <w:vAlign w:val="center"/>
            <w:hideMark/>
          </w:tcPr>
          <w:p w14:paraId="265A84F0" w14:textId="77777777" w:rsidR="00FF2DFD" w:rsidRPr="005321B8" w:rsidRDefault="00FF2DFD" w:rsidP="00FF2DFD">
            <w:pPr>
              <w:rPr>
                <w:rFonts w:eastAsia="Times New Roman"/>
                <w:b/>
                <w:bCs/>
                <w:color w:val="000000"/>
              </w:rPr>
            </w:pPr>
            <w:r w:rsidRPr="005321B8">
              <w:rPr>
                <w:rFonts w:eastAsia="Times New Roman"/>
                <w:b/>
                <w:bCs/>
                <w:color w:val="000000"/>
              </w:rPr>
              <w:t>Race</w:t>
            </w:r>
          </w:p>
        </w:tc>
        <w:tc>
          <w:tcPr>
            <w:tcW w:w="975" w:type="dxa"/>
            <w:tcBorders>
              <w:top w:val="single" w:sz="4" w:space="0" w:color="auto"/>
              <w:left w:val="nil"/>
              <w:bottom w:val="single" w:sz="4" w:space="0" w:color="auto"/>
              <w:right w:val="single" w:sz="4" w:space="0" w:color="auto"/>
            </w:tcBorders>
            <w:shd w:val="clear" w:color="auto" w:fill="E5FFFF"/>
            <w:noWrap/>
            <w:vAlign w:val="center"/>
            <w:hideMark/>
          </w:tcPr>
          <w:p w14:paraId="79AAA27C" w14:textId="77777777" w:rsidR="00FF2DFD" w:rsidRPr="005321B8" w:rsidRDefault="00FF2DFD" w:rsidP="00FF2DFD">
            <w:pPr>
              <w:jc w:val="right"/>
              <w:rPr>
                <w:rFonts w:eastAsia="Times New Roman"/>
                <w:b/>
                <w:bCs/>
                <w:color w:val="000000"/>
              </w:rPr>
            </w:pPr>
            <w:r w:rsidRPr="005321B8">
              <w:rPr>
                <w:rFonts w:eastAsia="Times New Roman"/>
                <w:b/>
                <w:bCs/>
                <w:color w:val="000000"/>
              </w:rPr>
              <w:t> </w:t>
            </w:r>
          </w:p>
        </w:tc>
        <w:tc>
          <w:tcPr>
            <w:tcW w:w="1031"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22285939" w14:textId="77777777" w:rsidR="00FF2DFD" w:rsidRPr="005321B8" w:rsidRDefault="00FF2DFD" w:rsidP="00FF2DFD">
            <w:pPr>
              <w:jc w:val="right"/>
              <w:rPr>
                <w:rFonts w:eastAsia="Times New Roman"/>
                <w:color w:val="000000"/>
              </w:rPr>
            </w:pPr>
            <w:r w:rsidRPr="005321B8">
              <w:rPr>
                <w:rFonts w:eastAsia="Times New Roman"/>
                <w:color w:val="000000"/>
              </w:rPr>
              <w:t> </w:t>
            </w:r>
          </w:p>
        </w:tc>
        <w:tc>
          <w:tcPr>
            <w:tcW w:w="987" w:type="dxa"/>
            <w:tcBorders>
              <w:top w:val="single" w:sz="4" w:space="0" w:color="auto"/>
              <w:left w:val="nil"/>
              <w:bottom w:val="single" w:sz="4" w:space="0" w:color="auto"/>
              <w:right w:val="single" w:sz="4" w:space="0" w:color="auto"/>
            </w:tcBorders>
            <w:shd w:val="clear" w:color="auto" w:fill="E5FFFF"/>
            <w:noWrap/>
            <w:vAlign w:val="center"/>
            <w:hideMark/>
          </w:tcPr>
          <w:p w14:paraId="00F3A206" w14:textId="77777777" w:rsidR="00FF2DFD" w:rsidRPr="005321B8" w:rsidRDefault="00FF2DFD" w:rsidP="00FF2DFD">
            <w:pPr>
              <w:jc w:val="right"/>
              <w:rPr>
                <w:rFonts w:eastAsia="Times New Roman"/>
                <w:b/>
                <w:bCs/>
                <w:color w:val="000000"/>
              </w:rPr>
            </w:pPr>
            <w:r w:rsidRPr="005321B8">
              <w:rPr>
                <w:rFonts w:eastAsia="Times New Roman"/>
                <w:b/>
                <w:bCs/>
                <w:color w:val="000000"/>
              </w:rPr>
              <w:t> </w:t>
            </w:r>
          </w:p>
        </w:tc>
        <w:tc>
          <w:tcPr>
            <w:tcW w:w="1004"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1D9B6A24" w14:textId="77777777" w:rsidR="00FF2DFD" w:rsidRPr="005321B8" w:rsidRDefault="00FF2DFD" w:rsidP="00FF2DFD">
            <w:pPr>
              <w:jc w:val="right"/>
              <w:rPr>
                <w:rFonts w:eastAsia="Times New Roman"/>
                <w:color w:val="000000"/>
              </w:rPr>
            </w:pPr>
            <w:r w:rsidRPr="005321B8">
              <w:rPr>
                <w:rFonts w:eastAsia="Times New Roman"/>
                <w:color w:val="000000"/>
              </w:rPr>
              <w:t> </w:t>
            </w:r>
          </w:p>
        </w:tc>
        <w:tc>
          <w:tcPr>
            <w:tcW w:w="1007" w:type="dxa"/>
            <w:tcBorders>
              <w:top w:val="single" w:sz="4" w:space="0" w:color="auto"/>
              <w:left w:val="nil"/>
              <w:bottom w:val="single" w:sz="4" w:space="0" w:color="auto"/>
              <w:right w:val="single" w:sz="4" w:space="0" w:color="auto"/>
            </w:tcBorders>
            <w:shd w:val="clear" w:color="auto" w:fill="E5FFFF"/>
            <w:noWrap/>
            <w:vAlign w:val="center"/>
            <w:hideMark/>
          </w:tcPr>
          <w:p w14:paraId="6E43B620" w14:textId="77777777" w:rsidR="00FF2DFD" w:rsidRPr="005321B8" w:rsidRDefault="00FF2DFD" w:rsidP="00FF2DFD">
            <w:pPr>
              <w:jc w:val="right"/>
              <w:rPr>
                <w:rFonts w:eastAsia="Times New Roman"/>
                <w:b/>
                <w:bCs/>
                <w:color w:val="000000"/>
              </w:rPr>
            </w:pPr>
            <w:r w:rsidRPr="005321B8">
              <w:rPr>
                <w:rFonts w:eastAsia="Times New Roman"/>
                <w:b/>
                <w:bCs/>
                <w:color w:val="000000"/>
              </w:rPr>
              <w:t> </w:t>
            </w:r>
          </w:p>
        </w:tc>
        <w:tc>
          <w:tcPr>
            <w:tcW w:w="1044" w:type="dxa"/>
            <w:gridSpan w:val="2"/>
            <w:tcBorders>
              <w:top w:val="single" w:sz="4" w:space="0" w:color="auto"/>
              <w:left w:val="nil"/>
              <w:bottom w:val="single" w:sz="4" w:space="0" w:color="auto"/>
              <w:right w:val="single" w:sz="4" w:space="0" w:color="auto"/>
            </w:tcBorders>
            <w:shd w:val="clear" w:color="auto" w:fill="E5FFFF"/>
            <w:noWrap/>
            <w:vAlign w:val="center"/>
            <w:hideMark/>
          </w:tcPr>
          <w:p w14:paraId="36AEE72B" w14:textId="77777777" w:rsidR="00FF2DFD" w:rsidRPr="005321B8" w:rsidRDefault="00FF2DFD" w:rsidP="00FF2DFD">
            <w:pPr>
              <w:jc w:val="right"/>
              <w:rPr>
                <w:rFonts w:eastAsia="Times New Roman"/>
                <w:color w:val="000000"/>
              </w:rPr>
            </w:pPr>
            <w:r w:rsidRPr="005321B8">
              <w:rPr>
                <w:rFonts w:eastAsia="Times New Roman"/>
                <w:color w:val="000000"/>
              </w:rPr>
              <w:t> </w:t>
            </w:r>
          </w:p>
        </w:tc>
        <w:tc>
          <w:tcPr>
            <w:tcW w:w="1054" w:type="dxa"/>
            <w:tcBorders>
              <w:top w:val="single" w:sz="4" w:space="0" w:color="auto"/>
              <w:left w:val="nil"/>
              <w:bottom w:val="single" w:sz="4" w:space="0" w:color="auto"/>
              <w:right w:val="single" w:sz="4" w:space="0" w:color="auto"/>
            </w:tcBorders>
            <w:shd w:val="clear" w:color="auto" w:fill="E5FFFF"/>
            <w:noWrap/>
            <w:vAlign w:val="center"/>
            <w:hideMark/>
          </w:tcPr>
          <w:p w14:paraId="6EE73050" w14:textId="77777777" w:rsidR="00FF2DFD" w:rsidRPr="005321B8" w:rsidRDefault="00FF2DFD" w:rsidP="00FF2DFD">
            <w:pPr>
              <w:jc w:val="right"/>
              <w:rPr>
                <w:rFonts w:eastAsia="Times New Roman"/>
                <w:b/>
                <w:bCs/>
                <w:color w:val="000000"/>
              </w:rPr>
            </w:pPr>
            <w:r w:rsidRPr="005321B8">
              <w:rPr>
                <w:rFonts w:eastAsia="Times New Roman"/>
                <w:b/>
                <w:bCs/>
                <w:color w:val="000000"/>
              </w:rPr>
              <w:t> </w:t>
            </w:r>
          </w:p>
        </w:tc>
        <w:tc>
          <w:tcPr>
            <w:tcW w:w="1080" w:type="dxa"/>
            <w:gridSpan w:val="2"/>
            <w:tcBorders>
              <w:top w:val="single" w:sz="4" w:space="0" w:color="auto"/>
              <w:left w:val="nil"/>
              <w:bottom w:val="single" w:sz="4" w:space="0" w:color="auto"/>
              <w:right w:val="single" w:sz="4" w:space="0" w:color="auto"/>
            </w:tcBorders>
            <w:shd w:val="clear" w:color="auto" w:fill="E5FFFF"/>
            <w:vAlign w:val="center"/>
            <w:hideMark/>
          </w:tcPr>
          <w:p w14:paraId="36356925" w14:textId="77777777" w:rsidR="00FF2DFD" w:rsidRPr="005321B8" w:rsidRDefault="00FF2DFD" w:rsidP="00FF2DFD">
            <w:pPr>
              <w:jc w:val="right"/>
              <w:rPr>
                <w:rFonts w:eastAsia="Times New Roman"/>
                <w:color w:val="000000"/>
              </w:rPr>
            </w:pPr>
            <w:r w:rsidRPr="005321B8">
              <w:rPr>
                <w:rFonts w:eastAsia="Times New Roman"/>
                <w:color w:val="000000"/>
              </w:rPr>
              <w:t> </w:t>
            </w:r>
          </w:p>
        </w:tc>
      </w:tr>
      <w:tr w:rsidR="00FF2DFD" w:rsidRPr="005321B8" w14:paraId="13ECADB7"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00DCB48" w14:textId="77777777" w:rsidR="00FF2DFD" w:rsidRPr="005321B8" w:rsidRDefault="00FF2DFD" w:rsidP="00FF2DFD">
            <w:pPr>
              <w:rPr>
                <w:rFonts w:eastAsia="Times New Roman"/>
                <w:color w:val="000000"/>
              </w:rPr>
            </w:pPr>
            <w:r w:rsidRPr="005321B8">
              <w:rPr>
                <w:rFonts w:eastAsia="Times New Roman"/>
                <w:color w:val="000000"/>
              </w:rPr>
              <w:t>Asian</w:t>
            </w:r>
          </w:p>
        </w:tc>
        <w:tc>
          <w:tcPr>
            <w:tcW w:w="975" w:type="dxa"/>
            <w:tcBorders>
              <w:top w:val="nil"/>
              <w:left w:val="nil"/>
              <w:bottom w:val="single" w:sz="4" w:space="0" w:color="auto"/>
              <w:right w:val="single" w:sz="4" w:space="0" w:color="auto"/>
            </w:tcBorders>
            <w:shd w:val="clear" w:color="auto" w:fill="auto"/>
            <w:noWrap/>
            <w:vAlign w:val="center"/>
            <w:hideMark/>
          </w:tcPr>
          <w:p w14:paraId="2C3C42C7" w14:textId="77777777" w:rsidR="00FF2DFD" w:rsidRPr="005321B8" w:rsidRDefault="00FF2DFD" w:rsidP="00FF2DFD">
            <w:pPr>
              <w:jc w:val="right"/>
              <w:rPr>
                <w:rFonts w:eastAsia="Times New Roman"/>
                <w:color w:val="000000"/>
              </w:rPr>
            </w:pPr>
            <w:r w:rsidRPr="005321B8">
              <w:rPr>
                <w:rFonts w:eastAsia="Times New Roman"/>
                <w:color w:val="000000"/>
              </w:rPr>
              <w:t>8.6%</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EDA99EC" w14:textId="77777777" w:rsidR="00FF2DFD" w:rsidRPr="005321B8" w:rsidRDefault="00FF2DFD" w:rsidP="00FF2DFD">
            <w:pPr>
              <w:jc w:val="right"/>
              <w:rPr>
                <w:rFonts w:eastAsia="Times New Roman"/>
                <w:color w:val="000000"/>
              </w:rPr>
            </w:pPr>
            <w:r w:rsidRPr="005321B8">
              <w:rPr>
                <w:rFonts w:eastAsia="Times New Roman"/>
                <w:color w:val="000000"/>
              </w:rPr>
              <w:t>3.3%</w:t>
            </w:r>
          </w:p>
        </w:tc>
        <w:tc>
          <w:tcPr>
            <w:tcW w:w="987" w:type="dxa"/>
            <w:tcBorders>
              <w:top w:val="nil"/>
              <w:left w:val="nil"/>
              <w:bottom w:val="single" w:sz="4" w:space="0" w:color="auto"/>
              <w:right w:val="single" w:sz="4" w:space="0" w:color="auto"/>
            </w:tcBorders>
            <w:shd w:val="clear" w:color="auto" w:fill="auto"/>
            <w:noWrap/>
            <w:vAlign w:val="center"/>
            <w:hideMark/>
          </w:tcPr>
          <w:p w14:paraId="434FBABE" w14:textId="77777777" w:rsidR="00FF2DFD" w:rsidRPr="005321B8" w:rsidRDefault="00FF2DFD" w:rsidP="00FF2DFD">
            <w:pPr>
              <w:jc w:val="right"/>
              <w:rPr>
                <w:rFonts w:eastAsia="Times New Roman"/>
                <w:color w:val="000000"/>
              </w:rPr>
            </w:pPr>
            <w:r w:rsidRPr="005321B8">
              <w:rPr>
                <w:rFonts w:eastAsia="Times New Roman"/>
                <w:color w:val="000000"/>
              </w:rPr>
              <w:t>8.7%</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4BBD3DA" w14:textId="77777777" w:rsidR="00FF2DFD" w:rsidRPr="005321B8" w:rsidRDefault="00FF2DFD" w:rsidP="00FF2DFD">
            <w:pPr>
              <w:jc w:val="right"/>
              <w:rPr>
                <w:rFonts w:eastAsia="Times New Roman"/>
                <w:color w:val="000000"/>
              </w:rPr>
            </w:pPr>
            <w:r w:rsidRPr="005321B8">
              <w:rPr>
                <w:rFonts w:eastAsia="Times New Roman"/>
                <w:color w:val="000000"/>
              </w:rPr>
              <w:t>3.7%</w:t>
            </w:r>
          </w:p>
        </w:tc>
        <w:tc>
          <w:tcPr>
            <w:tcW w:w="1007" w:type="dxa"/>
            <w:tcBorders>
              <w:top w:val="nil"/>
              <w:left w:val="nil"/>
              <w:bottom w:val="single" w:sz="4" w:space="0" w:color="auto"/>
              <w:right w:val="single" w:sz="4" w:space="0" w:color="auto"/>
            </w:tcBorders>
            <w:shd w:val="clear" w:color="auto" w:fill="auto"/>
            <w:noWrap/>
            <w:vAlign w:val="center"/>
            <w:hideMark/>
          </w:tcPr>
          <w:p w14:paraId="14BB4151" w14:textId="77777777" w:rsidR="00FF2DFD" w:rsidRPr="005321B8" w:rsidRDefault="00FF2DFD" w:rsidP="00FF2DFD">
            <w:pPr>
              <w:jc w:val="right"/>
              <w:rPr>
                <w:rFonts w:eastAsia="Times New Roman"/>
                <w:color w:val="000000"/>
              </w:rPr>
            </w:pPr>
            <w:r w:rsidRPr="005321B8">
              <w:rPr>
                <w:rFonts w:eastAsia="Times New Roman"/>
                <w:color w:val="000000"/>
              </w:rPr>
              <w:t>9.5%</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EC58236" w14:textId="77777777" w:rsidR="00FF2DFD" w:rsidRPr="005321B8" w:rsidRDefault="00FF2DFD" w:rsidP="00FF2DFD">
            <w:pPr>
              <w:jc w:val="right"/>
              <w:rPr>
                <w:rFonts w:eastAsia="Times New Roman"/>
                <w:color w:val="000000"/>
              </w:rPr>
            </w:pPr>
            <w:r w:rsidRPr="005321B8">
              <w:rPr>
                <w:rFonts w:eastAsia="Times New Roman"/>
                <w:color w:val="000000"/>
              </w:rPr>
              <w:t>4.4%</w:t>
            </w:r>
          </w:p>
        </w:tc>
        <w:tc>
          <w:tcPr>
            <w:tcW w:w="1054" w:type="dxa"/>
            <w:tcBorders>
              <w:top w:val="nil"/>
              <w:left w:val="nil"/>
              <w:bottom w:val="single" w:sz="4" w:space="0" w:color="auto"/>
              <w:right w:val="single" w:sz="4" w:space="0" w:color="auto"/>
            </w:tcBorders>
            <w:shd w:val="clear" w:color="auto" w:fill="auto"/>
            <w:noWrap/>
            <w:vAlign w:val="center"/>
            <w:hideMark/>
          </w:tcPr>
          <w:p w14:paraId="2A213DE4" w14:textId="77777777" w:rsidR="00FF2DFD" w:rsidRPr="005321B8" w:rsidRDefault="00FF2DFD" w:rsidP="00FF2DFD">
            <w:pPr>
              <w:jc w:val="right"/>
              <w:rPr>
                <w:rFonts w:eastAsia="Times New Roman"/>
                <w:color w:val="000000"/>
              </w:rPr>
            </w:pPr>
            <w:r w:rsidRPr="005321B8">
              <w:rPr>
                <w:rFonts w:eastAsia="Times New Roman"/>
                <w:color w:val="000000"/>
              </w:rPr>
              <w:t>9.2%</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5850196F" w14:textId="77777777" w:rsidR="00FF2DFD" w:rsidRPr="005321B8" w:rsidRDefault="00FF2DFD" w:rsidP="00FF2DFD">
            <w:pPr>
              <w:jc w:val="right"/>
              <w:rPr>
                <w:rFonts w:eastAsia="Times New Roman"/>
                <w:color w:val="000000"/>
              </w:rPr>
            </w:pPr>
            <w:r w:rsidRPr="005321B8">
              <w:rPr>
                <w:rFonts w:eastAsia="Times New Roman"/>
                <w:color w:val="000000"/>
              </w:rPr>
              <w:t>4.2%</w:t>
            </w:r>
          </w:p>
        </w:tc>
      </w:tr>
      <w:tr w:rsidR="00FF2DFD" w:rsidRPr="005321B8" w14:paraId="2936EE4B"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9D0F8A7" w14:textId="77777777" w:rsidR="00FF2DFD" w:rsidRPr="005321B8" w:rsidRDefault="00FF2DFD" w:rsidP="00FF2DFD">
            <w:pPr>
              <w:rPr>
                <w:rFonts w:eastAsia="Times New Roman"/>
                <w:color w:val="000000"/>
              </w:rPr>
            </w:pPr>
            <w:r w:rsidRPr="005321B8">
              <w:rPr>
                <w:rFonts w:eastAsia="Times New Roman"/>
                <w:color w:val="000000"/>
              </w:rPr>
              <w:t>Black</w:t>
            </w:r>
          </w:p>
        </w:tc>
        <w:tc>
          <w:tcPr>
            <w:tcW w:w="975" w:type="dxa"/>
            <w:tcBorders>
              <w:top w:val="nil"/>
              <w:left w:val="nil"/>
              <w:bottom w:val="single" w:sz="4" w:space="0" w:color="auto"/>
              <w:right w:val="single" w:sz="4" w:space="0" w:color="auto"/>
            </w:tcBorders>
            <w:shd w:val="clear" w:color="auto" w:fill="auto"/>
            <w:noWrap/>
            <w:vAlign w:val="center"/>
            <w:hideMark/>
          </w:tcPr>
          <w:p w14:paraId="60E02131" w14:textId="77777777" w:rsidR="00FF2DFD" w:rsidRPr="005321B8" w:rsidRDefault="00FF2DFD" w:rsidP="00FF2DFD">
            <w:pPr>
              <w:jc w:val="right"/>
              <w:rPr>
                <w:rFonts w:eastAsia="Times New Roman"/>
                <w:color w:val="000000"/>
              </w:rPr>
            </w:pPr>
            <w:r w:rsidRPr="005321B8">
              <w:rPr>
                <w:rFonts w:eastAsia="Times New Roman"/>
                <w:color w:val="000000"/>
              </w:rPr>
              <w:t>7.5%</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1663ED4" w14:textId="77777777" w:rsidR="00FF2DFD" w:rsidRPr="005321B8" w:rsidRDefault="00FF2DFD" w:rsidP="00FF2DFD">
            <w:pPr>
              <w:jc w:val="right"/>
              <w:rPr>
                <w:rFonts w:eastAsia="Times New Roman"/>
                <w:color w:val="000000"/>
              </w:rPr>
            </w:pPr>
            <w:r w:rsidRPr="005321B8">
              <w:rPr>
                <w:rFonts w:eastAsia="Times New Roman"/>
                <w:color w:val="000000"/>
              </w:rPr>
              <w:t>7.1%</w:t>
            </w:r>
          </w:p>
        </w:tc>
        <w:tc>
          <w:tcPr>
            <w:tcW w:w="987" w:type="dxa"/>
            <w:tcBorders>
              <w:top w:val="nil"/>
              <w:left w:val="nil"/>
              <w:bottom w:val="single" w:sz="4" w:space="0" w:color="auto"/>
              <w:right w:val="single" w:sz="4" w:space="0" w:color="auto"/>
            </w:tcBorders>
            <w:shd w:val="clear" w:color="auto" w:fill="auto"/>
            <w:noWrap/>
            <w:vAlign w:val="center"/>
            <w:hideMark/>
          </w:tcPr>
          <w:p w14:paraId="1A84FF51" w14:textId="77777777" w:rsidR="00FF2DFD" w:rsidRPr="005321B8" w:rsidRDefault="00FF2DFD" w:rsidP="00FF2DFD">
            <w:pPr>
              <w:jc w:val="right"/>
              <w:rPr>
                <w:rFonts w:eastAsia="Times New Roman"/>
                <w:color w:val="000000"/>
              </w:rPr>
            </w:pPr>
            <w:r w:rsidRPr="005321B8">
              <w:rPr>
                <w:rFonts w:eastAsia="Times New Roman"/>
                <w:color w:val="000000"/>
              </w:rPr>
              <w:t>7.6%</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B439805" w14:textId="77777777" w:rsidR="00FF2DFD" w:rsidRPr="005321B8" w:rsidRDefault="00FF2DFD" w:rsidP="00FF2DFD">
            <w:pPr>
              <w:jc w:val="right"/>
              <w:rPr>
                <w:rFonts w:eastAsia="Times New Roman"/>
                <w:color w:val="000000"/>
              </w:rPr>
            </w:pPr>
            <w:r w:rsidRPr="005321B8">
              <w:rPr>
                <w:rFonts w:eastAsia="Times New Roman"/>
                <w:color w:val="000000"/>
              </w:rPr>
              <w:t>8.0%</w:t>
            </w:r>
          </w:p>
        </w:tc>
        <w:tc>
          <w:tcPr>
            <w:tcW w:w="1007" w:type="dxa"/>
            <w:tcBorders>
              <w:top w:val="nil"/>
              <w:left w:val="nil"/>
              <w:bottom w:val="single" w:sz="4" w:space="0" w:color="auto"/>
              <w:right w:val="single" w:sz="4" w:space="0" w:color="auto"/>
            </w:tcBorders>
            <w:shd w:val="clear" w:color="auto" w:fill="auto"/>
            <w:noWrap/>
            <w:vAlign w:val="center"/>
            <w:hideMark/>
          </w:tcPr>
          <w:p w14:paraId="6B2BF099" w14:textId="77777777" w:rsidR="00FF2DFD" w:rsidRPr="005321B8" w:rsidRDefault="00FF2DFD" w:rsidP="00FF2DFD">
            <w:pPr>
              <w:jc w:val="right"/>
              <w:rPr>
                <w:rFonts w:eastAsia="Times New Roman"/>
                <w:color w:val="000000"/>
              </w:rPr>
            </w:pPr>
            <w:r w:rsidRPr="005321B8">
              <w:rPr>
                <w:rFonts w:eastAsia="Times New Roman"/>
                <w:color w:val="000000"/>
              </w:rPr>
              <w:t>7.9%</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FBA164B" w14:textId="77777777" w:rsidR="00FF2DFD" w:rsidRPr="005321B8" w:rsidRDefault="00FF2DFD" w:rsidP="00FF2DFD">
            <w:pPr>
              <w:jc w:val="right"/>
              <w:rPr>
                <w:rFonts w:eastAsia="Times New Roman"/>
                <w:color w:val="000000"/>
              </w:rPr>
            </w:pPr>
            <w:r w:rsidRPr="005321B8">
              <w:rPr>
                <w:rFonts w:eastAsia="Times New Roman"/>
                <w:color w:val="000000"/>
              </w:rPr>
              <w:t>7.5%</w:t>
            </w:r>
          </w:p>
        </w:tc>
        <w:tc>
          <w:tcPr>
            <w:tcW w:w="1054" w:type="dxa"/>
            <w:tcBorders>
              <w:top w:val="nil"/>
              <w:left w:val="nil"/>
              <w:bottom w:val="single" w:sz="4" w:space="0" w:color="auto"/>
              <w:right w:val="single" w:sz="4" w:space="0" w:color="auto"/>
            </w:tcBorders>
            <w:shd w:val="clear" w:color="auto" w:fill="auto"/>
            <w:noWrap/>
            <w:vAlign w:val="center"/>
            <w:hideMark/>
          </w:tcPr>
          <w:p w14:paraId="70F606B2" w14:textId="77777777" w:rsidR="00FF2DFD" w:rsidRPr="005321B8" w:rsidRDefault="00FF2DFD" w:rsidP="00FF2DFD">
            <w:pPr>
              <w:jc w:val="right"/>
              <w:rPr>
                <w:rFonts w:eastAsia="Times New Roman"/>
                <w:color w:val="000000"/>
              </w:rPr>
            </w:pPr>
            <w:r w:rsidRPr="005321B8">
              <w:rPr>
                <w:rFonts w:eastAsia="Times New Roman"/>
                <w:color w:val="000000"/>
              </w:rPr>
              <w:t>7.6%</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296BD77F" w14:textId="77777777" w:rsidR="00FF2DFD" w:rsidRPr="005321B8" w:rsidRDefault="00FF2DFD" w:rsidP="00FF2DFD">
            <w:pPr>
              <w:jc w:val="right"/>
              <w:rPr>
                <w:rFonts w:eastAsia="Times New Roman"/>
                <w:color w:val="000000"/>
              </w:rPr>
            </w:pPr>
            <w:r w:rsidRPr="005321B8">
              <w:rPr>
                <w:rFonts w:eastAsia="Times New Roman"/>
                <w:color w:val="000000"/>
              </w:rPr>
              <w:t>7.6%</w:t>
            </w:r>
          </w:p>
        </w:tc>
      </w:tr>
      <w:tr w:rsidR="00FF2DFD" w:rsidRPr="005321B8" w14:paraId="5D72362C"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B606DD7" w14:textId="77777777" w:rsidR="00FF2DFD" w:rsidRPr="005321B8" w:rsidRDefault="00FF2DFD" w:rsidP="00FF2DFD">
            <w:pPr>
              <w:rPr>
                <w:rFonts w:eastAsia="Times New Roman"/>
                <w:color w:val="000000"/>
              </w:rPr>
            </w:pPr>
            <w:r w:rsidRPr="005321B8">
              <w:rPr>
                <w:rFonts w:eastAsia="Times New Roman"/>
                <w:color w:val="000000"/>
              </w:rPr>
              <w:t>Caucasian</w:t>
            </w:r>
          </w:p>
        </w:tc>
        <w:tc>
          <w:tcPr>
            <w:tcW w:w="975" w:type="dxa"/>
            <w:tcBorders>
              <w:top w:val="nil"/>
              <w:left w:val="nil"/>
              <w:bottom w:val="single" w:sz="4" w:space="0" w:color="auto"/>
              <w:right w:val="single" w:sz="4" w:space="0" w:color="auto"/>
            </w:tcBorders>
            <w:shd w:val="clear" w:color="auto" w:fill="auto"/>
            <w:noWrap/>
            <w:vAlign w:val="center"/>
            <w:hideMark/>
          </w:tcPr>
          <w:p w14:paraId="7D62AC97" w14:textId="77777777" w:rsidR="00FF2DFD" w:rsidRPr="005321B8" w:rsidRDefault="00FF2DFD" w:rsidP="00FF2DFD">
            <w:pPr>
              <w:jc w:val="right"/>
              <w:rPr>
                <w:rFonts w:eastAsia="Times New Roman"/>
                <w:color w:val="000000"/>
              </w:rPr>
            </w:pPr>
            <w:r w:rsidRPr="005321B8">
              <w:rPr>
                <w:rFonts w:eastAsia="Times New Roman"/>
                <w:color w:val="000000"/>
              </w:rPr>
              <w:t>66.2%</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D8414BD" w14:textId="77777777" w:rsidR="00FF2DFD" w:rsidRPr="005321B8" w:rsidRDefault="00FF2DFD" w:rsidP="00FF2DFD">
            <w:pPr>
              <w:jc w:val="right"/>
              <w:rPr>
                <w:rFonts w:eastAsia="Times New Roman"/>
                <w:color w:val="000000"/>
              </w:rPr>
            </w:pPr>
            <w:r w:rsidRPr="005321B8">
              <w:rPr>
                <w:rFonts w:eastAsia="Times New Roman"/>
                <w:color w:val="000000"/>
              </w:rPr>
              <w:t>72.6%</w:t>
            </w:r>
          </w:p>
        </w:tc>
        <w:tc>
          <w:tcPr>
            <w:tcW w:w="987" w:type="dxa"/>
            <w:tcBorders>
              <w:top w:val="nil"/>
              <w:left w:val="nil"/>
              <w:bottom w:val="single" w:sz="4" w:space="0" w:color="auto"/>
              <w:right w:val="single" w:sz="4" w:space="0" w:color="auto"/>
            </w:tcBorders>
            <w:shd w:val="clear" w:color="auto" w:fill="auto"/>
            <w:noWrap/>
            <w:vAlign w:val="center"/>
            <w:hideMark/>
          </w:tcPr>
          <w:p w14:paraId="5F1C887A" w14:textId="77777777" w:rsidR="00FF2DFD" w:rsidRPr="005321B8" w:rsidRDefault="00FF2DFD" w:rsidP="00FF2DFD">
            <w:pPr>
              <w:jc w:val="right"/>
              <w:rPr>
                <w:rFonts w:eastAsia="Times New Roman"/>
                <w:color w:val="000000"/>
              </w:rPr>
            </w:pPr>
            <w:r w:rsidRPr="005321B8">
              <w:rPr>
                <w:rFonts w:eastAsia="Times New Roman"/>
                <w:color w:val="000000"/>
              </w:rPr>
              <w:t>65.1%</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4AC86C9" w14:textId="77777777" w:rsidR="00FF2DFD" w:rsidRPr="005321B8" w:rsidRDefault="00FF2DFD" w:rsidP="00FF2DFD">
            <w:pPr>
              <w:jc w:val="right"/>
              <w:rPr>
                <w:rFonts w:eastAsia="Times New Roman"/>
                <w:color w:val="000000"/>
              </w:rPr>
            </w:pPr>
            <w:r w:rsidRPr="005321B8">
              <w:rPr>
                <w:rFonts w:eastAsia="Times New Roman"/>
                <w:color w:val="000000"/>
              </w:rPr>
              <w:t>71.1%</w:t>
            </w:r>
          </w:p>
        </w:tc>
        <w:tc>
          <w:tcPr>
            <w:tcW w:w="1007" w:type="dxa"/>
            <w:tcBorders>
              <w:top w:val="nil"/>
              <w:left w:val="nil"/>
              <w:bottom w:val="single" w:sz="4" w:space="0" w:color="auto"/>
              <w:right w:val="single" w:sz="4" w:space="0" w:color="auto"/>
            </w:tcBorders>
            <w:shd w:val="clear" w:color="auto" w:fill="auto"/>
            <w:noWrap/>
            <w:vAlign w:val="center"/>
            <w:hideMark/>
          </w:tcPr>
          <w:p w14:paraId="49BBBE63" w14:textId="77777777" w:rsidR="00FF2DFD" w:rsidRPr="005321B8" w:rsidRDefault="00FF2DFD" w:rsidP="00FF2DFD">
            <w:pPr>
              <w:jc w:val="right"/>
              <w:rPr>
                <w:rFonts w:eastAsia="Times New Roman"/>
                <w:color w:val="000000"/>
              </w:rPr>
            </w:pPr>
            <w:r w:rsidRPr="005321B8">
              <w:rPr>
                <w:rFonts w:eastAsia="Times New Roman"/>
                <w:color w:val="000000"/>
              </w:rPr>
              <w:t>65.1%</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4283AEFC" w14:textId="77777777" w:rsidR="00FF2DFD" w:rsidRPr="005321B8" w:rsidRDefault="00FF2DFD" w:rsidP="00FF2DFD">
            <w:pPr>
              <w:jc w:val="right"/>
              <w:rPr>
                <w:rFonts w:eastAsia="Times New Roman"/>
                <w:color w:val="000000"/>
              </w:rPr>
            </w:pPr>
            <w:r w:rsidRPr="005321B8">
              <w:rPr>
                <w:rFonts w:eastAsia="Times New Roman"/>
                <w:color w:val="000000"/>
              </w:rPr>
              <w:t>73.8%</w:t>
            </w:r>
          </w:p>
        </w:tc>
        <w:tc>
          <w:tcPr>
            <w:tcW w:w="1054" w:type="dxa"/>
            <w:tcBorders>
              <w:top w:val="nil"/>
              <w:left w:val="nil"/>
              <w:bottom w:val="single" w:sz="4" w:space="0" w:color="auto"/>
              <w:right w:val="single" w:sz="4" w:space="0" w:color="auto"/>
            </w:tcBorders>
            <w:shd w:val="clear" w:color="auto" w:fill="auto"/>
            <w:noWrap/>
            <w:vAlign w:val="center"/>
            <w:hideMark/>
          </w:tcPr>
          <w:p w14:paraId="50DCDD47" w14:textId="77777777" w:rsidR="00FF2DFD" w:rsidRPr="005321B8" w:rsidRDefault="00FF2DFD" w:rsidP="00FF2DFD">
            <w:pPr>
              <w:jc w:val="right"/>
              <w:rPr>
                <w:rFonts w:eastAsia="Times New Roman"/>
                <w:color w:val="000000"/>
              </w:rPr>
            </w:pPr>
            <w:r w:rsidRPr="005321B8">
              <w:rPr>
                <w:rFonts w:eastAsia="Times New Roman"/>
                <w:color w:val="000000"/>
              </w:rPr>
              <w:t>65.4%</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4421BD91" w14:textId="77777777" w:rsidR="00FF2DFD" w:rsidRPr="005321B8" w:rsidRDefault="00FF2DFD" w:rsidP="00FF2DFD">
            <w:pPr>
              <w:jc w:val="right"/>
              <w:rPr>
                <w:rFonts w:eastAsia="Times New Roman"/>
                <w:color w:val="000000"/>
              </w:rPr>
            </w:pPr>
            <w:r w:rsidRPr="005321B8">
              <w:rPr>
                <w:rFonts w:eastAsia="Times New Roman"/>
                <w:color w:val="000000"/>
              </w:rPr>
              <w:t>73.6%</w:t>
            </w:r>
          </w:p>
        </w:tc>
      </w:tr>
      <w:tr w:rsidR="00FF2DFD" w:rsidRPr="005321B8" w14:paraId="11019703"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1950F4E" w14:textId="77777777" w:rsidR="00FF2DFD" w:rsidRPr="005321B8" w:rsidRDefault="00FF2DFD" w:rsidP="00FF2DFD">
            <w:pPr>
              <w:rPr>
                <w:rFonts w:eastAsia="Times New Roman"/>
                <w:color w:val="000000"/>
              </w:rPr>
            </w:pPr>
            <w:r w:rsidRPr="005321B8">
              <w:rPr>
                <w:rFonts w:eastAsia="Times New Roman"/>
                <w:color w:val="000000"/>
              </w:rPr>
              <w:t>Hispanic</w:t>
            </w:r>
          </w:p>
        </w:tc>
        <w:tc>
          <w:tcPr>
            <w:tcW w:w="975" w:type="dxa"/>
            <w:tcBorders>
              <w:top w:val="nil"/>
              <w:left w:val="nil"/>
              <w:bottom w:val="single" w:sz="4" w:space="0" w:color="auto"/>
              <w:right w:val="single" w:sz="4" w:space="0" w:color="auto"/>
            </w:tcBorders>
            <w:shd w:val="clear" w:color="auto" w:fill="auto"/>
            <w:noWrap/>
            <w:vAlign w:val="center"/>
            <w:hideMark/>
          </w:tcPr>
          <w:p w14:paraId="4E78C43B" w14:textId="77777777" w:rsidR="00FF2DFD" w:rsidRPr="005321B8" w:rsidRDefault="00FF2DFD" w:rsidP="00FF2DFD">
            <w:pPr>
              <w:jc w:val="right"/>
              <w:rPr>
                <w:rFonts w:eastAsia="Times New Roman"/>
                <w:color w:val="000000"/>
              </w:rPr>
            </w:pPr>
            <w:r w:rsidRPr="005321B8">
              <w:rPr>
                <w:rFonts w:eastAsia="Times New Roman"/>
                <w:color w:val="000000"/>
              </w:rPr>
              <w:t>5.1%</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A0CDB50" w14:textId="77777777" w:rsidR="00FF2DFD" w:rsidRPr="005321B8" w:rsidRDefault="00FF2DFD" w:rsidP="00FF2DFD">
            <w:pPr>
              <w:jc w:val="right"/>
              <w:rPr>
                <w:rFonts w:eastAsia="Times New Roman"/>
                <w:color w:val="000000"/>
              </w:rPr>
            </w:pPr>
            <w:r w:rsidRPr="005321B8">
              <w:rPr>
                <w:rFonts w:eastAsia="Times New Roman"/>
                <w:color w:val="000000"/>
              </w:rPr>
              <w:t>3.0%</w:t>
            </w:r>
          </w:p>
        </w:tc>
        <w:tc>
          <w:tcPr>
            <w:tcW w:w="987" w:type="dxa"/>
            <w:tcBorders>
              <w:top w:val="nil"/>
              <w:left w:val="nil"/>
              <w:bottom w:val="single" w:sz="4" w:space="0" w:color="auto"/>
              <w:right w:val="single" w:sz="4" w:space="0" w:color="auto"/>
            </w:tcBorders>
            <w:shd w:val="clear" w:color="auto" w:fill="auto"/>
            <w:noWrap/>
            <w:vAlign w:val="center"/>
            <w:hideMark/>
          </w:tcPr>
          <w:p w14:paraId="2A463CC4" w14:textId="77777777" w:rsidR="00FF2DFD" w:rsidRPr="005321B8" w:rsidRDefault="00FF2DFD" w:rsidP="00FF2DFD">
            <w:pPr>
              <w:jc w:val="right"/>
              <w:rPr>
                <w:rFonts w:eastAsia="Times New Roman"/>
                <w:color w:val="000000"/>
              </w:rPr>
            </w:pPr>
            <w:r w:rsidRPr="005321B8">
              <w:rPr>
                <w:rFonts w:eastAsia="Times New Roman"/>
                <w:color w:val="000000"/>
              </w:rPr>
              <w:t>5.3%</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3960796" w14:textId="77777777" w:rsidR="00FF2DFD" w:rsidRPr="005321B8" w:rsidRDefault="00FF2DFD" w:rsidP="00FF2DFD">
            <w:pPr>
              <w:jc w:val="right"/>
              <w:rPr>
                <w:rFonts w:eastAsia="Times New Roman"/>
                <w:color w:val="000000"/>
              </w:rPr>
            </w:pPr>
            <w:r w:rsidRPr="005321B8">
              <w:rPr>
                <w:rFonts w:eastAsia="Times New Roman"/>
                <w:color w:val="000000"/>
              </w:rPr>
              <w:t>3.8%</w:t>
            </w:r>
          </w:p>
        </w:tc>
        <w:tc>
          <w:tcPr>
            <w:tcW w:w="1007" w:type="dxa"/>
            <w:tcBorders>
              <w:top w:val="nil"/>
              <w:left w:val="nil"/>
              <w:bottom w:val="single" w:sz="4" w:space="0" w:color="auto"/>
              <w:right w:val="single" w:sz="4" w:space="0" w:color="auto"/>
            </w:tcBorders>
            <w:shd w:val="clear" w:color="auto" w:fill="auto"/>
            <w:noWrap/>
            <w:vAlign w:val="center"/>
            <w:hideMark/>
          </w:tcPr>
          <w:p w14:paraId="0DAE0446" w14:textId="77777777" w:rsidR="00FF2DFD" w:rsidRPr="005321B8" w:rsidRDefault="00FF2DFD" w:rsidP="00FF2DFD">
            <w:pPr>
              <w:jc w:val="right"/>
              <w:rPr>
                <w:rFonts w:eastAsia="Times New Roman"/>
                <w:color w:val="000000"/>
              </w:rPr>
            </w:pPr>
            <w:r w:rsidRPr="005321B8">
              <w:rPr>
                <w:rFonts w:eastAsia="Times New Roman"/>
                <w:color w:val="000000"/>
              </w:rPr>
              <w:t>5.7%</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7E6B1CA" w14:textId="77777777" w:rsidR="00FF2DFD" w:rsidRPr="005321B8" w:rsidRDefault="00FF2DFD" w:rsidP="00FF2DFD">
            <w:pPr>
              <w:jc w:val="right"/>
              <w:rPr>
                <w:rFonts w:eastAsia="Times New Roman"/>
                <w:color w:val="000000"/>
              </w:rPr>
            </w:pPr>
            <w:r w:rsidRPr="005321B8">
              <w:rPr>
                <w:rFonts w:eastAsia="Times New Roman"/>
                <w:color w:val="000000"/>
              </w:rPr>
              <w:t>4.3%</w:t>
            </w:r>
          </w:p>
        </w:tc>
        <w:tc>
          <w:tcPr>
            <w:tcW w:w="1054" w:type="dxa"/>
            <w:tcBorders>
              <w:top w:val="nil"/>
              <w:left w:val="nil"/>
              <w:bottom w:val="single" w:sz="4" w:space="0" w:color="auto"/>
              <w:right w:val="single" w:sz="4" w:space="0" w:color="auto"/>
            </w:tcBorders>
            <w:shd w:val="clear" w:color="auto" w:fill="auto"/>
            <w:noWrap/>
            <w:vAlign w:val="center"/>
            <w:hideMark/>
          </w:tcPr>
          <w:p w14:paraId="183F93B6" w14:textId="77777777" w:rsidR="00FF2DFD" w:rsidRPr="005321B8" w:rsidRDefault="00FF2DFD" w:rsidP="00FF2DFD">
            <w:pPr>
              <w:jc w:val="right"/>
              <w:rPr>
                <w:rFonts w:eastAsia="Times New Roman"/>
                <w:color w:val="000000"/>
              </w:rPr>
            </w:pPr>
            <w:r w:rsidRPr="005321B8">
              <w:rPr>
                <w:rFonts w:eastAsia="Times New Roman"/>
                <w:color w:val="000000"/>
              </w:rPr>
              <w:t>5.9%</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5A127439" w14:textId="77777777" w:rsidR="00FF2DFD" w:rsidRPr="005321B8" w:rsidRDefault="00FF2DFD" w:rsidP="00FF2DFD">
            <w:pPr>
              <w:jc w:val="right"/>
              <w:rPr>
                <w:rFonts w:eastAsia="Times New Roman"/>
                <w:color w:val="000000"/>
              </w:rPr>
            </w:pPr>
            <w:r w:rsidRPr="005321B8">
              <w:rPr>
                <w:rFonts w:eastAsia="Times New Roman"/>
                <w:color w:val="000000"/>
              </w:rPr>
              <w:t>4.6%</w:t>
            </w:r>
          </w:p>
        </w:tc>
      </w:tr>
      <w:tr w:rsidR="00FF2DFD" w:rsidRPr="005321B8" w14:paraId="7FB755E7"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50AFB93" w14:textId="77777777" w:rsidR="00FF2DFD" w:rsidRPr="005321B8" w:rsidRDefault="00FF2DFD" w:rsidP="00FF2DFD">
            <w:pPr>
              <w:rPr>
                <w:rFonts w:eastAsia="Times New Roman"/>
                <w:color w:val="000000"/>
              </w:rPr>
            </w:pPr>
            <w:r w:rsidRPr="005321B8">
              <w:rPr>
                <w:rFonts w:eastAsia="Times New Roman"/>
                <w:color w:val="000000"/>
              </w:rPr>
              <w:t>Native American</w:t>
            </w:r>
          </w:p>
        </w:tc>
        <w:tc>
          <w:tcPr>
            <w:tcW w:w="975" w:type="dxa"/>
            <w:tcBorders>
              <w:top w:val="nil"/>
              <w:left w:val="nil"/>
              <w:bottom w:val="single" w:sz="4" w:space="0" w:color="auto"/>
              <w:right w:val="single" w:sz="4" w:space="0" w:color="auto"/>
            </w:tcBorders>
            <w:shd w:val="clear" w:color="auto" w:fill="auto"/>
            <w:noWrap/>
            <w:vAlign w:val="center"/>
            <w:hideMark/>
          </w:tcPr>
          <w:p w14:paraId="1161F3B2" w14:textId="77777777" w:rsidR="00FF2DFD" w:rsidRPr="005321B8" w:rsidRDefault="00FF2DFD" w:rsidP="00FF2DFD">
            <w:pPr>
              <w:jc w:val="right"/>
              <w:rPr>
                <w:rFonts w:eastAsia="Times New Roman"/>
                <w:color w:val="000000"/>
              </w:rPr>
            </w:pPr>
            <w:r w:rsidRPr="005321B8">
              <w:rPr>
                <w:rFonts w:eastAsia="Times New Roman"/>
                <w:color w:val="000000"/>
              </w:rPr>
              <w:t>0.2%</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75CEBD77" w14:textId="77777777" w:rsidR="00FF2DFD" w:rsidRPr="005321B8" w:rsidRDefault="00FF2DFD" w:rsidP="00FF2DFD">
            <w:pPr>
              <w:jc w:val="right"/>
              <w:rPr>
                <w:rFonts w:eastAsia="Times New Roman"/>
                <w:color w:val="000000"/>
              </w:rPr>
            </w:pPr>
            <w:r w:rsidRPr="005321B8">
              <w:rPr>
                <w:rFonts w:eastAsia="Times New Roman"/>
                <w:color w:val="000000"/>
              </w:rPr>
              <w:t>0.2%</w:t>
            </w:r>
          </w:p>
        </w:tc>
        <w:tc>
          <w:tcPr>
            <w:tcW w:w="987" w:type="dxa"/>
            <w:tcBorders>
              <w:top w:val="nil"/>
              <w:left w:val="nil"/>
              <w:bottom w:val="single" w:sz="4" w:space="0" w:color="auto"/>
              <w:right w:val="single" w:sz="4" w:space="0" w:color="auto"/>
            </w:tcBorders>
            <w:shd w:val="clear" w:color="auto" w:fill="auto"/>
            <w:noWrap/>
            <w:vAlign w:val="center"/>
            <w:hideMark/>
          </w:tcPr>
          <w:p w14:paraId="17477B37" w14:textId="77777777" w:rsidR="00FF2DFD" w:rsidRPr="005321B8" w:rsidRDefault="00FF2DFD" w:rsidP="00FF2DFD">
            <w:pPr>
              <w:jc w:val="right"/>
              <w:rPr>
                <w:rFonts w:eastAsia="Times New Roman"/>
                <w:color w:val="000000"/>
              </w:rPr>
            </w:pPr>
            <w:r w:rsidRPr="005321B8">
              <w:rPr>
                <w:rFonts w:eastAsia="Times New Roman"/>
                <w:color w:val="000000"/>
              </w:rPr>
              <w:t>0.2%</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C4E9F8F" w14:textId="77777777" w:rsidR="00FF2DFD" w:rsidRPr="005321B8" w:rsidRDefault="00FF2DFD" w:rsidP="00FF2DFD">
            <w:pPr>
              <w:jc w:val="right"/>
              <w:rPr>
                <w:rFonts w:eastAsia="Times New Roman"/>
                <w:color w:val="000000"/>
              </w:rPr>
            </w:pPr>
            <w:r w:rsidRPr="005321B8">
              <w:rPr>
                <w:rFonts w:eastAsia="Times New Roman"/>
                <w:color w:val="000000"/>
              </w:rPr>
              <w:t>0.3%</w:t>
            </w:r>
          </w:p>
        </w:tc>
        <w:tc>
          <w:tcPr>
            <w:tcW w:w="1007" w:type="dxa"/>
            <w:tcBorders>
              <w:top w:val="nil"/>
              <w:left w:val="nil"/>
              <w:bottom w:val="single" w:sz="4" w:space="0" w:color="auto"/>
              <w:right w:val="single" w:sz="4" w:space="0" w:color="auto"/>
            </w:tcBorders>
            <w:shd w:val="clear" w:color="auto" w:fill="auto"/>
            <w:noWrap/>
            <w:vAlign w:val="center"/>
            <w:hideMark/>
          </w:tcPr>
          <w:p w14:paraId="5F4BFBBA" w14:textId="77777777" w:rsidR="00FF2DFD" w:rsidRPr="005321B8" w:rsidRDefault="00FF2DFD" w:rsidP="00FF2DFD">
            <w:pPr>
              <w:jc w:val="right"/>
              <w:rPr>
                <w:rFonts w:eastAsia="Times New Roman"/>
                <w:color w:val="000000"/>
              </w:rPr>
            </w:pPr>
            <w:r w:rsidRPr="005321B8">
              <w:rPr>
                <w:rFonts w:eastAsia="Times New Roman"/>
                <w:color w:val="000000"/>
              </w:rPr>
              <w:t>0.2%</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104F30E" w14:textId="77777777" w:rsidR="00FF2DFD" w:rsidRPr="005321B8" w:rsidRDefault="00FF2DFD" w:rsidP="00FF2DFD">
            <w:pPr>
              <w:jc w:val="right"/>
              <w:rPr>
                <w:rFonts w:eastAsia="Times New Roman"/>
                <w:color w:val="000000"/>
              </w:rPr>
            </w:pPr>
            <w:r w:rsidRPr="005321B8">
              <w:rPr>
                <w:rFonts w:eastAsia="Times New Roman"/>
                <w:color w:val="000000"/>
              </w:rPr>
              <w:t>0.3%</w:t>
            </w:r>
          </w:p>
        </w:tc>
        <w:tc>
          <w:tcPr>
            <w:tcW w:w="1054" w:type="dxa"/>
            <w:tcBorders>
              <w:top w:val="nil"/>
              <w:left w:val="nil"/>
              <w:bottom w:val="single" w:sz="4" w:space="0" w:color="auto"/>
              <w:right w:val="single" w:sz="4" w:space="0" w:color="auto"/>
            </w:tcBorders>
            <w:shd w:val="clear" w:color="auto" w:fill="auto"/>
            <w:noWrap/>
            <w:vAlign w:val="center"/>
            <w:hideMark/>
          </w:tcPr>
          <w:p w14:paraId="35ED0374" w14:textId="77777777" w:rsidR="00FF2DFD" w:rsidRPr="005321B8" w:rsidRDefault="00FF2DFD" w:rsidP="00FF2DFD">
            <w:pPr>
              <w:jc w:val="right"/>
              <w:rPr>
                <w:rFonts w:eastAsia="Times New Roman"/>
                <w:color w:val="000000"/>
              </w:rPr>
            </w:pPr>
            <w:r w:rsidRPr="005321B8">
              <w:rPr>
                <w:rFonts w:eastAsia="Times New Roman"/>
                <w:color w:val="000000"/>
              </w:rPr>
              <w:t>0.2%</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60AA48CA" w14:textId="77777777" w:rsidR="00FF2DFD" w:rsidRPr="005321B8" w:rsidRDefault="00FF2DFD" w:rsidP="00FF2DFD">
            <w:pPr>
              <w:jc w:val="right"/>
              <w:rPr>
                <w:rFonts w:eastAsia="Times New Roman"/>
                <w:color w:val="000000"/>
              </w:rPr>
            </w:pPr>
            <w:r w:rsidRPr="005321B8">
              <w:rPr>
                <w:rFonts w:eastAsia="Times New Roman"/>
                <w:color w:val="000000"/>
              </w:rPr>
              <w:t>0.3%</w:t>
            </w:r>
          </w:p>
        </w:tc>
      </w:tr>
      <w:tr w:rsidR="00FF2DFD" w:rsidRPr="005321B8" w14:paraId="4353A74A"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7678E08" w14:textId="77777777" w:rsidR="00FF2DFD" w:rsidRPr="005321B8" w:rsidRDefault="00FF2DFD" w:rsidP="00FF2DFD">
            <w:pPr>
              <w:rPr>
                <w:rFonts w:eastAsia="Times New Roman"/>
                <w:color w:val="000000"/>
              </w:rPr>
            </w:pPr>
            <w:r w:rsidRPr="005321B8">
              <w:rPr>
                <w:rFonts w:eastAsia="Times New Roman"/>
                <w:color w:val="000000"/>
              </w:rPr>
              <w:t>Other</w:t>
            </w:r>
          </w:p>
        </w:tc>
        <w:tc>
          <w:tcPr>
            <w:tcW w:w="975" w:type="dxa"/>
            <w:tcBorders>
              <w:top w:val="nil"/>
              <w:left w:val="nil"/>
              <w:bottom w:val="single" w:sz="4" w:space="0" w:color="auto"/>
              <w:right w:val="single" w:sz="4" w:space="0" w:color="auto"/>
            </w:tcBorders>
            <w:shd w:val="clear" w:color="auto" w:fill="auto"/>
            <w:noWrap/>
            <w:vAlign w:val="center"/>
            <w:hideMark/>
          </w:tcPr>
          <w:p w14:paraId="1AC0A05A" w14:textId="77777777" w:rsidR="00FF2DFD" w:rsidRPr="005321B8" w:rsidRDefault="00FF2DFD" w:rsidP="00FF2DFD">
            <w:pPr>
              <w:jc w:val="right"/>
              <w:rPr>
                <w:rFonts w:eastAsia="Times New Roman"/>
                <w:color w:val="000000"/>
              </w:rPr>
            </w:pPr>
            <w:r w:rsidRPr="005321B8">
              <w:rPr>
                <w:rFonts w:eastAsia="Times New Roman"/>
                <w:color w:val="000000"/>
              </w:rPr>
              <w:t>4.0%</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6AD44F32" w14:textId="77777777" w:rsidR="00FF2DFD" w:rsidRPr="005321B8" w:rsidRDefault="00FF2DFD" w:rsidP="00FF2DFD">
            <w:pPr>
              <w:jc w:val="right"/>
              <w:rPr>
                <w:rFonts w:eastAsia="Times New Roman"/>
                <w:color w:val="000000"/>
              </w:rPr>
            </w:pPr>
            <w:r w:rsidRPr="005321B8">
              <w:rPr>
                <w:rFonts w:eastAsia="Times New Roman"/>
                <w:color w:val="000000"/>
              </w:rPr>
              <w:t>10.8%</w:t>
            </w:r>
          </w:p>
        </w:tc>
        <w:tc>
          <w:tcPr>
            <w:tcW w:w="987" w:type="dxa"/>
            <w:tcBorders>
              <w:top w:val="nil"/>
              <w:left w:val="nil"/>
              <w:bottom w:val="single" w:sz="4" w:space="0" w:color="auto"/>
              <w:right w:val="single" w:sz="4" w:space="0" w:color="auto"/>
            </w:tcBorders>
            <w:shd w:val="clear" w:color="auto" w:fill="auto"/>
            <w:noWrap/>
            <w:vAlign w:val="center"/>
            <w:hideMark/>
          </w:tcPr>
          <w:p w14:paraId="6DEF1B56" w14:textId="77777777" w:rsidR="00FF2DFD" w:rsidRPr="005321B8" w:rsidRDefault="00FF2DFD" w:rsidP="00FF2DFD">
            <w:pPr>
              <w:jc w:val="right"/>
              <w:rPr>
                <w:rFonts w:eastAsia="Times New Roman"/>
                <w:color w:val="000000"/>
              </w:rPr>
            </w:pPr>
            <w:r w:rsidRPr="005321B8">
              <w:rPr>
                <w:rFonts w:eastAsia="Times New Roman"/>
                <w:color w:val="000000"/>
              </w:rPr>
              <w:t>5.3%</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8F89AEC" w14:textId="77777777" w:rsidR="00FF2DFD" w:rsidRPr="005321B8" w:rsidRDefault="00FF2DFD" w:rsidP="00FF2DFD">
            <w:pPr>
              <w:jc w:val="right"/>
              <w:rPr>
                <w:rFonts w:eastAsia="Times New Roman"/>
                <w:color w:val="000000"/>
              </w:rPr>
            </w:pPr>
            <w:r w:rsidRPr="005321B8">
              <w:rPr>
                <w:rFonts w:eastAsia="Times New Roman"/>
                <w:color w:val="000000"/>
              </w:rPr>
              <w:t>10.1%</w:t>
            </w:r>
          </w:p>
        </w:tc>
        <w:tc>
          <w:tcPr>
            <w:tcW w:w="1007" w:type="dxa"/>
            <w:tcBorders>
              <w:top w:val="nil"/>
              <w:left w:val="nil"/>
              <w:bottom w:val="single" w:sz="4" w:space="0" w:color="auto"/>
              <w:right w:val="single" w:sz="4" w:space="0" w:color="auto"/>
            </w:tcBorders>
            <w:shd w:val="clear" w:color="auto" w:fill="auto"/>
            <w:noWrap/>
            <w:vAlign w:val="center"/>
            <w:hideMark/>
          </w:tcPr>
          <w:p w14:paraId="445BF9C5" w14:textId="77777777" w:rsidR="00FF2DFD" w:rsidRPr="005321B8" w:rsidRDefault="00FF2DFD" w:rsidP="00FF2DFD">
            <w:pPr>
              <w:jc w:val="right"/>
              <w:rPr>
                <w:rFonts w:eastAsia="Times New Roman"/>
                <w:color w:val="000000"/>
              </w:rPr>
            </w:pPr>
            <w:r w:rsidRPr="005321B8">
              <w:rPr>
                <w:rFonts w:eastAsia="Times New Roman"/>
                <w:color w:val="000000"/>
              </w:rPr>
              <w:t>3.9%</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1789D096" w14:textId="77777777" w:rsidR="00FF2DFD" w:rsidRPr="005321B8" w:rsidRDefault="00FF2DFD" w:rsidP="00FF2DFD">
            <w:pPr>
              <w:jc w:val="right"/>
              <w:rPr>
                <w:rFonts w:eastAsia="Times New Roman"/>
                <w:color w:val="000000"/>
              </w:rPr>
            </w:pPr>
            <w:r w:rsidRPr="005321B8">
              <w:rPr>
                <w:rFonts w:eastAsia="Times New Roman"/>
                <w:color w:val="000000"/>
              </w:rPr>
              <w:t>6.5%</w:t>
            </w:r>
          </w:p>
        </w:tc>
        <w:tc>
          <w:tcPr>
            <w:tcW w:w="1054" w:type="dxa"/>
            <w:tcBorders>
              <w:top w:val="nil"/>
              <w:left w:val="nil"/>
              <w:bottom w:val="single" w:sz="4" w:space="0" w:color="auto"/>
              <w:right w:val="single" w:sz="4" w:space="0" w:color="auto"/>
            </w:tcBorders>
            <w:shd w:val="clear" w:color="auto" w:fill="auto"/>
            <w:noWrap/>
            <w:vAlign w:val="center"/>
            <w:hideMark/>
          </w:tcPr>
          <w:p w14:paraId="1D13D20D" w14:textId="77777777" w:rsidR="00FF2DFD" w:rsidRPr="005321B8" w:rsidRDefault="00FF2DFD" w:rsidP="00FF2DFD">
            <w:pPr>
              <w:jc w:val="right"/>
              <w:rPr>
                <w:rFonts w:eastAsia="Times New Roman"/>
                <w:color w:val="000000"/>
              </w:rPr>
            </w:pPr>
            <w:r w:rsidRPr="005321B8">
              <w:rPr>
                <w:rFonts w:eastAsia="Times New Roman"/>
                <w:color w:val="000000"/>
              </w:rPr>
              <w:t>4.7%</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C6E021C" w14:textId="77777777" w:rsidR="00FF2DFD" w:rsidRPr="005321B8" w:rsidRDefault="00FF2DFD" w:rsidP="00FF2DFD">
            <w:pPr>
              <w:jc w:val="right"/>
              <w:rPr>
                <w:rFonts w:eastAsia="Times New Roman"/>
                <w:color w:val="000000"/>
              </w:rPr>
            </w:pPr>
            <w:r w:rsidRPr="005321B8">
              <w:rPr>
                <w:rFonts w:eastAsia="Times New Roman"/>
                <w:color w:val="000000"/>
              </w:rPr>
              <w:t>4.8%</w:t>
            </w:r>
          </w:p>
        </w:tc>
      </w:tr>
      <w:tr w:rsidR="00FF2DFD" w:rsidRPr="005321B8" w14:paraId="26D5E584" w14:textId="77777777" w:rsidTr="00AE6C2A">
        <w:trPr>
          <w:cantSplit/>
          <w:trHeight w:val="29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B45A7C8" w14:textId="77777777" w:rsidR="00FF2DFD" w:rsidRPr="005321B8" w:rsidRDefault="00FF2DFD" w:rsidP="00FF2DFD">
            <w:pPr>
              <w:rPr>
                <w:rFonts w:eastAsia="Times New Roman"/>
                <w:color w:val="000000"/>
              </w:rPr>
            </w:pPr>
            <w:r w:rsidRPr="005321B8">
              <w:rPr>
                <w:rFonts w:eastAsia="Times New Roman"/>
                <w:color w:val="000000"/>
              </w:rPr>
              <w:t>Declined</w:t>
            </w:r>
          </w:p>
        </w:tc>
        <w:tc>
          <w:tcPr>
            <w:tcW w:w="975" w:type="dxa"/>
            <w:tcBorders>
              <w:top w:val="nil"/>
              <w:left w:val="nil"/>
              <w:bottom w:val="single" w:sz="4" w:space="0" w:color="auto"/>
              <w:right w:val="single" w:sz="4" w:space="0" w:color="auto"/>
            </w:tcBorders>
            <w:shd w:val="clear" w:color="auto" w:fill="auto"/>
            <w:noWrap/>
            <w:vAlign w:val="center"/>
            <w:hideMark/>
          </w:tcPr>
          <w:p w14:paraId="3A42A50F" w14:textId="77777777" w:rsidR="00FF2DFD" w:rsidRPr="005321B8" w:rsidRDefault="00FF2DFD" w:rsidP="00FF2DFD">
            <w:pPr>
              <w:jc w:val="right"/>
              <w:rPr>
                <w:rFonts w:eastAsia="Times New Roman"/>
                <w:color w:val="000000"/>
              </w:rPr>
            </w:pPr>
            <w:r w:rsidRPr="005321B8">
              <w:rPr>
                <w:rFonts w:eastAsia="Times New Roman"/>
                <w:color w:val="000000"/>
              </w:rPr>
              <w:t>8.5%</w:t>
            </w:r>
          </w:p>
        </w:tc>
        <w:tc>
          <w:tcPr>
            <w:tcW w:w="1031"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9C2FE9A" w14:textId="77777777" w:rsidR="00FF2DFD" w:rsidRPr="005321B8" w:rsidRDefault="00FF2DFD" w:rsidP="00FF2DFD">
            <w:pPr>
              <w:jc w:val="right"/>
              <w:rPr>
                <w:rFonts w:eastAsia="Times New Roman"/>
                <w:color w:val="000000"/>
              </w:rPr>
            </w:pPr>
            <w:r w:rsidRPr="005321B8">
              <w:rPr>
                <w:rFonts w:eastAsia="Times New Roman"/>
                <w:color w:val="000000"/>
              </w:rPr>
              <w:t>3.0%</w:t>
            </w:r>
          </w:p>
        </w:tc>
        <w:tc>
          <w:tcPr>
            <w:tcW w:w="987" w:type="dxa"/>
            <w:tcBorders>
              <w:top w:val="nil"/>
              <w:left w:val="nil"/>
              <w:bottom w:val="single" w:sz="4" w:space="0" w:color="auto"/>
              <w:right w:val="single" w:sz="4" w:space="0" w:color="auto"/>
            </w:tcBorders>
            <w:shd w:val="clear" w:color="auto" w:fill="auto"/>
            <w:noWrap/>
            <w:vAlign w:val="center"/>
            <w:hideMark/>
          </w:tcPr>
          <w:p w14:paraId="38AE1EBB" w14:textId="77777777" w:rsidR="00FF2DFD" w:rsidRPr="005321B8" w:rsidRDefault="00FF2DFD" w:rsidP="00FF2DFD">
            <w:pPr>
              <w:jc w:val="right"/>
              <w:rPr>
                <w:rFonts w:eastAsia="Times New Roman"/>
                <w:color w:val="000000"/>
              </w:rPr>
            </w:pPr>
            <w:r w:rsidRPr="005321B8">
              <w:rPr>
                <w:rFonts w:eastAsia="Times New Roman"/>
                <w:color w:val="000000"/>
              </w:rPr>
              <w:t>7.8%</w:t>
            </w:r>
          </w:p>
        </w:tc>
        <w:tc>
          <w:tcPr>
            <w:tcW w:w="100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ADDBC09" w14:textId="77777777" w:rsidR="00FF2DFD" w:rsidRPr="005321B8" w:rsidRDefault="00FF2DFD" w:rsidP="00FF2DFD">
            <w:pPr>
              <w:jc w:val="right"/>
              <w:rPr>
                <w:rFonts w:eastAsia="Times New Roman"/>
                <w:color w:val="000000"/>
              </w:rPr>
            </w:pPr>
            <w:r w:rsidRPr="005321B8">
              <w:rPr>
                <w:rFonts w:eastAsia="Times New Roman"/>
                <w:color w:val="000000"/>
              </w:rPr>
              <w:t>3.0%</w:t>
            </w:r>
          </w:p>
        </w:tc>
        <w:tc>
          <w:tcPr>
            <w:tcW w:w="1007" w:type="dxa"/>
            <w:tcBorders>
              <w:top w:val="nil"/>
              <w:left w:val="nil"/>
              <w:bottom w:val="single" w:sz="4" w:space="0" w:color="auto"/>
              <w:right w:val="single" w:sz="4" w:space="0" w:color="auto"/>
            </w:tcBorders>
            <w:shd w:val="clear" w:color="auto" w:fill="auto"/>
            <w:noWrap/>
            <w:vAlign w:val="center"/>
            <w:hideMark/>
          </w:tcPr>
          <w:p w14:paraId="77835F69" w14:textId="77777777" w:rsidR="00FF2DFD" w:rsidRPr="005321B8" w:rsidRDefault="00FF2DFD" w:rsidP="00FF2DFD">
            <w:pPr>
              <w:jc w:val="right"/>
              <w:rPr>
                <w:rFonts w:eastAsia="Times New Roman"/>
                <w:color w:val="000000"/>
              </w:rPr>
            </w:pPr>
            <w:r w:rsidRPr="005321B8">
              <w:rPr>
                <w:rFonts w:eastAsia="Times New Roman"/>
                <w:color w:val="000000"/>
              </w:rPr>
              <w:t>7.8%</w:t>
            </w:r>
          </w:p>
        </w:tc>
        <w:tc>
          <w:tcPr>
            <w:tcW w:w="1044" w:type="dxa"/>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05F03D8D" w14:textId="77777777" w:rsidR="00FF2DFD" w:rsidRPr="005321B8" w:rsidRDefault="00FF2DFD" w:rsidP="00FF2DFD">
            <w:pPr>
              <w:jc w:val="right"/>
              <w:rPr>
                <w:rFonts w:eastAsia="Times New Roman"/>
                <w:color w:val="000000"/>
              </w:rPr>
            </w:pPr>
            <w:r w:rsidRPr="005321B8">
              <w:rPr>
                <w:rFonts w:eastAsia="Times New Roman"/>
                <w:color w:val="000000"/>
              </w:rPr>
              <w:t>3.3%</w:t>
            </w:r>
          </w:p>
        </w:tc>
        <w:tc>
          <w:tcPr>
            <w:tcW w:w="1054" w:type="dxa"/>
            <w:tcBorders>
              <w:top w:val="nil"/>
              <w:left w:val="nil"/>
              <w:bottom w:val="single" w:sz="4" w:space="0" w:color="auto"/>
              <w:right w:val="single" w:sz="4" w:space="0" w:color="auto"/>
            </w:tcBorders>
            <w:shd w:val="clear" w:color="auto" w:fill="auto"/>
            <w:noWrap/>
            <w:vAlign w:val="center"/>
            <w:hideMark/>
          </w:tcPr>
          <w:p w14:paraId="6C760E2E" w14:textId="77777777" w:rsidR="00FF2DFD" w:rsidRPr="005321B8" w:rsidRDefault="00FF2DFD" w:rsidP="00FF2DFD">
            <w:pPr>
              <w:jc w:val="right"/>
              <w:rPr>
                <w:rFonts w:eastAsia="Times New Roman"/>
                <w:color w:val="000000"/>
              </w:rPr>
            </w:pPr>
            <w:r w:rsidRPr="005321B8">
              <w:rPr>
                <w:rFonts w:eastAsia="Times New Roman"/>
                <w:color w:val="000000"/>
              </w:rPr>
              <w:t>7.1%</w:t>
            </w:r>
          </w:p>
        </w:tc>
        <w:tc>
          <w:tcPr>
            <w:tcW w:w="1080"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80AF140" w14:textId="77777777" w:rsidR="00FF2DFD" w:rsidRPr="005321B8" w:rsidRDefault="00FF2DFD" w:rsidP="00FF2DFD">
            <w:pPr>
              <w:jc w:val="right"/>
              <w:rPr>
                <w:rFonts w:eastAsia="Times New Roman"/>
                <w:color w:val="000000"/>
              </w:rPr>
            </w:pPr>
            <w:r w:rsidRPr="005321B8">
              <w:rPr>
                <w:rFonts w:eastAsia="Times New Roman"/>
                <w:color w:val="000000"/>
              </w:rPr>
              <w:t>4.9%</w:t>
            </w:r>
          </w:p>
        </w:tc>
      </w:tr>
    </w:tbl>
    <w:p w14:paraId="01634287" w14:textId="2C89B5FE" w:rsidR="00E92504" w:rsidRPr="006839EB" w:rsidRDefault="00E92504" w:rsidP="00825271">
      <w:pPr>
        <w:jc w:val="center"/>
        <w:rPr>
          <w:b/>
          <w:bCs/>
        </w:rPr>
      </w:pPr>
    </w:p>
    <w:p w14:paraId="44229312" w14:textId="052C9058" w:rsidR="007928A3" w:rsidRPr="00304B82" w:rsidRDefault="373FA9E1" w:rsidP="00E347B4">
      <w:pPr>
        <w:spacing w:after="160"/>
        <w:rPr>
          <w:rFonts w:eastAsia="Calibri"/>
        </w:rPr>
      </w:pPr>
      <w:bookmarkStart w:id="29" w:name="_9kMIH5YVt4886BFNelS"/>
      <w:bookmarkStart w:id="30" w:name="_Hlk92709500"/>
      <w:bookmarkEnd w:id="27"/>
      <w:bookmarkEnd w:id="28"/>
      <w:r w:rsidRPr="006839EB">
        <w:rPr>
          <w:rFonts w:eastAsia="Calibri"/>
          <w:b/>
          <w:bCs/>
        </w:rPr>
        <w:t>Gender:</w:t>
      </w:r>
      <w:bookmarkEnd w:id="29"/>
      <w:r w:rsidR="0C24B4E0" w:rsidRPr="006839EB">
        <w:rPr>
          <w:rFonts w:eastAsia="Calibri"/>
          <w:b/>
          <w:bCs/>
        </w:rPr>
        <w:t xml:space="preserve"> </w:t>
      </w:r>
      <w:r w:rsidR="00304B82">
        <w:rPr>
          <w:rFonts w:eastAsia="Calibri"/>
        </w:rPr>
        <w:t xml:space="preserve">The mix of female to males </w:t>
      </w:r>
      <w:r w:rsidR="00CA465B">
        <w:rPr>
          <w:rFonts w:eastAsia="Calibri"/>
        </w:rPr>
        <w:t xml:space="preserve">for both overall Atrius patients and surgical patients is </w:t>
      </w:r>
      <w:r w:rsidR="00CA465B">
        <w:rPr>
          <w:rFonts w:eastAsia="Calibri"/>
        </w:rPr>
        <w:br/>
        <w:t>~60% to ~40% with less than 0.01% in the “other” category.</w:t>
      </w:r>
    </w:p>
    <w:p w14:paraId="7D70E417" w14:textId="1A0F00E2" w:rsidR="007928A3" w:rsidRPr="00485788" w:rsidRDefault="373FA9E1" w:rsidP="00E347B4">
      <w:pPr>
        <w:spacing w:after="240"/>
        <w:rPr>
          <w:rFonts w:eastAsia="Calibri"/>
        </w:rPr>
      </w:pPr>
      <w:bookmarkStart w:id="31" w:name="_Hlk151731082"/>
      <w:r w:rsidRPr="006839EB">
        <w:rPr>
          <w:rFonts w:eastAsia="Calibri"/>
          <w:b/>
          <w:bCs/>
        </w:rPr>
        <w:lastRenderedPageBreak/>
        <w:t>Age:</w:t>
      </w:r>
      <w:r w:rsidR="00485788">
        <w:rPr>
          <w:rFonts w:eastAsia="Calibri"/>
        </w:rPr>
        <w:t xml:space="preserve"> The majority of patients are </w:t>
      </w:r>
      <w:r w:rsidR="0018084B">
        <w:rPr>
          <w:rFonts w:eastAsia="Calibri"/>
        </w:rPr>
        <w:t>ages</w:t>
      </w:r>
      <w:r w:rsidR="00485788">
        <w:rPr>
          <w:rFonts w:eastAsia="Calibri"/>
        </w:rPr>
        <w:t xml:space="preserve"> 19-64 </w:t>
      </w:r>
      <w:r w:rsidR="004C7E3D">
        <w:rPr>
          <w:rFonts w:eastAsia="Calibri"/>
        </w:rPr>
        <w:t xml:space="preserve">(Overall Atrius its </w:t>
      </w:r>
      <w:r w:rsidR="004C7E3D" w:rsidRPr="004C7E3D">
        <w:rPr>
          <w:rFonts w:eastAsia="Calibri"/>
        </w:rPr>
        <w:t>59.9%</w:t>
      </w:r>
      <w:r w:rsidR="004C7E3D">
        <w:rPr>
          <w:rFonts w:eastAsia="Calibri"/>
        </w:rPr>
        <w:t xml:space="preserve"> and Surgical its </w:t>
      </w:r>
      <w:r w:rsidR="004C7E3D" w:rsidRPr="004C7E3D">
        <w:rPr>
          <w:rFonts w:eastAsia="Calibri"/>
        </w:rPr>
        <w:t>54.4%</w:t>
      </w:r>
      <w:r w:rsidR="004C7E3D">
        <w:rPr>
          <w:rFonts w:eastAsia="Calibri"/>
        </w:rPr>
        <w:t xml:space="preserve">). Pediatric patients comprise </w:t>
      </w:r>
      <w:r w:rsidR="004C7E3D" w:rsidRPr="004C7E3D">
        <w:rPr>
          <w:rFonts w:eastAsia="Calibri"/>
        </w:rPr>
        <w:t>19.7%</w:t>
      </w:r>
      <w:r w:rsidR="004C7E3D">
        <w:rPr>
          <w:rFonts w:eastAsia="Calibri"/>
        </w:rPr>
        <w:t xml:space="preserve"> and </w:t>
      </w:r>
      <w:r w:rsidR="004C7E3D" w:rsidRPr="004C7E3D">
        <w:rPr>
          <w:rFonts w:eastAsia="Calibri"/>
        </w:rPr>
        <w:t>9.3%</w:t>
      </w:r>
      <w:r w:rsidR="004C7E3D">
        <w:rPr>
          <w:rFonts w:eastAsia="Calibri"/>
        </w:rPr>
        <w:t xml:space="preserve"> of Overall and Surgical patients respectively. The 65 and over age cohort comprises </w:t>
      </w:r>
      <w:r w:rsidR="004C7E3D" w:rsidRPr="004C7E3D">
        <w:rPr>
          <w:rFonts w:eastAsia="Calibri"/>
        </w:rPr>
        <w:t>20.4%</w:t>
      </w:r>
      <w:r w:rsidR="004C7E3D">
        <w:rPr>
          <w:rFonts w:eastAsia="Calibri"/>
        </w:rPr>
        <w:t xml:space="preserve"> and </w:t>
      </w:r>
      <w:r w:rsidR="004C7E3D" w:rsidRPr="004C7E3D">
        <w:rPr>
          <w:rFonts w:eastAsia="Calibri"/>
        </w:rPr>
        <w:t>36.4%</w:t>
      </w:r>
      <w:r w:rsidR="004C7E3D">
        <w:rPr>
          <w:rFonts w:eastAsia="Calibri"/>
        </w:rPr>
        <w:t xml:space="preserve"> </w:t>
      </w:r>
      <w:r w:rsidR="004C7E3D" w:rsidRPr="004C7E3D">
        <w:rPr>
          <w:rFonts w:eastAsia="Calibri"/>
        </w:rPr>
        <w:t>of Overall and Surgical patients respectively.</w:t>
      </w:r>
    </w:p>
    <w:bookmarkEnd w:id="31"/>
    <w:p w14:paraId="6EEB3C4A" w14:textId="4553C8E7" w:rsidR="007928A3" w:rsidRPr="00426430" w:rsidRDefault="373FA9E1" w:rsidP="00E347B4">
      <w:pPr>
        <w:spacing w:after="160"/>
        <w:rPr>
          <w:rFonts w:eastAsia="Calibri"/>
        </w:rPr>
      </w:pPr>
      <w:r w:rsidRPr="006839EB">
        <w:rPr>
          <w:rFonts w:eastAsia="Calibri"/>
          <w:b/>
          <w:bCs/>
        </w:rPr>
        <w:t xml:space="preserve">Race: </w:t>
      </w:r>
      <w:bookmarkEnd w:id="30"/>
      <w:r w:rsidR="00426430" w:rsidRPr="0025082F">
        <w:t xml:space="preserve">The </w:t>
      </w:r>
      <w:r w:rsidR="00566C0B">
        <w:t xml:space="preserve">Atrius overall and Surgical patient populations </w:t>
      </w:r>
      <w:r w:rsidR="00426430" w:rsidRPr="0025082F">
        <w:t xml:space="preserve">predominately </w:t>
      </w:r>
      <w:r w:rsidR="00566C0B">
        <w:t xml:space="preserve">self-identify as </w:t>
      </w:r>
      <w:r w:rsidR="00426430" w:rsidRPr="0025082F">
        <w:t>white</w:t>
      </w:r>
      <w:r w:rsidR="005C2DF4" w:rsidRPr="0025082F">
        <w:t xml:space="preserve"> </w:t>
      </w:r>
      <w:r w:rsidR="005C2DF4">
        <w:t>with</w:t>
      </w:r>
      <w:r w:rsidR="00566C0B">
        <w:t xml:space="preserve"> </w:t>
      </w:r>
      <w:r w:rsidR="00426430" w:rsidRPr="0025082F">
        <w:t xml:space="preserve">slight year over year growth in </w:t>
      </w:r>
      <w:r w:rsidR="00566C0B">
        <w:t xml:space="preserve">patients identifying as </w:t>
      </w:r>
      <w:r w:rsidR="00426430" w:rsidRPr="0025082F">
        <w:t>populations of color</w:t>
      </w:r>
      <w:r w:rsidR="00566C0B">
        <w:t xml:space="preserve"> </w:t>
      </w:r>
      <w:r w:rsidR="005C2DF4">
        <w:t>and</w:t>
      </w:r>
      <w:r w:rsidR="00566C0B">
        <w:t xml:space="preserve"> a dec</w:t>
      </w:r>
      <w:r w:rsidR="004C7E3D">
        <w:t>r</w:t>
      </w:r>
      <w:r w:rsidR="00566C0B">
        <w:t>e</w:t>
      </w:r>
      <w:r w:rsidR="004C7E3D">
        <w:t>ase</w:t>
      </w:r>
      <w:r w:rsidR="00566C0B">
        <w:t xml:space="preserve"> in </w:t>
      </w:r>
      <w:r w:rsidR="004C7E3D">
        <w:t xml:space="preserve">number of </w:t>
      </w:r>
      <w:r w:rsidR="00566C0B">
        <w:t>patients declining to identify</w:t>
      </w:r>
      <w:r w:rsidR="00426430" w:rsidRPr="0025082F">
        <w:t>.</w:t>
      </w:r>
    </w:p>
    <w:p w14:paraId="10075BDA" w14:textId="47F3D169" w:rsidR="00B90FD6" w:rsidRPr="006839EB" w:rsidRDefault="00B90FD6" w:rsidP="00B90FD6">
      <w:pPr>
        <w:spacing w:after="160"/>
        <w:jc w:val="center"/>
        <w:rPr>
          <w:rFonts w:eastAsia="Calibri"/>
        </w:rPr>
      </w:pPr>
      <w:r>
        <w:rPr>
          <w:rFonts w:eastAsia="Calibri"/>
          <w:b/>
          <w:bCs/>
        </w:rPr>
        <w:t xml:space="preserve">Table </w:t>
      </w:r>
      <w:r w:rsidR="00F15F09">
        <w:rPr>
          <w:rFonts w:eastAsia="Calibri"/>
          <w:b/>
          <w:bCs/>
        </w:rPr>
        <w:t>3</w:t>
      </w:r>
      <w:r>
        <w:rPr>
          <w:rFonts w:eastAsia="Calibri"/>
          <w:b/>
          <w:bCs/>
        </w:rPr>
        <w:t>: Patient Origin CY 2023</w:t>
      </w:r>
    </w:p>
    <w:tbl>
      <w:tblPr>
        <w:tblW w:w="4660" w:type="dxa"/>
        <w:jc w:val="center"/>
        <w:tblLook w:val="04A0" w:firstRow="1" w:lastRow="0" w:firstColumn="1" w:lastColumn="0" w:noHBand="0" w:noVBand="1"/>
      </w:tblPr>
      <w:tblGrid>
        <w:gridCol w:w="2040"/>
        <w:gridCol w:w="1340"/>
        <w:gridCol w:w="1280"/>
      </w:tblGrid>
      <w:tr w:rsidR="00B90FD6" w:rsidRPr="00B90FD6" w14:paraId="6CA192F2" w14:textId="77777777" w:rsidTr="00B860E5">
        <w:trPr>
          <w:cantSplit/>
          <w:trHeight w:val="620"/>
          <w:tblHeader/>
          <w:jc w:val="center"/>
        </w:trPr>
        <w:tc>
          <w:tcPr>
            <w:tcW w:w="2040" w:type="dxa"/>
            <w:tcBorders>
              <w:top w:val="single" w:sz="4" w:space="0" w:color="auto"/>
              <w:left w:val="single" w:sz="4" w:space="0" w:color="auto"/>
              <w:bottom w:val="single" w:sz="4" w:space="0" w:color="auto"/>
              <w:right w:val="single" w:sz="4" w:space="0" w:color="auto"/>
            </w:tcBorders>
            <w:shd w:val="clear" w:color="000000" w:fill="E5FFFF"/>
            <w:noWrap/>
            <w:vAlign w:val="center"/>
            <w:hideMark/>
          </w:tcPr>
          <w:p w14:paraId="16D92D97" w14:textId="77777777" w:rsidR="00B90FD6" w:rsidRPr="00B90FD6" w:rsidRDefault="00B90FD6" w:rsidP="00B90FD6">
            <w:pPr>
              <w:rPr>
                <w:rFonts w:ascii="Calibri" w:eastAsia="Times New Roman" w:hAnsi="Calibri" w:cs="Calibri"/>
                <w:b/>
                <w:bCs/>
                <w:color w:val="000000"/>
              </w:rPr>
            </w:pPr>
            <w:r w:rsidRPr="00B90FD6">
              <w:rPr>
                <w:rFonts w:ascii="Calibri" w:eastAsia="Times New Roman" w:hAnsi="Calibri" w:cs="Calibri"/>
                <w:b/>
                <w:bCs/>
                <w:color w:val="000000"/>
              </w:rPr>
              <w:t>CY 2023</w:t>
            </w:r>
          </w:p>
        </w:tc>
        <w:tc>
          <w:tcPr>
            <w:tcW w:w="1340" w:type="dxa"/>
            <w:tcBorders>
              <w:top w:val="single" w:sz="4" w:space="0" w:color="auto"/>
              <w:left w:val="nil"/>
              <w:bottom w:val="single" w:sz="4" w:space="0" w:color="auto"/>
              <w:right w:val="single" w:sz="4" w:space="0" w:color="auto"/>
            </w:tcBorders>
            <w:shd w:val="clear" w:color="000000" w:fill="E5FFFF"/>
            <w:vAlign w:val="center"/>
            <w:hideMark/>
          </w:tcPr>
          <w:p w14:paraId="24B6BB7F" w14:textId="77777777" w:rsidR="00B90FD6" w:rsidRPr="00B90FD6" w:rsidRDefault="00B90FD6" w:rsidP="00B90FD6">
            <w:pPr>
              <w:jc w:val="center"/>
              <w:rPr>
                <w:rFonts w:ascii="Calibri" w:eastAsia="Times New Roman" w:hAnsi="Calibri" w:cs="Calibri"/>
                <w:b/>
                <w:bCs/>
                <w:color w:val="000000"/>
              </w:rPr>
            </w:pPr>
            <w:r w:rsidRPr="00B90FD6">
              <w:rPr>
                <w:rFonts w:ascii="Calibri" w:eastAsia="Times New Roman" w:hAnsi="Calibri" w:cs="Calibri"/>
                <w:b/>
                <w:bCs/>
                <w:color w:val="000000"/>
              </w:rPr>
              <w:t>Atrius Overall</w:t>
            </w:r>
          </w:p>
        </w:tc>
        <w:tc>
          <w:tcPr>
            <w:tcW w:w="1280" w:type="dxa"/>
            <w:tcBorders>
              <w:top w:val="single" w:sz="4" w:space="0" w:color="auto"/>
              <w:left w:val="nil"/>
              <w:bottom w:val="single" w:sz="4" w:space="0" w:color="auto"/>
              <w:right w:val="single" w:sz="4" w:space="0" w:color="auto"/>
            </w:tcBorders>
            <w:shd w:val="clear" w:color="000000" w:fill="E5FFFF"/>
            <w:noWrap/>
            <w:vAlign w:val="center"/>
            <w:hideMark/>
          </w:tcPr>
          <w:p w14:paraId="1143AF1D" w14:textId="77777777" w:rsidR="00B90FD6" w:rsidRPr="00B90FD6" w:rsidRDefault="00B90FD6" w:rsidP="00B90FD6">
            <w:pPr>
              <w:jc w:val="center"/>
              <w:rPr>
                <w:rFonts w:ascii="Calibri" w:eastAsia="Times New Roman" w:hAnsi="Calibri" w:cs="Calibri"/>
                <w:b/>
                <w:bCs/>
                <w:color w:val="000000"/>
              </w:rPr>
            </w:pPr>
            <w:r w:rsidRPr="00B90FD6">
              <w:rPr>
                <w:rFonts w:ascii="Calibri" w:eastAsia="Times New Roman" w:hAnsi="Calibri" w:cs="Calibri"/>
                <w:b/>
                <w:bCs/>
                <w:color w:val="000000"/>
              </w:rPr>
              <w:t>Surgical</w:t>
            </w:r>
          </w:p>
        </w:tc>
      </w:tr>
      <w:tr w:rsidR="00B90FD6" w:rsidRPr="00B90FD6" w14:paraId="44404CA1" w14:textId="77777777" w:rsidTr="00B860E5">
        <w:trPr>
          <w:cantSplit/>
          <w:trHeight w:val="320"/>
          <w:tblHeader/>
          <w:jc w:val="center"/>
        </w:trPr>
        <w:tc>
          <w:tcPr>
            <w:tcW w:w="2040" w:type="dxa"/>
            <w:tcBorders>
              <w:top w:val="nil"/>
              <w:left w:val="single" w:sz="4" w:space="0" w:color="auto"/>
              <w:bottom w:val="single" w:sz="4" w:space="0" w:color="auto"/>
              <w:right w:val="single" w:sz="4" w:space="0" w:color="auto"/>
            </w:tcBorders>
            <w:shd w:val="clear" w:color="000000" w:fill="E5FFFF"/>
            <w:noWrap/>
            <w:vAlign w:val="center"/>
            <w:hideMark/>
          </w:tcPr>
          <w:p w14:paraId="0D8F3C96" w14:textId="77777777" w:rsidR="00B90FD6" w:rsidRPr="00B90FD6" w:rsidRDefault="00B90FD6" w:rsidP="00B90FD6">
            <w:pPr>
              <w:rPr>
                <w:rFonts w:ascii="Calibri" w:eastAsia="Times New Roman" w:hAnsi="Calibri" w:cs="Calibri"/>
                <w:b/>
                <w:bCs/>
                <w:color w:val="000000"/>
              </w:rPr>
            </w:pPr>
            <w:r w:rsidRPr="00B90FD6">
              <w:rPr>
                <w:rFonts w:ascii="Calibri" w:eastAsia="Times New Roman" w:hAnsi="Calibri" w:cs="Calibri"/>
                <w:b/>
                <w:bCs/>
                <w:color w:val="000000"/>
              </w:rPr>
              <w:t> County</w:t>
            </w:r>
          </w:p>
        </w:tc>
        <w:tc>
          <w:tcPr>
            <w:tcW w:w="1340" w:type="dxa"/>
            <w:tcBorders>
              <w:top w:val="nil"/>
              <w:left w:val="nil"/>
              <w:bottom w:val="single" w:sz="4" w:space="0" w:color="auto"/>
              <w:right w:val="single" w:sz="4" w:space="0" w:color="auto"/>
            </w:tcBorders>
            <w:shd w:val="clear" w:color="000000" w:fill="E5FFFF"/>
            <w:noWrap/>
            <w:vAlign w:val="center"/>
            <w:hideMark/>
          </w:tcPr>
          <w:p w14:paraId="4B1404E8" w14:textId="77777777" w:rsidR="00B90FD6" w:rsidRPr="00B90FD6" w:rsidRDefault="00B90FD6" w:rsidP="00B90FD6">
            <w:pPr>
              <w:jc w:val="center"/>
              <w:rPr>
                <w:rFonts w:ascii="Calibri" w:eastAsia="Times New Roman" w:hAnsi="Calibri" w:cs="Calibri"/>
                <w:color w:val="000000"/>
              </w:rPr>
            </w:pPr>
            <w:r w:rsidRPr="00B90FD6">
              <w:rPr>
                <w:rFonts w:ascii="Calibri" w:eastAsia="Times New Roman" w:hAnsi="Calibri" w:cs="Calibri"/>
                <w:color w:val="000000"/>
              </w:rPr>
              <w:t> </w:t>
            </w:r>
          </w:p>
        </w:tc>
        <w:tc>
          <w:tcPr>
            <w:tcW w:w="1280" w:type="dxa"/>
            <w:tcBorders>
              <w:top w:val="nil"/>
              <w:left w:val="nil"/>
              <w:bottom w:val="single" w:sz="4" w:space="0" w:color="auto"/>
              <w:right w:val="single" w:sz="4" w:space="0" w:color="auto"/>
            </w:tcBorders>
            <w:shd w:val="clear" w:color="000000" w:fill="E5FFFF"/>
            <w:noWrap/>
            <w:vAlign w:val="center"/>
            <w:hideMark/>
          </w:tcPr>
          <w:p w14:paraId="5A0D1DE2" w14:textId="77777777" w:rsidR="00B90FD6" w:rsidRPr="00B90FD6" w:rsidRDefault="00B90FD6" w:rsidP="00B90FD6">
            <w:pPr>
              <w:jc w:val="center"/>
              <w:rPr>
                <w:rFonts w:ascii="Calibri" w:eastAsia="Times New Roman" w:hAnsi="Calibri" w:cs="Calibri"/>
                <w:color w:val="000000"/>
              </w:rPr>
            </w:pPr>
            <w:r w:rsidRPr="00B90FD6">
              <w:rPr>
                <w:rFonts w:ascii="Calibri" w:eastAsia="Times New Roman" w:hAnsi="Calibri" w:cs="Calibri"/>
                <w:color w:val="000000"/>
              </w:rPr>
              <w:t> </w:t>
            </w:r>
          </w:p>
        </w:tc>
      </w:tr>
      <w:tr w:rsidR="00B90FD6" w:rsidRPr="00B90FD6" w14:paraId="6B9067E2"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C89B0C" w14:textId="2573D194"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Middlesex</w:t>
            </w:r>
          </w:p>
        </w:tc>
        <w:tc>
          <w:tcPr>
            <w:tcW w:w="1340" w:type="dxa"/>
            <w:tcBorders>
              <w:top w:val="nil"/>
              <w:left w:val="nil"/>
              <w:bottom w:val="single" w:sz="4" w:space="0" w:color="auto"/>
              <w:right w:val="single" w:sz="4" w:space="0" w:color="auto"/>
            </w:tcBorders>
            <w:shd w:val="clear" w:color="auto" w:fill="auto"/>
            <w:noWrap/>
            <w:vAlign w:val="center"/>
            <w:hideMark/>
          </w:tcPr>
          <w:p w14:paraId="37F0FE0A"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35.1%</w:t>
            </w:r>
          </w:p>
        </w:tc>
        <w:tc>
          <w:tcPr>
            <w:tcW w:w="1280" w:type="dxa"/>
            <w:tcBorders>
              <w:top w:val="nil"/>
              <w:left w:val="nil"/>
              <w:bottom w:val="single" w:sz="4" w:space="0" w:color="auto"/>
              <w:right w:val="single" w:sz="4" w:space="0" w:color="auto"/>
            </w:tcBorders>
            <w:shd w:val="clear" w:color="auto" w:fill="auto"/>
            <w:vAlign w:val="center"/>
            <w:hideMark/>
          </w:tcPr>
          <w:p w14:paraId="334EA804"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36.1%</w:t>
            </w:r>
          </w:p>
        </w:tc>
      </w:tr>
      <w:tr w:rsidR="00B90FD6" w:rsidRPr="00B90FD6" w14:paraId="6350A93F"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DEE3F6A" w14:textId="7D836542"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Norfolk</w:t>
            </w:r>
          </w:p>
        </w:tc>
        <w:tc>
          <w:tcPr>
            <w:tcW w:w="1340" w:type="dxa"/>
            <w:tcBorders>
              <w:top w:val="nil"/>
              <w:left w:val="nil"/>
              <w:bottom w:val="single" w:sz="4" w:space="0" w:color="auto"/>
              <w:right w:val="single" w:sz="4" w:space="0" w:color="auto"/>
            </w:tcBorders>
            <w:shd w:val="clear" w:color="auto" w:fill="auto"/>
            <w:noWrap/>
            <w:vAlign w:val="center"/>
            <w:hideMark/>
          </w:tcPr>
          <w:p w14:paraId="58039827"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23.5%</w:t>
            </w:r>
          </w:p>
        </w:tc>
        <w:tc>
          <w:tcPr>
            <w:tcW w:w="1280" w:type="dxa"/>
            <w:tcBorders>
              <w:top w:val="nil"/>
              <w:left w:val="nil"/>
              <w:bottom w:val="single" w:sz="4" w:space="0" w:color="auto"/>
              <w:right w:val="single" w:sz="4" w:space="0" w:color="auto"/>
            </w:tcBorders>
            <w:shd w:val="clear" w:color="auto" w:fill="auto"/>
            <w:vAlign w:val="center"/>
            <w:hideMark/>
          </w:tcPr>
          <w:p w14:paraId="1CF0F76C"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22.2%</w:t>
            </w:r>
          </w:p>
        </w:tc>
      </w:tr>
      <w:tr w:rsidR="00B90FD6" w:rsidRPr="00B90FD6" w14:paraId="431AD91C"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879CCE0" w14:textId="4262072A"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Suffolk</w:t>
            </w:r>
          </w:p>
        </w:tc>
        <w:tc>
          <w:tcPr>
            <w:tcW w:w="1340" w:type="dxa"/>
            <w:tcBorders>
              <w:top w:val="nil"/>
              <w:left w:val="nil"/>
              <w:bottom w:val="single" w:sz="4" w:space="0" w:color="auto"/>
              <w:right w:val="single" w:sz="4" w:space="0" w:color="auto"/>
            </w:tcBorders>
            <w:shd w:val="clear" w:color="auto" w:fill="auto"/>
            <w:noWrap/>
            <w:vAlign w:val="center"/>
            <w:hideMark/>
          </w:tcPr>
          <w:p w14:paraId="63B571EF"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12.9%</w:t>
            </w:r>
          </w:p>
        </w:tc>
        <w:tc>
          <w:tcPr>
            <w:tcW w:w="1280" w:type="dxa"/>
            <w:tcBorders>
              <w:top w:val="nil"/>
              <w:left w:val="nil"/>
              <w:bottom w:val="single" w:sz="4" w:space="0" w:color="auto"/>
              <w:right w:val="single" w:sz="4" w:space="0" w:color="auto"/>
            </w:tcBorders>
            <w:shd w:val="clear" w:color="auto" w:fill="auto"/>
            <w:vAlign w:val="center"/>
            <w:hideMark/>
          </w:tcPr>
          <w:p w14:paraId="42E0BF62"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12.1%</w:t>
            </w:r>
          </w:p>
        </w:tc>
      </w:tr>
      <w:tr w:rsidR="00B90FD6" w:rsidRPr="00B90FD6" w14:paraId="6EFAA09E"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807DE16" w14:textId="7D8BF8EF"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Plymouth</w:t>
            </w:r>
          </w:p>
        </w:tc>
        <w:tc>
          <w:tcPr>
            <w:tcW w:w="1340" w:type="dxa"/>
            <w:tcBorders>
              <w:top w:val="nil"/>
              <w:left w:val="nil"/>
              <w:bottom w:val="single" w:sz="4" w:space="0" w:color="auto"/>
              <w:right w:val="single" w:sz="4" w:space="0" w:color="auto"/>
            </w:tcBorders>
            <w:shd w:val="clear" w:color="auto" w:fill="auto"/>
            <w:noWrap/>
            <w:vAlign w:val="center"/>
            <w:hideMark/>
          </w:tcPr>
          <w:p w14:paraId="60DFE6CE"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10.8%</w:t>
            </w:r>
          </w:p>
        </w:tc>
        <w:tc>
          <w:tcPr>
            <w:tcW w:w="1280" w:type="dxa"/>
            <w:tcBorders>
              <w:top w:val="nil"/>
              <w:left w:val="nil"/>
              <w:bottom w:val="single" w:sz="4" w:space="0" w:color="auto"/>
              <w:right w:val="single" w:sz="4" w:space="0" w:color="auto"/>
            </w:tcBorders>
            <w:shd w:val="clear" w:color="auto" w:fill="auto"/>
            <w:vAlign w:val="center"/>
            <w:hideMark/>
          </w:tcPr>
          <w:p w14:paraId="08A64D92"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12.7%</w:t>
            </w:r>
          </w:p>
        </w:tc>
      </w:tr>
      <w:tr w:rsidR="00B90FD6" w:rsidRPr="00B90FD6" w14:paraId="64CEE472"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FF0D1A6" w14:textId="2C3D9E53"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Essex</w:t>
            </w:r>
          </w:p>
        </w:tc>
        <w:tc>
          <w:tcPr>
            <w:tcW w:w="1340" w:type="dxa"/>
            <w:tcBorders>
              <w:top w:val="nil"/>
              <w:left w:val="nil"/>
              <w:bottom w:val="single" w:sz="4" w:space="0" w:color="auto"/>
              <w:right w:val="single" w:sz="4" w:space="0" w:color="auto"/>
            </w:tcBorders>
            <w:shd w:val="clear" w:color="auto" w:fill="auto"/>
            <w:noWrap/>
            <w:vAlign w:val="center"/>
            <w:hideMark/>
          </w:tcPr>
          <w:p w14:paraId="74A797B5"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7.4%</w:t>
            </w:r>
          </w:p>
        </w:tc>
        <w:tc>
          <w:tcPr>
            <w:tcW w:w="1280" w:type="dxa"/>
            <w:tcBorders>
              <w:top w:val="nil"/>
              <w:left w:val="nil"/>
              <w:bottom w:val="single" w:sz="4" w:space="0" w:color="auto"/>
              <w:right w:val="single" w:sz="4" w:space="0" w:color="auto"/>
            </w:tcBorders>
            <w:shd w:val="clear" w:color="auto" w:fill="auto"/>
            <w:vAlign w:val="center"/>
            <w:hideMark/>
          </w:tcPr>
          <w:p w14:paraId="5C73E2C1"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9.9%</w:t>
            </w:r>
          </w:p>
        </w:tc>
      </w:tr>
      <w:tr w:rsidR="00B90FD6" w:rsidRPr="00B90FD6" w14:paraId="0F89AAFD"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01EDD8D" w14:textId="4B712C4C"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Bristol</w:t>
            </w:r>
          </w:p>
        </w:tc>
        <w:tc>
          <w:tcPr>
            <w:tcW w:w="1340" w:type="dxa"/>
            <w:tcBorders>
              <w:top w:val="nil"/>
              <w:left w:val="nil"/>
              <w:bottom w:val="single" w:sz="4" w:space="0" w:color="auto"/>
              <w:right w:val="single" w:sz="4" w:space="0" w:color="auto"/>
            </w:tcBorders>
            <w:shd w:val="clear" w:color="auto" w:fill="auto"/>
            <w:noWrap/>
            <w:vAlign w:val="center"/>
            <w:hideMark/>
          </w:tcPr>
          <w:p w14:paraId="6B2658E4"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2.9%</w:t>
            </w:r>
          </w:p>
        </w:tc>
        <w:tc>
          <w:tcPr>
            <w:tcW w:w="1280" w:type="dxa"/>
            <w:tcBorders>
              <w:top w:val="nil"/>
              <w:left w:val="nil"/>
              <w:bottom w:val="single" w:sz="4" w:space="0" w:color="auto"/>
              <w:right w:val="single" w:sz="4" w:space="0" w:color="auto"/>
            </w:tcBorders>
            <w:shd w:val="clear" w:color="auto" w:fill="auto"/>
            <w:vAlign w:val="center"/>
            <w:hideMark/>
          </w:tcPr>
          <w:p w14:paraId="392D079C"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2.3%</w:t>
            </w:r>
          </w:p>
        </w:tc>
      </w:tr>
      <w:tr w:rsidR="00B90FD6" w:rsidRPr="00B90FD6" w14:paraId="4DBC7306"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F71720B" w14:textId="291E04C7"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Worcester</w:t>
            </w:r>
          </w:p>
        </w:tc>
        <w:tc>
          <w:tcPr>
            <w:tcW w:w="1340" w:type="dxa"/>
            <w:tcBorders>
              <w:top w:val="nil"/>
              <w:left w:val="nil"/>
              <w:bottom w:val="single" w:sz="4" w:space="0" w:color="auto"/>
              <w:right w:val="single" w:sz="4" w:space="0" w:color="auto"/>
            </w:tcBorders>
            <w:shd w:val="clear" w:color="auto" w:fill="auto"/>
            <w:noWrap/>
            <w:vAlign w:val="center"/>
            <w:hideMark/>
          </w:tcPr>
          <w:p w14:paraId="2E30EA70"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1.8%</w:t>
            </w:r>
          </w:p>
        </w:tc>
        <w:tc>
          <w:tcPr>
            <w:tcW w:w="1280" w:type="dxa"/>
            <w:tcBorders>
              <w:top w:val="nil"/>
              <w:left w:val="nil"/>
              <w:bottom w:val="single" w:sz="4" w:space="0" w:color="auto"/>
              <w:right w:val="single" w:sz="4" w:space="0" w:color="auto"/>
            </w:tcBorders>
            <w:shd w:val="clear" w:color="auto" w:fill="auto"/>
            <w:vAlign w:val="center"/>
            <w:hideMark/>
          </w:tcPr>
          <w:p w14:paraId="259E8762"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1.7%</w:t>
            </w:r>
          </w:p>
        </w:tc>
      </w:tr>
      <w:tr w:rsidR="00B90FD6" w:rsidRPr="00B90FD6" w14:paraId="496BBF87"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1957E67" w14:textId="3C2C8F32"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Barnstable</w:t>
            </w:r>
          </w:p>
        </w:tc>
        <w:tc>
          <w:tcPr>
            <w:tcW w:w="1340" w:type="dxa"/>
            <w:tcBorders>
              <w:top w:val="nil"/>
              <w:left w:val="nil"/>
              <w:bottom w:val="single" w:sz="4" w:space="0" w:color="auto"/>
              <w:right w:val="single" w:sz="4" w:space="0" w:color="auto"/>
            </w:tcBorders>
            <w:shd w:val="clear" w:color="auto" w:fill="auto"/>
            <w:noWrap/>
            <w:vAlign w:val="center"/>
            <w:hideMark/>
          </w:tcPr>
          <w:p w14:paraId="6F1F0B5C"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1.7%</w:t>
            </w:r>
          </w:p>
        </w:tc>
        <w:tc>
          <w:tcPr>
            <w:tcW w:w="1280" w:type="dxa"/>
            <w:tcBorders>
              <w:top w:val="nil"/>
              <w:left w:val="nil"/>
              <w:bottom w:val="single" w:sz="4" w:space="0" w:color="auto"/>
              <w:right w:val="single" w:sz="4" w:space="0" w:color="auto"/>
            </w:tcBorders>
            <w:shd w:val="clear" w:color="auto" w:fill="auto"/>
            <w:noWrap/>
            <w:vAlign w:val="center"/>
            <w:hideMark/>
          </w:tcPr>
          <w:p w14:paraId="1503AF60"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2.7%</w:t>
            </w:r>
          </w:p>
        </w:tc>
      </w:tr>
      <w:tr w:rsidR="00B90FD6" w:rsidRPr="00B90FD6" w14:paraId="5495CC65" w14:textId="77777777" w:rsidTr="00B860E5">
        <w:trPr>
          <w:cantSplit/>
          <w:trHeight w:val="320"/>
          <w:jc w:val="center"/>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59F8D16" w14:textId="4DB9A3E5"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Hampden</w:t>
            </w:r>
          </w:p>
        </w:tc>
        <w:tc>
          <w:tcPr>
            <w:tcW w:w="1340" w:type="dxa"/>
            <w:tcBorders>
              <w:top w:val="nil"/>
              <w:left w:val="nil"/>
              <w:bottom w:val="single" w:sz="4" w:space="0" w:color="auto"/>
              <w:right w:val="single" w:sz="4" w:space="0" w:color="auto"/>
            </w:tcBorders>
            <w:shd w:val="clear" w:color="auto" w:fill="auto"/>
            <w:noWrap/>
            <w:vAlign w:val="center"/>
            <w:hideMark/>
          </w:tcPr>
          <w:p w14:paraId="14F4662D"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0.1%</w:t>
            </w:r>
          </w:p>
        </w:tc>
        <w:tc>
          <w:tcPr>
            <w:tcW w:w="1280" w:type="dxa"/>
            <w:tcBorders>
              <w:top w:val="nil"/>
              <w:left w:val="nil"/>
              <w:bottom w:val="single" w:sz="4" w:space="0" w:color="auto"/>
              <w:right w:val="single" w:sz="4" w:space="0" w:color="auto"/>
            </w:tcBorders>
            <w:shd w:val="clear" w:color="auto" w:fill="auto"/>
            <w:vAlign w:val="center"/>
            <w:hideMark/>
          </w:tcPr>
          <w:p w14:paraId="7F009660"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0.0%</w:t>
            </w:r>
          </w:p>
        </w:tc>
      </w:tr>
      <w:tr w:rsidR="00B90FD6" w:rsidRPr="00B90FD6" w14:paraId="66A43A62" w14:textId="77777777" w:rsidTr="00B860E5">
        <w:trPr>
          <w:cantSplit/>
          <w:trHeight w:val="560"/>
          <w:jc w:val="center"/>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11CF31B6" w14:textId="2D2ED8A1"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Outside Massachusetts</w:t>
            </w:r>
          </w:p>
        </w:tc>
        <w:tc>
          <w:tcPr>
            <w:tcW w:w="1340" w:type="dxa"/>
            <w:tcBorders>
              <w:top w:val="nil"/>
              <w:left w:val="nil"/>
              <w:bottom w:val="single" w:sz="4" w:space="0" w:color="auto"/>
              <w:right w:val="single" w:sz="4" w:space="0" w:color="auto"/>
            </w:tcBorders>
            <w:shd w:val="clear" w:color="auto" w:fill="auto"/>
            <w:noWrap/>
            <w:vAlign w:val="center"/>
            <w:hideMark/>
          </w:tcPr>
          <w:p w14:paraId="54B2BFA0"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2.9%</w:t>
            </w:r>
          </w:p>
        </w:tc>
        <w:tc>
          <w:tcPr>
            <w:tcW w:w="1280" w:type="dxa"/>
            <w:tcBorders>
              <w:top w:val="nil"/>
              <w:left w:val="nil"/>
              <w:bottom w:val="single" w:sz="4" w:space="0" w:color="auto"/>
              <w:right w:val="single" w:sz="4" w:space="0" w:color="auto"/>
            </w:tcBorders>
            <w:shd w:val="clear" w:color="auto" w:fill="auto"/>
            <w:noWrap/>
            <w:vAlign w:val="center"/>
            <w:hideMark/>
          </w:tcPr>
          <w:p w14:paraId="686E32EA" w14:textId="77777777" w:rsidR="00B90FD6" w:rsidRPr="00B90FD6" w:rsidRDefault="00B90FD6" w:rsidP="00B90FD6">
            <w:pPr>
              <w:jc w:val="right"/>
              <w:rPr>
                <w:rFonts w:ascii="Calibri" w:eastAsia="Times New Roman" w:hAnsi="Calibri" w:cs="Calibri"/>
                <w:color w:val="000000"/>
              </w:rPr>
            </w:pPr>
            <w:r w:rsidRPr="00B90FD6">
              <w:rPr>
                <w:rFonts w:ascii="Calibri" w:eastAsia="Times New Roman" w:hAnsi="Calibri" w:cs="Calibri"/>
                <w:color w:val="000000"/>
              </w:rPr>
              <w:t>0.0%</w:t>
            </w:r>
          </w:p>
        </w:tc>
      </w:tr>
      <w:tr w:rsidR="00B90FD6" w:rsidRPr="00B90FD6" w14:paraId="49121EB9" w14:textId="77777777" w:rsidTr="00B860E5">
        <w:trPr>
          <w:cantSplit/>
          <w:trHeight w:val="630"/>
          <w:jc w:val="center"/>
        </w:trPr>
        <w:tc>
          <w:tcPr>
            <w:tcW w:w="2040" w:type="dxa"/>
            <w:tcBorders>
              <w:top w:val="nil"/>
              <w:left w:val="single" w:sz="4" w:space="0" w:color="auto"/>
              <w:bottom w:val="single" w:sz="4" w:space="0" w:color="auto"/>
              <w:right w:val="single" w:sz="4" w:space="0" w:color="auto"/>
            </w:tcBorders>
            <w:shd w:val="clear" w:color="auto" w:fill="auto"/>
            <w:vAlign w:val="bottom"/>
            <w:hideMark/>
          </w:tcPr>
          <w:p w14:paraId="4560B9B6" w14:textId="77777777" w:rsidR="00B90FD6" w:rsidRPr="00B90FD6" w:rsidRDefault="00B90FD6" w:rsidP="00B90FD6">
            <w:pPr>
              <w:rPr>
                <w:rFonts w:ascii="Calibri" w:eastAsia="Times New Roman" w:hAnsi="Calibri" w:cs="Calibri"/>
                <w:color w:val="000000"/>
              </w:rPr>
            </w:pPr>
            <w:r w:rsidRPr="00B90FD6">
              <w:rPr>
                <w:rFonts w:ascii="Calibri" w:eastAsia="Times New Roman" w:hAnsi="Calibri" w:cs="Calibri"/>
                <w:color w:val="000000"/>
              </w:rPr>
              <w:t>All other counties and Unknown</w:t>
            </w:r>
          </w:p>
        </w:tc>
        <w:tc>
          <w:tcPr>
            <w:tcW w:w="1340" w:type="dxa"/>
            <w:tcBorders>
              <w:top w:val="nil"/>
              <w:left w:val="nil"/>
              <w:bottom w:val="single" w:sz="4" w:space="0" w:color="auto"/>
              <w:right w:val="single" w:sz="4" w:space="0" w:color="auto"/>
            </w:tcBorders>
            <w:shd w:val="clear" w:color="auto" w:fill="auto"/>
            <w:noWrap/>
            <w:vAlign w:val="bottom"/>
            <w:hideMark/>
          </w:tcPr>
          <w:p w14:paraId="2AC15B7A" w14:textId="77777777" w:rsidR="00B90FD6" w:rsidRPr="00B90FD6" w:rsidRDefault="00B90FD6" w:rsidP="00B90FD6">
            <w:pPr>
              <w:jc w:val="right"/>
              <w:rPr>
                <w:rFonts w:ascii="Aptos Narrow" w:eastAsia="Times New Roman" w:hAnsi="Aptos Narrow" w:cs="Times New Roman"/>
                <w:color w:val="000000"/>
                <w:sz w:val="22"/>
                <w:szCs w:val="22"/>
              </w:rPr>
            </w:pPr>
            <w:r w:rsidRPr="00B90FD6">
              <w:rPr>
                <w:rFonts w:ascii="Aptos Narrow" w:eastAsia="Times New Roman" w:hAnsi="Aptos Narrow" w:cs="Times New Roman"/>
                <w:color w:val="000000"/>
                <w:sz w:val="22"/>
                <w:szCs w:val="22"/>
              </w:rPr>
              <w:t>0.9%</w:t>
            </w:r>
          </w:p>
        </w:tc>
        <w:tc>
          <w:tcPr>
            <w:tcW w:w="1280" w:type="dxa"/>
            <w:tcBorders>
              <w:top w:val="nil"/>
              <w:left w:val="nil"/>
              <w:bottom w:val="single" w:sz="4" w:space="0" w:color="auto"/>
              <w:right w:val="single" w:sz="4" w:space="0" w:color="auto"/>
            </w:tcBorders>
            <w:shd w:val="clear" w:color="auto" w:fill="auto"/>
            <w:noWrap/>
            <w:vAlign w:val="bottom"/>
            <w:hideMark/>
          </w:tcPr>
          <w:p w14:paraId="56DF216C" w14:textId="77777777" w:rsidR="00B90FD6" w:rsidRPr="00B90FD6" w:rsidRDefault="00B90FD6" w:rsidP="00B90FD6">
            <w:pPr>
              <w:jc w:val="right"/>
              <w:rPr>
                <w:rFonts w:ascii="Aptos Narrow" w:eastAsia="Times New Roman" w:hAnsi="Aptos Narrow" w:cs="Times New Roman"/>
                <w:color w:val="000000"/>
                <w:sz w:val="22"/>
                <w:szCs w:val="22"/>
              </w:rPr>
            </w:pPr>
            <w:r w:rsidRPr="00B90FD6">
              <w:rPr>
                <w:rFonts w:ascii="Aptos Narrow" w:eastAsia="Times New Roman" w:hAnsi="Aptos Narrow" w:cs="Times New Roman"/>
                <w:color w:val="000000"/>
                <w:sz w:val="22"/>
                <w:szCs w:val="22"/>
              </w:rPr>
              <w:t>0.2%</w:t>
            </w:r>
          </w:p>
        </w:tc>
      </w:tr>
    </w:tbl>
    <w:p w14:paraId="21F30946" w14:textId="77777777" w:rsidR="00F15F09" w:rsidRDefault="00F15F09" w:rsidP="00795807">
      <w:pPr>
        <w:spacing w:after="160"/>
        <w:rPr>
          <w:rFonts w:eastAsia="Calibri"/>
          <w:b/>
          <w:bCs/>
        </w:rPr>
      </w:pPr>
    </w:p>
    <w:p w14:paraId="33C0D8F6" w14:textId="0C6A3414" w:rsidR="00B90FD6" w:rsidRPr="006839EB" w:rsidRDefault="373FA9E1" w:rsidP="00795807">
      <w:pPr>
        <w:spacing w:after="160"/>
        <w:rPr>
          <w:rFonts w:eastAsia="Calibri"/>
        </w:rPr>
      </w:pPr>
      <w:r w:rsidRPr="006839EB">
        <w:rPr>
          <w:rFonts w:eastAsia="Calibri"/>
          <w:b/>
          <w:bCs/>
        </w:rPr>
        <w:t>Patient Origin</w:t>
      </w:r>
      <w:r w:rsidR="00750E83" w:rsidRPr="006839EB">
        <w:rPr>
          <w:rFonts w:eastAsia="Calibri"/>
        </w:rPr>
        <w:t xml:space="preserve">: </w:t>
      </w:r>
      <w:r w:rsidR="00F15F09">
        <w:rPr>
          <w:rFonts w:eastAsia="Calibri"/>
        </w:rPr>
        <w:t>Table 3 shows the patient origin information for the Applicant</w:t>
      </w:r>
      <w:r w:rsidR="0078428D">
        <w:rPr>
          <w:rFonts w:eastAsia="Calibri"/>
        </w:rPr>
        <w:t xml:space="preserve"> overall</w:t>
      </w:r>
      <w:r w:rsidR="00F15F09">
        <w:rPr>
          <w:rFonts w:eastAsia="Calibri"/>
        </w:rPr>
        <w:t xml:space="preserve"> and </w:t>
      </w:r>
      <w:r w:rsidR="0078428D">
        <w:rPr>
          <w:rFonts w:eastAsia="Calibri"/>
        </w:rPr>
        <w:t xml:space="preserve">for </w:t>
      </w:r>
      <w:r w:rsidR="00F15F09">
        <w:rPr>
          <w:rFonts w:eastAsia="Calibri"/>
        </w:rPr>
        <w:t xml:space="preserve">Surgical Patients. </w:t>
      </w:r>
      <w:r w:rsidR="008C20C1">
        <w:rPr>
          <w:rFonts w:eastAsia="Calibri"/>
        </w:rPr>
        <w:t xml:space="preserve">The majority of </w:t>
      </w:r>
      <w:r w:rsidR="00F15F09">
        <w:rPr>
          <w:rFonts w:eastAsia="Calibri"/>
        </w:rPr>
        <w:t>patients reside in e</w:t>
      </w:r>
      <w:r w:rsidR="00AB48F6">
        <w:rPr>
          <w:rFonts w:eastAsia="Calibri"/>
        </w:rPr>
        <w:t xml:space="preserve">astern </w:t>
      </w:r>
      <w:r w:rsidR="00F15F09">
        <w:rPr>
          <w:rFonts w:eastAsia="Calibri"/>
        </w:rPr>
        <w:t>Massachusetts</w:t>
      </w:r>
      <w:r w:rsidR="008C20C1">
        <w:rPr>
          <w:rFonts w:eastAsia="Calibri"/>
        </w:rPr>
        <w:t xml:space="preserve"> with t</w:t>
      </w:r>
      <w:r w:rsidR="00076F76">
        <w:rPr>
          <w:rFonts w:eastAsia="Calibri"/>
        </w:rPr>
        <w:t>hree counties</w:t>
      </w:r>
      <w:r w:rsidR="008B4B8C">
        <w:rPr>
          <w:rFonts w:eastAsia="Calibri"/>
        </w:rPr>
        <w:t xml:space="preserve"> (</w:t>
      </w:r>
      <w:r w:rsidR="00057E53">
        <w:rPr>
          <w:rFonts w:eastAsia="Calibri"/>
        </w:rPr>
        <w:t xml:space="preserve">Middlesex, </w:t>
      </w:r>
      <w:r w:rsidR="008B4B8C">
        <w:rPr>
          <w:rFonts w:eastAsia="Calibri"/>
        </w:rPr>
        <w:t xml:space="preserve">Norfolk, </w:t>
      </w:r>
      <w:r w:rsidR="00057E53">
        <w:rPr>
          <w:rFonts w:eastAsia="Calibri"/>
        </w:rPr>
        <w:t xml:space="preserve">and </w:t>
      </w:r>
      <w:r w:rsidR="008B4B8C">
        <w:rPr>
          <w:rFonts w:eastAsia="Calibri"/>
        </w:rPr>
        <w:t>Suffolk</w:t>
      </w:r>
      <w:r w:rsidR="00057E53">
        <w:rPr>
          <w:rFonts w:eastAsia="Calibri"/>
        </w:rPr>
        <w:t xml:space="preserve">) </w:t>
      </w:r>
      <w:r w:rsidR="00076F76">
        <w:rPr>
          <w:rFonts w:eastAsia="Calibri"/>
        </w:rPr>
        <w:t>compris</w:t>
      </w:r>
      <w:r w:rsidR="004B4396">
        <w:rPr>
          <w:rFonts w:eastAsia="Calibri"/>
        </w:rPr>
        <w:t>ing</w:t>
      </w:r>
      <w:r w:rsidR="00076F76">
        <w:rPr>
          <w:rFonts w:eastAsia="Calibri"/>
        </w:rPr>
        <w:t xml:space="preserve"> the over 70% of both the </w:t>
      </w:r>
      <w:r w:rsidR="004B4396">
        <w:rPr>
          <w:rFonts w:eastAsia="Calibri"/>
        </w:rPr>
        <w:t>o</w:t>
      </w:r>
      <w:r w:rsidR="00076F76">
        <w:rPr>
          <w:rFonts w:eastAsia="Calibri"/>
        </w:rPr>
        <w:t>verall Patient Panel and surgical patients (</w:t>
      </w:r>
      <w:r w:rsidR="00076F76" w:rsidRPr="00076F76">
        <w:rPr>
          <w:rFonts w:eastAsia="Calibri"/>
        </w:rPr>
        <w:t>71.5%</w:t>
      </w:r>
      <w:r w:rsidR="00076F76">
        <w:rPr>
          <w:rFonts w:eastAsia="Calibri"/>
        </w:rPr>
        <w:t xml:space="preserve">, and </w:t>
      </w:r>
      <w:r w:rsidR="00076F76" w:rsidRPr="00076F76">
        <w:rPr>
          <w:rFonts w:eastAsia="Calibri"/>
        </w:rPr>
        <w:t>70.4%</w:t>
      </w:r>
      <w:r w:rsidR="00076F76">
        <w:rPr>
          <w:rFonts w:eastAsia="Calibri"/>
        </w:rPr>
        <w:t xml:space="preserve"> respectively)</w:t>
      </w:r>
      <w:r w:rsidR="004064CA">
        <w:rPr>
          <w:rFonts w:eastAsia="Calibri"/>
        </w:rPr>
        <w:t>; the Applicant</w:t>
      </w:r>
      <w:r w:rsidR="008B4B8C">
        <w:rPr>
          <w:rFonts w:eastAsia="Calibri"/>
        </w:rPr>
        <w:t xml:space="preserve"> defines these counties as their Primary Service Area</w:t>
      </w:r>
      <w:r w:rsidR="00CC57F6">
        <w:rPr>
          <w:rFonts w:eastAsia="Calibri"/>
        </w:rPr>
        <w:t xml:space="preserve"> (“PSA”)</w:t>
      </w:r>
      <w:r w:rsidR="008B4B8C">
        <w:rPr>
          <w:rFonts w:eastAsia="Calibri"/>
        </w:rPr>
        <w:t xml:space="preserve">. </w:t>
      </w:r>
      <w:r w:rsidR="008C20C1">
        <w:rPr>
          <w:rFonts w:eastAsia="Calibri"/>
        </w:rPr>
        <w:t>W</w:t>
      </w:r>
      <w:r w:rsidR="008C20C1" w:rsidRPr="008C20C1">
        <w:rPr>
          <w:rFonts w:eastAsia="Calibri"/>
        </w:rPr>
        <w:t xml:space="preserve">ith the addition of Plymouth, and Essex counties the cumulative percentages are 89.7% of </w:t>
      </w:r>
      <w:r w:rsidR="004B4396" w:rsidRPr="008C20C1">
        <w:rPr>
          <w:rFonts w:eastAsia="Calibri"/>
        </w:rPr>
        <w:t>Atrius’</w:t>
      </w:r>
      <w:r w:rsidR="004B4396">
        <w:rPr>
          <w:rFonts w:eastAsia="Calibri"/>
        </w:rPr>
        <w:t xml:space="preserve"> </w:t>
      </w:r>
      <w:r w:rsidR="004B4396" w:rsidRPr="008C20C1">
        <w:rPr>
          <w:rFonts w:eastAsia="Calibri"/>
        </w:rPr>
        <w:t>overall</w:t>
      </w:r>
      <w:r w:rsidR="004B4396">
        <w:rPr>
          <w:rFonts w:eastAsia="Calibri"/>
        </w:rPr>
        <w:t xml:space="preserve"> Patient Pane</w:t>
      </w:r>
      <w:r w:rsidR="00DA28EA">
        <w:rPr>
          <w:rFonts w:eastAsia="Calibri"/>
        </w:rPr>
        <w:t>l</w:t>
      </w:r>
      <w:r w:rsidR="008C20C1" w:rsidRPr="008C20C1">
        <w:rPr>
          <w:rFonts w:eastAsia="Calibri"/>
        </w:rPr>
        <w:t>, and 93.0% of surgical patients</w:t>
      </w:r>
      <w:r w:rsidR="00D82182">
        <w:rPr>
          <w:rFonts w:eastAsia="Calibri"/>
        </w:rPr>
        <w:t>.</w:t>
      </w:r>
    </w:p>
    <w:p w14:paraId="2EB0AE28" w14:textId="3DBF4C1B" w:rsidR="00474BD9" w:rsidRDefault="2848299F" w:rsidP="6F80FCDD">
      <w:pPr>
        <w:pStyle w:val="RBNBasicNoSpace"/>
        <w:jc w:val="center"/>
        <w:rPr>
          <w:b/>
          <w:bCs/>
          <w:szCs w:val="24"/>
        </w:rPr>
      </w:pPr>
      <w:r w:rsidRPr="006839EB">
        <w:rPr>
          <w:b/>
          <w:bCs/>
          <w:szCs w:val="24"/>
        </w:rPr>
        <w:t xml:space="preserve">Table </w:t>
      </w:r>
      <w:r w:rsidR="00F15F09">
        <w:rPr>
          <w:b/>
          <w:bCs/>
          <w:szCs w:val="24"/>
        </w:rPr>
        <w:t>4</w:t>
      </w:r>
      <w:r w:rsidRPr="006839EB">
        <w:rPr>
          <w:b/>
          <w:bCs/>
          <w:szCs w:val="24"/>
        </w:rPr>
        <w:t xml:space="preserve">: </w:t>
      </w:r>
      <w:r w:rsidR="00BC27B1" w:rsidRPr="006839EB">
        <w:rPr>
          <w:b/>
          <w:bCs/>
          <w:szCs w:val="24"/>
        </w:rPr>
        <w:t xml:space="preserve">FY ’23 </w:t>
      </w:r>
      <w:r w:rsidRPr="006839EB">
        <w:rPr>
          <w:b/>
          <w:bCs/>
          <w:szCs w:val="24"/>
        </w:rPr>
        <w:t>Payor Mix for</w:t>
      </w:r>
      <w:r w:rsidR="00680A1C">
        <w:rPr>
          <w:b/>
          <w:bCs/>
          <w:szCs w:val="24"/>
        </w:rPr>
        <w:t xml:space="preserve"> Atrius Overall and for Surgical Patients</w:t>
      </w:r>
    </w:p>
    <w:p w14:paraId="78FBE8DB" w14:textId="77777777" w:rsidR="00680A1C" w:rsidRDefault="00680A1C" w:rsidP="6F80FCDD">
      <w:pPr>
        <w:pStyle w:val="RBNBasicNoSpace"/>
        <w:jc w:val="center"/>
        <w:rPr>
          <w:b/>
          <w:bCs/>
          <w:szCs w:val="24"/>
        </w:rPr>
      </w:pPr>
    </w:p>
    <w:tbl>
      <w:tblPr>
        <w:tblW w:w="4855" w:type="dxa"/>
        <w:jc w:val="center"/>
        <w:tblLook w:val="04A0" w:firstRow="1" w:lastRow="0" w:firstColumn="1" w:lastColumn="0" w:noHBand="0" w:noVBand="1"/>
      </w:tblPr>
      <w:tblGrid>
        <w:gridCol w:w="1980"/>
        <w:gridCol w:w="1260"/>
        <w:gridCol w:w="1615"/>
      </w:tblGrid>
      <w:tr w:rsidR="00680A1C" w:rsidRPr="00680A1C" w14:paraId="2CF698FC" w14:textId="77777777" w:rsidTr="00DA1F53">
        <w:trPr>
          <w:cantSplit/>
          <w:trHeight w:val="290"/>
          <w:tblHeader/>
          <w:jc w:val="center"/>
        </w:trPr>
        <w:tc>
          <w:tcPr>
            <w:tcW w:w="1980" w:type="dxa"/>
            <w:tcBorders>
              <w:top w:val="single" w:sz="4" w:space="0" w:color="auto"/>
              <w:left w:val="single" w:sz="4" w:space="0" w:color="auto"/>
              <w:bottom w:val="single" w:sz="4" w:space="0" w:color="auto"/>
              <w:right w:val="single" w:sz="4" w:space="0" w:color="auto"/>
            </w:tcBorders>
            <w:shd w:val="clear" w:color="000000" w:fill="E5FFFF"/>
            <w:noWrap/>
            <w:vAlign w:val="center"/>
            <w:hideMark/>
          </w:tcPr>
          <w:p w14:paraId="6A01DF52" w14:textId="77777777" w:rsidR="00680A1C" w:rsidRPr="00FA7531" w:rsidRDefault="00680A1C" w:rsidP="00680A1C">
            <w:pPr>
              <w:rPr>
                <w:rFonts w:eastAsia="Times New Roman"/>
                <w:b/>
                <w:bCs/>
                <w:color w:val="000000"/>
              </w:rPr>
            </w:pPr>
            <w:r w:rsidRPr="00FA7531">
              <w:rPr>
                <w:rFonts w:eastAsia="Times New Roman"/>
                <w:b/>
                <w:bCs/>
                <w:color w:val="000000"/>
              </w:rPr>
              <w:t>Payer Type</w:t>
            </w:r>
          </w:p>
        </w:tc>
        <w:tc>
          <w:tcPr>
            <w:tcW w:w="1260" w:type="dxa"/>
            <w:tcBorders>
              <w:top w:val="single" w:sz="4" w:space="0" w:color="auto"/>
              <w:left w:val="nil"/>
              <w:bottom w:val="single" w:sz="4" w:space="0" w:color="auto"/>
              <w:right w:val="single" w:sz="4" w:space="0" w:color="auto"/>
            </w:tcBorders>
            <w:shd w:val="clear" w:color="000000" w:fill="E5FFFF"/>
            <w:noWrap/>
            <w:vAlign w:val="center"/>
            <w:hideMark/>
          </w:tcPr>
          <w:p w14:paraId="64E13AB5" w14:textId="77777777" w:rsidR="00680A1C" w:rsidRPr="00FA7531" w:rsidRDefault="00680A1C" w:rsidP="00680A1C">
            <w:pPr>
              <w:jc w:val="center"/>
              <w:rPr>
                <w:rFonts w:eastAsia="Times New Roman"/>
                <w:b/>
                <w:bCs/>
                <w:color w:val="000000"/>
              </w:rPr>
            </w:pPr>
            <w:r w:rsidRPr="00FA7531">
              <w:rPr>
                <w:rFonts w:eastAsia="Times New Roman"/>
                <w:b/>
                <w:bCs/>
                <w:color w:val="000000"/>
              </w:rPr>
              <w:t>Overall</w:t>
            </w:r>
          </w:p>
        </w:tc>
        <w:tc>
          <w:tcPr>
            <w:tcW w:w="1615" w:type="dxa"/>
            <w:tcBorders>
              <w:top w:val="single" w:sz="4" w:space="0" w:color="auto"/>
              <w:left w:val="nil"/>
              <w:bottom w:val="single" w:sz="4" w:space="0" w:color="auto"/>
              <w:right w:val="single" w:sz="4" w:space="0" w:color="auto"/>
            </w:tcBorders>
            <w:shd w:val="clear" w:color="000000" w:fill="E5FFFF"/>
            <w:noWrap/>
            <w:vAlign w:val="center"/>
            <w:hideMark/>
          </w:tcPr>
          <w:p w14:paraId="2F961D81" w14:textId="77777777" w:rsidR="00680A1C" w:rsidRPr="00FA7531" w:rsidRDefault="00680A1C" w:rsidP="00680A1C">
            <w:pPr>
              <w:jc w:val="center"/>
              <w:rPr>
                <w:rFonts w:eastAsia="Times New Roman"/>
                <w:b/>
                <w:bCs/>
                <w:color w:val="000000"/>
              </w:rPr>
            </w:pPr>
            <w:r w:rsidRPr="00FA7531">
              <w:rPr>
                <w:rFonts w:eastAsia="Times New Roman"/>
                <w:b/>
                <w:bCs/>
                <w:color w:val="000000"/>
              </w:rPr>
              <w:t>Surgery</w:t>
            </w:r>
          </w:p>
        </w:tc>
      </w:tr>
      <w:tr w:rsidR="00680A1C" w:rsidRPr="00680A1C" w14:paraId="2C90C75D"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B57BB17" w14:textId="77777777" w:rsidR="00680A1C" w:rsidRPr="00680A1C" w:rsidRDefault="00680A1C" w:rsidP="00680A1C">
            <w:pPr>
              <w:rPr>
                <w:rFonts w:eastAsia="Times New Roman"/>
                <w:color w:val="000000"/>
              </w:rPr>
            </w:pPr>
            <w:r w:rsidRPr="00680A1C">
              <w:rPr>
                <w:rFonts w:eastAsia="Times New Roman"/>
                <w:color w:val="000000"/>
              </w:rPr>
              <w:t>Medicare Risk</w:t>
            </w:r>
          </w:p>
        </w:tc>
        <w:tc>
          <w:tcPr>
            <w:tcW w:w="1260" w:type="dxa"/>
            <w:tcBorders>
              <w:top w:val="nil"/>
              <w:left w:val="nil"/>
              <w:bottom w:val="single" w:sz="4" w:space="0" w:color="auto"/>
              <w:right w:val="single" w:sz="4" w:space="0" w:color="auto"/>
            </w:tcBorders>
            <w:shd w:val="clear" w:color="auto" w:fill="auto"/>
            <w:noWrap/>
            <w:vAlign w:val="center"/>
            <w:hideMark/>
          </w:tcPr>
          <w:p w14:paraId="3FB11608" w14:textId="77777777" w:rsidR="00680A1C" w:rsidRPr="00680A1C" w:rsidRDefault="00680A1C" w:rsidP="00680A1C">
            <w:pPr>
              <w:jc w:val="right"/>
              <w:rPr>
                <w:rFonts w:eastAsia="Times New Roman"/>
                <w:color w:val="000000"/>
              </w:rPr>
            </w:pPr>
            <w:r w:rsidRPr="00680A1C">
              <w:rPr>
                <w:rFonts w:eastAsia="Times New Roman"/>
                <w:color w:val="000000"/>
              </w:rPr>
              <w:t>10.3%</w:t>
            </w:r>
          </w:p>
        </w:tc>
        <w:tc>
          <w:tcPr>
            <w:tcW w:w="1615" w:type="dxa"/>
            <w:tcBorders>
              <w:top w:val="nil"/>
              <w:left w:val="nil"/>
              <w:bottom w:val="single" w:sz="4" w:space="0" w:color="auto"/>
              <w:right w:val="single" w:sz="4" w:space="0" w:color="auto"/>
            </w:tcBorders>
            <w:shd w:val="clear" w:color="auto" w:fill="auto"/>
            <w:noWrap/>
            <w:vAlign w:val="center"/>
            <w:hideMark/>
          </w:tcPr>
          <w:p w14:paraId="07A6FEFC" w14:textId="77777777" w:rsidR="00680A1C" w:rsidRPr="00680A1C" w:rsidRDefault="00680A1C" w:rsidP="00680A1C">
            <w:pPr>
              <w:jc w:val="right"/>
              <w:rPr>
                <w:rFonts w:eastAsia="Times New Roman"/>
                <w:color w:val="000000"/>
              </w:rPr>
            </w:pPr>
            <w:r w:rsidRPr="00680A1C">
              <w:rPr>
                <w:rFonts w:eastAsia="Times New Roman"/>
                <w:color w:val="000000"/>
              </w:rPr>
              <w:t>33.4%</w:t>
            </w:r>
          </w:p>
        </w:tc>
      </w:tr>
      <w:tr w:rsidR="00680A1C" w:rsidRPr="00680A1C" w14:paraId="05002386"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93D0F01" w14:textId="77777777" w:rsidR="00680A1C" w:rsidRPr="00680A1C" w:rsidRDefault="00680A1C" w:rsidP="00680A1C">
            <w:pPr>
              <w:rPr>
                <w:rFonts w:eastAsia="Times New Roman"/>
                <w:color w:val="000000"/>
              </w:rPr>
            </w:pPr>
            <w:r w:rsidRPr="00680A1C">
              <w:rPr>
                <w:rFonts w:eastAsia="Times New Roman"/>
                <w:color w:val="000000"/>
              </w:rPr>
              <w:t>Medicaid Risk</w:t>
            </w:r>
          </w:p>
        </w:tc>
        <w:tc>
          <w:tcPr>
            <w:tcW w:w="1260" w:type="dxa"/>
            <w:tcBorders>
              <w:top w:val="nil"/>
              <w:left w:val="nil"/>
              <w:bottom w:val="single" w:sz="4" w:space="0" w:color="auto"/>
              <w:right w:val="single" w:sz="4" w:space="0" w:color="auto"/>
            </w:tcBorders>
            <w:shd w:val="clear" w:color="auto" w:fill="auto"/>
            <w:noWrap/>
            <w:vAlign w:val="center"/>
            <w:hideMark/>
          </w:tcPr>
          <w:p w14:paraId="4675797F" w14:textId="77777777" w:rsidR="00680A1C" w:rsidRPr="00680A1C" w:rsidRDefault="00680A1C" w:rsidP="00680A1C">
            <w:pPr>
              <w:jc w:val="right"/>
              <w:rPr>
                <w:rFonts w:eastAsia="Times New Roman"/>
                <w:color w:val="000000"/>
              </w:rPr>
            </w:pPr>
            <w:r w:rsidRPr="00680A1C">
              <w:rPr>
                <w:rFonts w:eastAsia="Times New Roman"/>
                <w:color w:val="000000"/>
              </w:rPr>
              <w:t>7.8%</w:t>
            </w:r>
          </w:p>
        </w:tc>
        <w:tc>
          <w:tcPr>
            <w:tcW w:w="1615" w:type="dxa"/>
            <w:tcBorders>
              <w:top w:val="nil"/>
              <w:left w:val="nil"/>
              <w:bottom w:val="single" w:sz="4" w:space="0" w:color="auto"/>
              <w:right w:val="single" w:sz="4" w:space="0" w:color="auto"/>
            </w:tcBorders>
            <w:shd w:val="clear" w:color="auto" w:fill="auto"/>
            <w:noWrap/>
            <w:vAlign w:val="center"/>
            <w:hideMark/>
          </w:tcPr>
          <w:p w14:paraId="23C2D8B3" w14:textId="77777777" w:rsidR="00680A1C" w:rsidRPr="00680A1C" w:rsidRDefault="00680A1C" w:rsidP="00680A1C">
            <w:pPr>
              <w:jc w:val="right"/>
              <w:rPr>
                <w:rFonts w:eastAsia="Times New Roman"/>
                <w:color w:val="000000"/>
              </w:rPr>
            </w:pPr>
            <w:r w:rsidRPr="00680A1C">
              <w:rPr>
                <w:rFonts w:eastAsia="Times New Roman"/>
                <w:color w:val="000000"/>
              </w:rPr>
              <w:t>9.9%</w:t>
            </w:r>
          </w:p>
        </w:tc>
      </w:tr>
      <w:tr w:rsidR="00680A1C" w:rsidRPr="00680A1C" w14:paraId="27BB753F"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15F6CA5" w14:textId="77777777" w:rsidR="00680A1C" w:rsidRPr="00680A1C" w:rsidRDefault="00680A1C" w:rsidP="00680A1C">
            <w:pPr>
              <w:rPr>
                <w:rFonts w:eastAsia="Times New Roman"/>
                <w:color w:val="000000"/>
              </w:rPr>
            </w:pPr>
            <w:r w:rsidRPr="00680A1C">
              <w:rPr>
                <w:rFonts w:eastAsia="Times New Roman"/>
                <w:color w:val="000000"/>
              </w:rPr>
              <w:t>Commercial Risk</w:t>
            </w:r>
          </w:p>
        </w:tc>
        <w:tc>
          <w:tcPr>
            <w:tcW w:w="1260" w:type="dxa"/>
            <w:tcBorders>
              <w:top w:val="nil"/>
              <w:left w:val="nil"/>
              <w:bottom w:val="single" w:sz="4" w:space="0" w:color="auto"/>
              <w:right w:val="single" w:sz="4" w:space="0" w:color="auto"/>
            </w:tcBorders>
            <w:shd w:val="clear" w:color="auto" w:fill="auto"/>
            <w:noWrap/>
            <w:vAlign w:val="center"/>
            <w:hideMark/>
          </w:tcPr>
          <w:p w14:paraId="74D7F325" w14:textId="77777777" w:rsidR="00680A1C" w:rsidRPr="00680A1C" w:rsidRDefault="00680A1C" w:rsidP="00680A1C">
            <w:pPr>
              <w:jc w:val="right"/>
              <w:rPr>
                <w:rFonts w:eastAsia="Times New Roman"/>
                <w:color w:val="000000"/>
              </w:rPr>
            </w:pPr>
            <w:r w:rsidRPr="00680A1C">
              <w:rPr>
                <w:rFonts w:eastAsia="Times New Roman"/>
                <w:color w:val="000000"/>
              </w:rPr>
              <w:t>47.8%</w:t>
            </w:r>
          </w:p>
        </w:tc>
        <w:tc>
          <w:tcPr>
            <w:tcW w:w="1615" w:type="dxa"/>
            <w:tcBorders>
              <w:top w:val="nil"/>
              <w:left w:val="nil"/>
              <w:bottom w:val="single" w:sz="4" w:space="0" w:color="auto"/>
              <w:right w:val="single" w:sz="4" w:space="0" w:color="auto"/>
            </w:tcBorders>
            <w:shd w:val="clear" w:color="auto" w:fill="auto"/>
            <w:noWrap/>
            <w:vAlign w:val="center"/>
            <w:hideMark/>
          </w:tcPr>
          <w:p w14:paraId="1B97C05D" w14:textId="77777777" w:rsidR="00680A1C" w:rsidRPr="00680A1C" w:rsidRDefault="00680A1C" w:rsidP="00680A1C">
            <w:pPr>
              <w:jc w:val="right"/>
              <w:rPr>
                <w:rFonts w:eastAsia="Times New Roman"/>
                <w:color w:val="000000"/>
              </w:rPr>
            </w:pPr>
            <w:r w:rsidRPr="00680A1C">
              <w:rPr>
                <w:rFonts w:eastAsia="Times New Roman"/>
                <w:color w:val="000000"/>
              </w:rPr>
              <w:t>56.7%</w:t>
            </w:r>
          </w:p>
        </w:tc>
      </w:tr>
      <w:tr w:rsidR="00680A1C" w:rsidRPr="00680A1C" w14:paraId="7DEA35F4"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D8DB3F9" w14:textId="77777777" w:rsidR="00680A1C" w:rsidRPr="00680A1C" w:rsidRDefault="00680A1C" w:rsidP="00680A1C">
            <w:pPr>
              <w:rPr>
                <w:rFonts w:eastAsia="Times New Roman"/>
                <w:color w:val="000000"/>
              </w:rPr>
            </w:pPr>
            <w:r w:rsidRPr="00680A1C">
              <w:rPr>
                <w:rFonts w:eastAsia="Times New Roman"/>
                <w:color w:val="000000"/>
              </w:rPr>
              <w:t>Medicare FFS</w:t>
            </w:r>
          </w:p>
        </w:tc>
        <w:tc>
          <w:tcPr>
            <w:tcW w:w="1260" w:type="dxa"/>
            <w:tcBorders>
              <w:top w:val="nil"/>
              <w:left w:val="nil"/>
              <w:bottom w:val="single" w:sz="4" w:space="0" w:color="auto"/>
              <w:right w:val="single" w:sz="4" w:space="0" w:color="auto"/>
            </w:tcBorders>
            <w:shd w:val="clear" w:color="auto" w:fill="auto"/>
            <w:noWrap/>
            <w:vAlign w:val="center"/>
            <w:hideMark/>
          </w:tcPr>
          <w:p w14:paraId="203E393E" w14:textId="77777777" w:rsidR="00680A1C" w:rsidRPr="00680A1C" w:rsidRDefault="00680A1C" w:rsidP="00680A1C">
            <w:pPr>
              <w:jc w:val="right"/>
              <w:rPr>
                <w:rFonts w:eastAsia="Times New Roman"/>
                <w:color w:val="000000"/>
              </w:rPr>
            </w:pPr>
            <w:r w:rsidRPr="00680A1C">
              <w:rPr>
                <w:rFonts w:eastAsia="Times New Roman"/>
                <w:color w:val="000000"/>
              </w:rPr>
              <w:t>6.6%</w:t>
            </w:r>
          </w:p>
        </w:tc>
        <w:tc>
          <w:tcPr>
            <w:tcW w:w="1615" w:type="dxa"/>
            <w:tcBorders>
              <w:top w:val="nil"/>
              <w:left w:val="nil"/>
              <w:bottom w:val="single" w:sz="4" w:space="0" w:color="auto"/>
              <w:right w:val="single" w:sz="4" w:space="0" w:color="auto"/>
            </w:tcBorders>
            <w:shd w:val="clear" w:color="auto" w:fill="auto"/>
            <w:noWrap/>
            <w:vAlign w:val="center"/>
            <w:hideMark/>
          </w:tcPr>
          <w:p w14:paraId="0E26B493" w14:textId="77777777" w:rsidR="00680A1C" w:rsidRPr="00680A1C" w:rsidRDefault="00680A1C" w:rsidP="00680A1C">
            <w:pPr>
              <w:jc w:val="right"/>
              <w:rPr>
                <w:rFonts w:eastAsia="Times New Roman"/>
                <w:color w:val="000000"/>
              </w:rPr>
            </w:pPr>
            <w:r w:rsidRPr="00680A1C">
              <w:rPr>
                <w:rFonts w:eastAsia="Times New Roman"/>
                <w:color w:val="000000"/>
              </w:rPr>
              <w:t>Not Available</w:t>
            </w:r>
          </w:p>
        </w:tc>
      </w:tr>
      <w:tr w:rsidR="00680A1C" w:rsidRPr="00680A1C" w14:paraId="5993FCD2"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D24C795" w14:textId="77777777" w:rsidR="00680A1C" w:rsidRPr="00680A1C" w:rsidRDefault="00680A1C" w:rsidP="00680A1C">
            <w:pPr>
              <w:rPr>
                <w:rFonts w:eastAsia="Times New Roman"/>
                <w:color w:val="000000"/>
              </w:rPr>
            </w:pPr>
            <w:r w:rsidRPr="00680A1C">
              <w:rPr>
                <w:rFonts w:eastAsia="Times New Roman"/>
                <w:color w:val="000000"/>
              </w:rPr>
              <w:t>Medicaid FFS</w:t>
            </w:r>
          </w:p>
        </w:tc>
        <w:tc>
          <w:tcPr>
            <w:tcW w:w="1260" w:type="dxa"/>
            <w:tcBorders>
              <w:top w:val="nil"/>
              <w:left w:val="nil"/>
              <w:bottom w:val="single" w:sz="4" w:space="0" w:color="auto"/>
              <w:right w:val="single" w:sz="4" w:space="0" w:color="auto"/>
            </w:tcBorders>
            <w:shd w:val="clear" w:color="auto" w:fill="auto"/>
            <w:noWrap/>
            <w:vAlign w:val="center"/>
            <w:hideMark/>
          </w:tcPr>
          <w:p w14:paraId="27094F03" w14:textId="77777777" w:rsidR="00680A1C" w:rsidRPr="00680A1C" w:rsidRDefault="00680A1C" w:rsidP="00680A1C">
            <w:pPr>
              <w:jc w:val="right"/>
              <w:rPr>
                <w:rFonts w:eastAsia="Times New Roman"/>
                <w:color w:val="000000"/>
              </w:rPr>
            </w:pPr>
            <w:r w:rsidRPr="00680A1C">
              <w:rPr>
                <w:rFonts w:eastAsia="Times New Roman"/>
                <w:color w:val="000000"/>
              </w:rPr>
              <w:t>0.4%</w:t>
            </w:r>
          </w:p>
        </w:tc>
        <w:tc>
          <w:tcPr>
            <w:tcW w:w="1615" w:type="dxa"/>
            <w:tcBorders>
              <w:top w:val="nil"/>
              <w:left w:val="nil"/>
              <w:bottom w:val="single" w:sz="4" w:space="0" w:color="auto"/>
              <w:right w:val="single" w:sz="4" w:space="0" w:color="auto"/>
            </w:tcBorders>
            <w:shd w:val="clear" w:color="auto" w:fill="auto"/>
            <w:noWrap/>
            <w:vAlign w:val="center"/>
            <w:hideMark/>
          </w:tcPr>
          <w:p w14:paraId="2B28DC31" w14:textId="77777777" w:rsidR="00680A1C" w:rsidRPr="00680A1C" w:rsidRDefault="00680A1C" w:rsidP="00680A1C">
            <w:pPr>
              <w:jc w:val="right"/>
              <w:rPr>
                <w:rFonts w:eastAsia="Times New Roman"/>
                <w:color w:val="000000"/>
              </w:rPr>
            </w:pPr>
            <w:r w:rsidRPr="00680A1C">
              <w:rPr>
                <w:rFonts w:eastAsia="Times New Roman"/>
                <w:color w:val="000000"/>
              </w:rPr>
              <w:t>Not Available</w:t>
            </w:r>
          </w:p>
        </w:tc>
      </w:tr>
      <w:tr w:rsidR="00680A1C" w:rsidRPr="00680A1C" w14:paraId="697D01F7" w14:textId="77777777" w:rsidTr="00DA1F53">
        <w:trPr>
          <w:cantSplit/>
          <w:trHeight w:val="29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D56E6E6" w14:textId="77777777" w:rsidR="00680A1C" w:rsidRPr="00680A1C" w:rsidRDefault="00680A1C" w:rsidP="00680A1C">
            <w:pPr>
              <w:rPr>
                <w:rFonts w:eastAsia="Times New Roman"/>
                <w:color w:val="000000"/>
              </w:rPr>
            </w:pPr>
            <w:r w:rsidRPr="00680A1C">
              <w:rPr>
                <w:rFonts w:eastAsia="Times New Roman"/>
                <w:color w:val="000000"/>
              </w:rPr>
              <w:t>Commercial FFS</w:t>
            </w:r>
          </w:p>
        </w:tc>
        <w:tc>
          <w:tcPr>
            <w:tcW w:w="1260" w:type="dxa"/>
            <w:tcBorders>
              <w:top w:val="nil"/>
              <w:left w:val="nil"/>
              <w:bottom w:val="single" w:sz="4" w:space="0" w:color="auto"/>
              <w:right w:val="single" w:sz="4" w:space="0" w:color="auto"/>
            </w:tcBorders>
            <w:shd w:val="clear" w:color="auto" w:fill="auto"/>
            <w:noWrap/>
            <w:vAlign w:val="center"/>
            <w:hideMark/>
          </w:tcPr>
          <w:p w14:paraId="29E4BA88" w14:textId="77777777" w:rsidR="00680A1C" w:rsidRPr="00680A1C" w:rsidRDefault="00680A1C" w:rsidP="00680A1C">
            <w:pPr>
              <w:jc w:val="right"/>
              <w:rPr>
                <w:rFonts w:eastAsia="Times New Roman"/>
                <w:color w:val="000000"/>
              </w:rPr>
            </w:pPr>
            <w:r w:rsidRPr="00680A1C">
              <w:rPr>
                <w:rFonts w:eastAsia="Times New Roman"/>
                <w:color w:val="000000"/>
              </w:rPr>
              <w:t>27.1%</w:t>
            </w:r>
          </w:p>
        </w:tc>
        <w:tc>
          <w:tcPr>
            <w:tcW w:w="1615" w:type="dxa"/>
            <w:tcBorders>
              <w:top w:val="nil"/>
              <w:left w:val="nil"/>
              <w:bottom w:val="single" w:sz="4" w:space="0" w:color="auto"/>
              <w:right w:val="single" w:sz="4" w:space="0" w:color="auto"/>
            </w:tcBorders>
            <w:shd w:val="clear" w:color="auto" w:fill="auto"/>
            <w:noWrap/>
            <w:vAlign w:val="center"/>
            <w:hideMark/>
          </w:tcPr>
          <w:p w14:paraId="46D4B6FE" w14:textId="77777777" w:rsidR="00680A1C" w:rsidRPr="00680A1C" w:rsidRDefault="00680A1C" w:rsidP="00680A1C">
            <w:pPr>
              <w:jc w:val="right"/>
              <w:rPr>
                <w:rFonts w:eastAsia="Times New Roman"/>
                <w:color w:val="000000"/>
              </w:rPr>
            </w:pPr>
            <w:r w:rsidRPr="00680A1C">
              <w:rPr>
                <w:rFonts w:eastAsia="Times New Roman"/>
                <w:color w:val="000000"/>
              </w:rPr>
              <w:t>Not Available</w:t>
            </w:r>
          </w:p>
        </w:tc>
      </w:tr>
    </w:tbl>
    <w:p w14:paraId="03E7F162" w14:textId="77777777" w:rsidR="00680A1C" w:rsidRPr="006839EB" w:rsidRDefault="00680A1C" w:rsidP="6F80FCDD">
      <w:pPr>
        <w:pStyle w:val="RBNBasicNoSpace"/>
        <w:jc w:val="center"/>
        <w:rPr>
          <w:b/>
          <w:bCs/>
          <w:szCs w:val="24"/>
        </w:rPr>
      </w:pPr>
    </w:p>
    <w:p w14:paraId="60066389" w14:textId="77777777" w:rsidR="00474BD9" w:rsidRPr="00474BD9" w:rsidRDefault="00474BD9" w:rsidP="00474BD9"/>
    <w:p w14:paraId="497F5E5E" w14:textId="4FFA0291" w:rsidR="00566C0B" w:rsidRDefault="00BC27B1" w:rsidP="001051E0">
      <w:pPr>
        <w:spacing w:after="240"/>
        <w:textAlignment w:val="baseline"/>
        <w:rPr>
          <w:rFonts w:ascii="Calibri" w:eastAsia="Calibri" w:hAnsi="Calibri" w:cs="Calibri"/>
          <w:szCs w:val="22"/>
        </w:rPr>
      </w:pPr>
      <w:r w:rsidRPr="00566C0B">
        <w:rPr>
          <w:b/>
          <w:bCs/>
        </w:rPr>
        <w:t>Payor Mix</w:t>
      </w:r>
      <w:r w:rsidR="00D74014" w:rsidRPr="00566C0B">
        <w:rPr>
          <w:b/>
          <w:bCs/>
        </w:rPr>
        <w:t>:</w:t>
      </w:r>
      <w:r w:rsidR="00566C0B">
        <w:t xml:space="preserve"> </w:t>
      </w:r>
      <w:r w:rsidR="00566C0B">
        <w:rPr>
          <w:b/>
          <w:bCs/>
        </w:rPr>
        <w:t xml:space="preserve"> </w:t>
      </w:r>
      <w:r w:rsidR="00566C0B" w:rsidRPr="00566C0B">
        <w:rPr>
          <w:rFonts w:ascii="Calibri" w:eastAsia="Calibri" w:hAnsi="Calibri" w:cs="Times New Roman"/>
          <w:szCs w:val="22"/>
        </w:rPr>
        <w:t>66%</w:t>
      </w:r>
      <w:r w:rsidR="00566C0B" w:rsidRPr="00566C0B">
        <w:rPr>
          <w:rFonts w:ascii="Calibri" w:eastAsia="Calibri" w:hAnsi="Calibri" w:cs="Calibri"/>
          <w:szCs w:val="22"/>
        </w:rPr>
        <w:t xml:space="preserve"> of the Patient Panel is covered by value- and risk-based arrangements with commercial and government payers (“APMs”). A significant portion </w:t>
      </w:r>
      <w:r w:rsidR="00566C0B">
        <w:rPr>
          <w:rFonts w:ascii="Calibri" w:eastAsia="Calibri" w:hAnsi="Calibri" w:cs="Calibri"/>
          <w:szCs w:val="22"/>
        </w:rPr>
        <w:t xml:space="preserve">75% </w:t>
      </w:r>
      <w:r w:rsidR="00566C0B" w:rsidRPr="00566C0B">
        <w:rPr>
          <w:rFonts w:ascii="Calibri" w:eastAsia="Calibri" w:hAnsi="Calibri" w:cs="Calibri"/>
          <w:szCs w:val="22"/>
        </w:rPr>
        <w:t xml:space="preserve">of the Patient Panel is insured by commercial payers </w:t>
      </w:r>
      <w:r w:rsidR="00566C0B">
        <w:rPr>
          <w:rFonts w:ascii="Calibri" w:eastAsia="Calibri" w:hAnsi="Calibri" w:cs="Calibri"/>
          <w:szCs w:val="22"/>
        </w:rPr>
        <w:t>(</w:t>
      </w:r>
      <w:r w:rsidR="00566C0B" w:rsidRPr="00566C0B">
        <w:rPr>
          <w:rFonts w:ascii="Calibri" w:eastAsia="Calibri" w:hAnsi="Calibri" w:cs="Calibri"/>
          <w:szCs w:val="22"/>
        </w:rPr>
        <w:t xml:space="preserve">with </w:t>
      </w:r>
      <w:r w:rsidR="00566C0B">
        <w:rPr>
          <w:rFonts w:ascii="Calibri" w:eastAsia="Calibri" w:hAnsi="Calibri" w:cs="Calibri"/>
          <w:szCs w:val="22"/>
        </w:rPr>
        <w:t xml:space="preserve">~48% being risk contracts). The Applicant does not have the data for the </w:t>
      </w:r>
      <w:r w:rsidR="00AA1CE5">
        <w:rPr>
          <w:rFonts w:ascii="Calibri" w:eastAsia="Calibri" w:hAnsi="Calibri" w:cs="Calibri"/>
          <w:szCs w:val="22"/>
        </w:rPr>
        <w:t>f</w:t>
      </w:r>
      <w:r w:rsidR="00566C0B">
        <w:rPr>
          <w:rFonts w:ascii="Calibri" w:eastAsia="Calibri" w:hAnsi="Calibri" w:cs="Calibri"/>
          <w:szCs w:val="22"/>
        </w:rPr>
        <w:t xml:space="preserve">ee for </w:t>
      </w:r>
      <w:r w:rsidR="00AA1CE5">
        <w:rPr>
          <w:rFonts w:ascii="Calibri" w:eastAsia="Calibri" w:hAnsi="Calibri" w:cs="Calibri"/>
          <w:szCs w:val="22"/>
        </w:rPr>
        <w:t>s</w:t>
      </w:r>
      <w:r w:rsidR="00566C0B">
        <w:rPr>
          <w:rFonts w:ascii="Calibri" w:eastAsia="Calibri" w:hAnsi="Calibri" w:cs="Calibri"/>
          <w:szCs w:val="22"/>
        </w:rPr>
        <w:t xml:space="preserve">ervice </w:t>
      </w:r>
      <w:r w:rsidR="00AA1CE5">
        <w:rPr>
          <w:rFonts w:ascii="Calibri" w:eastAsia="Calibri" w:hAnsi="Calibri" w:cs="Calibri"/>
          <w:szCs w:val="22"/>
        </w:rPr>
        <w:t xml:space="preserve">surgical </w:t>
      </w:r>
      <w:r w:rsidR="00566C0B">
        <w:rPr>
          <w:rFonts w:ascii="Calibri" w:eastAsia="Calibri" w:hAnsi="Calibri" w:cs="Calibri"/>
          <w:szCs w:val="22"/>
        </w:rPr>
        <w:t>patients</w:t>
      </w:r>
      <w:r w:rsidR="00AA1CE5">
        <w:rPr>
          <w:rFonts w:ascii="Calibri" w:eastAsia="Calibri" w:hAnsi="Calibri" w:cs="Calibri"/>
          <w:szCs w:val="22"/>
        </w:rPr>
        <w:t xml:space="preserve"> in their system</w:t>
      </w:r>
      <w:r w:rsidR="00485788">
        <w:rPr>
          <w:rStyle w:val="FootnoteReference"/>
          <w:rFonts w:ascii="Calibri" w:eastAsia="Calibri" w:hAnsi="Calibri" w:cs="Calibri"/>
          <w:szCs w:val="22"/>
        </w:rPr>
        <w:footnoteReference w:id="8"/>
      </w:r>
      <w:r w:rsidR="00AA1CE5">
        <w:rPr>
          <w:rFonts w:ascii="Calibri" w:eastAsia="Calibri" w:hAnsi="Calibri" w:cs="Calibri"/>
          <w:szCs w:val="22"/>
        </w:rPr>
        <w:t xml:space="preserve"> however 43.3% of their surgical APM patients are insured by public payers.</w:t>
      </w:r>
      <w:r w:rsidR="00F15F09">
        <w:rPr>
          <w:rFonts w:ascii="Calibri" w:eastAsia="Calibri" w:hAnsi="Calibri" w:cs="Calibri"/>
          <w:szCs w:val="22"/>
        </w:rPr>
        <w:t xml:space="preserve"> (See Table 4)</w:t>
      </w:r>
    </w:p>
    <w:p w14:paraId="71952509" w14:textId="09727A9A" w:rsidR="00AC68E5" w:rsidRDefault="00AC68E5" w:rsidP="003964D0">
      <w:pPr>
        <w:pStyle w:val="Heading1"/>
        <w:spacing w:before="0" w:line="240" w:lineRule="auto"/>
        <w:rPr>
          <w:rFonts w:asciiTheme="minorHAnsi" w:eastAsia="Calibri" w:hAnsiTheme="minorHAnsi" w:cstheme="minorHAnsi"/>
        </w:rPr>
      </w:pPr>
      <w:bookmarkStart w:id="32" w:name="_Toc17731309"/>
      <w:bookmarkStart w:id="33" w:name="_Toc18922398"/>
      <w:bookmarkStart w:id="34" w:name="_Toc157428827"/>
      <w:bookmarkStart w:id="35" w:name="_Toc181356976"/>
      <w:bookmarkEnd w:id="19"/>
      <w:bookmarkEnd w:id="20"/>
      <w:bookmarkEnd w:id="21"/>
      <w:bookmarkEnd w:id="22"/>
      <w:bookmarkEnd w:id="23"/>
      <w:bookmarkEnd w:id="24"/>
      <w:r w:rsidRPr="008409FF">
        <w:rPr>
          <w:rFonts w:asciiTheme="minorHAnsi" w:eastAsia="Calibri" w:hAnsiTheme="minorHAnsi" w:cstheme="minorHAnsi"/>
        </w:rPr>
        <w:t>Factor 1</w:t>
      </w:r>
      <w:r w:rsidR="00FF07CC">
        <w:rPr>
          <w:rFonts w:asciiTheme="minorHAnsi" w:eastAsia="Calibri" w:hAnsiTheme="minorHAnsi" w:cstheme="minorHAnsi"/>
        </w:rPr>
        <w:t xml:space="preserve">: </w:t>
      </w:r>
      <w:r w:rsidR="00B85B1D" w:rsidRPr="008409FF">
        <w:rPr>
          <w:rFonts w:asciiTheme="minorHAnsi" w:eastAsia="Calibri" w:hAnsiTheme="minorHAnsi" w:cstheme="minorHAnsi"/>
        </w:rPr>
        <w:t>a</w:t>
      </w:r>
      <w:r w:rsidR="00FF07CC">
        <w:rPr>
          <w:rFonts w:asciiTheme="minorHAnsi" w:eastAsia="Calibri" w:hAnsiTheme="minorHAnsi" w:cstheme="minorHAnsi"/>
        </w:rPr>
        <w:t>)</w:t>
      </w:r>
      <w:r w:rsidRPr="008409FF">
        <w:rPr>
          <w:rFonts w:asciiTheme="minorHAnsi" w:eastAsia="Calibri" w:hAnsiTheme="minorHAnsi" w:cstheme="minorHAnsi"/>
        </w:rPr>
        <w:t xml:space="preserve"> Patient Panel Need</w:t>
      </w:r>
      <w:bookmarkEnd w:id="32"/>
      <w:bookmarkEnd w:id="33"/>
      <w:bookmarkEnd w:id="34"/>
      <w:bookmarkEnd w:id="35"/>
      <w:r w:rsidR="00771C63">
        <w:rPr>
          <w:rFonts w:asciiTheme="minorHAnsi" w:eastAsia="Calibri" w:hAnsiTheme="minorHAnsi" w:cstheme="minorHAnsi"/>
        </w:rPr>
        <w:t xml:space="preserve"> </w:t>
      </w:r>
    </w:p>
    <w:p w14:paraId="02CDD5E3" w14:textId="77777777" w:rsidR="00915552" w:rsidRDefault="00915552" w:rsidP="00915552"/>
    <w:p w14:paraId="007B385B" w14:textId="7A0C6143" w:rsidR="00915552" w:rsidRPr="00915552" w:rsidRDefault="253963F2" w:rsidP="00915552">
      <w:r>
        <w:t>As described in this factor, the Applicant’s decision to add an ASC to its system was based on the Patient Panel’s historical surgical procedure volumes performed in several settings and the need to</w:t>
      </w:r>
      <w:r w:rsidR="14115DB4">
        <w:t xml:space="preserve"> provide services that are </w:t>
      </w:r>
      <w:r>
        <w:t xml:space="preserve">consistent with its value-based care model. </w:t>
      </w:r>
    </w:p>
    <w:p w14:paraId="0E03173C" w14:textId="77777777" w:rsidR="00DE4CD3" w:rsidRPr="00DE4CD3" w:rsidRDefault="00DE4CD3" w:rsidP="00DE4CD3">
      <w:pPr>
        <w:rPr>
          <w:rFonts w:eastAsia="Calibri"/>
        </w:rPr>
      </w:pPr>
    </w:p>
    <w:p w14:paraId="2EE219D0" w14:textId="7E439CB7" w:rsidR="00D04F4C" w:rsidRDefault="006B02BE" w:rsidP="00D04F4C">
      <w:pPr>
        <w:rPr>
          <w:rFonts w:eastAsia="Calibri"/>
        </w:rPr>
      </w:pPr>
      <w:bookmarkStart w:id="36" w:name="_Toc28797402"/>
      <w:bookmarkStart w:id="37" w:name="_Toc17151180"/>
      <w:bookmarkStart w:id="38" w:name="_Toc17322392"/>
      <w:bookmarkStart w:id="39" w:name="_Toc18922408"/>
      <w:bookmarkStart w:id="40" w:name="_Toc17322387"/>
      <w:bookmarkStart w:id="41" w:name="_Toc18922403"/>
      <w:bookmarkEnd w:id="17"/>
      <w:r w:rsidRPr="00F17E5D">
        <w:rPr>
          <w:rFonts w:eastAsia="Calibri"/>
        </w:rPr>
        <w:t>The Applicant attribute</w:t>
      </w:r>
      <w:r w:rsidR="00867E8B" w:rsidRPr="00F17E5D">
        <w:rPr>
          <w:rFonts w:eastAsia="Calibri"/>
        </w:rPr>
        <w:t>s</w:t>
      </w:r>
      <w:r w:rsidRPr="00F17E5D">
        <w:rPr>
          <w:rFonts w:eastAsia="Calibri"/>
        </w:rPr>
        <w:t xml:space="preserve"> need for the </w:t>
      </w:r>
      <w:r w:rsidR="00867E8B" w:rsidRPr="00F17E5D">
        <w:rPr>
          <w:rFonts w:eastAsia="Calibri"/>
        </w:rPr>
        <w:t xml:space="preserve">Proposed Project </w:t>
      </w:r>
      <w:r w:rsidRPr="00F17E5D">
        <w:rPr>
          <w:rFonts w:eastAsia="Calibri"/>
        </w:rPr>
        <w:t xml:space="preserve">to </w:t>
      </w:r>
      <w:r w:rsidR="00D25A39" w:rsidRPr="00F17E5D">
        <w:rPr>
          <w:rFonts w:eastAsia="Calibri"/>
        </w:rPr>
        <w:t>the following:</w:t>
      </w:r>
      <w:r w:rsidR="00670F15">
        <w:rPr>
          <w:rFonts w:eastAsia="Calibri"/>
        </w:rPr>
        <w:t xml:space="preserve"> </w:t>
      </w:r>
    </w:p>
    <w:p w14:paraId="641DC6BF" w14:textId="77777777" w:rsidR="00D04F4C" w:rsidRDefault="00D04F4C" w:rsidP="00D04F4C">
      <w:pPr>
        <w:rPr>
          <w:rFonts w:eastAsia="Calibri"/>
        </w:rPr>
      </w:pPr>
    </w:p>
    <w:p w14:paraId="16A2A3DC" w14:textId="13C84C88" w:rsidR="00D04F4C" w:rsidRDefault="00D04F4C" w:rsidP="00A743A1">
      <w:pPr>
        <w:pStyle w:val="ListParagraph"/>
        <w:numPr>
          <w:ilvl w:val="0"/>
          <w:numId w:val="5"/>
        </w:numPr>
        <w:autoSpaceDE w:val="0"/>
        <w:autoSpaceDN w:val="0"/>
        <w:adjustRightInd w:val="0"/>
        <w:spacing w:after="0" w:line="240" w:lineRule="auto"/>
        <w:rPr>
          <w:rFonts w:ascii="Calibri" w:eastAsia="Calibri" w:hAnsi="Calibri" w:cs="Calibri"/>
          <w:sz w:val="24"/>
          <w:szCs w:val="24"/>
        </w:rPr>
      </w:pPr>
      <w:r w:rsidRPr="00D04F4C">
        <w:rPr>
          <w:rFonts w:ascii="Calibri" w:eastAsia="Calibri" w:hAnsi="Calibri" w:cs="Calibri"/>
          <w:sz w:val="24"/>
          <w:szCs w:val="24"/>
        </w:rPr>
        <w:t xml:space="preserve">Need to </w:t>
      </w:r>
      <w:r w:rsidR="00955DB8">
        <w:rPr>
          <w:rFonts w:ascii="Calibri" w:eastAsia="Calibri" w:hAnsi="Calibri" w:cs="Calibri"/>
          <w:sz w:val="24"/>
          <w:szCs w:val="24"/>
        </w:rPr>
        <w:t xml:space="preserve">Expand Upon the </w:t>
      </w:r>
      <w:r w:rsidRPr="00D04F4C">
        <w:rPr>
          <w:rFonts w:ascii="Calibri" w:eastAsia="Calibri" w:hAnsi="Calibri" w:cs="Calibri"/>
          <w:sz w:val="24"/>
          <w:szCs w:val="24"/>
        </w:rPr>
        <w:t xml:space="preserve">Limited ASC </w:t>
      </w:r>
      <w:r w:rsidR="00955DB8">
        <w:rPr>
          <w:rFonts w:ascii="Calibri" w:eastAsia="Calibri" w:hAnsi="Calibri" w:cs="Calibri"/>
          <w:sz w:val="24"/>
          <w:szCs w:val="24"/>
        </w:rPr>
        <w:t xml:space="preserve">Supply </w:t>
      </w:r>
      <w:r w:rsidRPr="00D04F4C">
        <w:rPr>
          <w:rFonts w:ascii="Calibri" w:eastAsia="Calibri" w:hAnsi="Calibri" w:cs="Calibri"/>
          <w:sz w:val="24"/>
          <w:szCs w:val="24"/>
        </w:rPr>
        <w:t>in Massachusetts</w:t>
      </w:r>
    </w:p>
    <w:p w14:paraId="2E363FC1" w14:textId="3C2F4E71" w:rsidR="00477E36" w:rsidRPr="00D04F4C" w:rsidRDefault="00477E36" w:rsidP="00A743A1">
      <w:pPr>
        <w:pStyle w:val="ListParagraph"/>
        <w:numPr>
          <w:ilvl w:val="0"/>
          <w:numId w:val="5"/>
        </w:numPr>
        <w:autoSpaceDE w:val="0"/>
        <w:autoSpaceDN w:val="0"/>
        <w:adjustRightInd w:val="0"/>
        <w:spacing w:after="0" w:line="240" w:lineRule="auto"/>
        <w:rPr>
          <w:rFonts w:ascii="Calibri" w:eastAsia="Calibri" w:hAnsi="Calibri" w:cs="Calibri"/>
          <w:sz w:val="24"/>
          <w:szCs w:val="24"/>
        </w:rPr>
      </w:pPr>
      <w:r w:rsidRPr="00477E36">
        <w:rPr>
          <w:rFonts w:ascii="Calibri" w:eastAsia="Calibri" w:hAnsi="Calibri" w:cs="Calibri"/>
          <w:sz w:val="24"/>
          <w:szCs w:val="24"/>
        </w:rPr>
        <w:t xml:space="preserve">Need for Surgical Services Due to Growth in </w:t>
      </w:r>
      <w:r w:rsidR="000C7105">
        <w:rPr>
          <w:rFonts w:ascii="Calibri" w:eastAsia="Calibri" w:hAnsi="Calibri" w:cs="Calibri"/>
          <w:sz w:val="24"/>
          <w:szCs w:val="24"/>
        </w:rPr>
        <w:t xml:space="preserve">Population </w:t>
      </w:r>
      <w:r w:rsidRPr="00477E36">
        <w:rPr>
          <w:rFonts w:ascii="Calibri" w:eastAsia="Calibri" w:hAnsi="Calibri" w:cs="Calibri"/>
          <w:sz w:val="24"/>
          <w:szCs w:val="24"/>
        </w:rPr>
        <w:t>Needing Outpatient Procedures</w:t>
      </w:r>
      <w:r>
        <w:rPr>
          <w:rFonts w:ascii="Calibri" w:eastAsia="Calibri" w:hAnsi="Calibri" w:cs="Calibri"/>
          <w:sz w:val="24"/>
          <w:szCs w:val="24"/>
        </w:rPr>
        <w:t xml:space="preserve"> (Including the Aging Population)</w:t>
      </w:r>
    </w:p>
    <w:p w14:paraId="4027FE7E" w14:textId="26CF93C2" w:rsidR="00221798" w:rsidRPr="00221798" w:rsidRDefault="0043689A" w:rsidP="00D04F4C">
      <w:pPr>
        <w:numPr>
          <w:ilvl w:val="0"/>
          <w:numId w:val="5"/>
        </w:numPr>
        <w:rPr>
          <w:rFonts w:eastAsia="Calibri"/>
          <w:b/>
        </w:rPr>
      </w:pPr>
      <w:r>
        <w:rPr>
          <w:rFonts w:eastAsia="Calibri"/>
        </w:rPr>
        <w:t xml:space="preserve">Need to </w:t>
      </w:r>
      <w:r w:rsidR="00221798" w:rsidRPr="00221798">
        <w:rPr>
          <w:rFonts w:eastAsia="Calibri"/>
        </w:rPr>
        <w:t>Integrat</w:t>
      </w:r>
      <w:r>
        <w:rPr>
          <w:rFonts w:eastAsia="Calibri"/>
        </w:rPr>
        <w:t>e</w:t>
      </w:r>
      <w:r w:rsidR="00221798" w:rsidRPr="00221798">
        <w:rPr>
          <w:rFonts w:eastAsia="Calibri"/>
        </w:rPr>
        <w:t xml:space="preserve"> the ASC </w:t>
      </w:r>
      <w:r>
        <w:rPr>
          <w:rFonts w:eastAsia="Calibri"/>
        </w:rPr>
        <w:t xml:space="preserve">services </w:t>
      </w:r>
      <w:r w:rsidR="00221798" w:rsidRPr="00221798">
        <w:rPr>
          <w:rFonts w:eastAsia="Calibri"/>
        </w:rPr>
        <w:t>into Atrius Health</w:t>
      </w:r>
      <w:r>
        <w:rPr>
          <w:rFonts w:eastAsia="Calibri"/>
        </w:rPr>
        <w:t xml:space="preserve"> Continuum of Care.</w:t>
      </w:r>
    </w:p>
    <w:p w14:paraId="4FC567BF" w14:textId="77777777" w:rsidR="00A65CE5" w:rsidRDefault="00A65CE5" w:rsidP="00D04F4C">
      <w:pPr>
        <w:rPr>
          <w:rFonts w:eastAsia="Calibri"/>
        </w:rPr>
      </w:pPr>
    </w:p>
    <w:p w14:paraId="3E76D6C1" w14:textId="322EDA6D" w:rsidR="00955DB8" w:rsidRPr="005A1CF0" w:rsidRDefault="00997193" w:rsidP="005A1CF0">
      <w:pPr>
        <w:autoSpaceDE w:val="0"/>
        <w:autoSpaceDN w:val="0"/>
        <w:adjustRightInd w:val="0"/>
        <w:rPr>
          <w:rFonts w:ascii="Calibri" w:eastAsia="Calibri" w:hAnsi="Calibri" w:cs="Calibri"/>
          <w:b/>
          <w:bCs/>
        </w:rPr>
      </w:pPr>
      <w:r>
        <w:rPr>
          <w:rFonts w:ascii="Calibri" w:eastAsia="Calibri" w:hAnsi="Calibri" w:cs="Calibri"/>
          <w:b/>
          <w:bCs/>
        </w:rPr>
        <w:t xml:space="preserve">1.   </w:t>
      </w:r>
      <w:r w:rsidR="00955DB8" w:rsidRPr="005A1CF0">
        <w:rPr>
          <w:rFonts w:ascii="Calibri" w:eastAsia="Calibri" w:hAnsi="Calibri" w:cs="Calibri"/>
          <w:b/>
          <w:bCs/>
        </w:rPr>
        <w:t>Need to Expand Upon the Limited ASC Supply in Massachusetts</w:t>
      </w:r>
    </w:p>
    <w:p w14:paraId="6F625429" w14:textId="77777777" w:rsidR="00AF1114" w:rsidRPr="00AF1114" w:rsidRDefault="00AF1114" w:rsidP="00AF1114">
      <w:pPr>
        <w:autoSpaceDE w:val="0"/>
        <w:autoSpaceDN w:val="0"/>
        <w:adjustRightInd w:val="0"/>
        <w:rPr>
          <w:rFonts w:ascii="Calibri" w:eastAsia="Calibri" w:hAnsi="Calibri" w:cs="Calibri"/>
          <w:b/>
          <w:bCs/>
        </w:rPr>
      </w:pPr>
    </w:p>
    <w:p w14:paraId="0B120EEC" w14:textId="067655B0" w:rsidR="00AB2F09" w:rsidRDefault="0091102E" w:rsidP="00485D0C">
      <w:pPr>
        <w:autoSpaceDE w:val="0"/>
        <w:autoSpaceDN w:val="0"/>
        <w:adjustRightInd w:val="0"/>
        <w:spacing w:after="200"/>
        <w:rPr>
          <w:rFonts w:ascii="Calibri" w:eastAsia="Calibri" w:hAnsi="Calibri" w:cs="Calibri"/>
        </w:rPr>
      </w:pPr>
      <w:r>
        <w:rPr>
          <w:rFonts w:ascii="Calibri" w:eastAsia="Calibri" w:hAnsi="Calibri" w:cs="Calibri"/>
        </w:rPr>
        <w:t>T</w:t>
      </w:r>
      <w:r w:rsidRPr="00D04F4C">
        <w:rPr>
          <w:rFonts w:ascii="Calibri" w:eastAsia="Calibri" w:hAnsi="Calibri" w:cs="Calibri"/>
        </w:rPr>
        <w:t>he</w:t>
      </w:r>
      <w:r>
        <w:rPr>
          <w:rFonts w:ascii="Calibri" w:eastAsia="Calibri" w:hAnsi="Calibri" w:cs="Calibri"/>
        </w:rPr>
        <w:t xml:space="preserve"> Applicant cites the </w:t>
      </w:r>
      <w:r w:rsidRPr="00D04F4C">
        <w:rPr>
          <w:rFonts w:ascii="Calibri" w:eastAsia="Calibri" w:hAnsi="Calibri" w:cs="Calibri"/>
        </w:rPr>
        <w:t>H</w:t>
      </w:r>
      <w:r>
        <w:rPr>
          <w:rFonts w:ascii="Calibri" w:eastAsia="Calibri" w:hAnsi="Calibri" w:cs="Calibri"/>
        </w:rPr>
        <w:t xml:space="preserve">ealth </w:t>
      </w:r>
      <w:r w:rsidRPr="00D04F4C">
        <w:rPr>
          <w:rFonts w:ascii="Calibri" w:eastAsia="Calibri" w:hAnsi="Calibri" w:cs="Calibri"/>
        </w:rPr>
        <w:t>P</w:t>
      </w:r>
      <w:r>
        <w:rPr>
          <w:rFonts w:ascii="Calibri" w:eastAsia="Calibri" w:hAnsi="Calibri" w:cs="Calibri"/>
        </w:rPr>
        <w:t xml:space="preserve">olicy </w:t>
      </w:r>
      <w:r w:rsidRPr="00D04F4C">
        <w:rPr>
          <w:rFonts w:ascii="Calibri" w:eastAsia="Calibri" w:hAnsi="Calibri" w:cs="Calibri"/>
        </w:rPr>
        <w:t>C</w:t>
      </w:r>
      <w:r>
        <w:rPr>
          <w:rFonts w:ascii="Calibri" w:eastAsia="Calibri" w:hAnsi="Calibri" w:cs="Calibri"/>
        </w:rPr>
        <w:t>ommission</w:t>
      </w:r>
      <w:r w:rsidRPr="00D04F4C">
        <w:rPr>
          <w:rFonts w:ascii="Calibri" w:eastAsia="Calibri" w:hAnsi="Calibri" w:cs="Calibri"/>
        </w:rPr>
        <w:t>’s report</w:t>
      </w:r>
      <w:r>
        <w:rPr>
          <w:rFonts w:ascii="Calibri" w:eastAsia="Calibri" w:hAnsi="Calibri" w:cs="Calibri"/>
        </w:rPr>
        <w:t xml:space="preserve">s from </w:t>
      </w:r>
      <w:r w:rsidRPr="00D04F4C">
        <w:rPr>
          <w:rFonts w:ascii="Calibri" w:eastAsia="Calibri" w:hAnsi="Calibri" w:cs="Calibri"/>
        </w:rPr>
        <w:t>June 2023</w:t>
      </w:r>
      <w:r>
        <w:rPr>
          <w:rFonts w:ascii="Calibri" w:eastAsia="Calibri" w:hAnsi="Calibri" w:cs="Calibri"/>
        </w:rPr>
        <w:t xml:space="preserve"> and </w:t>
      </w:r>
      <w:r w:rsidRPr="00485D0C">
        <w:rPr>
          <w:rFonts w:ascii="Calibri" w:eastAsia="Calibri" w:hAnsi="Calibri" w:cs="Calibri"/>
        </w:rPr>
        <w:t xml:space="preserve">February 2024 </w:t>
      </w:r>
      <w:r>
        <w:rPr>
          <w:rFonts w:ascii="Calibri" w:eastAsia="Calibri" w:hAnsi="Calibri" w:cs="Calibri"/>
        </w:rPr>
        <w:t xml:space="preserve">which </w:t>
      </w:r>
      <w:r w:rsidRPr="00D04F4C">
        <w:rPr>
          <w:rFonts w:ascii="Calibri" w:eastAsia="Calibri" w:hAnsi="Calibri" w:cs="Calibri"/>
        </w:rPr>
        <w:t>f</w:t>
      </w:r>
      <w:r>
        <w:rPr>
          <w:rFonts w:ascii="Calibri" w:eastAsia="Calibri" w:hAnsi="Calibri" w:cs="Calibri"/>
        </w:rPr>
        <w:t>ound</w:t>
      </w:r>
      <w:r w:rsidRPr="00D04F4C">
        <w:rPr>
          <w:rFonts w:ascii="Calibri" w:eastAsia="Calibri" w:hAnsi="Calibri" w:cs="Calibri"/>
        </w:rPr>
        <w:t xml:space="preserve"> that Massachusetts has the fourth lowest per capita number of ASCs </w:t>
      </w:r>
      <w:r w:rsidR="00955DB8">
        <w:rPr>
          <w:rFonts w:ascii="Calibri" w:eastAsia="Calibri" w:hAnsi="Calibri" w:cs="Calibri"/>
        </w:rPr>
        <w:t>of all</w:t>
      </w:r>
      <w:r w:rsidRPr="00D04F4C">
        <w:rPr>
          <w:rFonts w:ascii="Calibri" w:eastAsia="Calibri" w:hAnsi="Calibri" w:cs="Calibri"/>
        </w:rPr>
        <w:t xml:space="preserve"> states</w:t>
      </w:r>
      <w:r>
        <w:rPr>
          <w:rFonts w:ascii="Calibri" w:eastAsia="Calibri" w:hAnsi="Calibri" w:cs="Calibri"/>
        </w:rPr>
        <w:t>,</w:t>
      </w:r>
      <w:r w:rsidR="00170900">
        <w:rPr>
          <w:rFonts w:ascii="Calibri" w:eastAsia="Calibri" w:hAnsi="Calibri" w:cs="Calibri"/>
        </w:rPr>
        <w:t xml:space="preserve"> and 23 ASC </w:t>
      </w:r>
      <w:r w:rsidR="003E1EDC">
        <w:rPr>
          <w:rFonts w:ascii="Calibri" w:eastAsia="Calibri" w:hAnsi="Calibri" w:cs="Calibri"/>
        </w:rPr>
        <w:t xml:space="preserve">ORs </w:t>
      </w:r>
      <w:r w:rsidR="00170900">
        <w:rPr>
          <w:rFonts w:ascii="Calibri" w:eastAsia="Calibri" w:hAnsi="Calibri" w:cs="Calibri"/>
        </w:rPr>
        <w:t>per million population versus a national average of 56.</w:t>
      </w:r>
      <w:r w:rsidRPr="00D04F4C">
        <w:rPr>
          <w:rFonts w:ascii="Calibri" w:eastAsia="Calibri" w:hAnsi="Calibri" w:cs="Calibri"/>
          <w:vertAlign w:val="superscript"/>
        </w:rPr>
        <w:footnoteReference w:id="9"/>
      </w:r>
      <w:r w:rsidRPr="00D04F4C">
        <w:rPr>
          <w:rFonts w:ascii="Calibri" w:eastAsia="Calibri" w:hAnsi="Calibri" w:cs="Calibri"/>
        </w:rPr>
        <w:t xml:space="preserve"> </w:t>
      </w:r>
      <w:bookmarkStart w:id="42" w:name="_Hlk169264092"/>
      <w:r w:rsidR="0017143E">
        <w:rPr>
          <w:rFonts w:ascii="Calibri" w:eastAsia="Calibri" w:hAnsi="Calibri" w:cs="Calibri"/>
        </w:rPr>
        <w:t>The Report states that one</w:t>
      </w:r>
      <w:r w:rsidRPr="00D04F4C">
        <w:rPr>
          <w:rFonts w:ascii="Calibri" w:eastAsia="Calibri" w:hAnsi="Calibri" w:cs="Calibri"/>
        </w:rPr>
        <w:t xml:space="preserve"> reason for this</w:t>
      </w:r>
      <w:r w:rsidR="005364DE">
        <w:rPr>
          <w:rFonts w:ascii="Calibri" w:eastAsia="Calibri" w:hAnsi="Calibri" w:cs="Calibri"/>
        </w:rPr>
        <w:t xml:space="preserve"> shortage</w:t>
      </w:r>
      <w:r w:rsidRPr="00D04F4C">
        <w:rPr>
          <w:rFonts w:ascii="Calibri" w:eastAsia="Calibri" w:hAnsi="Calibri" w:cs="Calibri"/>
        </w:rPr>
        <w:t xml:space="preserve"> is that Massachusetts enacted </w:t>
      </w:r>
      <w:r w:rsidR="007510F8">
        <w:rPr>
          <w:rFonts w:ascii="Calibri" w:eastAsia="Calibri" w:hAnsi="Calibri" w:cs="Calibri"/>
        </w:rPr>
        <w:t xml:space="preserve">restrictions </w:t>
      </w:r>
      <w:r w:rsidRPr="00D04F4C">
        <w:rPr>
          <w:rFonts w:ascii="Calibri" w:eastAsia="Calibri" w:hAnsi="Calibri" w:cs="Calibri"/>
        </w:rPr>
        <w:t>on new ASCs from 1971 to 2017</w:t>
      </w:r>
      <w:bookmarkEnd w:id="42"/>
      <w:r>
        <w:rPr>
          <w:rFonts w:ascii="Calibri" w:eastAsia="Calibri" w:hAnsi="Calibri" w:cs="Calibri"/>
        </w:rPr>
        <w:t>.</w:t>
      </w:r>
      <w:r w:rsidRPr="00D04F4C">
        <w:rPr>
          <w:rFonts w:ascii="Calibri" w:eastAsia="Calibri" w:hAnsi="Calibri" w:cs="Calibri"/>
          <w:vertAlign w:val="superscript"/>
        </w:rPr>
        <w:footnoteReference w:id="10"/>
      </w:r>
      <w:r w:rsidRPr="00D04F4C">
        <w:rPr>
          <w:rFonts w:ascii="Calibri" w:eastAsia="Calibri" w:hAnsi="Calibri" w:cs="Calibri"/>
        </w:rPr>
        <w:t xml:space="preserve"> </w:t>
      </w:r>
      <w:r>
        <w:rPr>
          <w:rFonts w:ascii="Calibri" w:eastAsia="Calibri" w:hAnsi="Calibri" w:cs="Calibri"/>
        </w:rPr>
        <w:t>T</w:t>
      </w:r>
      <w:r w:rsidRPr="00D04F4C">
        <w:rPr>
          <w:rFonts w:ascii="Calibri" w:eastAsia="Calibri" w:hAnsi="Calibri" w:cs="Calibri"/>
        </w:rPr>
        <w:t xml:space="preserve">he lack of ASCs has resulted in the </w:t>
      </w:r>
      <w:r>
        <w:rPr>
          <w:rFonts w:ascii="Calibri" w:eastAsia="Calibri" w:hAnsi="Calibri" w:cs="Calibri"/>
        </w:rPr>
        <w:t xml:space="preserve">lower risk </w:t>
      </w:r>
      <w:r w:rsidR="007510F8">
        <w:rPr>
          <w:rFonts w:ascii="Calibri" w:eastAsia="Calibri" w:hAnsi="Calibri" w:cs="Calibri"/>
        </w:rPr>
        <w:t xml:space="preserve">ASC appropriate </w:t>
      </w:r>
      <w:r>
        <w:rPr>
          <w:rFonts w:ascii="Calibri" w:eastAsia="Calibri" w:hAnsi="Calibri" w:cs="Calibri"/>
        </w:rPr>
        <w:t>surgeries</w:t>
      </w:r>
      <w:r w:rsidRPr="00D04F4C">
        <w:rPr>
          <w:rFonts w:ascii="Calibri" w:eastAsia="Calibri" w:hAnsi="Calibri" w:cs="Calibri"/>
        </w:rPr>
        <w:t xml:space="preserve"> being p</w:t>
      </w:r>
      <w:r w:rsidR="00BA19E2">
        <w:rPr>
          <w:rFonts w:ascii="Calibri" w:eastAsia="Calibri" w:hAnsi="Calibri" w:cs="Calibri"/>
        </w:rPr>
        <w:t>erform</w:t>
      </w:r>
      <w:r w:rsidRPr="00D04F4C">
        <w:rPr>
          <w:rFonts w:ascii="Calibri" w:eastAsia="Calibri" w:hAnsi="Calibri" w:cs="Calibri"/>
        </w:rPr>
        <w:t>ed in HOPDs.</w:t>
      </w:r>
      <w:r w:rsidRPr="00D04F4C">
        <w:rPr>
          <w:rFonts w:ascii="Calibri" w:eastAsia="Calibri" w:hAnsi="Calibri" w:cs="Calibri"/>
          <w:vertAlign w:val="superscript"/>
        </w:rPr>
        <w:footnoteReference w:id="11"/>
      </w:r>
      <w:r>
        <w:rPr>
          <w:rFonts w:ascii="Calibri" w:eastAsia="Calibri" w:hAnsi="Calibri" w:cs="Calibri"/>
          <w:vertAlign w:val="superscript"/>
        </w:rPr>
        <w:t xml:space="preserve"> </w:t>
      </w:r>
      <w:r>
        <w:rPr>
          <w:rFonts w:ascii="Calibri" w:eastAsia="Calibri" w:hAnsi="Calibri" w:cs="Calibri"/>
        </w:rPr>
        <w:t xml:space="preserve">In 2017, </w:t>
      </w:r>
      <w:r w:rsidRPr="002F4551">
        <w:rPr>
          <w:rFonts w:ascii="Calibri" w:eastAsia="Calibri" w:hAnsi="Calibri" w:cs="Calibri"/>
        </w:rPr>
        <w:t xml:space="preserve">DPH modified the DoN regulations to </w:t>
      </w:r>
      <w:r w:rsidR="00955DB8">
        <w:rPr>
          <w:rFonts w:ascii="Calibri" w:eastAsia="Calibri" w:hAnsi="Calibri" w:cs="Calibri"/>
        </w:rPr>
        <w:t xml:space="preserve">enable </w:t>
      </w:r>
      <w:r w:rsidRPr="002F4551">
        <w:rPr>
          <w:rFonts w:ascii="Calibri" w:eastAsia="Calibri" w:hAnsi="Calibri" w:cs="Calibri"/>
        </w:rPr>
        <w:t xml:space="preserve">HPC certified ACOs </w:t>
      </w:r>
      <w:r w:rsidRPr="002F4551">
        <w:rPr>
          <w:rFonts w:ascii="Calibri" w:eastAsia="Calibri" w:hAnsi="Calibri" w:cs="Calibri"/>
        </w:rPr>
        <w:lastRenderedPageBreak/>
        <w:t>to establish ASCs</w:t>
      </w:r>
      <w:r>
        <w:rPr>
          <w:rFonts w:ascii="Calibri" w:eastAsia="Calibri" w:hAnsi="Calibri" w:cs="Calibri"/>
        </w:rPr>
        <w:t xml:space="preserve"> in order</w:t>
      </w:r>
      <w:r w:rsidRPr="002F4551">
        <w:rPr>
          <w:rFonts w:ascii="Calibri" w:eastAsia="Calibri" w:hAnsi="Calibri" w:cs="Calibri"/>
        </w:rPr>
        <w:t xml:space="preserve"> to incentivize the formation of value-driven and patient-centered care</w:t>
      </w:r>
      <w:r>
        <w:rPr>
          <w:rFonts w:ascii="Calibri" w:eastAsia="Calibri" w:hAnsi="Calibri" w:cs="Calibri"/>
        </w:rPr>
        <w:t>.</w:t>
      </w:r>
      <w:r>
        <w:rPr>
          <w:rStyle w:val="FootnoteReference"/>
          <w:rFonts w:ascii="Calibri" w:eastAsia="Calibri" w:hAnsi="Calibri" w:cs="Calibri"/>
        </w:rPr>
        <w:footnoteReference w:id="12"/>
      </w:r>
      <w:r>
        <w:rPr>
          <w:rFonts w:ascii="Calibri" w:eastAsia="Calibri" w:hAnsi="Calibri" w:cs="Calibri"/>
        </w:rPr>
        <w:t xml:space="preserve"> </w:t>
      </w:r>
    </w:p>
    <w:p w14:paraId="196DC42D" w14:textId="77777777" w:rsidR="0081099C" w:rsidRDefault="0031507C" w:rsidP="05AFC214">
      <w:pPr>
        <w:autoSpaceDE w:val="0"/>
        <w:autoSpaceDN w:val="0"/>
        <w:adjustRightInd w:val="0"/>
        <w:spacing w:after="160" w:line="257" w:lineRule="auto"/>
        <w:rPr>
          <w:rFonts w:eastAsia="Aptos"/>
        </w:rPr>
      </w:pPr>
      <w:r>
        <w:rPr>
          <w:rFonts w:ascii="Calibri" w:eastAsia="Calibri" w:hAnsi="Calibri" w:cs="Calibri"/>
        </w:rPr>
        <w:t xml:space="preserve">Data provided by the Applicant shows that </w:t>
      </w:r>
      <w:r w:rsidR="00C941A9">
        <w:rPr>
          <w:rFonts w:ascii="Calibri" w:eastAsia="Calibri" w:hAnsi="Calibri" w:cs="Calibri"/>
        </w:rPr>
        <w:t xml:space="preserve">12% of </w:t>
      </w:r>
      <w:r w:rsidR="00013EA1">
        <w:rPr>
          <w:rFonts w:ascii="Calibri" w:eastAsia="Calibri" w:hAnsi="Calibri" w:cs="Calibri"/>
        </w:rPr>
        <w:t>Atrius’</w:t>
      </w:r>
      <w:r w:rsidR="006523CB">
        <w:rPr>
          <w:rFonts w:ascii="Calibri" w:eastAsia="Calibri" w:hAnsi="Calibri" w:cs="Calibri"/>
        </w:rPr>
        <w:t xml:space="preserve">s </w:t>
      </w:r>
      <w:r w:rsidR="00C941A9">
        <w:rPr>
          <w:rFonts w:ascii="Calibri" w:eastAsia="Calibri" w:hAnsi="Calibri" w:cs="Calibri"/>
        </w:rPr>
        <w:t xml:space="preserve">patients receive their surgeries in an ASC and </w:t>
      </w:r>
      <w:r>
        <w:rPr>
          <w:rFonts w:ascii="Calibri" w:eastAsia="Calibri" w:hAnsi="Calibri" w:cs="Calibri"/>
        </w:rPr>
        <w:t>~63% of patients receive their surgeries in a</w:t>
      </w:r>
      <w:r w:rsidR="0091102E">
        <w:rPr>
          <w:rFonts w:ascii="Calibri" w:eastAsia="Calibri" w:hAnsi="Calibri" w:cs="Calibri"/>
        </w:rPr>
        <w:t xml:space="preserve"> HOPD</w:t>
      </w:r>
      <w:r w:rsidR="00C941A9">
        <w:rPr>
          <w:rFonts w:ascii="Calibri" w:eastAsia="Calibri" w:hAnsi="Calibri" w:cs="Calibri"/>
        </w:rPr>
        <w:t>.</w:t>
      </w:r>
      <w:r>
        <w:rPr>
          <w:rFonts w:ascii="Calibri" w:eastAsia="Calibri" w:hAnsi="Calibri" w:cs="Calibri"/>
        </w:rPr>
        <w:t xml:space="preserve"> </w:t>
      </w:r>
      <w:r w:rsidR="00010956">
        <w:rPr>
          <w:rFonts w:ascii="Calibri" w:eastAsia="Calibri" w:hAnsi="Calibri" w:cs="Calibri"/>
        </w:rPr>
        <w:t xml:space="preserve">(See Table 5) </w:t>
      </w:r>
      <w:r w:rsidR="00C941A9">
        <w:rPr>
          <w:rFonts w:ascii="Calibri" w:eastAsia="Calibri" w:hAnsi="Calibri" w:cs="Calibri"/>
        </w:rPr>
        <w:t xml:space="preserve">The Applicant asserts that </w:t>
      </w:r>
      <w:r w:rsidR="0084485C">
        <w:rPr>
          <w:rFonts w:ascii="Calibri" w:eastAsia="Calibri" w:hAnsi="Calibri" w:cs="Calibri"/>
        </w:rPr>
        <w:t xml:space="preserve">the majority of </w:t>
      </w:r>
      <w:r w:rsidR="00C941A9">
        <w:rPr>
          <w:rFonts w:ascii="Calibri" w:eastAsia="Calibri" w:hAnsi="Calibri" w:cs="Calibri"/>
        </w:rPr>
        <w:t>these ~10,000 patients receiving procedures in an HOPD</w:t>
      </w:r>
      <w:r w:rsidR="0084485C">
        <w:rPr>
          <w:rFonts w:ascii="Calibri" w:eastAsia="Calibri" w:hAnsi="Calibri" w:cs="Calibri"/>
        </w:rPr>
        <w:t xml:space="preserve">, </w:t>
      </w:r>
      <w:r w:rsidR="00506438">
        <w:rPr>
          <w:rFonts w:ascii="Calibri" w:eastAsia="Calibri" w:hAnsi="Calibri" w:cs="Calibri"/>
        </w:rPr>
        <w:t xml:space="preserve">do not </w:t>
      </w:r>
      <w:r>
        <w:rPr>
          <w:rFonts w:ascii="Calibri" w:eastAsia="Calibri" w:hAnsi="Calibri" w:cs="Calibri"/>
        </w:rPr>
        <w:t xml:space="preserve">need </w:t>
      </w:r>
      <w:r w:rsidR="0084485C">
        <w:rPr>
          <w:rFonts w:ascii="Calibri" w:eastAsia="Calibri" w:hAnsi="Calibri" w:cs="Calibri"/>
        </w:rPr>
        <w:t xml:space="preserve">to be treated in </w:t>
      </w:r>
      <w:r>
        <w:rPr>
          <w:rFonts w:ascii="Calibri" w:eastAsia="Calibri" w:hAnsi="Calibri" w:cs="Calibri"/>
        </w:rPr>
        <w:t>a higher acuity hospital</w:t>
      </w:r>
      <w:r w:rsidR="0078061B">
        <w:rPr>
          <w:rFonts w:ascii="Calibri" w:eastAsia="Calibri" w:hAnsi="Calibri" w:cs="Calibri"/>
        </w:rPr>
        <w:t>-based</w:t>
      </w:r>
      <w:r>
        <w:rPr>
          <w:rFonts w:ascii="Calibri" w:eastAsia="Calibri" w:hAnsi="Calibri" w:cs="Calibri"/>
        </w:rPr>
        <w:t xml:space="preserve"> setting,</w:t>
      </w:r>
      <w:r w:rsidR="00506438">
        <w:rPr>
          <w:rFonts w:ascii="Calibri" w:eastAsia="Calibri" w:hAnsi="Calibri" w:cs="Calibri"/>
        </w:rPr>
        <w:t xml:space="preserve"> and </w:t>
      </w:r>
      <w:r w:rsidR="0078061B">
        <w:rPr>
          <w:rFonts w:ascii="Calibri" w:eastAsia="Calibri" w:hAnsi="Calibri" w:cs="Calibri"/>
        </w:rPr>
        <w:t xml:space="preserve">that </w:t>
      </w:r>
      <w:r w:rsidR="00506438">
        <w:rPr>
          <w:rFonts w:ascii="Calibri" w:eastAsia="Calibri" w:hAnsi="Calibri" w:cs="Calibri"/>
        </w:rPr>
        <w:t>this</w:t>
      </w:r>
      <w:r>
        <w:rPr>
          <w:rFonts w:ascii="Calibri" w:eastAsia="Calibri" w:hAnsi="Calibri" w:cs="Calibri"/>
        </w:rPr>
        <w:t xml:space="preserve"> reflect</w:t>
      </w:r>
      <w:r w:rsidR="00132C7C">
        <w:rPr>
          <w:rFonts w:ascii="Calibri" w:eastAsia="Calibri" w:hAnsi="Calibri" w:cs="Calibri"/>
        </w:rPr>
        <w:t>s</w:t>
      </w:r>
      <w:r>
        <w:rPr>
          <w:rFonts w:ascii="Calibri" w:eastAsia="Calibri" w:hAnsi="Calibri" w:cs="Calibri"/>
        </w:rPr>
        <w:t xml:space="preserve"> the </w:t>
      </w:r>
      <w:r w:rsidR="0004014A">
        <w:rPr>
          <w:rFonts w:ascii="Calibri" w:eastAsia="Calibri" w:hAnsi="Calibri" w:cs="Calibri"/>
        </w:rPr>
        <w:t xml:space="preserve">previously </w:t>
      </w:r>
      <w:r w:rsidR="00132C7C">
        <w:rPr>
          <w:rFonts w:ascii="Calibri" w:eastAsia="Calibri" w:hAnsi="Calibri" w:cs="Calibri"/>
        </w:rPr>
        <w:t xml:space="preserve">cited </w:t>
      </w:r>
      <w:r>
        <w:rPr>
          <w:rFonts w:ascii="Calibri" w:eastAsia="Calibri" w:hAnsi="Calibri" w:cs="Calibri"/>
        </w:rPr>
        <w:t xml:space="preserve">lack of ASC </w:t>
      </w:r>
      <w:r w:rsidR="00132C7C">
        <w:rPr>
          <w:rFonts w:ascii="Calibri" w:eastAsia="Calibri" w:hAnsi="Calibri" w:cs="Calibri"/>
        </w:rPr>
        <w:t>r</w:t>
      </w:r>
      <w:r>
        <w:rPr>
          <w:rFonts w:ascii="Calibri" w:eastAsia="Calibri" w:hAnsi="Calibri" w:cs="Calibri"/>
        </w:rPr>
        <w:t>esources</w:t>
      </w:r>
      <w:r w:rsidR="00132C7C">
        <w:rPr>
          <w:rFonts w:ascii="Calibri" w:eastAsia="Calibri" w:hAnsi="Calibri" w:cs="Calibri"/>
        </w:rPr>
        <w:t xml:space="preserve"> in Massachusetts</w:t>
      </w:r>
      <w:r w:rsidR="00132C7C" w:rsidRPr="00590524">
        <w:rPr>
          <w:rFonts w:eastAsia="Calibri"/>
        </w:rPr>
        <w:t>.</w:t>
      </w:r>
      <w:r w:rsidR="0FB01F00" w:rsidRPr="00590524">
        <w:rPr>
          <w:rFonts w:eastAsia="Aptos"/>
        </w:rPr>
        <w:t xml:space="preserve"> </w:t>
      </w:r>
    </w:p>
    <w:p w14:paraId="0F47C9F5" w14:textId="70C8F7C3" w:rsidR="00013EA1" w:rsidRDefault="0FB01F00" w:rsidP="0081099C">
      <w:pPr>
        <w:autoSpaceDE w:val="0"/>
        <w:autoSpaceDN w:val="0"/>
        <w:adjustRightInd w:val="0"/>
        <w:spacing w:after="160" w:line="257" w:lineRule="auto"/>
        <w:rPr>
          <w:rFonts w:ascii="Calibri" w:eastAsia="Calibri" w:hAnsi="Calibri" w:cs="Calibri"/>
        </w:rPr>
      </w:pPr>
      <w:r w:rsidRPr="00590524">
        <w:rPr>
          <w:rFonts w:eastAsia="Aptos"/>
        </w:rPr>
        <w:t xml:space="preserve">The HPC examined the existing ASC’s and the specialties offered in its </w:t>
      </w:r>
      <w:r w:rsidRPr="00590524">
        <w:rPr>
          <w:rFonts w:eastAsia="Aptos"/>
          <w:i/>
          <w:iCs/>
        </w:rPr>
        <w:t xml:space="preserve">Issue 26: Trends in Ambulatory Surgical Centers in </w:t>
      </w:r>
      <w:r w:rsidR="00D738AB" w:rsidRPr="00590524">
        <w:rPr>
          <w:rFonts w:eastAsia="Aptos"/>
          <w:i/>
          <w:iCs/>
        </w:rPr>
        <w:t>Massachusetts</w:t>
      </w:r>
      <w:r w:rsidRPr="00590524">
        <w:rPr>
          <w:rFonts w:eastAsia="Aptos"/>
        </w:rPr>
        <w:t xml:space="preserve"> which highlighted the lack of ASC capacity</w:t>
      </w:r>
      <w:r w:rsidR="00590524">
        <w:rPr>
          <w:rFonts w:eastAsia="Aptos"/>
        </w:rPr>
        <w:t xml:space="preserve"> </w:t>
      </w:r>
      <w:r w:rsidR="00590524" w:rsidRPr="00590524">
        <w:rPr>
          <w:rFonts w:eastAsia="Aptos"/>
        </w:rPr>
        <w:t>by specialty</w:t>
      </w:r>
      <w:r w:rsidRPr="00590524">
        <w:rPr>
          <w:rFonts w:eastAsia="Aptos"/>
        </w:rPr>
        <w:t>.  Staff notes that among the specialties showing need were ENT, Orthopedics, and OB/GYN, specialties the Applicant intends to provide.</w:t>
      </w:r>
      <w:r w:rsidR="0081099C">
        <w:rPr>
          <w:rFonts w:eastAsia="Aptos"/>
        </w:rPr>
        <w:t xml:space="preserve"> </w:t>
      </w:r>
      <w:r w:rsidR="00013EA1" w:rsidRPr="00013EA1">
        <w:rPr>
          <w:rFonts w:ascii="Calibri" w:eastAsia="Calibri" w:hAnsi="Calibri" w:cs="Calibri"/>
        </w:rPr>
        <w:t>For example, HPC found that for ENT, of the ASC-eligible procedures only 8% of Commercial and 7% of MassHealth procedures were performed in an ASC; similarly, for Orthopedic procedures, 15% and 9% respectively of Commercial and MassHealth ASC</w:t>
      </w:r>
      <w:r w:rsidR="00E63F34">
        <w:rPr>
          <w:rFonts w:ascii="Calibri" w:eastAsia="Calibri" w:hAnsi="Calibri" w:cs="Calibri"/>
        </w:rPr>
        <w:t>-</w:t>
      </w:r>
      <w:r w:rsidR="00013EA1" w:rsidRPr="00013EA1">
        <w:rPr>
          <w:rFonts w:ascii="Calibri" w:eastAsia="Calibri" w:hAnsi="Calibri" w:cs="Calibri"/>
        </w:rPr>
        <w:t xml:space="preserve">eligible procedures </w:t>
      </w:r>
      <w:r w:rsidR="0065741C">
        <w:rPr>
          <w:rFonts w:ascii="Calibri" w:eastAsia="Calibri" w:hAnsi="Calibri" w:cs="Calibri"/>
        </w:rPr>
        <w:t xml:space="preserve">were performed </w:t>
      </w:r>
      <w:r w:rsidR="00013EA1" w:rsidRPr="00013EA1">
        <w:rPr>
          <w:rFonts w:ascii="Calibri" w:eastAsia="Calibri" w:hAnsi="Calibri" w:cs="Calibri"/>
        </w:rPr>
        <w:t>in that setting and for Reproductive Health, the percentages were lower, 5% and 2% respectively.</w:t>
      </w:r>
      <w:r w:rsidR="0065741C">
        <w:rPr>
          <w:rFonts w:ascii="Calibri" w:eastAsia="Calibri" w:hAnsi="Calibri" w:cs="Calibri"/>
        </w:rPr>
        <w:t xml:space="preserve"> As discussed </w:t>
      </w:r>
      <w:r w:rsidR="00B21E08">
        <w:rPr>
          <w:rFonts w:ascii="Calibri" w:eastAsia="Calibri" w:hAnsi="Calibri" w:cs="Calibri"/>
        </w:rPr>
        <w:t>further in Factors 1 and 2, this lack of access to ASCs has implications for cost, quality</w:t>
      </w:r>
      <w:r w:rsidR="009439EF">
        <w:rPr>
          <w:rFonts w:ascii="Calibri" w:eastAsia="Calibri" w:hAnsi="Calibri" w:cs="Calibri"/>
        </w:rPr>
        <w:t xml:space="preserve">, </w:t>
      </w:r>
      <w:r w:rsidR="0081099C">
        <w:rPr>
          <w:rFonts w:ascii="Calibri" w:eastAsia="Calibri" w:hAnsi="Calibri" w:cs="Calibri"/>
        </w:rPr>
        <w:t>equity,</w:t>
      </w:r>
      <w:r w:rsidR="00B21E08">
        <w:rPr>
          <w:rFonts w:ascii="Calibri" w:eastAsia="Calibri" w:hAnsi="Calibri" w:cs="Calibri"/>
        </w:rPr>
        <w:t xml:space="preserve"> and coordination of care.</w:t>
      </w:r>
    </w:p>
    <w:p w14:paraId="09CA392D" w14:textId="7D6A1506" w:rsidR="00A04CFC" w:rsidRDefault="0084485C" w:rsidP="391A23E5">
      <w:pPr>
        <w:autoSpaceDE w:val="0"/>
        <w:autoSpaceDN w:val="0"/>
        <w:adjustRightInd w:val="0"/>
        <w:spacing w:after="200"/>
        <w:rPr>
          <w:rFonts w:ascii="Calibri" w:eastAsia="Calibri" w:hAnsi="Calibri" w:cs="Calibri"/>
        </w:rPr>
      </w:pPr>
      <w:r w:rsidRPr="05AFC214">
        <w:rPr>
          <w:rFonts w:ascii="Calibri" w:eastAsia="Calibri" w:hAnsi="Calibri" w:cs="Calibri"/>
        </w:rPr>
        <w:t>T</w:t>
      </w:r>
      <w:r w:rsidR="0031507C" w:rsidRPr="05AFC214">
        <w:rPr>
          <w:rFonts w:ascii="Calibri" w:eastAsia="Calibri" w:hAnsi="Calibri" w:cs="Calibri"/>
        </w:rPr>
        <w:t xml:space="preserve">he </w:t>
      </w:r>
      <w:r w:rsidR="00DC0C75" w:rsidRPr="05AFC214">
        <w:rPr>
          <w:rFonts w:ascii="Calibri" w:eastAsia="Calibri" w:hAnsi="Calibri" w:cs="Calibri"/>
        </w:rPr>
        <w:t>Applicant</w:t>
      </w:r>
      <w:r w:rsidRPr="05AFC214">
        <w:rPr>
          <w:rFonts w:ascii="Calibri" w:eastAsia="Calibri" w:hAnsi="Calibri" w:cs="Calibri"/>
        </w:rPr>
        <w:t xml:space="preserve"> also</w:t>
      </w:r>
      <w:r w:rsidR="00DC0C75" w:rsidRPr="05AFC214">
        <w:rPr>
          <w:rFonts w:ascii="Calibri" w:eastAsia="Calibri" w:hAnsi="Calibri" w:cs="Calibri"/>
        </w:rPr>
        <w:t xml:space="preserve"> </w:t>
      </w:r>
      <w:r w:rsidR="00506438" w:rsidRPr="05AFC214">
        <w:rPr>
          <w:rFonts w:ascii="Calibri" w:eastAsia="Calibri" w:hAnsi="Calibri" w:cs="Calibri"/>
        </w:rPr>
        <w:t xml:space="preserve">asserts that another indication of the lack of ASC resources is that </w:t>
      </w:r>
      <w:r w:rsidR="00DC0C75" w:rsidRPr="05AFC214">
        <w:rPr>
          <w:rFonts w:ascii="Calibri" w:eastAsia="Calibri" w:hAnsi="Calibri" w:cs="Calibri"/>
        </w:rPr>
        <w:t xml:space="preserve">the </w:t>
      </w:r>
      <w:r w:rsidR="00A743A1" w:rsidRPr="05AFC214">
        <w:rPr>
          <w:rFonts w:ascii="Calibri" w:eastAsia="Calibri" w:hAnsi="Calibri" w:cs="Calibri"/>
        </w:rPr>
        <w:t>Atrius Health surgeons are often unable to secure operating</w:t>
      </w:r>
      <w:r w:rsidR="0078061B" w:rsidRPr="05AFC214">
        <w:rPr>
          <w:rFonts w:ascii="Calibri" w:eastAsia="Calibri" w:hAnsi="Calibri" w:cs="Calibri"/>
        </w:rPr>
        <w:t xml:space="preserve"> room</w:t>
      </w:r>
      <w:r w:rsidR="00A743A1" w:rsidRPr="05AFC214">
        <w:rPr>
          <w:rFonts w:ascii="Calibri" w:eastAsia="Calibri" w:hAnsi="Calibri" w:cs="Calibri"/>
        </w:rPr>
        <w:t xml:space="preserve"> time at other ASCs, and instead perform procedures in hospital settings or refer patients to specialists outside Atrius Health</w:t>
      </w:r>
      <w:r w:rsidR="0031507C" w:rsidRPr="05AFC214">
        <w:rPr>
          <w:rFonts w:ascii="Calibri" w:eastAsia="Calibri" w:hAnsi="Calibri" w:cs="Calibri"/>
        </w:rPr>
        <w:t xml:space="preserve">. </w:t>
      </w:r>
      <w:r w:rsidR="00C941A9" w:rsidRPr="05AFC214">
        <w:rPr>
          <w:rFonts w:ascii="Calibri" w:eastAsia="Calibri" w:hAnsi="Calibri" w:cs="Calibri"/>
        </w:rPr>
        <w:t>Th</w:t>
      </w:r>
      <w:r w:rsidR="00DC0C75" w:rsidRPr="05AFC214">
        <w:rPr>
          <w:rFonts w:ascii="Calibri" w:eastAsia="Calibri" w:hAnsi="Calibri" w:cs="Calibri"/>
        </w:rPr>
        <w:t>ese actions can negatively impact the</w:t>
      </w:r>
      <w:r w:rsidR="00C941A9" w:rsidRPr="05AFC214">
        <w:rPr>
          <w:rFonts w:ascii="Calibri" w:eastAsia="Calibri" w:hAnsi="Calibri" w:cs="Calibri"/>
        </w:rPr>
        <w:t xml:space="preserve"> cost and </w:t>
      </w:r>
      <w:r w:rsidR="00506438" w:rsidRPr="05AFC214">
        <w:rPr>
          <w:rFonts w:ascii="Calibri" w:eastAsia="Calibri" w:hAnsi="Calibri" w:cs="Calibri"/>
        </w:rPr>
        <w:t xml:space="preserve">outcomes </w:t>
      </w:r>
      <w:r w:rsidR="00C941A9" w:rsidRPr="05AFC214">
        <w:rPr>
          <w:rFonts w:ascii="Calibri" w:eastAsia="Calibri" w:hAnsi="Calibri" w:cs="Calibri"/>
        </w:rPr>
        <w:t>of care</w:t>
      </w:r>
      <w:r w:rsidR="00506438" w:rsidRPr="05AFC214">
        <w:rPr>
          <w:rFonts w:ascii="Calibri" w:eastAsia="Calibri" w:hAnsi="Calibri" w:cs="Calibri"/>
        </w:rPr>
        <w:t>,</w:t>
      </w:r>
      <w:r w:rsidR="00C941A9" w:rsidRPr="05AFC214">
        <w:rPr>
          <w:rFonts w:ascii="Calibri" w:eastAsia="Calibri" w:hAnsi="Calibri" w:cs="Calibri"/>
        </w:rPr>
        <w:t xml:space="preserve"> since as discussed in Factor 1</w:t>
      </w:r>
      <w:r w:rsidR="0078061B" w:rsidRPr="05AFC214">
        <w:rPr>
          <w:rFonts w:ascii="Calibri" w:eastAsia="Calibri" w:hAnsi="Calibri" w:cs="Calibri"/>
        </w:rPr>
        <w:t xml:space="preserve"> (b), </w:t>
      </w:r>
      <w:r w:rsidR="00C941A9" w:rsidRPr="05AFC214">
        <w:rPr>
          <w:rFonts w:ascii="Calibri" w:eastAsia="Calibri" w:hAnsi="Calibri" w:cs="Calibri"/>
        </w:rPr>
        <w:t>(e) and (f)</w:t>
      </w:r>
      <w:r w:rsidR="00506438" w:rsidRPr="05AFC214">
        <w:rPr>
          <w:rFonts w:ascii="Calibri" w:eastAsia="Calibri" w:hAnsi="Calibri" w:cs="Calibri"/>
        </w:rPr>
        <w:t>,</w:t>
      </w:r>
      <w:r w:rsidR="00C941A9" w:rsidRPr="05AFC214">
        <w:rPr>
          <w:rFonts w:ascii="Calibri" w:eastAsia="Calibri" w:hAnsi="Calibri" w:cs="Calibri"/>
        </w:rPr>
        <w:t xml:space="preserve"> HOPDs cost more, and referr</w:t>
      </w:r>
      <w:r w:rsidR="00506438" w:rsidRPr="05AFC214">
        <w:rPr>
          <w:rFonts w:ascii="Calibri" w:eastAsia="Calibri" w:hAnsi="Calibri" w:cs="Calibri"/>
        </w:rPr>
        <w:t>als</w:t>
      </w:r>
      <w:r w:rsidR="00C941A9" w:rsidRPr="05AFC214">
        <w:rPr>
          <w:rFonts w:ascii="Calibri" w:eastAsia="Calibri" w:hAnsi="Calibri" w:cs="Calibri"/>
        </w:rPr>
        <w:t xml:space="preserve"> out </w:t>
      </w:r>
      <w:r w:rsidR="0031507C" w:rsidRPr="05AFC214">
        <w:rPr>
          <w:rFonts w:ascii="Calibri" w:eastAsia="Calibri" w:hAnsi="Calibri" w:cs="Calibri"/>
        </w:rPr>
        <w:t>of</w:t>
      </w:r>
      <w:r w:rsidR="00C941A9" w:rsidRPr="05AFC214">
        <w:rPr>
          <w:rFonts w:ascii="Calibri" w:eastAsia="Calibri" w:hAnsi="Calibri" w:cs="Calibri"/>
        </w:rPr>
        <w:t xml:space="preserve"> the integrated Atrius network</w:t>
      </w:r>
      <w:r w:rsidR="00010956" w:rsidRPr="05AFC214">
        <w:rPr>
          <w:rFonts w:ascii="Calibri" w:eastAsia="Calibri" w:hAnsi="Calibri" w:cs="Calibri"/>
        </w:rPr>
        <w:t xml:space="preserve"> </w:t>
      </w:r>
      <w:r w:rsidR="0078061B" w:rsidRPr="05AFC214">
        <w:rPr>
          <w:rFonts w:ascii="Calibri" w:eastAsia="Calibri" w:hAnsi="Calibri" w:cs="Calibri"/>
        </w:rPr>
        <w:t xml:space="preserve">can also </w:t>
      </w:r>
      <w:r w:rsidR="00506438" w:rsidRPr="05AFC214">
        <w:rPr>
          <w:rFonts w:ascii="Calibri" w:eastAsia="Calibri" w:hAnsi="Calibri" w:cs="Calibri"/>
        </w:rPr>
        <w:t xml:space="preserve">result in </w:t>
      </w:r>
      <w:r w:rsidR="000C7105" w:rsidRPr="05AFC214">
        <w:rPr>
          <w:rFonts w:ascii="Calibri" w:eastAsia="Calibri" w:hAnsi="Calibri" w:cs="Calibri"/>
        </w:rPr>
        <w:t xml:space="preserve">more </w:t>
      </w:r>
      <w:r w:rsidR="00506438" w:rsidRPr="05AFC214">
        <w:rPr>
          <w:rFonts w:ascii="Calibri" w:eastAsia="Calibri" w:hAnsi="Calibri" w:cs="Calibri"/>
        </w:rPr>
        <w:t>fragmented care</w:t>
      </w:r>
      <w:r w:rsidR="00A743A1" w:rsidRPr="05AFC214">
        <w:rPr>
          <w:rFonts w:ascii="Calibri" w:eastAsia="Calibri" w:hAnsi="Calibri" w:cs="Calibri"/>
        </w:rPr>
        <w:t>.</w:t>
      </w:r>
      <w:r w:rsidR="000C7105" w:rsidRPr="05AFC214">
        <w:rPr>
          <w:rFonts w:ascii="Calibri" w:eastAsia="Calibri" w:hAnsi="Calibri" w:cs="Calibri"/>
        </w:rPr>
        <w:t xml:space="preserve"> </w:t>
      </w:r>
      <w:r w:rsidR="0031507C" w:rsidRPr="05AFC214">
        <w:rPr>
          <w:rFonts w:ascii="Calibri" w:eastAsia="Calibri" w:hAnsi="Calibri" w:cs="Calibri"/>
        </w:rPr>
        <w:t>With Project Approval,</w:t>
      </w:r>
      <w:r w:rsidR="0085365C" w:rsidRPr="05AFC214">
        <w:rPr>
          <w:rFonts w:ascii="Calibri" w:eastAsia="Calibri" w:hAnsi="Calibri" w:cs="Calibri"/>
        </w:rPr>
        <w:t xml:space="preserve"> the Applicant </w:t>
      </w:r>
      <w:r w:rsidR="00075D15" w:rsidRPr="05AFC214">
        <w:rPr>
          <w:rFonts w:ascii="Calibri" w:eastAsia="Calibri" w:hAnsi="Calibri" w:cs="Calibri"/>
        </w:rPr>
        <w:t>states not</w:t>
      </w:r>
      <w:r w:rsidR="00A743A1" w:rsidRPr="05AFC214">
        <w:rPr>
          <w:rFonts w:ascii="Calibri" w:eastAsia="Calibri" w:hAnsi="Calibri" w:cs="Calibri"/>
        </w:rPr>
        <w:t xml:space="preserve"> only will the</w:t>
      </w:r>
      <w:r w:rsidR="00A83FE5" w:rsidRPr="05AFC214">
        <w:rPr>
          <w:rFonts w:ascii="Calibri" w:eastAsia="Calibri" w:hAnsi="Calibri" w:cs="Calibri"/>
        </w:rPr>
        <w:t xml:space="preserve"> ASC </w:t>
      </w:r>
      <w:r w:rsidR="00A743A1" w:rsidRPr="05AFC214">
        <w:rPr>
          <w:rFonts w:ascii="Calibri" w:eastAsia="Calibri" w:hAnsi="Calibri" w:cs="Calibri"/>
        </w:rPr>
        <w:t>increase</w:t>
      </w:r>
      <w:r w:rsidR="00A83FE5" w:rsidRPr="05AFC214">
        <w:rPr>
          <w:rFonts w:ascii="Calibri" w:eastAsia="Calibri" w:hAnsi="Calibri" w:cs="Calibri"/>
        </w:rPr>
        <w:t xml:space="preserve"> </w:t>
      </w:r>
      <w:r w:rsidR="0078061B" w:rsidRPr="05AFC214">
        <w:rPr>
          <w:rFonts w:ascii="Calibri" w:eastAsia="Calibri" w:hAnsi="Calibri" w:cs="Calibri"/>
        </w:rPr>
        <w:t xml:space="preserve">OR </w:t>
      </w:r>
      <w:r w:rsidR="00A743A1" w:rsidRPr="05AFC214">
        <w:rPr>
          <w:rFonts w:ascii="Calibri" w:eastAsia="Calibri" w:hAnsi="Calibri" w:cs="Calibri"/>
        </w:rPr>
        <w:t>capacity</w:t>
      </w:r>
      <w:r w:rsidR="00A83FE5" w:rsidRPr="05AFC214">
        <w:rPr>
          <w:rFonts w:ascii="Calibri" w:eastAsia="Calibri" w:hAnsi="Calibri" w:cs="Calibri"/>
        </w:rPr>
        <w:t xml:space="preserve"> in eastern Massachusetts</w:t>
      </w:r>
      <w:r w:rsidR="00A743A1" w:rsidRPr="05AFC214">
        <w:rPr>
          <w:rFonts w:ascii="Calibri" w:eastAsia="Calibri" w:hAnsi="Calibri" w:cs="Calibri"/>
        </w:rPr>
        <w:t xml:space="preserve">, </w:t>
      </w:r>
      <w:proofErr w:type="gramStart"/>
      <w:r w:rsidR="00A743A1" w:rsidRPr="05AFC214">
        <w:rPr>
          <w:rFonts w:ascii="Calibri" w:eastAsia="Calibri" w:hAnsi="Calibri" w:cs="Calibri"/>
        </w:rPr>
        <w:t>it</w:t>
      </w:r>
      <w:proofErr w:type="gramEnd"/>
      <w:r w:rsidR="00A743A1" w:rsidRPr="05AFC214">
        <w:rPr>
          <w:rFonts w:ascii="Calibri" w:eastAsia="Calibri" w:hAnsi="Calibri" w:cs="Calibri"/>
        </w:rPr>
        <w:t xml:space="preserve"> will also lower the cost of care for the </w:t>
      </w:r>
      <w:r w:rsidR="6C6057F3" w:rsidRPr="05AFC214">
        <w:rPr>
          <w:rFonts w:ascii="Calibri" w:eastAsia="Calibri" w:hAnsi="Calibri" w:cs="Calibri"/>
        </w:rPr>
        <w:t>Patient Panel thereby contributing to the Commonwealth’s cost containment goals.</w:t>
      </w:r>
    </w:p>
    <w:p w14:paraId="5B3BC8A7" w14:textId="6572C72D" w:rsidR="008D6AED" w:rsidRPr="008D6AED" w:rsidRDefault="006C43F9" w:rsidP="008D6AED">
      <w:pPr>
        <w:pStyle w:val="FootnoteText"/>
        <w:autoSpaceDE w:val="0"/>
        <w:autoSpaceDN w:val="0"/>
        <w:adjustRightInd w:val="0"/>
        <w:rPr>
          <w:rFonts w:ascii="Calibri" w:eastAsia="Calibri" w:hAnsi="Calibri" w:cs="Calibri"/>
          <w:b/>
          <w:bCs/>
          <w:sz w:val="24"/>
          <w:szCs w:val="24"/>
        </w:rPr>
      </w:pPr>
      <w:r w:rsidRPr="58F29FD3">
        <w:rPr>
          <w:rFonts w:ascii="Calibri" w:eastAsia="Calibri" w:hAnsi="Calibri" w:cs="Calibri"/>
          <w:sz w:val="24"/>
          <w:szCs w:val="24"/>
        </w:rPr>
        <w:t xml:space="preserve">The Applicant states that it selected the Waltham site because of its central location </w:t>
      </w:r>
      <w:r w:rsidR="000B3003">
        <w:rPr>
          <w:rFonts w:ascii="Calibri" w:eastAsia="Calibri" w:hAnsi="Calibri" w:cs="Calibri"/>
          <w:sz w:val="24"/>
          <w:szCs w:val="24"/>
        </w:rPr>
        <w:t xml:space="preserve">and </w:t>
      </w:r>
      <w:r w:rsidRPr="58F29FD3">
        <w:rPr>
          <w:rFonts w:ascii="Calibri" w:eastAsia="Calibri" w:hAnsi="Calibri" w:cs="Calibri"/>
          <w:sz w:val="24"/>
          <w:szCs w:val="24"/>
        </w:rPr>
        <w:t xml:space="preserve">proximity to major access routes so that it is within a 30-minute drive for over 70% of its </w:t>
      </w:r>
      <w:r w:rsidR="41E3164B" w:rsidRPr="58F29FD3">
        <w:rPr>
          <w:rFonts w:ascii="Calibri" w:eastAsia="Calibri" w:hAnsi="Calibri" w:cs="Calibri"/>
          <w:sz w:val="24"/>
          <w:szCs w:val="24"/>
        </w:rPr>
        <w:t>patients</w:t>
      </w:r>
      <w:r w:rsidRPr="58F29FD3">
        <w:rPr>
          <w:rFonts w:ascii="Calibri" w:eastAsia="Calibri" w:hAnsi="Calibri" w:cs="Calibri"/>
          <w:sz w:val="24"/>
          <w:szCs w:val="24"/>
        </w:rPr>
        <w:t xml:space="preserve"> needing surgery</w:t>
      </w:r>
      <w:r w:rsidR="76C41981" w:rsidRPr="58F29FD3">
        <w:rPr>
          <w:rFonts w:ascii="Calibri" w:eastAsia="Calibri" w:hAnsi="Calibri" w:cs="Calibri"/>
          <w:sz w:val="24"/>
          <w:szCs w:val="24"/>
        </w:rPr>
        <w:t>.</w:t>
      </w:r>
      <w:r w:rsidR="00484BF7" w:rsidRPr="58F29FD3">
        <w:rPr>
          <w:rFonts w:ascii="Calibri" w:eastAsia="Calibri" w:hAnsi="Calibri" w:cs="Calibri"/>
          <w:sz w:val="24"/>
          <w:szCs w:val="24"/>
          <w:vertAlign w:val="superscript"/>
        </w:rPr>
        <w:footnoteReference w:id="13"/>
      </w:r>
      <w:r w:rsidRPr="58F29FD3">
        <w:rPr>
          <w:rFonts w:ascii="Calibri" w:eastAsia="Calibri" w:hAnsi="Calibri" w:cs="Calibri"/>
          <w:sz w:val="24"/>
          <w:szCs w:val="24"/>
        </w:rPr>
        <w:t xml:space="preserve"> The Applicant states that </w:t>
      </w:r>
      <w:r w:rsidR="00E0666F">
        <w:rPr>
          <w:rFonts w:ascii="Calibri" w:eastAsia="Calibri" w:hAnsi="Calibri" w:cs="Calibri"/>
          <w:sz w:val="24"/>
          <w:szCs w:val="24"/>
        </w:rPr>
        <w:t xml:space="preserve">currently </w:t>
      </w:r>
      <w:r w:rsidRPr="58F29FD3">
        <w:rPr>
          <w:rFonts w:ascii="Calibri" w:eastAsia="Calibri" w:hAnsi="Calibri" w:cs="Calibri"/>
          <w:sz w:val="24"/>
          <w:szCs w:val="24"/>
        </w:rPr>
        <w:t>there are four (4) ASCs in Waltham</w:t>
      </w:r>
      <w:r w:rsidR="58D5EED9" w:rsidRPr="58F29FD3">
        <w:rPr>
          <w:rFonts w:ascii="Calibri" w:eastAsia="Calibri" w:hAnsi="Calibri" w:cs="Calibri"/>
          <w:sz w:val="24"/>
          <w:szCs w:val="24"/>
        </w:rPr>
        <w:t>;</w:t>
      </w:r>
      <w:r w:rsidRPr="58F29FD3">
        <w:rPr>
          <w:rFonts w:ascii="Calibri" w:eastAsia="Calibri" w:hAnsi="Calibri" w:cs="Calibri"/>
          <w:sz w:val="24"/>
          <w:szCs w:val="24"/>
        </w:rPr>
        <w:t xml:space="preserve"> </w:t>
      </w:r>
      <w:r w:rsidR="3481DF20" w:rsidRPr="58F29FD3">
        <w:rPr>
          <w:rFonts w:ascii="Calibri" w:eastAsia="Calibri" w:hAnsi="Calibri" w:cs="Calibri"/>
          <w:sz w:val="24"/>
          <w:szCs w:val="24"/>
        </w:rPr>
        <w:t>t</w:t>
      </w:r>
      <w:r w:rsidRPr="58F29FD3">
        <w:rPr>
          <w:rFonts w:ascii="Calibri" w:eastAsia="Calibri" w:hAnsi="Calibri" w:cs="Calibri"/>
          <w:sz w:val="24"/>
          <w:szCs w:val="24"/>
        </w:rPr>
        <w:t>wo of the ASCs only offer ophthalmology surgery, one only offers fertility services; and the fourth offers orthopedics and podiatry services</w:t>
      </w:r>
      <w:r w:rsidR="000B3003">
        <w:rPr>
          <w:rFonts w:ascii="Calibri" w:eastAsia="Calibri" w:hAnsi="Calibri" w:cs="Calibri"/>
          <w:sz w:val="24"/>
          <w:szCs w:val="24"/>
        </w:rPr>
        <w:t>.</w:t>
      </w:r>
      <w:r w:rsidR="00B025A5" w:rsidRPr="00B025A5">
        <w:rPr>
          <w:rFonts w:ascii="Calibri" w:eastAsia="Calibri" w:hAnsi="Calibri" w:cs="Calibri"/>
          <w:sz w:val="24"/>
          <w:szCs w:val="24"/>
        </w:rPr>
        <w:t xml:space="preserve"> (Staff also identified a clinic that performs pain management procedures.) </w:t>
      </w:r>
      <w:r w:rsidR="1FF5B81A" w:rsidRPr="58F29FD3">
        <w:rPr>
          <w:rStyle w:val="FootnoteReference"/>
          <w:rFonts w:ascii="Calibri" w:eastAsia="Calibri" w:hAnsi="Calibri" w:cs="Calibri"/>
          <w:sz w:val="24"/>
          <w:szCs w:val="24"/>
          <w:vertAlign w:val="baseline"/>
        </w:rPr>
        <w:t xml:space="preserve">Two </w:t>
      </w:r>
      <w:r w:rsidR="20A54141" w:rsidRPr="58F29FD3">
        <w:rPr>
          <w:rStyle w:val="FootnoteReference"/>
          <w:rFonts w:ascii="Calibri" w:eastAsia="Calibri" w:hAnsi="Calibri" w:cs="Calibri"/>
          <w:sz w:val="24"/>
          <w:szCs w:val="24"/>
          <w:vertAlign w:val="baseline"/>
        </w:rPr>
        <w:t>a</w:t>
      </w:r>
      <w:r w:rsidR="1FF5B81A" w:rsidRPr="58F29FD3">
        <w:rPr>
          <w:rStyle w:val="FootnoteReference"/>
          <w:rFonts w:ascii="Calibri" w:eastAsia="Calibri" w:hAnsi="Calibri" w:cs="Calibri"/>
          <w:sz w:val="24"/>
          <w:szCs w:val="24"/>
          <w:vertAlign w:val="baseline"/>
        </w:rPr>
        <w:t xml:space="preserve">dditional ambulatory surgery </w:t>
      </w:r>
      <w:proofErr w:type="spellStart"/>
      <w:r w:rsidR="1FF5B81A" w:rsidRPr="58F29FD3">
        <w:rPr>
          <w:rStyle w:val="FootnoteReference"/>
          <w:rFonts w:ascii="Calibri" w:eastAsia="Calibri" w:hAnsi="Calibri" w:cs="Calibri"/>
          <w:sz w:val="24"/>
          <w:szCs w:val="24"/>
          <w:vertAlign w:val="baseline"/>
        </w:rPr>
        <w:t>DoN’s</w:t>
      </w:r>
      <w:proofErr w:type="spellEnd"/>
      <w:r w:rsidR="1FF5B81A" w:rsidRPr="58F29FD3">
        <w:rPr>
          <w:rStyle w:val="FootnoteReference"/>
          <w:rFonts w:ascii="Calibri" w:eastAsia="Calibri" w:hAnsi="Calibri" w:cs="Calibri"/>
          <w:sz w:val="24"/>
          <w:szCs w:val="24"/>
          <w:vertAlign w:val="baseline"/>
        </w:rPr>
        <w:t xml:space="preserve"> have been approved</w:t>
      </w:r>
      <w:r w:rsidR="003C1CBC">
        <w:rPr>
          <w:rFonts w:ascii="Calibri" w:eastAsia="Calibri" w:hAnsi="Calibri" w:cs="Calibri"/>
          <w:sz w:val="24"/>
          <w:szCs w:val="24"/>
        </w:rPr>
        <w:t xml:space="preserve"> </w:t>
      </w:r>
      <w:r w:rsidR="1FF5B81A" w:rsidRPr="58F29FD3">
        <w:rPr>
          <w:rStyle w:val="FootnoteReference"/>
          <w:rFonts w:ascii="Calibri" w:eastAsia="Calibri" w:hAnsi="Calibri" w:cs="Calibri"/>
          <w:sz w:val="24"/>
          <w:szCs w:val="24"/>
          <w:vertAlign w:val="baseline"/>
        </w:rPr>
        <w:t>but are not yet operational</w:t>
      </w:r>
      <w:r w:rsidR="0068545C">
        <w:rPr>
          <w:rFonts w:ascii="Calibri" w:eastAsia="Calibri" w:hAnsi="Calibri" w:cs="Calibri"/>
          <w:sz w:val="24"/>
          <w:szCs w:val="24"/>
        </w:rPr>
        <w:t xml:space="preserve"> (one is an HOPD)</w:t>
      </w:r>
      <w:r w:rsidR="130E6CB1" w:rsidRPr="58F29FD3">
        <w:rPr>
          <w:rStyle w:val="FootnoteReference"/>
          <w:rFonts w:ascii="Calibri" w:eastAsia="Calibri" w:hAnsi="Calibri" w:cs="Calibri"/>
          <w:sz w:val="24"/>
          <w:szCs w:val="24"/>
          <w:vertAlign w:val="baseline"/>
        </w:rPr>
        <w:t>; across the two, they will offer</w:t>
      </w:r>
      <w:r w:rsidR="009F6F87">
        <w:rPr>
          <w:rStyle w:val="FootnoteReference"/>
          <w:rFonts w:ascii="Calibri" w:eastAsia="Calibri" w:hAnsi="Calibri" w:cs="Calibri"/>
          <w:sz w:val="24"/>
          <w:szCs w:val="24"/>
          <w:vertAlign w:val="baseline"/>
        </w:rPr>
        <w:t xml:space="preserve"> </w:t>
      </w:r>
      <w:r w:rsidR="008D6AED">
        <w:rPr>
          <w:rFonts w:ascii="Calibri" w:eastAsia="Calibri" w:hAnsi="Calibri" w:cs="Calibri"/>
          <w:sz w:val="24"/>
          <w:szCs w:val="24"/>
        </w:rPr>
        <w:t xml:space="preserve"> spine, orthopedic, podiatry, general surgery, and pain management.</w:t>
      </w:r>
      <w:r w:rsidR="008D6AED">
        <w:rPr>
          <w:rStyle w:val="FootnoteReference"/>
          <w:rFonts w:ascii="Calibri" w:eastAsia="Calibri" w:hAnsi="Calibri" w:cs="Calibri"/>
          <w:sz w:val="24"/>
          <w:szCs w:val="24"/>
        </w:rPr>
        <w:footnoteReference w:id="14"/>
      </w:r>
      <w:r w:rsidR="008D6AED">
        <w:rPr>
          <w:rFonts w:ascii="Calibri" w:eastAsia="Calibri" w:hAnsi="Calibri" w:cs="Calibri"/>
          <w:sz w:val="24"/>
          <w:szCs w:val="24"/>
        </w:rPr>
        <w:t xml:space="preserve"> This Proposed Project will offer ENT, OB-GYN, General Surgery, Orthopedic and Podiatry.</w:t>
      </w:r>
    </w:p>
    <w:p w14:paraId="6CC7F5D2" w14:textId="682E4E44" w:rsidR="0031507C" w:rsidRPr="00F15F09" w:rsidRDefault="383521B5" w:rsidP="58F29FD3">
      <w:pPr>
        <w:pStyle w:val="FootnoteText"/>
        <w:autoSpaceDE w:val="0"/>
        <w:autoSpaceDN w:val="0"/>
        <w:adjustRightInd w:val="0"/>
        <w:spacing w:after="200"/>
        <w:jc w:val="center"/>
        <w:rPr>
          <w:rFonts w:ascii="Calibri" w:eastAsia="Calibri" w:hAnsi="Calibri" w:cs="Calibri"/>
          <w:b/>
          <w:bCs/>
          <w:sz w:val="24"/>
          <w:szCs w:val="24"/>
        </w:rPr>
      </w:pPr>
      <w:r w:rsidRPr="58F29FD3">
        <w:rPr>
          <w:rFonts w:ascii="Calibri" w:eastAsia="Calibri" w:hAnsi="Calibri" w:cs="Calibri"/>
          <w:b/>
          <w:bCs/>
          <w:sz w:val="24"/>
          <w:szCs w:val="24"/>
        </w:rPr>
        <w:lastRenderedPageBreak/>
        <w:t>Table 5:</w:t>
      </w:r>
      <w:r w:rsidR="78313221" w:rsidRPr="58F29FD3">
        <w:rPr>
          <w:rFonts w:ascii="Calibri" w:eastAsia="Calibri" w:hAnsi="Calibri" w:cs="Calibri"/>
          <w:b/>
          <w:bCs/>
          <w:sz w:val="24"/>
          <w:szCs w:val="24"/>
        </w:rPr>
        <w:t xml:space="preserve"> Location of Surgery</w:t>
      </w:r>
      <w:r w:rsidR="6D63E413" w:rsidRPr="58F29FD3">
        <w:rPr>
          <w:rFonts w:ascii="Calibri" w:eastAsia="Calibri" w:hAnsi="Calibri" w:cs="Calibri"/>
          <w:b/>
          <w:bCs/>
          <w:sz w:val="24"/>
          <w:szCs w:val="24"/>
        </w:rPr>
        <w:t xml:space="preserve"> </w:t>
      </w:r>
      <w:r w:rsidR="00936705" w:rsidRPr="58F29FD3">
        <w:rPr>
          <w:rFonts w:ascii="Calibri" w:eastAsia="Calibri" w:hAnsi="Calibri" w:cs="Calibri"/>
          <w:b/>
          <w:bCs/>
          <w:sz w:val="24"/>
          <w:szCs w:val="24"/>
          <w:vertAlign w:val="superscript"/>
        </w:rPr>
        <w:footnoteReference w:id="15"/>
      </w:r>
    </w:p>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900"/>
        <w:gridCol w:w="940"/>
        <w:gridCol w:w="920"/>
        <w:gridCol w:w="940"/>
        <w:gridCol w:w="900"/>
        <w:gridCol w:w="887"/>
        <w:gridCol w:w="1040"/>
        <w:gridCol w:w="1210"/>
        <w:gridCol w:w="1078"/>
      </w:tblGrid>
      <w:tr w:rsidR="0031507C" w:rsidRPr="008D0C2A" w14:paraId="5D407D8C" w14:textId="77777777" w:rsidTr="004014F0">
        <w:trPr>
          <w:cantSplit/>
          <w:trHeight w:val="690"/>
          <w:tblHeader/>
        </w:trPr>
        <w:tc>
          <w:tcPr>
            <w:tcW w:w="1625" w:type="dxa"/>
            <w:shd w:val="clear" w:color="auto" w:fill="E5FFFF"/>
            <w:vAlign w:val="center"/>
            <w:hideMark/>
          </w:tcPr>
          <w:p w14:paraId="4E2E7419" w14:textId="1A78B967" w:rsidR="0031507C" w:rsidRPr="008D0C2A" w:rsidRDefault="00B65ABE" w:rsidP="0095108D">
            <w:pPr>
              <w:rPr>
                <w:rFonts w:ascii="Calibri" w:eastAsia="Times New Roman" w:hAnsi="Calibri" w:cs="Calibri"/>
                <w:b/>
                <w:bCs/>
                <w:color w:val="242424"/>
              </w:rPr>
            </w:pPr>
            <w:r>
              <w:rPr>
                <w:rFonts w:ascii="Calibri" w:eastAsia="Times New Roman" w:hAnsi="Calibri" w:cs="Calibri"/>
                <w:b/>
                <w:bCs/>
                <w:color w:val="242424"/>
              </w:rPr>
              <w:t>Location</w:t>
            </w:r>
            <w:r w:rsidR="0031507C" w:rsidRPr="008D0C2A">
              <w:rPr>
                <w:rFonts w:ascii="Calibri" w:eastAsia="Times New Roman" w:hAnsi="Calibri" w:cs="Calibri"/>
                <w:b/>
                <w:bCs/>
                <w:color w:val="242424"/>
              </w:rPr>
              <w:t xml:space="preserve"> of Surgery</w:t>
            </w:r>
          </w:p>
        </w:tc>
        <w:tc>
          <w:tcPr>
            <w:tcW w:w="900" w:type="dxa"/>
            <w:shd w:val="clear" w:color="auto" w:fill="E5FFFF"/>
            <w:noWrap/>
            <w:vAlign w:val="center"/>
            <w:hideMark/>
          </w:tcPr>
          <w:p w14:paraId="6728B1D4"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18</w:t>
            </w:r>
          </w:p>
        </w:tc>
        <w:tc>
          <w:tcPr>
            <w:tcW w:w="940" w:type="dxa"/>
            <w:shd w:val="clear" w:color="auto" w:fill="E5FFFF"/>
            <w:noWrap/>
            <w:vAlign w:val="center"/>
            <w:hideMark/>
          </w:tcPr>
          <w:p w14:paraId="1F3B0E8C"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19</w:t>
            </w:r>
          </w:p>
        </w:tc>
        <w:tc>
          <w:tcPr>
            <w:tcW w:w="920" w:type="dxa"/>
            <w:shd w:val="clear" w:color="auto" w:fill="E5FFFF"/>
            <w:noWrap/>
            <w:vAlign w:val="center"/>
            <w:hideMark/>
          </w:tcPr>
          <w:p w14:paraId="37A9E65A"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20</w:t>
            </w:r>
          </w:p>
        </w:tc>
        <w:tc>
          <w:tcPr>
            <w:tcW w:w="940" w:type="dxa"/>
            <w:shd w:val="clear" w:color="auto" w:fill="E5FFFF"/>
            <w:noWrap/>
            <w:vAlign w:val="center"/>
            <w:hideMark/>
          </w:tcPr>
          <w:p w14:paraId="0BF6EE34"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21</w:t>
            </w:r>
          </w:p>
        </w:tc>
        <w:tc>
          <w:tcPr>
            <w:tcW w:w="900" w:type="dxa"/>
            <w:shd w:val="clear" w:color="auto" w:fill="E5FFFF"/>
            <w:noWrap/>
            <w:vAlign w:val="center"/>
            <w:hideMark/>
          </w:tcPr>
          <w:p w14:paraId="1B1CFCC3"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22</w:t>
            </w:r>
          </w:p>
        </w:tc>
        <w:tc>
          <w:tcPr>
            <w:tcW w:w="887" w:type="dxa"/>
            <w:shd w:val="clear" w:color="auto" w:fill="E5FFFF"/>
            <w:noWrap/>
            <w:vAlign w:val="center"/>
            <w:hideMark/>
          </w:tcPr>
          <w:p w14:paraId="42197D56"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23</w:t>
            </w:r>
          </w:p>
        </w:tc>
        <w:tc>
          <w:tcPr>
            <w:tcW w:w="1040" w:type="dxa"/>
            <w:shd w:val="clear" w:color="auto" w:fill="E5FFFF"/>
            <w:vAlign w:val="center"/>
            <w:hideMark/>
          </w:tcPr>
          <w:p w14:paraId="66EA246E" w14:textId="77777777" w:rsidR="0031507C" w:rsidRPr="008D0C2A" w:rsidRDefault="0031507C" w:rsidP="0095108D">
            <w:pPr>
              <w:jc w:val="center"/>
              <w:rPr>
                <w:rFonts w:ascii="Calibri" w:eastAsia="Times New Roman" w:hAnsi="Calibri" w:cs="Calibri"/>
                <w:b/>
                <w:bCs/>
                <w:color w:val="000000"/>
              </w:rPr>
            </w:pPr>
            <w:r>
              <w:rPr>
                <w:rFonts w:ascii="Calibri" w:eastAsia="Times New Roman" w:hAnsi="Calibri" w:cs="Calibri"/>
                <w:b/>
                <w:bCs/>
                <w:color w:val="000000"/>
              </w:rPr>
              <w:t xml:space="preserve">CY 23 </w:t>
            </w:r>
            <w:r w:rsidRPr="008D0C2A">
              <w:rPr>
                <w:rFonts w:ascii="Calibri" w:eastAsia="Times New Roman" w:hAnsi="Calibri" w:cs="Calibri"/>
                <w:b/>
                <w:bCs/>
                <w:color w:val="000000"/>
              </w:rPr>
              <w:t>% of total</w:t>
            </w:r>
          </w:p>
        </w:tc>
        <w:tc>
          <w:tcPr>
            <w:tcW w:w="1210" w:type="dxa"/>
            <w:shd w:val="clear" w:color="auto" w:fill="E5FFFF"/>
            <w:vAlign w:val="center"/>
            <w:hideMark/>
          </w:tcPr>
          <w:p w14:paraId="3F848825"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CY 18-23 % Change</w:t>
            </w:r>
          </w:p>
        </w:tc>
        <w:tc>
          <w:tcPr>
            <w:tcW w:w="1078" w:type="dxa"/>
            <w:shd w:val="clear" w:color="auto" w:fill="E5FFFF"/>
            <w:vAlign w:val="center"/>
            <w:hideMark/>
          </w:tcPr>
          <w:p w14:paraId="5A67DAC4"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Jan-Mar 2024</w:t>
            </w:r>
          </w:p>
        </w:tc>
      </w:tr>
      <w:tr w:rsidR="0031507C" w:rsidRPr="008D0C2A" w14:paraId="1A9F1982" w14:textId="77777777" w:rsidTr="004014F0">
        <w:trPr>
          <w:cantSplit/>
          <w:trHeight w:val="320"/>
        </w:trPr>
        <w:tc>
          <w:tcPr>
            <w:tcW w:w="1625" w:type="dxa"/>
            <w:shd w:val="clear" w:color="auto" w:fill="auto"/>
            <w:noWrap/>
            <w:vAlign w:val="center"/>
            <w:hideMark/>
          </w:tcPr>
          <w:p w14:paraId="0E1D56BA" w14:textId="77777777" w:rsidR="0031507C" w:rsidRPr="008D0C2A" w:rsidRDefault="0031507C" w:rsidP="0095108D">
            <w:pPr>
              <w:rPr>
                <w:rFonts w:ascii="Calibri" w:eastAsia="Times New Roman" w:hAnsi="Calibri" w:cs="Calibri"/>
                <w:color w:val="000000"/>
              </w:rPr>
            </w:pPr>
            <w:r w:rsidRPr="008D0C2A">
              <w:rPr>
                <w:rFonts w:ascii="Calibri" w:eastAsia="Times New Roman" w:hAnsi="Calibri" w:cs="Calibri"/>
                <w:color w:val="000000"/>
              </w:rPr>
              <w:t>ASC</w:t>
            </w:r>
          </w:p>
        </w:tc>
        <w:tc>
          <w:tcPr>
            <w:tcW w:w="900" w:type="dxa"/>
            <w:shd w:val="clear" w:color="auto" w:fill="auto"/>
            <w:noWrap/>
            <w:vAlign w:val="center"/>
            <w:hideMark/>
          </w:tcPr>
          <w:p w14:paraId="1694E282"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974 </w:t>
            </w:r>
          </w:p>
        </w:tc>
        <w:tc>
          <w:tcPr>
            <w:tcW w:w="940" w:type="dxa"/>
            <w:shd w:val="clear" w:color="auto" w:fill="auto"/>
            <w:noWrap/>
            <w:vAlign w:val="center"/>
            <w:hideMark/>
          </w:tcPr>
          <w:p w14:paraId="68C24CE5"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1,035 </w:t>
            </w:r>
          </w:p>
        </w:tc>
        <w:tc>
          <w:tcPr>
            <w:tcW w:w="920" w:type="dxa"/>
            <w:shd w:val="clear" w:color="auto" w:fill="auto"/>
            <w:noWrap/>
            <w:vAlign w:val="center"/>
            <w:hideMark/>
          </w:tcPr>
          <w:p w14:paraId="010CEBD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863 </w:t>
            </w:r>
          </w:p>
        </w:tc>
        <w:tc>
          <w:tcPr>
            <w:tcW w:w="940" w:type="dxa"/>
            <w:shd w:val="clear" w:color="auto" w:fill="auto"/>
            <w:noWrap/>
            <w:vAlign w:val="center"/>
            <w:hideMark/>
          </w:tcPr>
          <w:p w14:paraId="67BFB014"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1,048 </w:t>
            </w:r>
          </w:p>
        </w:tc>
        <w:tc>
          <w:tcPr>
            <w:tcW w:w="900" w:type="dxa"/>
            <w:shd w:val="clear" w:color="auto" w:fill="auto"/>
            <w:noWrap/>
            <w:vAlign w:val="center"/>
            <w:hideMark/>
          </w:tcPr>
          <w:p w14:paraId="3FD2D279"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1,584 </w:t>
            </w:r>
          </w:p>
        </w:tc>
        <w:tc>
          <w:tcPr>
            <w:tcW w:w="887" w:type="dxa"/>
            <w:shd w:val="clear" w:color="auto" w:fill="auto"/>
            <w:noWrap/>
            <w:vAlign w:val="center"/>
            <w:hideMark/>
          </w:tcPr>
          <w:p w14:paraId="15E13DC8"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1,971 </w:t>
            </w:r>
          </w:p>
        </w:tc>
        <w:tc>
          <w:tcPr>
            <w:tcW w:w="1040" w:type="dxa"/>
            <w:shd w:val="clear" w:color="auto" w:fill="auto"/>
            <w:noWrap/>
            <w:vAlign w:val="center"/>
            <w:hideMark/>
          </w:tcPr>
          <w:p w14:paraId="7D0BE29E"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12.1%</w:t>
            </w:r>
          </w:p>
        </w:tc>
        <w:tc>
          <w:tcPr>
            <w:tcW w:w="1210" w:type="dxa"/>
            <w:shd w:val="clear" w:color="auto" w:fill="auto"/>
            <w:noWrap/>
            <w:vAlign w:val="center"/>
            <w:hideMark/>
          </w:tcPr>
          <w:p w14:paraId="4C01B3BF"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102.4%</w:t>
            </w:r>
          </w:p>
        </w:tc>
        <w:tc>
          <w:tcPr>
            <w:tcW w:w="1078" w:type="dxa"/>
            <w:shd w:val="clear" w:color="auto" w:fill="auto"/>
            <w:noWrap/>
            <w:vAlign w:val="center"/>
            <w:hideMark/>
          </w:tcPr>
          <w:p w14:paraId="78597309"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508 </w:t>
            </w:r>
          </w:p>
        </w:tc>
      </w:tr>
      <w:tr w:rsidR="0031507C" w:rsidRPr="008D0C2A" w14:paraId="11E6D759" w14:textId="77777777" w:rsidTr="004014F0">
        <w:trPr>
          <w:cantSplit/>
          <w:trHeight w:val="320"/>
        </w:trPr>
        <w:tc>
          <w:tcPr>
            <w:tcW w:w="1625" w:type="dxa"/>
            <w:shd w:val="clear" w:color="auto" w:fill="auto"/>
            <w:noWrap/>
            <w:vAlign w:val="center"/>
            <w:hideMark/>
          </w:tcPr>
          <w:p w14:paraId="64A23FCE" w14:textId="77777777" w:rsidR="0031507C" w:rsidRPr="008D0C2A" w:rsidRDefault="0031507C" w:rsidP="0095108D">
            <w:pPr>
              <w:rPr>
                <w:rFonts w:ascii="Calibri" w:eastAsia="Times New Roman" w:hAnsi="Calibri" w:cs="Calibri"/>
                <w:color w:val="000000"/>
              </w:rPr>
            </w:pPr>
            <w:r w:rsidRPr="008D0C2A">
              <w:rPr>
                <w:rFonts w:ascii="Calibri" w:eastAsia="Times New Roman" w:hAnsi="Calibri" w:cs="Calibri"/>
                <w:color w:val="000000"/>
              </w:rPr>
              <w:t>OP Hospital</w:t>
            </w:r>
          </w:p>
        </w:tc>
        <w:tc>
          <w:tcPr>
            <w:tcW w:w="900" w:type="dxa"/>
            <w:shd w:val="clear" w:color="auto" w:fill="auto"/>
            <w:noWrap/>
            <w:vAlign w:val="center"/>
            <w:hideMark/>
          </w:tcPr>
          <w:p w14:paraId="3F76A8CA"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10,212 </w:t>
            </w:r>
          </w:p>
        </w:tc>
        <w:tc>
          <w:tcPr>
            <w:tcW w:w="940" w:type="dxa"/>
            <w:shd w:val="clear" w:color="auto" w:fill="auto"/>
            <w:noWrap/>
            <w:vAlign w:val="center"/>
            <w:hideMark/>
          </w:tcPr>
          <w:p w14:paraId="463616E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9,905 </w:t>
            </w:r>
          </w:p>
        </w:tc>
        <w:tc>
          <w:tcPr>
            <w:tcW w:w="920" w:type="dxa"/>
            <w:shd w:val="clear" w:color="auto" w:fill="auto"/>
            <w:noWrap/>
            <w:vAlign w:val="center"/>
            <w:hideMark/>
          </w:tcPr>
          <w:p w14:paraId="2418E39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7,744 </w:t>
            </w:r>
          </w:p>
        </w:tc>
        <w:tc>
          <w:tcPr>
            <w:tcW w:w="940" w:type="dxa"/>
            <w:shd w:val="clear" w:color="auto" w:fill="auto"/>
            <w:noWrap/>
            <w:vAlign w:val="center"/>
            <w:hideMark/>
          </w:tcPr>
          <w:p w14:paraId="69DF4176"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8,735 </w:t>
            </w:r>
          </w:p>
        </w:tc>
        <w:tc>
          <w:tcPr>
            <w:tcW w:w="900" w:type="dxa"/>
            <w:shd w:val="clear" w:color="auto" w:fill="auto"/>
            <w:noWrap/>
            <w:vAlign w:val="center"/>
            <w:hideMark/>
          </w:tcPr>
          <w:p w14:paraId="34DF3B8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9,771 </w:t>
            </w:r>
          </w:p>
        </w:tc>
        <w:tc>
          <w:tcPr>
            <w:tcW w:w="887" w:type="dxa"/>
            <w:shd w:val="clear" w:color="auto" w:fill="auto"/>
            <w:noWrap/>
            <w:vAlign w:val="center"/>
            <w:hideMark/>
          </w:tcPr>
          <w:p w14:paraId="72FADCCA"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10,225 </w:t>
            </w:r>
          </w:p>
        </w:tc>
        <w:tc>
          <w:tcPr>
            <w:tcW w:w="1040" w:type="dxa"/>
            <w:shd w:val="clear" w:color="auto" w:fill="auto"/>
            <w:noWrap/>
            <w:vAlign w:val="center"/>
            <w:hideMark/>
          </w:tcPr>
          <w:p w14:paraId="1CF5272C"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63.0%</w:t>
            </w:r>
          </w:p>
        </w:tc>
        <w:tc>
          <w:tcPr>
            <w:tcW w:w="1210" w:type="dxa"/>
            <w:shd w:val="clear" w:color="auto" w:fill="auto"/>
            <w:noWrap/>
            <w:vAlign w:val="center"/>
            <w:hideMark/>
          </w:tcPr>
          <w:p w14:paraId="03EC8B25"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0.1%</w:t>
            </w:r>
          </w:p>
        </w:tc>
        <w:tc>
          <w:tcPr>
            <w:tcW w:w="1078" w:type="dxa"/>
            <w:shd w:val="clear" w:color="auto" w:fill="auto"/>
            <w:noWrap/>
            <w:vAlign w:val="center"/>
            <w:hideMark/>
          </w:tcPr>
          <w:p w14:paraId="24A2BAD9"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2,653 </w:t>
            </w:r>
          </w:p>
        </w:tc>
      </w:tr>
      <w:tr w:rsidR="0031507C" w:rsidRPr="008D0C2A" w14:paraId="0DBBC2FA" w14:textId="77777777" w:rsidTr="004014F0">
        <w:trPr>
          <w:cantSplit/>
          <w:trHeight w:val="320"/>
        </w:trPr>
        <w:tc>
          <w:tcPr>
            <w:tcW w:w="1625" w:type="dxa"/>
            <w:shd w:val="clear" w:color="auto" w:fill="auto"/>
            <w:noWrap/>
            <w:vAlign w:val="center"/>
          </w:tcPr>
          <w:p w14:paraId="5FE033DE" w14:textId="73C7B6AB" w:rsidR="0031507C" w:rsidRPr="00B8316B" w:rsidRDefault="00D67F23" w:rsidP="0095108D">
            <w:pPr>
              <w:jc w:val="right"/>
              <w:rPr>
                <w:rFonts w:eastAsia="Times New Roman"/>
                <w:b/>
                <w:bCs/>
                <w:color w:val="000000"/>
              </w:rPr>
            </w:pPr>
            <w:r>
              <w:rPr>
                <w:rFonts w:eastAsia="Times New Roman"/>
                <w:b/>
                <w:bCs/>
                <w:color w:val="000000"/>
              </w:rPr>
              <w:t>Total</w:t>
            </w:r>
          </w:p>
        </w:tc>
        <w:tc>
          <w:tcPr>
            <w:tcW w:w="900" w:type="dxa"/>
            <w:shd w:val="clear" w:color="auto" w:fill="auto"/>
            <w:noWrap/>
            <w:vAlign w:val="bottom"/>
          </w:tcPr>
          <w:p w14:paraId="3732B0E1" w14:textId="77777777" w:rsidR="0031507C" w:rsidRPr="00B8316B" w:rsidRDefault="0031507C" w:rsidP="0095108D">
            <w:pPr>
              <w:jc w:val="right"/>
              <w:rPr>
                <w:rFonts w:eastAsia="Times New Roman"/>
                <w:b/>
                <w:bCs/>
                <w:color w:val="000000"/>
              </w:rPr>
            </w:pPr>
            <w:r w:rsidRPr="00B8316B">
              <w:rPr>
                <w:b/>
                <w:bCs/>
                <w:color w:val="000000"/>
              </w:rPr>
              <w:t xml:space="preserve">11,186 </w:t>
            </w:r>
          </w:p>
        </w:tc>
        <w:tc>
          <w:tcPr>
            <w:tcW w:w="940" w:type="dxa"/>
            <w:shd w:val="clear" w:color="auto" w:fill="auto"/>
            <w:noWrap/>
            <w:vAlign w:val="bottom"/>
          </w:tcPr>
          <w:p w14:paraId="2EB86A6D" w14:textId="77777777" w:rsidR="0031507C" w:rsidRPr="00B8316B" w:rsidRDefault="0031507C" w:rsidP="0095108D">
            <w:pPr>
              <w:jc w:val="right"/>
              <w:rPr>
                <w:rFonts w:eastAsia="Times New Roman"/>
                <w:b/>
                <w:bCs/>
                <w:color w:val="000000"/>
              </w:rPr>
            </w:pPr>
            <w:r w:rsidRPr="00B8316B">
              <w:rPr>
                <w:b/>
                <w:bCs/>
                <w:color w:val="000000"/>
              </w:rPr>
              <w:t xml:space="preserve">10,940 </w:t>
            </w:r>
          </w:p>
        </w:tc>
        <w:tc>
          <w:tcPr>
            <w:tcW w:w="920" w:type="dxa"/>
            <w:shd w:val="clear" w:color="auto" w:fill="auto"/>
            <w:noWrap/>
            <w:vAlign w:val="bottom"/>
          </w:tcPr>
          <w:p w14:paraId="73D7A465" w14:textId="77777777" w:rsidR="0031507C" w:rsidRPr="00B8316B" w:rsidRDefault="0031507C" w:rsidP="0095108D">
            <w:pPr>
              <w:jc w:val="right"/>
              <w:rPr>
                <w:rFonts w:eastAsia="Times New Roman"/>
                <w:b/>
                <w:bCs/>
                <w:color w:val="000000"/>
              </w:rPr>
            </w:pPr>
            <w:r w:rsidRPr="00B8316B">
              <w:rPr>
                <w:b/>
                <w:bCs/>
                <w:color w:val="000000"/>
              </w:rPr>
              <w:t xml:space="preserve">8,607 </w:t>
            </w:r>
          </w:p>
        </w:tc>
        <w:tc>
          <w:tcPr>
            <w:tcW w:w="940" w:type="dxa"/>
            <w:shd w:val="clear" w:color="auto" w:fill="auto"/>
            <w:noWrap/>
            <w:vAlign w:val="bottom"/>
          </w:tcPr>
          <w:p w14:paraId="32CABDDD" w14:textId="77777777" w:rsidR="0031507C" w:rsidRPr="00B8316B" w:rsidRDefault="0031507C" w:rsidP="0095108D">
            <w:pPr>
              <w:jc w:val="right"/>
              <w:rPr>
                <w:rFonts w:eastAsia="Times New Roman"/>
                <w:b/>
                <w:bCs/>
                <w:color w:val="000000"/>
              </w:rPr>
            </w:pPr>
            <w:r w:rsidRPr="00B8316B">
              <w:rPr>
                <w:b/>
                <w:bCs/>
                <w:color w:val="000000"/>
              </w:rPr>
              <w:t xml:space="preserve">  9,783 </w:t>
            </w:r>
          </w:p>
        </w:tc>
        <w:tc>
          <w:tcPr>
            <w:tcW w:w="900" w:type="dxa"/>
            <w:shd w:val="clear" w:color="auto" w:fill="auto"/>
            <w:noWrap/>
            <w:vAlign w:val="bottom"/>
          </w:tcPr>
          <w:p w14:paraId="26E294D6" w14:textId="77777777" w:rsidR="0031507C" w:rsidRPr="00B8316B" w:rsidRDefault="0031507C" w:rsidP="0095108D">
            <w:pPr>
              <w:jc w:val="right"/>
              <w:rPr>
                <w:rFonts w:eastAsia="Times New Roman"/>
                <w:b/>
                <w:bCs/>
                <w:color w:val="000000"/>
              </w:rPr>
            </w:pPr>
            <w:r w:rsidRPr="00B8316B">
              <w:rPr>
                <w:b/>
                <w:bCs/>
                <w:color w:val="000000"/>
              </w:rPr>
              <w:t xml:space="preserve">11,355 </w:t>
            </w:r>
          </w:p>
        </w:tc>
        <w:tc>
          <w:tcPr>
            <w:tcW w:w="887" w:type="dxa"/>
            <w:shd w:val="clear" w:color="auto" w:fill="auto"/>
            <w:noWrap/>
            <w:vAlign w:val="bottom"/>
          </w:tcPr>
          <w:p w14:paraId="5D74AF81" w14:textId="323A3DB8" w:rsidR="0031507C" w:rsidRPr="00163786" w:rsidRDefault="00163786" w:rsidP="00163786">
            <w:pPr>
              <w:jc w:val="right"/>
              <w:rPr>
                <w:b/>
                <w:bCs/>
                <w:color w:val="000000"/>
              </w:rPr>
            </w:pPr>
            <w:r>
              <w:rPr>
                <w:b/>
                <w:bCs/>
                <w:color w:val="000000"/>
              </w:rPr>
              <w:t>1</w:t>
            </w:r>
            <w:r w:rsidR="0031507C" w:rsidRPr="00B8316B">
              <w:rPr>
                <w:b/>
                <w:bCs/>
                <w:color w:val="000000"/>
              </w:rPr>
              <w:t xml:space="preserve">2,196 </w:t>
            </w:r>
          </w:p>
        </w:tc>
        <w:tc>
          <w:tcPr>
            <w:tcW w:w="1040" w:type="dxa"/>
            <w:shd w:val="clear" w:color="auto" w:fill="auto"/>
            <w:noWrap/>
            <w:vAlign w:val="bottom"/>
          </w:tcPr>
          <w:p w14:paraId="607DD8EE" w14:textId="77777777" w:rsidR="0031507C" w:rsidRPr="00B8316B" w:rsidRDefault="0031507C" w:rsidP="0095108D">
            <w:pPr>
              <w:jc w:val="right"/>
              <w:rPr>
                <w:rFonts w:eastAsia="Times New Roman"/>
                <w:b/>
                <w:bCs/>
                <w:color w:val="000000"/>
              </w:rPr>
            </w:pPr>
            <w:r>
              <w:rPr>
                <w:rFonts w:eastAsia="Times New Roman"/>
                <w:b/>
                <w:bCs/>
                <w:color w:val="000000"/>
              </w:rPr>
              <w:t>75.1%</w:t>
            </w:r>
          </w:p>
        </w:tc>
        <w:tc>
          <w:tcPr>
            <w:tcW w:w="1210" w:type="dxa"/>
            <w:shd w:val="clear" w:color="auto" w:fill="auto"/>
            <w:noWrap/>
            <w:vAlign w:val="bottom"/>
          </w:tcPr>
          <w:p w14:paraId="56F7FFF8" w14:textId="77777777" w:rsidR="0031507C" w:rsidRPr="00B8316B" w:rsidRDefault="0031507C" w:rsidP="0095108D">
            <w:pPr>
              <w:jc w:val="right"/>
              <w:rPr>
                <w:rFonts w:eastAsia="Times New Roman"/>
                <w:b/>
                <w:bCs/>
                <w:color w:val="000000"/>
              </w:rPr>
            </w:pPr>
            <w:r>
              <w:rPr>
                <w:rFonts w:eastAsia="Times New Roman"/>
                <w:b/>
                <w:bCs/>
                <w:color w:val="000000"/>
              </w:rPr>
              <w:t>9.0%</w:t>
            </w:r>
          </w:p>
        </w:tc>
        <w:tc>
          <w:tcPr>
            <w:tcW w:w="1078" w:type="dxa"/>
            <w:shd w:val="clear" w:color="auto" w:fill="auto"/>
            <w:noWrap/>
            <w:vAlign w:val="bottom"/>
          </w:tcPr>
          <w:p w14:paraId="0323C150" w14:textId="77777777" w:rsidR="0031507C" w:rsidRPr="00B8316B" w:rsidRDefault="0031507C" w:rsidP="0095108D">
            <w:pPr>
              <w:jc w:val="right"/>
              <w:rPr>
                <w:rFonts w:eastAsia="Times New Roman"/>
                <w:b/>
                <w:bCs/>
                <w:color w:val="000000"/>
              </w:rPr>
            </w:pPr>
            <w:r w:rsidRPr="00B8316B">
              <w:rPr>
                <w:b/>
                <w:bCs/>
                <w:color w:val="000000"/>
              </w:rPr>
              <w:t xml:space="preserve">3,161 </w:t>
            </w:r>
          </w:p>
        </w:tc>
      </w:tr>
      <w:tr w:rsidR="0031507C" w:rsidRPr="008D0C2A" w14:paraId="07E63850" w14:textId="77777777" w:rsidTr="004014F0">
        <w:trPr>
          <w:cantSplit/>
          <w:trHeight w:val="320"/>
        </w:trPr>
        <w:tc>
          <w:tcPr>
            <w:tcW w:w="1625" w:type="dxa"/>
            <w:shd w:val="clear" w:color="auto" w:fill="auto"/>
            <w:noWrap/>
            <w:vAlign w:val="center"/>
            <w:hideMark/>
          </w:tcPr>
          <w:p w14:paraId="7733AB0A" w14:textId="77777777" w:rsidR="0031507C" w:rsidRPr="008D0C2A" w:rsidRDefault="0031507C" w:rsidP="0095108D">
            <w:pPr>
              <w:rPr>
                <w:rFonts w:ascii="Calibri" w:eastAsia="Times New Roman" w:hAnsi="Calibri" w:cs="Calibri"/>
                <w:color w:val="000000"/>
              </w:rPr>
            </w:pPr>
            <w:r w:rsidRPr="008D0C2A">
              <w:rPr>
                <w:rFonts w:ascii="Calibri" w:eastAsia="Times New Roman" w:hAnsi="Calibri" w:cs="Calibri"/>
                <w:color w:val="000000"/>
              </w:rPr>
              <w:t>IP Hospital</w:t>
            </w:r>
          </w:p>
        </w:tc>
        <w:tc>
          <w:tcPr>
            <w:tcW w:w="900" w:type="dxa"/>
            <w:shd w:val="clear" w:color="auto" w:fill="auto"/>
            <w:noWrap/>
            <w:vAlign w:val="center"/>
            <w:hideMark/>
          </w:tcPr>
          <w:p w14:paraId="143594A6"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4,820 </w:t>
            </w:r>
          </w:p>
        </w:tc>
        <w:tc>
          <w:tcPr>
            <w:tcW w:w="940" w:type="dxa"/>
            <w:shd w:val="clear" w:color="auto" w:fill="auto"/>
            <w:noWrap/>
            <w:vAlign w:val="center"/>
            <w:hideMark/>
          </w:tcPr>
          <w:p w14:paraId="66945B1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4,386 </w:t>
            </w:r>
          </w:p>
        </w:tc>
        <w:tc>
          <w:tcPr>
            <w:tcW w:w="920" w:type="dxa"/>
            <w:shd w:val="clear" w:color="auto" w:fill="auto"/>
            <w:noWrap/>
            <w:vAlign w:val="center"/>
            <w:hideMark/>
          </w:tcPr>
          <w:p w14:paraId="6476DFA3"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3,564 </w:t>
            </w:r>
          </w:p>
        </w:tc>
        <w:tc>
          <w:tcPr>
            <w:tcW w:w="940" w:type="dxa"/>
            <w:shd w:val="clear" w:color="auto" w:fill="auto"/>
            <w:noWrap/>
            <w:vAlign w:val="center"/>
            <w:hideMark/>
          </w:tcPr>
          <w:p w14:paraId="3F6E5418"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2,956 </w:t>
            </w:r>
          </w:p>
        </w:tc>
        <w:tc>
          <w:tcPr>
            <w:tcW w:w="900" w:type="dxa"/>
            <w:shd w:val="clear" w:color="auto" w:fill="auto"/>
            <w:noWrap/>
            <w:vAlign w:val="center"/>
            <w:hideMark/>
          </w:tcPr>
          <w:p w14:paraId="069CFB6F"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2,432 </w:t>
            </w:r>
          </w:p>
        </w:tc>
        <w:tc>
          <w:tcPr>
            <w:tcW w:w="887" w:type="dxa"/>
            <w:shd w:val="clear" w:color="auto" w:fill="auto"/>
            <w:noWrap/>
            <w:vAlign w:val="center"/>
            <w:hideMark/>
          </w:tcPr>
          <w:p w14:paraId="4F667537"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2,507 </w:t>
            </w:r>
          </w:p>
        </w:tc>
        <w:tc>
          <w:tcPr>
            <w:tcW w:w="1040" w:type="dxa"/>
            <w:shd w:val="clear" w:color="auto" w:fill="auto"/>
            <w:noWrap/>
            <w:vAlign w:val="center"/>
            <w:hideMark/>
          </w:tcPr>
          <w:p w14:paraId="28AB990C"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15.4%</w:t>
            </w:r>
          </w:p>
        </w:tc>
        <w:tc>
          <w:tcPr>
            <w:tcW w:w="1210" w:type="dxa"/>
            <w:shd w:val="clear" w:color="auto" w:fill="auto"/>
            <w:noWrap/>
            <w:vAlign w:val="center"/>
            <w:hideMark/>
          </w:tcPr>
          <w:p w14:paraId="5A1B2192"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-48.0%</w:t>
            </w:r>
          </w:p>
        </w:tc>
        <w:tc>
          <w:tcPr>
            <w:tcW w:w="1078" w:type="dxa"/>
            <w:shd w:val="clear" w:color="auto" w:fill="auto"/>
            <w:noWrap/>
            <w:vAlign w:val="center"/>
            <w:hideMark/>
          </w:tcPr>
          <w:p w14:paraId="5DE3D16D" w14:textId="77777777" w:rsidR="0031507C" w:rsidRPr="008D0C2A" w:rsidRDefault="0031507C" w:rsidP="0095108D">
            <w:pPr>
              <w:jc w:val="center"/>
              <w:rPr>
                <w:rFonts w:ascii="Calibri" w:eastAsia="Times New Roman" w:hAnsi="Calibri" w:cs="Calibri"/>
                <w:color w:val="000000"/>
              </w:rPr>
            </w:pPr>
            <w:r w:rsidRPr="008D0C2A">
              <w:rPr>
                <w:rFonts w:ascii="Calibri" w:eastAsia="Times New Roman" w:hAnsi="Calibri" w:cs="Calibri"/>
                <w:color w:val="000000"/>
              </w:rPr>
              <w:t xml:space="preserve">        645 </w:t>
            </w:r>
          </w:p>
        </w:tc>
      </w:tr>
      <w:tr w:rsidR="0031507C" w:rsidRPr="008D0C2A" w14:paraId="2DE96990" w14:textId="77777777" w:rsidTr="004014F0">
        <w:trPr>
          <w:cantSplit/>
          <w:trHeight w:val="320"/>
        </w:trPr>
        <w:tc>
          <w:tcPr>
            <w:tcW w:w="1625" w:type="dxa"/>
            <w:shd w:val="clear" w:color="auto" w:fill="auto"/>
            <w:noWrap/>
            <w:vAlign w:val="center"/>
            <w:hideMark/>
          </w:tcPr>
          <w:p w14:paraId="260B1641" w14:textId="2FDE0690" w:rsidR="0031507C" w:rsidRPr="00417736" w:rsidRDefault="0031507C" w:rsidP="0095108D">
            <w:pPr>
              <w:rPr>
                <w:rFonts w:ascii="Calibri" w:eastAsia="Times New Roman" w:hAnsi="Calibri" w:cs="Calibri"/>
                <w:color w:val="000000"/>
              </w:rPr>
            </w:pPr>
            <w:r w:rsidRPr="00417736">
              <w:rPr>
                <w:rFonts w:ascii="Calibri" w:eastAsia="Times New Roman" w:hAnsi="Calibri" w:cs="Calibri"/>
                <w:color w:val="000000"/>
              </w:rPr>
              <w:t>Other</w:t>
            </w:r>
            <w:r w:rsidR="006A4C79" w:rsidRPr="00417736">
              <w:rPr>
                <w:rStyle w:val="FootnoteReference"/>
                <w:rFonts w:ascii="Calibri" w:eastAsia="Times New Roman" w:hAnsi="Calibri" w:cs="Calibri"/>
                <w:color w:val="000000"/>
              </w:rPr>
              <w:footnoteReference w:id="16"/>
            </w:r>
          </w:p>
        </w:tc>
        <w:tc>
          <w:tcPr>
            <w:tcW w:w="900" w:type="dxa"/>
            <w:shd w:val="clear" w:color="auto" w:fill="auto"/>
            <w:noWrap/>
            <w:vAlign w:val="center"/>
            <w:hideMark/>
          </w:tcPr>
          <w:p w14:paraId="12617024"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1,292 </w:t>
            </w:r>
          </w:p>
        </w:tc>
        <w:tc>
          <w:tcPr>
            <w:tcW w:w="940" w:type="dxa"/>
            <w:shd w:val="clear" w:color="auto" w:fill="auto"/>
            <w:noWrap/>
            <w:vAlign w:val="center"/>
            <w:hideMark/>
          </w:tcPr>
          <w:p w14:paraId="3F17D538"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1,366 </w:t>
            </w:r>
          </w:p>
        </w:tc>
        <w:tc>
          <w:tcPr>
            <w:tcW w:w="920" w:type="dxa"/>
            <w:shd w:val="clear" w:color="auto" w:fill="auto"/>
            <w:noWrap/>
            <w:vAlign w:val="center"/>
            <w:hideMark/>
          </w:tcPr>
          <w:p w14:paraId="105B8B68"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1,153 </w:t>
            </w:r>
          </w:p>
        </w:tc>
        <w:tc>
          <w:tcPr>
            <w:tcW w:w="940" w:type="dxa"/>
            <w:shd w:val="clear" w:color="auto" w:fill="auto"/>
            <w:noWrap/>
            <w:vAlign w:val="center"/>
            <w:hideMark/>
          </w:tcPr>
          <w:p w14:paraId="22FFC1E4"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1,276 </w:t>
            </w:r>
          </w:p>
        </w:tc>
        <w:tc>
          <w:tcPr>
            <w:tcW w:w="900" w:type="dxa"/>
            <w:shd w:val="clear" w:color="auto" w:fill="auto"/>
            <w:noWrap/>
            <w:vAlign w:val="center"/>
            <w:hideMark/>
          </w:tcPr>
          <w:p w14:paraId="48BE08A4"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1,682 </w:t>
            </w:r>
          </w:p>
        </w:tc>
        <w:tc>
          <w:tcPr>
            <w:tcW w:w="887" w:type="dxa"/>
            <w:shd w:val="clear" w:color="auto" w:fill="auto"/>
            <w:noWrap/>
            <w:vAlign w:val="center"/>
            <w:hideMark/>
          </w:tcPr>
          <w:p w14:paraId="3D5E59FD"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1,537 </w:t>
            </w:r>
          </w:p>
        </w:tc>
        <w:tc>
          <w:tcPr>
            <w:tcW w:w="1040" w:type="dxa"/>
            <w:shd w:val="clear" w:color="auto" w:fill="auto"/>
            <w:noWrap/>
            <w:vAlign w:val="center"/>
            <w:hideMark/>
          </w:tcPr>
          <w:p w14:paraId="67AF13A7" w14:textId="77777777" w:rsidR="0031507C" w:rsidRPr="00417736" w:rsidRDefault="0031507C" w:rsidP="0095108D">
            <w:pPr>
              <w:jc w:val="right"/>
              <w:rPr>
                <w:rFonts w:ascii="Calibri" w:eastAsia="Times New Roman" w:hAnsi="Calibri" w:cs="Calibri"/>
                <w:color w:val="000000"/>
              </w:rPr>
            </w:pPr>
            <w:r w:rsidRPr="00417736">
              <w:rPr>
                <w:rFonts w:ascii="Calibri" w:eastAsia="Times New Roman" w:hAnsi="Calibri" w:cs="Calibri"/>
                <w:color w:val="000000"/>
              </w:rPr>
              <w:t>9.5%</w:t>
            </w:r>
          </w:p>
        </w:tc>
        <w:tc>
          <w:tcPr>
            <w:tcW w:w="1210" w:type="dxa"/>
            <w:shd w:val="clear" w:color="auto" w:fill="auto"/>
            <w:noWrap/>
            <w:vAlign w:val="center"/>
            <w:hideMark/>
          </w:tcPr>
          <w:p w14:paraId="4291D837" w14:textId="77777777" w:rsidR="0031507C" w:rsidRPr="00417736" w:rsidRDefault="0031507C" w:rsidP="0095108D">
            <w:pPr>
              <w:jc w:val="right"/>
              <w:rPr>
                <w:rFonts w:ascii="Calibri" w:eastAsia="Times New Roman" w:hAnsi="Calibri" w:cs="Calibri"/>
                <w:color w:val="000000"/>
              </w:rPr>
            </w:pPr>
            <w:r w:rsidRPr="00417736">
              <w:rPr>
                <w:rFonts w:ascii="Calibri" w:eastAsia="Times New Roman" w:hAnsi="Calibri" w:cs="Calibri"/>
                <w:color w:val="000000"/>
              </w:rPr>
              <w:t>19.0%</w:t>
            </w:r>
          </w:p>
        </w:tc>
        <w:tc>
          <w:tcPr>
            <w:tcW w:w="1078" w:type="dxa"/>
            <w:shd w:val="clear" w:color="auto" w:fill="auto"/>
            <w:noWrap/>
            <w:vAlign w:val="center"/>
            <w:hideMark/>
          </w:tcPr>
          <w:p w14:paraId="70209B0E" w14:textId="77777777" w:rsidR="0031507C" w:rsidRPr="00417736" w:rsidRDefault="0031507C" w:rsidP="0095108D">
            <w:pPr>
              <w:jc w:val="center"/>
              <w:rPr>
                <w:rFonts w:ascii="Calibri" w:eastAsia="Times New Roman" w:hAnsi="Calibri" w:cs="Calibri"/>
                <w:color w:val="000000"/>
              </w:rPr>
            </w:pPr>
            <w:r w:rsidRPr="00417736">
              <w:rPr>
                <w:rFonts w:ascii="Calibri" w:eastAsia="Times New Roman" w:hAnsi="Calibri" w:cs="Calibri"/>
                <w:color w:val="000000"/>
              </w:rPr>
              <w:t xml:space="preserve">        614 </w:t>
            </w:r>
          </w:p>
        </w:tc>
      </w:tr>
      <w:tr w:rsidR="0031507C" w:rsidRPr="008D0C2A" w14:paraId="39543609" w14:textId="77777777" w:rsidTr="004014F0">
        <w:trPr>
          <w:cantSplit/>
          <w:trHeight w:val="330"/>
        </w:trPr>
        <w:tc>
          <w:tcPr>
            <w:tcW w:w="1625" w:type="dxa"/>
            <w:shd w:val="clear" w:color="auto" w:fill="FFFFFF" w:themeFill="background1"/>
            <w:vAlign w:val="center"/>
            <w:hideMark/>
          </w:tcPr>
          <w:p w14:paraId="6E838E5B" w14:textId="77777777" w:rsidR="0031507C" w:rsidRPr="008D0C2A" w:rsidRDefault="0031507C" w:rsidP="0095108D">
            <w:pPr>
              <w:rPr>
                <w:rFonts w:ascii="Calibri" w:eastAsia="Times New Roman" w:hAnsi="Calibri" w:cs="Calibri"/>
                <w:b/>
                <w:bCs/>
                <w:color w:val="242424"/>
              </w:rPr>
            </w:pPr>
            <w:r w:rsidRPr="008D0C2A">
              <w:rPr>
                <w:rFonts w:ascii="Calibri" w:eastAsia="Times New Roman" w:hAnsi="Calibri" w:cs="Calibri"/>
                <w:b/>
                <w:bCs/>
                <w:color w:val="242424"/>
              </w:rPr>
              <w:t>Total</w:t>
            </w:r>
          </w:p>
        </w:tc>
        <w:tc>
          <w:tcPr>
            <w:tcW w:w="900" w:type="dxa"/>
            <w:shd w:val="clear" w:color="auto" w:fill="auto"/>
            <w:noWrap/>
            <w:vAlign w:val="center"/>
            <w:hideMark/>
          </w:tcPr>
          <w:p w14:paraId="47F9191E"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17,298 </w:t>
            </w:r>
          </w:p>
        </w:tc>
        <w:tc>
          <w:tcPr>
            <w:tcW w:w="940" w:type="dxa"/>
            <w:shd w:val="clear" w:color="auto" w:fill="auto"/>
            <w:noWrap/>
            <w:vAlign w:val="center"/>
            <w:hideMark/>
          </w:tcPr>
          <w:p w14:paraId="3A4568A5"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16,692 </w:t>
            </w:r>
          </w:p>
        </w:tc>
        <w:tc>
          <w:tcPr>
            <w:tcW w:w="920" w:type="dxa"/>
            <w:shd w:val="clear" w:color="auto" w:fill="auto"/>
            <w:noWrap/>
            <w:vAlign w:val="center"/>
            <w:hideMark/>
          </w:tcPr>
          <w:p w14:paraId="13CC4621"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13,324 </w:t>
            </w:r>
          </w:p>
        </w:tc>
        <w:tc>
          <w:tcPr>
            <w:tcW w:w="940" w:type="dxa"/>
            <w:shd w:val="clear" w:color="auto" w:fill="auto"/>
            <w:noWrap/>
            <w:vAlign w:val="center"/>
            <w:hideMark/>
          </w:tcPr>
          <w:p w14:paraId="1EAB1EB5"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14,015 </w:t>
            </w:r>
          </w:p>
        </w:tc>
        <w:tc>
          <w:tcPr>
            <w:tcW w:w="900" w:type="dxa"/>
            <w:shd w:val="clear" w:color="auto" w:fill="auto"/>
            <w:noWrap/>
            <w:vAlign w:val="center"/>
            <w:hideMark/>
          </w:tcPr>
          <w:p w14:paraId="25C5BA81"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15,469 </w:t>
            </w:r>
          </w:p>
        </w:tc>
        <w:tc>
          <w:tcPr>
            <w:tcW w:w="887" w:type="dxa"/>
            <w:shd w:val="clear" w:color="auto" w:fill="auto"/>
            <w:noWrap/>
            <w:vAlign w:val="center"/>
            <w:hideMark/>
          </w:tcPr>
          <w:p w14:paraId="2D90BBE9"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16,240 </w:t>
            </w:r>
          </w:p>
        </w:tc>
        <w:tc>
          <w:tcPr>
            <w:tcW w:w="1040" w:type="dxa"/>
            <w:shd w:val="clear" w:color="auto" w:fill="auto"/>
            <w:noWrap/>
            <w:vAlign w:val="center"/>
            <w:hideMark/>
          </w:tcPr>
          <w:p w14:paraId="24859357" w14:textId="77777777" w:rsidR="0031507C" w:rsidRPr="008D0C2A" w:rsidRDefault="0031507C" w:rsidP="0095108D">
            <w:pPr>
              <w:jc w:val="right"/>
              <w:rPr>
                <w:rFonts w:ascii="Calibri" w:eastAsia="Times New Roman" w:hAnsi="Calibri" w:cs="Calibri"/>
                <w:color w:val="000000"/>
              </w:rPr>
            </w:pPr>
            <w:r w:rsidRPr="008D0C2A">
              <w:rPr>
                <w:rFonts w:ascii="Calibri" w:eastAsia="Times New Roman" w:hAnsi="Calibri" w:cs="Calibri"/>
                <w:color w:val="000000"/>
              </w:rPr>
              <w:t>100.0%</w:t>
            </w:r>
          </w:p>
        </w:tc>
        <w:tc>
          <w:tcPr>
            <w:tcW w:w="1210" w:type="dxa"/>
            <w:shd w:val="clear" w:color="auto" w:fill="auto"/>
            <w:noWrap/>
            <w:vAlign w:val="center"/>
            <w:hideMark/>
          </w:tcPr>
          <w:p w14:paraId="33724533" w14:textId="77777777" w:rsidR="0031507C" w:rsidRPr="008D0C2A" w:rsidRDefault="0031507C" w:rsidP="0095108D">
            <w:pPr>
              <w:jc w:val="right"/>
              <w:rPr>
                <w:rFonts w:ascii="Calibri" w:eastAsia="Times New Roman" w:hAnsi="Calibri" w:cs="Calibri"/>
                <w:b/>
                <w:bCs/>
                <w:color w:val="000000"/>
              </w:rPr>
            </w:pPr>
            <w:r w:rsidRPr="008D0C2A">
              <w:rPr>
                <w:rFonts w:ascii="Calibri" w:eastAsia="Times New Roman" w:hAnsi="Calibri" w:cs="Calibri"/>
                <w:b/>
                <w:bCs/>
                <w:color w:val="000000"/>
              </w:rPr>
              <w:t>-6.1%</w:t>
            </w:r>
          </w:p>
        </w:tc>
        <w:tc>
          <w:tcPr>
            <w:tcW w:w="1078" w:type="dxa"/>
            <w:shd w:val="clear" w:color="auto" w:fill="auto"/>
            <w:noWrap/>
            <w:vAlign w:val="center"/>
            <w:hideMark/>
          </w:tcPr>
          <w:p w14:paraId="41D59224" w14:textId="77777777" w:rsidR="0031507C" w:rsidRPr="008D0C2A" w:rsidRDefault="0031507C" w:rsidP="0095108D">
            <w:pPr>
              <w:jc w:val="center"/>
              <w:rPr>
                <w:rFonts w:ascii="Calibri" w:eastAsia="Times New Roman" w:hAnsi="Calibri" w:cs="Calibri"/>
                <w:b/>
                <w:bCs/>
                <w:color w:val="000000"/>
              </w:rPr>
            </w:pPr>
            <w:r w:rsidRPr="008D0C2A">
              <w:rPr>
                <w:rFonts w:ascii="Calibri" w:eastAsia="Times New Roman" w:hAnsi="Calibri" w:cs="Calibri"/>
                <w:b/>
                <w:bCs/>
                <w:color w:val="000000"/>
              </w:rPr>
              <w:t xml:space="preserve">     4,420 </w:t>
            </w:r>
          </w:p>
        </w:tc>
      </w:tr>
    </w:tbl>
    <w:p w14:paraId="1DF4883C" w14:textId="77777777" w:rsidR="00BA5082" w:rsidRDefault="00524B11" w:rsidP="00D67F23">
      <w:pPr>
        <w:autoSpaceDE w:val="0"/>
        <w:autoSpaceDN w:val="0"/>
        <w:adjustRightInd w:val="0"/>
        <w:spacing w:before="240"/>
        <w:rPr>
          <w:rFonts w:ascii="Calibri" w:eastAsia="Calibri" w:hAnsi="Calibri" w:cs="Calibri"/>
          <w:b/>
          <w:bCs/>
        </w:rPr>
      </w:pPr>
      <w:r w:rsidRPr="0043689A">
        <w:rPr>
          <w:rFonts w:ascii="Calibri" w:eastAsia="Calibri" w:hAnsi="Calibri" w:cs="Calibri"/>
          <w:b/>
          <w:bCs/>
        </w:rPr>
        <w:t>2.</w:t>
      </w:r>
      <w:r w:rsidR="005A1CF0">
        <w:rPr>
          <w:rFonts w:ascii="Calibri" w:eastAsia="Calibri" w:hAnsi="Calibri" w:cs="Calibri"/>
          <w:b/>
          <w:bCs/>
        </w:rPr>
        <w:t xml:space="preserve">   </w:t>
      </w:r>
      <w:r w:rsidRPr="0043689A">
        <w:rPr>
          <w:rFonts w:ascii="Calibri" w:eastAsia="Calibri" w:hAnsi="Calibri" w:cs="Calibri"/>
          <w:b/>
          <w:bCs/>
        </w:rPr>
        <w:t>Need for Surgical Services Due to</w:t>
      </w:r>
      <w:r w:rsidR="00495716" w:rsidRPr="0043689A">
        <w:rPr>
          <w:rFonts w:ascii="Calibri" w:eastAsia="Calibri" w:hAnsi="Calibri" w:cs="Calibri"/>
          <w:b/>
          <w:bCs/>
        </w:rPr>
        <w:t xml:space="preserve"> Growth in</w:t>
      </w:r>
      <w:r w:rsidR="000C7105" w:rsidRPr="0043689A">
        <w:rPr>
          <w:rFonts w:ascii="Calibri" w:eastAsia="Calibri" w:hAnsi="Calibri" w:cs="Calibri"/>
          <w:b/>
          <w:bCs/>
        </w:rPr>
        <w:t xml:space="preserve"> Population</w:t>
      </w:r>
      <w:r w:rsidR="00477E36" w:rsidRPr="0043689A">
        <w:rPr>
          <w:rFonts w:ascii="Calibri" w:eastAsia="Calibri" w:hAnsi="Calibri" w:cs="Calibri"/>
          <w:b/>
          <w:bCs/>
        </w:rPr>
        <w:t xml:space="preserve"> Needing </w:t>
      </w:r>
      <w:r w:rsidR="00495716" w:rsidRPr="0043689A">
        <w:rPr>
          <w:rFonts w:ascii="Calibri" w:eastAsia="Calibri" w:hAnsi="Calibri" w:cs="Calibri"/>
          <w:b/>
          <w:bCs/>
        </w:rPr>
        <w:t>Outpatient Procedures</w:t>
      </w:r>
      <w:r w:rsidR="00477E36" w:rsidRPr="0043689A">
        <w:rPr>
          <w:rFonts w:ascii="Calibri" w:eastAsia="Calibri" w:hAnsi="Calibri" w:cs="Calibri"/>
          <w:b/>
          <w:bCs/>
        </w:rPr>
        <w:t>- Including the Aging Population</w:t>
      </w:r>
    </w:p>
    <w:p w14:paraId="4B65BF62" w14:textId="19CE648F" w:rsidR="00D04F4C" w:rsidRPr="0043689A" w:rsidRDefault="00477E36" w:rsidP="00BA5082">
      <w:pPr>
        <w:autoSpaceDE w:val="0"/>
        <w:autoSpaceDN w:val="0"/>
        <w:adjustRightInd w:val="0"/>
        <w:rPr>
          <w:rFonts w:ascii="Calibri" w:eastAsia="Calibri" w:hAnsi="Calibri" w:cs="Calibri"/>
          <w:b/>
          <w:bCs/>
        </w:rPr>
      </w:pPr>
      <w:r w:rsidRPr="0043689A">
        <w:rPr>
          <w:rFonts w:ascii="Calibri" w:eastAsia="Calibri" w:hAnsi="Calibri" w:cs="Calibri"/>
          <w:b/>
          <w:bCs/>
        </w:rPr>
        <w:t xml:space="preserve"> </w:t>
      </w:r>
    </w:p>
    <w:p w14:paraId="24872E36" w14:textId="56E85111" w:rsidR="00450F4C" w:rsidRDefault="00477E36" w:rsidP="00BA5082">
      <w:pPr>
        <w:autoSpaceDE w:val="0"/>
        <w:autoSpaceDN w:val="0"/>
        <w:adjustRightInd w:val="0"/>
        <w:contextualSpacing/>
        <w:rPr>
          <w:rFonts w:ascii="Calibri" w:eastAsia="Calibri" w:hAnsi="Calibri" w:cs="Calibri"/>
        </w:rPr>
      </w:pPr>
      <w:r>
        <w:rPr>
          <w:rFonts w:ascii="Calibri" w:eastAsia="Calibri" w:hAnsi="Calibri" w:cs="Calibri"/>
        </w:rPr>
        <w:t xml:space="preserve">As the demographic information shows the number of </w:t>
      </w:r>
      <w:r w:rsidR="001E784F">
        <w:rPr>
          <w:rFonts w:ascii="Calibri" w:eastAsia="Calibri" w:hAnsi="Calibri" w:cs="Calibri"/>
        </w:rPr>
        <w:t xml:space="preserve">the Applicant’s </w:t>
      </w:r>
      <w:r>
        <w:rPr>
          <w:rFonts w:ascii="Calibri" w:eastAsia="Calibri" w:hAnsi="Calibri" w:cs="Calibri"/>
        </w:rPr>
        <w:t xml:space="preserve">unique patients needing surgeries has grown faster (22%) than the overall Patient Panel which has grown just 2.4%. </w:t>
      </w:r>
      <w:r w:rsidR="00AF0544">
        <w:rPr>
          <w:rFonts w:ascii="Calibri" w:eastAsia="Calibri" w:hAnsi="Calibri" w:cs="Calibri"/>
        </w:rPr>
        <w:t>Consistent with national trends, i</w:t>
      </w:r>
      <w:r w:rsidR="00AF0544" w:rsidRPr="00AF0544">
        <w:rPr>
          <w:rFonts w:ascii="Calibri" w:eastAsia="Calibri" w:hAnsi="Calibri" w:cs="Calibri"/>
        </w:rPr>
        <w:t xml:space="preserve">npatient procedures have </w:t>
      </w:r>
      <w:r w:rsidR="00AF0544">
        <w:rPr>
          <w:rFonts w:ascii="Calibri" w:eastAsia="Calibri" w:hAnsi="Calibri" w:cs="Calibri"/>
        </w:rPr>
        <w:t>shifted to the outpatient setting</w:t>
      </w:r>
      <w:r w:rsidR="00BA5082">
        <w:rPr>
          <w:rFonts w:ascii="Calibri" w:eastAsia="Calibri" w:hAnsi="Calibri" w:cs="Calibri"/>
        </w:rPr>
        <w:t>. T</w:t>
      </w:r>
      <w:r w:rsidR="00AF0544">
        <w:rPr>
          <w:rFonts w:ascii="Calibri" w:eastAsia="Calibri" w:hAnsi="Calibri" w:cs="Calibri"/>
        </w:rPr>
        <w:t>able 5 shows a decline in inpatient surgical procedures</w:t>
      </w:r>
      <w:r w:rsidR="00AF0544" w:rsidRPr="00AF0544">
        <w:rPr>
          <w:rFonts w:ascii="Calibri" w:eastAsia="Calibri" w:hAnsi="Calibri" w:cs="Calibri"/>
        </w:rPr>
        <w:t xml:space="preserve"> </w:t>
      </w:r>
      <w:r w:rsidR="00AF0544">
        <w:rPr>
          <w:rFonts w:ascii="Calibri" w:eastAsia="Calibri" w:hAnsi="Calibri" w:cs="Calibri"/>
        </w:rPr>
        <w:t xml:space="preserve">from </w:t>
      </w:r>
      <w:r w:rsidR="00AF0544" w:rsidRPr="00AF0544">
        <w:rPr>
          <w:rFonts w:ascii="Calibri" w:eastAsia="Calibri" w:hAnsi="Calibri" w:cs="Calibri"/>
        </w:rPr>
        <w:t>calendar years (“CY”) 2018 to 2023</w:t>
      </w:r>
      <w:r w:rsidR="00DF405E">
        <w:rPr>
          <w:rFonts w:ascii="Calibri" w:eastAsia="Calibri" w:hAnsi="Calibri" w:cs="Calibri"/>
        </w:rPr>
        <w:t xml:space="preserve"> of </w:t>
      </w:r>
      <w:r w:rsidR="00776148">
        <w:rPr>
          <w:rFonts w:ascii="Calibri" w:eastAsia="Calibri" w:hAnsi="Calibri" w:cs="Calibri"/>
        </w:rPr>
        <w:t>2,313 cases (</w:t>
      </w:r>
      <w:r w:rsidR="00D93C8D">
        <w:rPr>
          <w:rFonts w:ascii="Calibri" w:eastAsia="Calibri" w:hAnsi="Calibri" w:cs="Calibri"/>
        </w:rPr>
        <w:t>48%)</w:t>
      </w:r>
      <w:r w:rsidR="00AF0544">
        <w:rPr>
          <w:rFonts w:ascii="Calibri" w:eastAsia="Calibri" w:hAnsi="Calibri" w:cs="Calibri"/>
        </w:rPr>
        <w:t>. During the same timeframe, o</w:t>
      </w:r>
      <w:r w:rsidR="00495716">
        <w:rPr>
          <w:rFonts w:ascii="Calibri" w:eastAsia="Calibri" w:hAnsi="Calibri" w:cs="Calibri"/>
        </w:rPr>
        <w:t xml:space="preserve">verall growth in outpatient procedures </w:t>
      </w:r>
      <w:r w:rsidR="00BA5082">
        <w:rPr>
          <w:rFonts w:ascii="Calibri" w:eastAsia="Calibri" w:hAnsi="Calibri" w:cs="Calibri"/>
        </w:rPr>
        <w:t xml:space="preserve">was </w:t>
      </w:r>
      <w:r w:rsidR="00495716">
        <w:rPr>
          <w:rFonts w:ascii="Calibri" w:eastAsia="Calibri" w:hAnsi="Calibri" w:cs="Calibri"/>
        </w:rPr>
        <w:t>9%</w:t>
      </w:r>
      <w:r w:rsidR="00AF0544">
        <w:rPr>
          <w:rFonts w:ascii="Calibri" w:eastAsia="Calibri" w:hAnsi="Calibri" w:cs="Calibri"/>
        </w:rPr>
        <w:t xml:space="preserve">. The Applicant shows a large increase in ASC use from 974 to 1971 procedures (104%). </w:t>
      </w:r>
    </w:p>
    <w:p w14:paraId="1066936D" w14:textId="77777777" w:rsidR="00C647D4" w:rsidRDefault="00C647D4" w:rsidP="00BA5082">
      <w:pPr>
        <w:autoSpaceDE w:val="0"/>
        <w:autoSpaceDN w:val="0"/>
        <w:adjustRightInd w:val="0"/>
        <w:contextualSpacing/>
        <w:rPr>
          <w:rFonts w:ascii="Calibri" w:eastAsia="Calibri" w:hAnsi="Calibri" w:cs="Calibri"/>
        </w:rPr>
      </w:pPr>
    </w:p>
    <w:p w14:paraId="0C9D9398" w14:textId="7712B879" w:rsidR="00C647D4" w:rsidRDefault="00C647D4" w:rsidP="00BA5082">
      <w:pPr>
        <w:autoSpaceDE w:val="0"/>
        <w:autoSpaceDN w:val="0"/>
        <w:adjustRightInd w:val="0"/>
        <w:contextualSpacing/>
        <w:rPr>
          <w:rFonts w:ascii="Calibri" w:eastAsia="Calibri" w:hAnsi="Calibri" w:cs="Calibri"/>
        </w:rPr>
      </w:pPr>
      <w:r w:rsidRPr="00C31DDA">
        <w:rPr>
          <w:rFonts w:ascii="Calibri" w:eastAsia="Calibri" w:hAnsi="Calibri" w:cs="Calibri"/>
        </w:rPr>
        <w:t xml:space="preserve">Table 6 shows </w:t>
      </w:r>
      <w:r w:rsidR="00E73461" w:rsidRPr="00C31DDA">
        <w:rPr>
          <w:rFonts w:ascii="Calibri" w:eastAsia="Calibri" w:hAnsi="Calibri" w:cs="Calibri"/>
        </w:rPr>
        <w:t>the mix</w:t>
      </w:r>
      <w:r w:rsidR="00B65ABE" w:rsidRPr="00C31DDA">
        <w:rPr>
          <w:rFonts w:ascii="Calibri" w:eastAsia="Calibri" w:hAnsi="Calibri" w:cs="Calibri"/>
        </w:rPr>
        <w:t xml:space="preserve"> of </w:t>
      </w:r>
      <w:r w:rsidRPr="00C31DDA">
        <w:rPr>
          <w:rFonts w:ascii="Calibri" w:eastAsia="Calibri" w:hAnsi="Calibri" w:cs="Calibri"/>
        </w:rPr>
        <w:t>surgical cases by specialty from CY 2018</w:t>
      </w:r>
      <w:r w:rsidR="00B65ABE" w:rsidRPr="00C31DDA">
        <w:rPr>
          <w:rFonts w:ascii="Calibri" w:eastAsia="Calibri" w:hAnsi="Calibri" w:cs="Calibri"/>
        </w:rPr>
        <w:t xml:space="preserve"> and </w:t>
      </w:r>
      <w:r w:rsidRPr="00C31DDA">
        <w:rPr>
          <w:rFonts w:ascii="Calibri" w:eastAsia="Calibri" w:hAnsi="Calibri" w:cs="Calibri"/>
        </w:rPr>
        <w:t>2023.</w:t>
      </w:r>
      <w:r w:rsidR="0050000A">
        <w:rPr>
          <w:rFonts w:ascii="Calibri" w:eastAsia="Calibri" w:hAnsi="Calibri" w:cs="Calibri"/>
        </w:rPr>
        <w:t xml:space="preserve"> </w:t>
      </w:r>
      <w:r w:rsidR="002A09C5">
        <w:rPr>
          <w:rFonts w:ascii="Calibri" w:eastAsia="Calibri" w:hAnsi="Calibri" w:cs="Calibri"/>
        </w:rPr>
        <w:t xml:space="preserve">Other than </w:t>
      </w:r>
      <w:r w:rsidR="00D128E8">
        <w:rPr>
          <w:rFonts w:ascii="Calibri" w:eastAsia="Calibri" w:hAnsi="Calibri" w:cs="Calibri"/>
        </w:rPr>
        <w:t xml:space="preserve">a decline </w:t>
      </w:r>
      <w:r w:rsidR="00124636">
        <w:rPr>
          <w:rFonts w:ascii="Calibri" w:eastAsia="Calibri" w:hAnsi="Calibri" w:cs="Calibri"/>
        </w:rPr>
        <w:t xml:space="preserve">which the Applicant attributes to </w:t>
      </w:r>
      <w:r w:rsidR="002A09C5">
        <w:rPr>
          <w:rFonts w:ascii="Calibri" w:eastAsia="Calibri" w:hAnsi="Calibri" w:cs="Calibri"/>
        </w:rPr>
        <w:t>COVID</w:t>
      </w:r>
      <w:r w:rsidR="00124636">
        <w:rPr>
          <w:rFonts w:ascii="Calibri" w:eastAsia="Calibri" w:hAnsi="Calibri" w:cs="Calibri"/>
        </w:rPr>
        <w:t>,</w:t>
      </w:r>
      <w:r w:rsidR="002A09C5">
        <w:rPr>
          <w:rFonts w:ascii="Calibri" w:eastAsia="Calibri" w:hAnsi="Calibri" w:cs="Calibri"/>
        </w:rPr>
        <w:t xml:space="preserve"> </w:t>
      </w:r>
      <w:r w:rsidR="00124636">
        <w:rPr>
          <w:rFonts w:ascii="Calibri" w:eastAsia="Calibri" w:hAnsi="Calibri" w:cs="Calibri"/>
        </w:rPr>
        <w:t>o</w:t>
      </w:r>
      <w:r w:rsidR="00B65ABE" w:rsidRPr="00C31DDA">
        <w:rPr>
          <w:rFonts w:ascii="Calibri" w:eastAsia="Calibri" w:hAnsi="Calibri" w:cs="Calibri"/>
        </w:rPr>
        <w:t>ver the years there have</w:t>
      </w:r>
      <w:r w:rsidR="007C28B0" w:rsidRPr="00C31DDA">
        <w:rPr>
          <w:rFonts w:ascii="Calibri" w:eastAsia="Calibri" w:hAnsi="Calibri" w:cs="Calibri"/>
        </w:rPr>
        <w:t xml:space="preserve"> </w:t>
      </w:r>
      <w:r w:rsidR="00B65ABE" w:rsidRPr="00C31DDA">
        <w:rPr>
          <w:rFonts w:ascii="Calibri" w:eastAsia="Calibri" w:hAnsi="Calibri" w:cs="Calibri"/>
        </w:rPr>
        <w:t xml:space="preserve">been </w:t>
      </w:r>
      <w:r w:rsidR="008173F8" w:rsidRPr="00C31DDA">
        <w:rPr>
          <w:rFonts w:ascii="Calibri" w:eastAsia="Calibri" w:hAnsi="Calibri" w:cs="Calibri"/>
        </w:rPr>
        <w:t xml:space="preserve">minor </w:t>
      </w:r>
      <w:r w:rsidR="00B65ABE" w:rsidRPr="00C31DDA">
        <w:rPr>
          <w:rFonts w:ascii="Calibri" w:eastAsia="Calibri" w:hAnsi="Calibri" w:cs="Calibri"/>
        </w:rPr>
        <w:t xml:space="preserve">fluctuations in the </w:t>
      </w:r>
      <w:r w:rsidR="00C31DDA" w:rsidRPr="00C31DDA">
        <w:rPr>
          <w:rFonts w:ascii="Calibri" w:eastAsia="Calibri" w:hAnsi="Calibri" w:cs="Calibri"/>
        </w:rPr>
        <w:t>volumes</w:t>
      </w:r>
      <w:r w:rsidR="00C31DDA">
        <w:rPr>
          <w:rFonts w:ascii="Calibri" w:eastAsia="Calibri" w:hAnsi="Calibri" w:cs="Calibri"/>
        </w:rPr>
        <w:t xml:space="preserve"> by specialty</w:t>
      </w:r>
      <w:r w:rsidR="007C28B0">
        <w:rPr>
          <w:rFonts w:ascii="Calibri" w:eastAsia="Calibri" w:hAnsi="Calibri" w:cs="Calibri"/>
        </w:rPr>
        <w:t xml:space="preserve">. </w:t>
      </w:r>
      <w:r w:rsidR="00E73461">
        <w:rPr>
          <w:rFonts w:ascii="Calibri" w:eastAsia="Calibri" w:hAnsi="Calibri" w:cs="Calibri"/>
        </w:rPr>
        <w:t>The annualized January-March 202</w:t>
      </w:r>
      <w:r w:rsidR="00E74DE2">
        <w:rPr>
          <w:rFonts w:ascii="Calibri" w:eastAsia="Calibri" w:hAnsi="Calibri" w:cs="Calibri"/>
        </w:rPr>
        <w:t>4</w:t>
      </w:r>
      <w:r w:rsidR="00E73461">
        <w:rPr>
          <w:rFonts w:ascii="Calibri" w:eastAsia="Calibri" w:hAnsi="Calibri" w:cs="Calibri"/>
        </w:rPr>
        <w:t xml:space="preserve"> procedure volume of 17,680 places the Applicant on a trajectory to exceed the 2018 volume. </w:t>
      </w:r>
    </w:p>
    <w:p w14:paraId="04CCAF68" w14:textId="77777777" w:rsidR="00C647D4" w:rsidRDefault="00C647D4" w:rsidP="00BA5082">
      <w:pPr>
        <w:autoSpaceDE w:val="0"/>
        <w:autoSpaceDN w:val="0"/>
        <w:adjustRightInd w:val="0"/>
        <w:contextualSpacing/>
        <w:rPr>
          <w:rFonts w:ascii="Calibri" w:eastAsia="Calibri" w:hAnsi="Calibri" w:cs="Calibri"/>
        </w:rPr>
      </w:pPr>
    </w:p>
    <w:p w14:paraId="1C5A87C9" w14:textId="64C45F59" w:rsidR="00C647D4" w:rsidRPr="00C647D4" w:rsidRDefault="00C647D4" w:rsidP="00C647D4">
      <w:pPr>
        <w:autoSpaceDE w:val="0"/>
        <w:autoSpaceDN w:val="0"/>
        <w:adjustRightInd w:val="0"/>
        <w:spacing w:after="200"/>
        <w:contextualSpacing/>
        <w:jc w:val="center"/>
        <w:rPr>
          <w:rFonts w:ascii="Calibri" w:eastAsia="Calibri" w:hAnsi="Calibri" w:cs="Calibri"/>
          <w:b/>
          <w:bCs/>
        </w:rPr>
      </w:pPr>
      <w:r w:rsidRPr="00291DEF">
        <w:rPr>
          <w:rFonts w:ascii="Calibri" w:eastAsia="Calibri" w:hAnsi="Calibri" w:cs="Calibri"/>
          <w:b/>
          <w:bCs/>
        </w:rPr>
        <w:t>Table 6: Surgical Cases by Specialty</w:t>
      </w:r>
      <w:r w:rsidR="000E0A51">
        <w:rPr>
          <w:rStyle w:val="FootnoteReference"/>
          <w:rFonts w:ascii="Calibri" w:eastAsia="Calibri" w:hAnsi="Calibri" w:cs="Calibri"/>
          <w:b/>
          <w:bCs/>
        </w:rPr>
        <w:footnoteReference w:id="17"/>
      </w:r>
      <w:r w:rsidR="00B65ABE" w:rsidRPr="00291DEF">
        <w:rPr>
          <w:rFonts w:ascii="Calibri" w:eastAsia="Calibri" w:hAnsi="Calibri" w:cs="Calibri"/>
          <w:b/>
          <w:bCs/>
        </w:rPr>
        <w:t xml:space="preserve"> </w:t>
      </w:r>
    </w:p>
    <w:p w14:paraId="3E67A641" w14:textId="77777777" w:rsidR="00C647D4" w:rsidRDefault="00C647D4" w:rsidP="00D04F4C">
      <w:pPr>
        <w:autoSpaceDE w:val="0"/>
        <w:autoSpaceDN w:val="0"/>
        <w:adjustRightInd w:val="0"/>
        <w:spacing w:after="200"/>
        <w:contextualSpacing/>
        <w:rPr>
          <w:rFonts w:ascii="Calibri" w:eastAsia="Calibri" w:hAnsi="Calibri" w:cs="Calibri"/>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990"/>
        <w:gridCol w:w="990"/>
        <w:gridCol w:w="1095"/>
        <w:gridCol w:w="1080"/>
        <w:gridCol w:w="1050"/>
        <w:gridCol w:w="1080"/>
        <w:gridCol w:w="1080"/>
      </w:tblGrid>
      <w:tr w:rsidR="00BA5082" w:rsidRPr="00C647D4" w14:paraId="17931932" w14:textId="77777777" w:rsidTr="00E46183">
        <w:trPr>
          <w:cantSplit/>
          <w:trHeight w:val="620"/>
          <w:tblHeader/>
          <w:jc w:val="center"/>
        </w:trPr>
        <w:tc>
          <w:tcPr>
            <w:tcW w:w="1885" w:type="dxa"/>
            <w:shd w:val="clear" w:color="auto" w:fill="E5FFFF"/>
            <w:noWrap/>
            <w:vAlign w:val="center"/>
            <w:hideMark/>
          </w:tcPr>
          <w:p w14:paraId="190BEF76" w14:textId="77777777" w:rsidR="00C647D4" w:rsidRPr="00C647D4" w:rsidRDefault="00C647D4" w:rsidP="00C647D4">
            <w:pPr>
              <w:autoSpaceDE w:val="0"/>
              <w:autoSpaceDN w:val="0"/>
              <w:adjustRightInd w:val="0"/>
              <w:spacing w:after="200"/>
              <w:contextualSpacing/>
              <w:rPr>
                <w:rFonts w:ascii="Calibri" w:eastAsia="Calibri" w:hAnsi="Calibri" w:cs="Calibri"/>
                <w:b/>
                <w:bCs/>
              </w:rPr>
            </w:pPr>
            <w:r w:rsidRPr="00C647D4">
              <w:rPr>
                <w:rFonts w:ascii="Calibri" w:eastAsia="Calibri" w:hAnsi="Calibri" w:cs="Calibri"/>
                <w:b/>
                <w:bCs/>
              </w:rPr>
              <w:t>Specialty</w:t>
            </w:r>
          </w:p>
        </w:tc>
        <w:tc>
          <w:tcPr>
            <w:tcW w:w="990" w:type="dxa"/>
            <w:shd w:val="clear" w:color="auto" w:fill="E5FFFF"/>
            <w:noWrap/>
            <w:vAlign w:val="center"/>
            <w:hideMark/>
          </w:tcPr>
          <w:p w14:paraId="79EE3B69" w14:textId="77777777" w:rsidR="00C647D4" w:rsidRPr="00C647D4" w:rsidRDefault="00C647D4" w:rsidP="00D67F23">
            <w:pPr>
              <w:autoSpaceDE w:val="0"/>
              <w:autoSpaceDN w:val="0"/>
              <w:adjustRightInd w:val="0"/>
              <w:spacing w:after="200"/>
              <w:ind w:left="-110" w:right="-150"/>
              <w:contextualSpacing/>
              <w:jc w:val="center"/>
              <w:rPr>
                <w:rFonts w:ascii="Calibri" w:eastAsia="Calibri" w:hAnsi="Calibri" w:cs="Calibri"/>
                <w:b/>
                <w:bCs/>
              </w:rPr>
            </w:pPr>
            <w:r w:rsidRPr="00C647D4">
              <w:rPr>
                <w:rFonts w:ascii="Calibri" w:eastAsia="Calibri" w:hAnsi="Calibri" w:cs="Calibri"/>
                <w:b/>
                <w:bCs/>
              </w:rPr>
              <w:t>CY 2018</w:t>
            </w:r>
          </w:p>
        </w:tc>
        <w:tc>
          <w:tcPr>
            <w:tcW w:w="990" w:type="dxa"/>
            <w:shd w:val="clear" w:color="auto" w:fill="E5FFFF"/>
            <w:noWrap/>
            <w:vAlign w:val="center"/>
            <w:hideMark/>
          </w:tcPr>
          <w:p w14:paraId="436A182A" w14:textId="77777777" w:rsidR="00C647D4" w:rsidRPr="00C647D4" w:rsidRDefault="00C647D4" w:rsidP="00D67F23">
            <w:pPr>
              <w:autoSpaceDE w:val="0"/>
              <w:autoSpaceDN w:val="0"/>
              <w:adjustRightInd w:val="0"/>
              <w:spacing w:after="200"/>
              <w:ind w:right="-60"/>
              <w:contextualSpacing/>
              <w:jc w:val="center"/>
              <w:rPr>
                <w:rFonts w:ascii="Calibri" w:eastAsia="Calibri" w:hAnsi="Calibri" w:cs="Calibri"/>
                <w:b/>
                <w:bCs/>
              </w:rPr>
            </w:pPr>
            <w:r w:rsidRPr="00C647D4">
              <w:rPr>
                <w:rFonts w:ascii="Calibri" w:eastAsia="Calibri" w:hAnsi="Calibri" w:cs="Calibri"/>
                <w:b/>
                <w:bCs/>
              </w:rPr>
              <w:t>CY 2019</w:t>
            </w:r>
          </w:p>
        </w:tc>
        <w:tc>
          <w:tcPr>
            <w:tcW w:w="1095" w:type="dxa"/>
            <w:shd w:val="clear" w:color="auto" w:fill="E5FFFF"/>
            <w:noWrap/>
            <w:vAlign w:val="center"/>
            <w:hideMark/>
          </w:tcPr>
          <w:p w14:paraId="582DE82F" w14:textId="77777777" w:rsidR="00C647D4" w:rsidRPr="00C647D4" w:rsidRDefault="00C647D4" w:rsidP="00D67F23">
            <w:pPr>
              <w:autoSpaceDE w:val="0"/>
              <w:autoSpaceDN w:val="0"/>
              <w:adjustRightInd w:val="0"/>
              <w:spacing w:after="200"/>
              <w:contextualSpacing/>
              <w:jc w:val="center"/>
              <w:rPr>
                <w:rFonts w:ascii="Calibri" w:eastAsia="Calibri" w:hAnsi="Calibri" w:cs="Calibri"/>
                <w:b/>
                <w:bCs/>
              </w:rPr>
            </w:pPr>
            <w:r w:rsidRPr="00C647D4">
              <w:rPr>
                <w:rFonts w:ascii="Calibri" w:eastAsia="Calibri" w:hAnsi="Calibri" w:cs="Calibri"/>
                <w:b/>
                <w:bCs/>
              </w:rPr>
              <w:t>CY 2020</w:t>
            </w:r>
          </w:p>
        </w:tc>
        <w:tc>
          <w:tcPr>
            <w:tcW w:w="1080" w:type="dxa"/>
            <w:shd w:val="clear" w:color="auto" w:fill="E5FFFF"/>
            <w:noWrap/>
            <w:vAlign w:val="center"/>
            <w:hideMark/>
          </w:tcPr>
          <w:p w14:paraId="7431469C" w14:textId="77777777" w:rsidR="00C647D4" w:rsidRPr="00C647D4" w:rsidRDefault="00C647D4" w:rsidP="00D67F23">
            <w:pPr>
              <w:autoSpaceDE w:val="0"/>
              <w:autoSpaceDN w:val="0"/>
              <w:adjustRightInd w:val="0"/>
              <w:spacing w:after="200"/>
              <w:contextualSpacing/>
              <w:jc w:val="center"/>
              <w:rPr>
                <w:rFonts w:ascii="Calibri" w:eastAsia="Calibri" w:hAnsi="Calibri" w:cs="Calibri"/>
                <w:b/>
                <w:bCs/>
              </w:rPr>
            </w:pPr>
            <w:r w:rsidRPr="00C647D4">
              <w:rPr>
                <w:rFonts w:ascii="Calibri" w:eastAsia="Calibri" w:hAnsi="Calibri" w:cs="Calibri"/>
                <w:b/>
                <w:bCs/>
              </w:rPr>
              <w:t>CY 2021</w:t>
            </w:r>
          </w:p>
        </w:tc>
        <w:tc>
          <w:tcPr>
            <w:tcW w:w="1050" w:type="dxa"/>
            <w:shd w:val="clear" w:color="auto" w:fill="E5FFFF"/>
            <w:noWrap/>
            <w:vAlign w:val="center"/>
            <w:hideMark/>
          </w:tcPr>
          <w:p w14:paraId="216ED253" w14:textId="77777777" w:rsidR="00C647D4" w:rsidRPr="00C647D4" w:rsidRDefault="00C647D4" w:rsidP="00D67F23">
            <w:pPr>
              <w:autoSpaceDE w:val="0"/>
              <w:autoSpaceDN w:val="0"/>
              <w:adjustRightInd w:val="0"/>
              <w:spacing w:after="200"/>
              <w:contextualSpacing/>
              <w:jc w:val="center"/>
              <w:rPr>
                <w:rFonts w:ascii="Calibri" w:eastAsia="Calibri" w:hAnsi="Calibri" w:cs="Calibri"/>
                <w:b/>
                <w:bCs/>
              </w:rPr>
            </w:pPr>
            <w:r w:rsidRPr="00C647D4">
              <w:rPr>
                <w:rFonts w:ascii="Calibri" w:eastAsia="Calibri" w:hAnsi="Calibri" w:cs="Calibri"/>
                <w:b/>
                <w:bCs/>
              </w:rPr>
              <w:t>CY 2022</w:t>
            </w:r>
          </w:p>
        </w:tc>
        <w:tc>
          <w:tcPr>
            <w:tcW w:w="1080" w:type="dxa"/>
            <w:shd w:val="clear" w:color="auto" w:fill="E5FFFF"/>
            <w:noWrap/>
            <w:vAlign w:val="center"/>
            <w:hideMark/>
          </w:tcPr>
          <w:p w14:paraId="3387732D" w14:textId="77777777" w:rsidR="00C647D4" w:rsidRPr="00C647D4" w:rsidRDefault="00C647D4" w:rsidP="00D67F23">
            <w:pPr>
              <w:autoSpaceDE w:val="0"/>
              <w:autoSpaceDN w:val="0"/>
              <w:adjustRightInd w:val="0"/>
              <w:spacing w:after="200"/>
              <w:contextualSpacing/>
              <w:jc w:val="center"/>
              <w:rPr>
                <w:rFonts w:ascii="Calibri" w:eastAsia="Calibri" w:hAnsi="Calibri" w:cs="Calibri"/>
                <w:b/>
                <w:bCs/>
              </w:rPr>
            </w:pPr>
            <w:r w:rsidRPr="00C647D4">
              <w:rPr>
                <w:rFonts w:ascii="Calibri" w:eastAsia="Calibri" w:hAnsi="Calibri" w:cs="Calibri"/>
                <w:b/>
                <w:bCs/>
              </w:rPr>
              <w:t>CY 2023</w:t>
            </w:r>
          </w:p>
        </w:tc>
        <w:tc>
          <w:tcPr>
            <w:tcW w:w="1080" w:type="dxa"/>
            <w:shd w:val="clear" w:color="auto" w:fill="E5FFFF"/>
            <w:vAlign w:val="center"/>
            <w:hideMark/>
          </w:tcPr>
          <w:p w14:paraId="6E5A4196" w14:textId="77777777" w:rsidR="00C647D4" w:rsidRPr="00C647D4" w:rsidRDefault="00C647D4" w:rsidP="00D67F23">
            <w:pPr>
              <w:autoSpaceDE w:val="0"/>
              <w:autoSpaceDN w:val="0"/>
              <w:adjustRightInd w:val="0"/>
              <w:spacing w:after="200"/>
              <w:contextualSpacing/>
              <w:jc w:val="center"/>
              <w:rPr>
                <w:rFonts w:ascii="Calibri" w:eastAsia="Calibri" w:hAnsi="Calibri" w:cs="Calibri"/>
                <w:b/>
                <w:bCs/>
              </w:rPr>
            </w:pPr>
            <w:r w:rsidRPr="00C647D4">
              <w:rPr>
                <w:rFonts w:ascii="Calibri" w:eastAsia="Calibri" w:hAnsi="Calibri" w:cs="Calibri"/>
                <w:b/>
                <w:bCs/>
              </w:rPr>
              <w:t>Jan-Mar 2024</w:t>
            </w:r>
          </w:p>
        </w:tc>
      </w:tr>
      <w:tr w:rsidR="00D67F23" w:rsidRPr="00C647D4" w14:paraId="1DD53253" w14:textId="77777777" w:rsidTr="00E46183">
        <w:trPr>
          <w:cantSplit/>
          <w:trHeight w:val="310"/>
          <w:jc w:val="center"/>
        </w:trPr>
        <w:tc>
          <w:tcPr>
            <w:tcW w:w="1885" w:type="dxa"/>
            <w:shd w:val="clear" w:color="auto" w:fill="auto"/>
            <w:noWrap/>
            <w:vAlign w:val="bottom"/>
            <w:hideMark/>
          </w:tcPr>
          <w:p w14:paraId="013A56D4" w14:textId="77777777" w:rsidR="00C647D4" w:rsidRPr="00C647D4" w:rsidRDefault="00C647D4" w:rsidP="00BA5082">
            <w:pPr>
              <w:autoSpaceDE w:val="0"/>
              <w:autoSpaceDN w:val="0"/>
              <w:adjustRightInd w:val="0"/>
              <w:spacing w:after="200"/>
              <w:ind w:right="-60"/>
              <w:contextualSpacing/>
              <w:rPr>
                <w:rFonts w:ascii="Calibri" w:eastAsia="Calibri" w:hAnsi="Calibri" w:cs="Calibri"/>
              </w:rPr>
            </w:pPr>
            <w:r w:rsidRPr="00C647D4">
              <w:rPr>
                <w:rFonts w:ascii="Calibri" w:eastAsia="Calibri" w:hAnsi="Calibri" w:cs="Calibri"/>
              </w:rPr>
              <w:t>ENT</w:t>
            </w:r>
          </w:p>
        </w:tc>
        <w:tc>
          <w:tcPr>
            <w:tcW w:w="990" w:type="dxa"/>
            <w:shd w:val="clear" w:color="auto" w:fill="auto"/>
            <w:noWrap/>
            <w:vAlign w:val="bottom"/>
            <w:hideMark/>
          </w:tcPr>
          <w:p w14:paraId="3621B751"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2,267</w:t>
            </w:r>
          </w:p>
        </w:tc>
        <w:tc>
          <w:tcPr>
            <w:tcW w:w="990" w:type="dxa"/>
            <w:shd w:val="clear" w:color="auto" w:fill="auto"/>
            <w:noWrap/>
            <w:vAlign w:val="bottom"/>
            <w:hideMark/>
          </w:tcPr>
          <w:p w14:paraId="46827006"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2,319</w:t>
            </w:r>
          </w:p>
        </w:tc>
        <w:tc>
          <w:tcPr>
            <w:tcW w:w="1095" w:type="dxa"/>
            <w:shd w:val="clear" w:color="auto" w:fill="auto"/>
            <w:noWrap/>
            <w:vAlign w:val="bottom"/>
            <w:hideMark/>
          </w:tcPr>
          <w:p w14:paraId="15107411" w14:textId="595D48A8"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w:t>
            </w:r>
            <w:r w:rsidR="00D128E8">
              <w:rPr>
                <w:rFonts w:ascii="Calibri" w:eastAsia="Calibri" w:hAnsi="Calibri" w:cs="Calibri"/>
              </w:rPr>
              <w:t>,</w:t>
            </w:r>
            <w:r w:rsidRPr="00C647D4">
              <w:rPr>
                <w:rFonts w:ascii="Calibri" w:eastAsia="Calibri" w:hAnsi="Calibri" w:cs="Calibri"/>
              </w:rPr>
              <w:t>517</w:t>
            </w:r>
          </w:p>
        </w:tc>
        <w:tc>
          <w:tcPr>
            <w:tcW w:w="1080" w:type="dxa"/>
            <w:shd w:val="clear" w:color="auto" w:fill="auto"/>
            <w:noWrap/>
            <w:vAlign w:val="bottom"/>
            <w:hideMark/>
          </w:tcPr>
          <w:p w14:paraId="33417A81" w14:textId="0E585FD5"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w:t>
            </w:r>
            <w:r w:rsidR="00D128E8">
              <w:rPr>
                <w:rFonts w:ascii="Calibri" w:eastAsia="Calibri" w:hAnsi="Calibri" w:cs="Calibri"/>
              </w:rPr>
              <w:t>,</w:t>
            </w:r>
            <w:r w:rsidRPr="00C647D4">
              <w:rPr>
                <w:rFonts w:ascii="Calibri" w:eastAsia="Calibri" w:hAnsi="Calibri" w:cs="Calibri"/>
              </w:rPr>
              <w:t>628</w:t>
            </w:r>
          </w:p>
        </w:tc>
        <w:tc>
          <w:tcPr>
            <w:tcW w:w="1050" w:type="dxa"/>
            <w:shd w:val="clear" w:color="auto" w:fill="auto"/>
            <w:noWrap/>
            <w:vAlign w:val="bottom"/>
            <w:hideMark/>
          </w:tcPr>
          <w:p w14:paraId="720587E5"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2,067</w:t>
            </w:r>
          </w:p>
        </w:tc>
        <w:tc>
          <w:tcPr>
            <w:tcW w:w="1080" w:type="dxa"/>
            <w:shd w:val="clear" w:color="auto" w:fill="auto"/>
            <w:noWrap/>
            <w:vAlign w:val="bottom"/>
            <w:hideMark/>
          </w:tcPr>
          <w:p w14:paraId="593B3EA5"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2,475</w:t>
            </w:r>
          </w:p>
        </w:tc>
        <w:tc>
          <w:tcPr>
            <w:tcW w:w="1080" w:type="dxa"/>
            <w:shd w:val="clear" w:color="auto" w:fill="auto"/>
            <w:noWrap/>
            <w:vAlign w:val="bottom"/>
            <w:hideMark/>
          </w:tcPr>
          <w:p w14:paraId="50DF33DB"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649</w:t>
            </w:r>
          </w:p>
        </w:tc>
      </w:tr>
      <w:tr w:rsidR="00D67F23" w:rsidRPr="00C647D4" w14:paraId="5E2AB401" w14:textId="77777777" w:rsidTr="00E46183">
        <w:trPr>
          <w:cantSplit/>
          <w:trHeight w:val="310"/>
          <w:jc w:val="center"/>
        </w:trPr>
        <w:tc>
          <w:tcPr>
            <w:tcW w:w="1885" w:type="dxa"/>
            <w:shd w:val="clear" w:color="auto" w:fill="auto"/>
            <w:noWrap/>
            <w:vAlign w:val="bottom"/>
            <w:hideMark/>
          </w:tcPr>
          <w:p w14:paraId="16F864DC" w14:textId="77777777" w:rsidR="00C647D4" w:rsidRPr="00C647D4" w:rsidRDefault="00C647D4" w:rsidP="00BA5082">
            <w:pPr>
              <w:autoSpaceDE w:val="0"/>
              <w:autoSpaceDN w:val="0"/>
              <w:adjustRightInd w:val="0"/>
              <w:spacing w:after="200"/>
              <w:ind w:right="-60"/>
              <w:contextualSpacing/>
              <w:rPr>
                <w:rFonts w:ascii="Calibri" w:eastAsia="Calibri" w:hAnsi="Calibri" w:cs="Calibri"/>
              </w:rPr>
            </w:pPr>
            <w:r w:rsidRPr="00C647D4">
              <w:rPr>
                <w:rFonts w:ascii="Calibri" w:eastAsia="Calibri" w:hAnsi="Calibri" w:cs="Calibri"/>
              </w:rPr>
              <w:t>General Surgery</w:t>
            </w:r>
          </w:p>
        </w:tc>
        <w:tc>
          <w:tcPr>
            <w:tcW w:w="990" w:type="dxa"/>
            <w:shd w:val="clear" w:color="auto" w:fill="auto"/>
            <w:noWrap/>
            <w:vAlign w:val="bottom"/>
            <w:hideMark/>
          </w:tcPr>
          <w:p w14:paraId="52420311"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4,576</w:t>
            </w:r>
          </w:p>
        </w:tc>
        <w:tc>
          <w:tcPr>
            <w:tcW w:w="990" w:type="dxa"/>
            <w:shd w:val="clear" w:color="auto" w:fill="auto"/>
            <w:noWrap/>
            <w:vAlign w:val="bottom"/>
            <w:hideMark/>
          </w:tcPr>
          <w:p w14:paraId="497C9764"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4,379</w:t>
            </w:r>
          </w:p>
        </w:tc>
        <w:tc>
          <w:tcPr>
            <w:tcW w:w="1095" w:type="dxa"/>
            <w:shd w:val="clear" w:color="auto" w:fill="auto"/>
            <w:noWrap/>
            <w:vAlign w:val="bottom"/>
            <w:hideMark/>
          </w:tcPr>
          <w:p w14:paraId="4BC8A69A" w14:textId="6AB93BFB"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3</w:t>
            </w:r>
            <w:r w:rsidR="00D128E8">
              <w:rPr>
                <w:rFonts w:ascii="Calibri" w:eastAsia="Calibri" w:hAnsi="Calibri" w:cs="Calibri"/>
              </w:rPr>
              <w:t>,</w:t>
            </w:r>
            <w:r w:rsidRPr="00C647D4">
              <w:rPr>
                <w:rFonts w:ascii="Calibri" w:eastAsia="Calibri" w:hAnsi="Calibri" w:cs="Calibri"/>
              </w:rPr>
              <w:t>650</w:t>
            </w:r>
          </w:p>
        </w:tc>
        <w:tc>
          <w:tcPr>
            <w:tcW w:w="1080" w:type="dxa"/>
            <w:shd w:val="clear" w:color="auto" w:fill="auto"/>
            <w:noWrap/>
            <w:vAlign w:val="bottom"/>
            <w:hideMark/>
          </w:tcPr>
          <w:p w14:paraId="6BAC4287" w14:textId="6F613170"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3</w:t>
            </w:r>
            <w:r w:rsidR="00D128E8">
              <w:rPr>
                <w:rFonts w:ascii="Calibri" w:eastAsia="Calibri" w:hAnsi="Calibri" w:cs="Calibri"/>
              </w:rPr>
              <w:t>,</w:t>
            </w:r>
            <w:r w:rsidRPr="00C647D4">
              <w:rPr>
                <w:rFonts w:ascii="Calibri" w:eastAsia="Calibri" w:hAnsi="Calibri" w:cs="Calibri"/>
              </w:rPr>
              <w:t>715</w:t>
            </w:r>
          </w:p>
        </w:tc>
        <w:tc>
          <w:tcPr>
            <w:tcW w:w="1050" w:type="dxa"/>
            <w:shd w:val="clear" w:color="auto" w:fill="auto"/>
            <w:noWrap/>
            <w:vAlign w:val="bottom"/>
            <w:hideMark/>
          </w:tcPr>
          <w:p w14:paraId="4A81140D"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3,866</w:t>
            </w:r>
          </w:p>
        </w:tc>
        <w:tc>
          <w:tcPr>
            <w:tcW w:w="1080" w:type="dxa"/>
            <w:shd w:val="clear" w:color="auto" w:fill="auto"/>
            <w:noWrap/>
            <w:vAlign w:val="bottom"/>
            <w:hideMark/>
          </w:tcPr>
          <w:p w14:paraId="54EB1CD9"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4,178</w:t>
            </w:r>
          </w:p>
        </w:tc>
        <w:tc>
          <w:tcPr>
            <w:tcW w:w="1080" w:type="dxa"/>
            <w:shd w:val="clear" w:color="auto" w:fill="auto"/>
            <w:noWrap/>
            <w:vAlign w:val="bottom"/>
            <w:hideMark/>
          </w:tcPr>
          <w:p w14:paraId="5ABEA0C6" w14:textId="7EB28554"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w:t>
            </w:r>
            <w:r w:rsidR="00D128E8">
              <w:rPr>
                <w:rFonts w:ascii="Calibri" w:eastAsia="Calibri" w:hAnsi="Calibri" w:cs="Calibri"/>
              </w:rPr>
              <w:t>,</w:t>
            </w:r>
            <w:r w:rsidRPr="00C647D4">
              <w:rPr>
                <w:rFonts w:ascii="Calibri" w:eastAsia="Calibri" w:hAnsi="Calibri" w:cs="Calibri"/>
              </w:rPr>
              <w:t>157</w:t>
            </w:r>
          </w:p>
        </w:tc>
      </w:tr>
      <w:tr w:rsidR="00D67F23" w:rsidRPr="00C647D4" w14:paraId="68BCBFEF" w14:textId="77777777" w:rsidTr="00E46183">
        <w:trPr>
          <w:cantSplit/>
          <w:trHeight w:val="310"/>
          <w:jc w:val="center"/>
        </w:trPr>
        <w:tc>
          <w:tcPr>
            <w:tcW w:w="1885" w:type="dxa"/>
            <w:shd w:val="clear" w:color="auto" w:fill="auto"/>
            <w:noWrap/>
            <w:vAlign w:val="bottom"/>
            <w:hideMark/>
          </w:tcPr>
          <w:p w14:paraId="27486FAB" w14:textId="77777777" w:rsidR="00C647D4" w:rsidRPr="00C647D4" w:rsidRDefault="00C647D4" w:rsidP="00C647D4">
            <w:pPr>
              <w:autoSpaceDE w:val="0"/>
              <w:autoSpaceDN w:val="0"/>
              <w:adjustRightInd w:val="0"/>
              <w:spacing w:after="200"/>
              <w:contextualSpacing/>
              <w:rPr>
                <w:rFonts w:ascii="Calibri" w:eastAsia="Calibri" w:hAnsi="Calibri" w:cs="Calibri"/>
              </w:rPr>
            </w:pPr>
            <w:r w:rsidRPr="00C647D4">
              <w:rPr>
                <w:rFonts w:ascii="Calibri" w:eastAsia="Calibri" w:hAnsi="Calibri" w:cs="Calibri"/>
              </w:rPr>
              <w:t>Orthopedics</w:t>
            </w:r>
          </w:p>
        </w:tc>
        <w:tc>
          <w:tcPr>
            <w:tcW w:w="990" w:type="dxa"/>
            <w:shd w:val="clear" w:color="auto" w:fill="auto"/>
            <w:noWrap/>
            <w:vAlign w:val="bottom"/>
            <w:hideMark/>
          </w:tcPr>
          <w:p w14:paraId="20F0BCC7"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7,486</w:t>
            </w:r>
          </w:p>
        </w:tc>
        <w:tc>
          <w:tcPr>
            <w:tcW w:w="990" w:type="dxa"/>
            <w:shd w:val="clear" w:color="auto" w:fill="auto"/>
            <w:noWrap/>
            <w:vAlign w:val="bottom"/>
            <w:hideMark/>
          </w:tcPr>
          <w:p w14:paraId="4E86E6F9"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7,026</w:t>
            </w:r>
          </w:p>
        </w:tc>
        <w:tc>
          <w:tcPr>
            <w:tcW w:w="1095" w:type="dxa"/>
            <w:shd w:val="clear" w:color="auto" w:fill="auto"/>
            <w:noWrap/>
            <w:vAlign w:val="bottom"/>
            <w:hideMark/>
          </w:tcPr>
          <w:p w14:paraId="2857BFA4"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5,960</w:t>
            </w:r>
          </w:p>
        </w:tc>
        <w:tc>
          <w:tcPr>
            <w:tcW w:w="1080" w:type="dxa"/>
            <w:shd w:val="clear" w:color="auto" w:fill="auto"/>
            <w:noWrap/>
            <w:vAlign w:val="bottom"/>
            <w:hideMark/>
          </w:tcPr>
          <w:p w14:paraId="495FC09B"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6,201</w:t>
            </w:r>
          </w:p>
        </w:tc>
        <w:tc>
          <w:tcPr>
            <w:tcW w:w="1050" w:type="dxa"/>
            <w:shd w:val="clear" w:color="auto" w:fill="auto"/>
            <w:noWrap/>
            <w:vAlign w:val="bottom"/>
            <w:hideMark/>
          </w:tcPr>
          <w:p w14:paraId="796CE5D4"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6,827</w:t>
            </w:r>
          </w:p>
        </w:tc>
        <w:tc>
          <w:tcPr>
            <w:tcW w:w="1080" w:type="dxa"/>
            <w:shd w:val="clear" w:color="auto" w:fill="auto"/>
            <w:noWrap/>
            <w:vAlign w:val="bottom"/>
            <w:hideMark/>
          </w:tcPr>
          <w:p w14:paraId="61B9E8F4"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6,800</w:t>
            </w:r>
          </w:p>
        </w:tc>
        <w:tc>
          <w:tcPr>
            <w:tcW w:w="1080" w:type="dxa"/>
            <w:shd w:val="clear" w:color="auto" w:fill="auto"/>
            <w:noWrap/>
            <w:vAlign w:val="bottom"/>
            <w:hideMark/>
          </w:tcPr>
          <w:p w14:paraId="342ACB0F" w14:textId="21B1DA3C"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w:t>
            </w:r>
            <w:r w:rsidR="00D128E8">
              <w:rPr>
                <w:rFonts w:ascii="Calibri" w:eastAsia="Calibri" w:hAnsi="Calibri" w:cs="Calibri"/>
              </w:rPr>
              <w:t>,</w:t>
            </w:r>
            <w:r w:rsidRPr="00C647D4">
              <w:rPr>
                <w:rFonts w:ascii="Calibri" w:eastAsia="Calibri" w:hAnsi="Calibri" w:cs="Calibri"/>
              </w:rPr>
              <w:t>851</w:t>
            </w:r>
          </w:p>
        </w:tc>
      </w:tr>
      <w:tr w:rsidR="00D67F23" w:rsidRPr="00C647D4" w14:paraId="76A7D8E8" w14:textId="77777777" w:rsidTr="00E46183">
        <w:trPr>
          <w:cantSplit/>
          <w:trHeight w:val="310"/>
          <w:jc w:val="center"/>
        </w:trPr>
        <w:tc>
          <w:tcPr>
            <w:tcW w:w="1885" w:type="dxa"/>
            <w:shd w:val="clear" w:color="auto" w:fill="auto"/>
            <w:noWrap/>
            <w:vAlign w:val="bottom"/>
            <w:hideMark/>
          </w:tcPr>
          <w:p w14:paraId="2C1C2A96" w14:textId="77777777" w:rsidR="00C647D4" w:rsidRPr="00C647D4" w:rsidRDefault="00C647D4" w:rsidP="00C647D4">
            <w:pPr>
              <w:autoSpaceDE w:val="0"/>
              <w:autoSpaceDN w:val="0"/>
              <w:adjustRightInd w:val="0"/>
              <w:spacing w:after="200"/>
              <w:contextualSpacing/>
              <w:rPr>
                <w:rFonts w:ascii="Calibri" w:eastAsia="Calibri" w:hAnsi="Calibri" w:cs="Calibri"/>
              </w:rPr>
            </w:pPr>
            <w:r w:rsidRPr="00C647D4">
              <w:rPr>
                <w:rFonts w:ascii="Calibri" w:eastAsia="Calibri" w:hAnsi="Calibri" w:cs="Calibri"/>
              </w:rPr>
              <w:t>Podiatry</w:t>
            </w:r>
          </w:p>
        </w:tc>
        <w:tc>
          <w:tcPr>
            <w:tcW w:w="990" w:type="dxa"/>
            <w:shd w:val="clear" w:color="auto" w:fill="auto"/>
            <w:noWrap/>
            <w:vAlign w:val="bottom"/>
            <w:hideMark/>
          </w:tcPr>
          <w:p w14:paraId="4F9A9282"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746</w:t>
            </w:r>
          </w:p>
        </w:tc>
        <w:tc>
          <w:tcPr>
            <w:tcW w:w="990" w:type="dxa"/>
            <w:shd w:val="clear" w:color="auto" w:fill="auto"/>
            <w:noWrap/>
            <w:vAlign w:val="bottom"/>
            <w:hideMark/>
          </w:tcPr>
          <w:p w14:paraId="77F37325"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757</w:t>
            </w:r>
          </w:p>
        </w:tc>
        <w:tc>
          <w:tcPr>
            <w:tcW w:w="1095" w:type="dxa"/>
            <w:shd w:val="clear" w:color="auto" w:fill="auto"/>
            <w:noWrap/>
            <w:vAlign w:val="bottom"/>
            <w:hideMark/>
          </w:tcPr>
          <w:p w14:paraId="51953E30"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484</w:t>
            </w:r>
          </w:p>
        </w:tc>
        <w:tc>
          <w:tcPr>
            <w:tcW w:w="1080" w:type="dxa"/>
            <w:shd w:val="clear" w:color="auto" w:fill="auto"/>
            <w:noWrap/>
            <w:vAlign w:val="bottom"/>
            <w:hideMark/>
          </w:tcPr>
          <w:p w14:paraId="657F9911"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572</w:t>
            </w:r>
          </w:p>
        </w:tc>
        <w:tc>
          <w:tcPr>
            <w:tcW w:w="1050" w:type="dxa"/>
            <w:shd w:val="clear" w:color="auto" w:fill="auto"/>
            <w:noWrap/>
            <w:vAlign w:val="bottom"/>
            <w:hideMark/>
          </w:tcPr>
          <w:p w14:paraId="6B201503"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556</w:t>
            </w:r>
          </w:p>
        </w:tc>
        <w:tc>
          <w:tcPr>
            <w:tcW w:w="1080" w:type="dxa"/>
            <w:shd w:val="clear" w:color="auto" w:fill="auto"/>
            <w:noWrap/>
            <w:vAlign w:val="bottom"/>
            <w:hideMark/>
          </w:tcPr>
          <w:p w14:paraId="48D30D40"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568</w:t>
            </w:r>
          </w:p>
        </w:tc>
        <w:tc>
          <w:tcPr>
            <w:tcW w:w="1080" w:type="dxa"/>
            <w:shd w:val="clear" w:color="auto" w:fill="auto"/>
            <w:noWrap/>
            <w:vAlign w:val="bottom"/>
            <w:hideMark/>
          </w:tcPr>
          <w:p w14:paraId="63B01F26"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172</w:t>
            </w:r>
          </w:p>
        </w:tc>
      </w:tr>
      <w:tr w:rsidR="00D67F23" w:rsidRPr="00C647D4" w14:paraId="56474D4C" w14:textId="77777777" w:rsidTr="00E46183">
        <w:trPr>
          <w:cantSplit/>
          <w:trHeight w:val="310"/>
          <w:jc w:val="center"/>
        </w:trPr>
        <w:tc>
          <w:tcPr>
            <w:tcW w:w="1885" w:type="dxa"/>
            <w:shd w:val="clear" w:color="auto" w:fill="auto"/>
            <w:noWrap/>
            <w:vAlign w:val="bottom"/>
            <w:hideMark/>
          </w:tcPr>
          <w:p w14:paraId="20392FE6" w14:textId="77777777" w:rsidR="00C647D4" w:rsidRPr="00C647D4" w:rsidRDefault="00C647D4" w:rsidP="00C647D4">
            <w:pPr>
              <w:autoSpaceDE w:val="0"/>
              <w:autoSpaceDN w:val="0"/>
              <w:adjustRightInd w:val="0"/>
              <w:spacing w:after="200"/>
              <w:contextualSpacing/>
              <w:rPr>
                <w:rFonts w:ascii="Calibri" w:eastAsia="Calibri" w:hAnsi="Calibri" w:cs="Calibri"/>
              </w:rPr>
            </w:pPr>
            <w:r w:rsidRPr="00C647D4">
              <w:rPr>
                <w:rFonts w:ascii="Calibri" w:eastAsia="Calibri" w:hAnsi="Calibri" w:cs="Calibri"/>
              </w:rPr>
              <w:t>OB-GYN</w:t>
            </w:r>
          </w:p>
        </w:tc>
        <w:tc>
          <w:tcPr>
            <w:tcW w:w="990" w:type="dxa"/>
            <w:shd w:val="clear" w:color="auto" w:fill="auto"/>
            <w:noWrap/>
            <w:vAlign w:val="bottom"/>
            <w:hideMark/>
          </w:tcPr>
          <w:p w14:paraId="4CEF4885"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2,223</w:t>
            </w:r>
          </w:p>
        </w:tc>
        <w:tc>
          <w:tcPr>
            <w:tcW w:w="990" w:type="dxa"/>
            <w:shd w:val="clear" w:color="auto" w:fill="auto"/>
            <w:noWrap/>
            <w:vAlign w:val="bottom"/>
            <w:hideMark/>
          </w:tcPr>
          <w:p w14:paraId="12BDF87A"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2,211</w:t>
            </w:r>
          </w:p>
        </w:tc>
        <w:tc>
          <w:tcPr>
            <w:tcW w:w="1095" w:type="dxa"/>
            <w:shd w:val="clear" w:color="auto" w:fill="auto"/>
            <w:noWrap/>
            <w:vAlign w:val="bottom"/>
            <w:hideMark/>
          </w:tcPr>
          <w:p w14:paraId="1CF211DA" w14:textId="5F3EFC0D"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w:t>
            </w:r>
            <w:r w:rsidR="00D128E8">
              <w:rPr>
                <w:rFonts w:ascii="Calibri" w:eastAsia="Calibri" w:hAnsi="Calibri" w:cs="Calibri"/>
              </w:rPr>
              <w:t>,</w:t>
            </w:r>
            <w:r w:rsidRPr="00C647D4">
              <w:rPr>
                <w:rFonts w:ascii="Calibri" w:eastAsia="Calibri" w:hAnsi="Calibri" w:cs="Calibri"/>
              </w:rPr>
              <w:t>713</w:t>
            </w:r>
          </w:p>
        </w:tc>
        <w:tc>
          <w:tcPr>
            <w:tcW w:w="1080" w:type="dxa"/>
            <w:shd w:val="clear" w:color="auto" w:fill="auto"/>
            <w:noWrap/>
            <w:vAlign w:val="bottom"/>
            <w:hideMark/>
          </w:tcPr>
          <w:p w14:paraId="0DA38E26"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1,899</w:t>
            </w:r>
          </w:p>
        </w:tc>
        <w:tc>
          <w:tcPr>
            <w:tcW w:w="1050" w:type="dxa"/>
            <w:shd w:val="clear" w:color="auto" w:fill="auto"/>
            <w:noWrap/>
            <w:vAlign w:val="bottom"/>
            <w:hideMark/>
          </w:tcPr>
          <w:p w14:paraId="5690F2E3"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2,153</w:t>
            </w:r>
          </w:p>
        </w:tc>
        <w:tc>
          <w:tcPr>
            <w:tcW w:w="1080" w:type="dxa"/>
            <w:shd w:val="clear" w:color="auto" w:fill="auto"/>
            <w:noWrap/>
            <w:vAlign w:val="bottom"/>
            <w:hideMark/>
          </w:tcPr>
          <w:p w14:paraId="11C2D951"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2,218</w:t>
            </w:r>
          </w:p>
        </w:tc>
        <w:tc>
          <w:tcPr>
            <w:tcW w:w="1080" w:type="dxa"/>
            <w:shd w:val="clear" w:color="auto" w:fill="auto"/>
            <w:noWrap/>
            <w:vAlign w:val="bottom"/>
            <w:hideMark/>
          </w:tcPr>
          <w:p w14:paraId="7B17ACA6"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591</w:t>
            </w:r>
          </w:p>
        </w:tc>
      </w:tr>
      <w:tr w:rsidR="00D67F23" w:rsidRPr="00C647D4" w14:paraId="0BAE8BA6" w14:textId="77777777" w:rsidTr="00E46183">
        <w:trPr>
          <w:cantSplit/>
          <w:trHeight w:val="310"/>
          <w:jc w:val="center"/>
        </w:trPr>
        <w:tc>
          <w:tcPr>
            <w:tcW w:w="1885" w:type="dxa"/>
            <w:shd w:val="clear" w:color="auto" w:fill="auto"/>
            <w:noWrap/>
            <w:vAlign w:val="bottom"/>
            <w:hideMark/>
          </w:tcPr>
          <w:p w14:paraId="086D3328" w14:textId="77777777" w:rsidR="00C647D4" w:rsidRPr="00A82960" w:rsidRDefault="00C647D4" w:rsidP="00C647D4">
            <w:pPr>
              <w:autoSpaceDE w:val="0"/>
              <w:autoSpaceDN w:val="0"/>
              <w:adjustRightInd w:val="0"/>
              <w:spacing w:after="200"/>
              <w:contextualSpacing/>
              <w:rPr>
                <w:rFonts w:ascii="Calibri" w:eastAsia="Calibri" w:hAnsi="Calibri" w:cs="Calibri"/>
                <w:b/>
                <w:bCs/>
              </w:rPr>
            </w:pPr>
            <w:r w:rsidRPr="00A82960">
              <w:rPr>
                <w:rFonts w:ascii="Calibri" w:eastAsia="Calibri" w:hAnsi="Calibri" w:cs="Calibri"/>
                <w:b/>
                <w:bCs/>
              </w:rPr>
              <w:t>Total</w:t>
            </w:r>
          </w:p>
        </w:tc>
        <w:tc>
          <w:tcPr>
            <w:tcW w:w="990" w:type="dxa"/>
            <w:shd w:val="clear" w:color="auto" w:fill="auto"/>
            <w:noWrap/>
            <w:vAlign w:val="bottom"/>
            <w:hideMark/>
          </w:tcPr>
          <w:p w14:paraId="60503123"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17,298</w:t>
            </w:r>
          </w:p>
        </w:tc>
        <w:tc>
          <w:tcPr>
            <w:tcW w:w="990" w:type="dxa"/>
            <w:shd w:val="clear" w:color="auto" w:fill="auto"/>
            <w:noWrap/>
            <w:vAlign w:val="bottom"/>
            <w:hideMark/>
          </w:tcPr>
          <w:p w14:paraId="7F7A00F9"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16,692</w:t>
            </w:r>
          </w:p>
        </w:tc>
        <w:tc>
          <w:tcPr>
            <w:tcW w:w="1095" w:type="dxa"/>
            <w:shd w:val="clear" w:color="auto" w:fill="auto"/>
            <w:noWrap/>
            <w:vAlign w:val="bottom"/>
            <w:hideMark/>
          </w:tcPr>
          <w:p w14:paraId="06845AEE"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13,324</w:t>
            </w:r>
          </w:p>
        </w:tc>
        <w:tc>
          <w:tcPr>
            <w:tcW w:w="1080" w:type="dxa"/>
            <w:shd w:val="clear" w:color="auto" w:fill="auto"/>
            <w:noWrap/>
            <w:vAlign w:val="bottom"/>
            <w:hideMark/>
          </w:tcPr>
          <w:p w14:paraId="1EA1035A"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14,015</w:t>
            </w:r>
          </w:p>
        </w:tc>
        <w:tc>
          <w:tcPr>
            <w:tcW w:w="1050" w:type="dxa"/>
            <w:shd w:val="clear" w:color="auto" w:fill="auto"/>
            <w:noWrap/>
            <w:vAlign w:val="bottom"/>
            <w:hideMark/>
          </w:tcPr>
          <w:p w14:paraId="220A5197"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15,469</w:t>
            </w:r>
          </w:p>
        </w:tc>
        <w:tc>
          <w:tcPr>
            <w:tcW w:w="1080" w:type="dxa"/>
            <w:shd w:val="clear" w:color="auto" w:fill="auto"/>
            <w:noWrap/>
            <w:vAlign w:val="bottom"/>
            <w:hideMark/>
          </w:tcPr>
          <w:p w14:paraId="00E8C2AF" w14:textId="462D9DE8"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16,2</w:t>
            </w:r>
            <w:r w:rsidR="002F0384">
              <w:rPr>
                <w:rFonts w:ascii="Calibri" w:eastAsia="Calibri" w:hAnsi="Calibri" w:cs="Calibri"/>
              </w:rPr>
              <w:t>40</w:t>
            </w:r>
          </w:p>
        </w:tc>
        <w:tc>
          <w:tcPr>
            <w:tcW w:w="1080" w:type="dxa"/>
            <w:shd w:val="clear" w:color="auto" w:fill="auto"/>
            <w:noWrap/>
            <w:vAlign w:val="bottom"/>
            <w:hideMark/>
          </w:tcPr>
          <w:p w14:paraId="7C816938" w14:textId="77777777" w:rsidR="00C647D4" w:rsidRPr="00C647D4" w:rsidRDefault="00C647D4" w:rsidP="00C647D4">
            <w:pPr>
              <w:autoSpaceDE w:val="0"/>
              <w:autoSpaceDN w:val="0"/>
              <w:adjustRightInd w:val="0"/>
              <w:spacing w:after="200"/>
              <w:contextualSpacing/>
              <w:jc w:val="right"/>
              <w:rPr>
                <w:rFonts w:ascii="Calibri" w:eastAsia="Calibri" w:hAnsi="Calibri" w:cs="Calibri"/>
              </w:rPr>
            </w:pPr>
            <w:r w:rsidRPr="00C647D4">
              <w:rPr>
                <w:rFonts w:ascii="Calibri" w:eastAsia="Calibri" w:hAnsi="Calibri" w:cs="Calibri"/>
              </w:rPr>
              <w:t>4,420</w:t>
            </w:r>
          </w:p>
        </w:tc>
      </w:tr>
    </w:tbl>
    <w:p w14:paraId="31D30B03" w14:textId="77777777" w:rsidR="00BA5082" w:rsidRDefault="00BA5082" w:rsidP="00C31DDA">
      <w:pPr>
        <w:autoSpaceDE w:val="0"/>
        <w:autoSpaceDN w:val="0"/>
        <w:adjustRightInd w:val="0"/>
        <w:spacing w:after="200"/>
        <w:rPr>
          <w:rFonts w:ascii="Calibri" w:eastAsia="Calibri" w:hAnsi="Calibri" w:cs="Calibri"/>
        </w:rPr>
      </w:pPr>
    </w:p>
    <w:p w14:paraId="241BFA4A" w14:textId="7B14D428" w:rsidR="58F29FD3" w:rsidRDefault="1DE9E443" w:rsidP="00A82960">
      <w:pPr>
        <w:autoSpaceDE w:val="0"/>
        <w:autoSpaceDN w:val="0"/>
        <w:adjustRightInd w:val="0"/>
        <w:spacing w:after="200"/>
        <w:rPr>
          <w:rFonts w:ascii="Calibri" w:eastAsia="Calibri" w:hAnsi="Calibri" w:cs="Calibri"/>
        </w:rPr>
      </w:pPr>
      <w:r w:rsidRPr="391A23E5">
        <w:rPr>
          <w:rFonts w:ascii="Calibri" w:eastAsia="Calibri" w:hAnsi="Calibri" w:cs="Calibri"/>
        </w:rPr>
        <w:t>The majority of surgical procedures are ordered for patients who are 50 years and older due to the higher incidence of age-related conditions that benefit from such procedures</w:t>
      </w:r>
      <w:r w:rsidR="666403AA" w:rsidRPr="391A23E5">
        <w:rPr>
          <w:rFonts w:ascii="Calibri" w:eastAsia="Calibri" w:hAnsi="Calibri" w:cs="Calibri"/>
        </w:rPr>
        <w:t>.</w:t>
      </w:r>
      <w:r w:rsidRPr="391A23E5">
        <w:rPr>
          <w:rFonts w:ascii="Calibri" w:eastAsia="Calibri" w:hAnsi="Calibri" w:cs="Calibri"/>
        </w:rPr>
        <w:t xml:space="preserve"> </w:t>
      </w:r>
      <w:r w:rsidR="3E7B6B97">
        <w:rPr>
          <w:rFonts w:ascii="Calibri" w:eastAsia="Calibri" w:hAnsi="Calibri" w:cs="Calibri"/>
        </w:rPr>
        <w:t>T</w:t>
      </w:r>
      <w:r w:rsidR="115ACC38" w:rsidRPr="00A65CE5">
        <w:rPr>
          <w:rFonts w:ascii="Calibri" w:eastAsia="Calibri" w:hAnsi="Calibri" w:cs="Calibri"/>
        </w:rPr>
        <w:t xml:space="preserve">he largest </w:t>
      </w:r>
      <w:r w:rsidR="3E7B6B97">
        <w:rPr>
          <w:rFonts w:ascii="Calibri" w:eastAsia="Calibri" w:hAnsi="Calibri" w:cs="Calibri"/>
        </w:rPr>
        <w:t>segment</w:t>
      </w:r>
      <w:r w:rsidR="115ACC38" w:rsidRPr="00A65CE5">
        <w:rPr>
          <w:rFonts w:ascii="Calibri" w:eastAsia="Calibri" w:hAnsi="Calibri" w:cs="Calibri"/>
        </w:rPr>
        <w:t xml:space="preserve"> of the Commonwealth’s population growth </w:t>
      </w:r>
      <w:r w:rsidR="3E7B6B97">
        <w:rPr>
          <w:rFonts w:ascii="Calibri" w:eastAsia="Calibri" w:hAnsi="Calibri" w:cs="Calibri"/>
        </w:rPr>
        <w:t xml:space="preserve">is </w:t>
      </w:r>
      <w:r w:rsidR="115ACC38" w:rsidRPr="00A65CE5">
        <w:rPr>
          <w:rFonts w:ascii="Calibri" w:eastAsia="Calibri" w:hAnsi="Calibri" w:cs="Calibri"/>
        </w:rPr>
        <w:t xml:space="preserve">attributed to residents within the 50+ </w:t>
      </w:r>
      <w:r w:rsidR="308A478C">
        <w:rPr>
          <w:rFonts w:ascii="Calibri" w:eastAsia="Calibri" w:hAnsi="Calibri" w:cs="Calibri"/>
        </w:rPr>
        <w:t xml:space="preserve">age </w:t>
      </w:r>
      <w:r w:rsidR="115ACC38" w:rsidRPr="00A65CE5">
        <w:rPr>
          <w:rFonts w:ascii="Calibri" w:eastAsia="Calibri" w:hAnsi="Calibri" w:cs="Calibri"/>
        </w:rPr>
        <w:t>cohort</w:t>
      </w:r>
      <w:r w:rsidR="3E7B6B97">
        <w:rPr>
          <w:rFonts w:ascii="Calibri" w:eastAsia="Calibri" w:hAnsi="Calibri" w:cs="Calibri"/>
        </w:rPr>
        <w:t>.</w:t>
      </w:r>
      <w:r w:rsidR="00F91EC1">
        <w:rPr>
          <w:rStyle w:val="EndnoteReference"/>
          <w:rFonts w:ascii="Calibri" w:eastAsia="Calibri" w:hAnsi="Calibri" w:cs="Calibri"/>
        </w:rPr>
        <w:endnoteReference w:id="2"/>
      </w:r>
      <w:r w:rsidR="3E7B6B97">
        <w:rPr>
          <w:rFonts w:ascii="Calibri" w:eastAsia="Calibri" w:hAnsi="Calibri" w:cs="Calibri"/>
        </w:rPr>
        <w:t xml:space="preserve"> T</w:t>
      </w:r>
      <w:r w:rsidR="115ACC38" w:rsidRPr="00A65CE5">
        <w:rPr>
          <w:rFonts w:ascii="Calibri" w:eastAsia="Calibri" w:hAnsi="Calibri" w:cs="Calibri"/>
        </w:rPr>
        <w:t xml:space="preserve">he University of Massachusetts Donahue Institute’s </w:t>
      </w:r>
      <w:r w:rsidR="115ACC38" w:rsidRPr="58F29FD3">
        <w:rPr>
          <w:rFonts w:ascii="Calibri" w:eastAsia="Calibri" w:hAnsi="Calibri" w:cs="Calibri"/>
          <w:i/>
          <w:iCs/>
        </w:rPr>
        <w:t>Long-Term Population Projects for Massachusetts Regions and Municipalities</w:t>
      </w:r>
      <w:r w:rsidR="115ACC38" w:rsidRPr="00A65CE5">
        <w:rPr>
          <w:rFonts w:ascii="Calibri" w:eastAsia="Calibri" w:hAnsi="Calibri" w:cs="Calibri"/>
        </w:rPr>
        <w:t>, projects the number of residents ages 65 or older that reside in Atrius Health’s Primary Service Area</w:t>
      </w:r>
      <w:r w:rsidR="00A65CE5" w:rsidRPr="00A65CE5">
        <w:rPr>
          <w:rFonts w:ascii="Calibri" w:eastAsia="Calibri" w:hAnsi="Calibri" w:cs="Calibri"/>
          <w:vertAlign w:val="superscript"/>
        </w:rPr>
        <w:footnoteReference w:id="18"/>
      </w:r>
      <w:r w:rsidR="115ACC38" w:rsidRPr="00A65CE5">
        <w:rPr>
          <w:rFonts w:ascii="Calibri" w:eastAsia="Calibri" w:hAnsi="Calibri" w:cs="Calibri"/>
        </w:rPr>
        <w:t xml:space="preserve"> </w:t>
      </w:r>
      <w:r w:rsidR="3E7B6B97">
        <w:rPr>
          <w:rFonts w:ascii="Calibri" w:eastAsia="Calibri" w:hAnsi="Calibri" w:cs="Calibri"/>
        </w:rPr>
        <w:t xml:space="preserve">will </w:t>
      </w:r>
      <w:r w:rsidR="115ACC38" w:rsidRPr="00A65CE5">
        <w:rPr>
          <w:rFonts w:ascii="Calibri" w:eastAsia="Calibri" w:hAnsi="Calibri" w:cs="Calibri"/>
        </w:rPr>
        <w:t xml:space="preserve">increase </w:t>
      </w:r>
      <w:r w:rsidR="115ACC38" w:rsidRPr="391A23E5">
        <w:rPr>
          <w:rFonts w:ascii="Calibri" w:eastAsia="Calibri" w:hAnsi="Calibri" w:cs="Times New Roman"/>
        </w:rPr>
        <w:t>29% from 2020 to 2030</w:t>
      </w:r>
      <w:r w:rsidR="115ACC38" w:rsidRPr="00A65CE5">
        <w:rPr>
          <w:rFonts w:ascii="Calibri" w:eastAsia="Calibri" w:hAnsi="Calibri" w:cs="Calibri"/>
        </w:rPr>
        <w:t xml:space="preserve">. </w:t>
      </w:r>
      <w:r w:rsidR="310649BA" w:rsidRPr="00E73461">
        <w:rPr>
          <w:rFonts w:ascii="Calibri" w:eastAsia="Calibri" w:hAnsi="Calibri" w:cs="Calibri"/>
        </w:rPr>
        <w:t>From 2020 through December 2023, the number of</w:t>
      </w:r>
      <w:r w:rsidR="310649BA" w:rsidRPr="00D01756">
        <w:rPr>
          <w:rFonts w:ascii="Calibri" w:eastAsia="Calibri" w:hAnsi="Calibri" w:cs="Calibri"/>
        </w:rPr>
        <w:t xml:space="preserve"> Patient Panel </w:t>
      </w:r>
      <w:r w:rsidR="310649BA" w:rsidRPr="00E73461">
        <w:rPr>
          <w:rFonts w:ascii="Calibri" w:eastAsia="Calibri" w:hAnsi="Calibri" w:cs="Calibri"/>
        </w:rPr>
        <w:t>patients over the age of 50 grew by 9,463 or 4.3%, while the population under the age of 50 grew by 3,727, or 1.1%.</w:t>
      </w:r>
      <w:r w:rsidR="310649BA" w:rsidRPr="00D01756">
        <w:rPr>
          <w:rFonts w:ascii="Calibri" w:eastAsia="Calibri" w:hAnsi="Calibri" w:cs="Calibri"/>
        </w:rPr>
        <w:t xml:space="preserve"> The Applicant’s surgical patients over</w:t>
      </w:r>
      <w:r w:rsidR="05693594">
        <w:rPr>
          <w:rFonts w:ascii="Calibri" w:eastAsia="Calibri" w:hAnsi="Calibri" w:cs="Calibri"/>
        </w:rPr>
        <w:t xml:space="preserve"> the</w:t>
      </w:r>
      <w:r w:rsidR="310649BA" w:rsidRPr="00D01756">
        <w:rPr>
          <w:rFonts w:ascii="Calibri" w:eastAsia="Calibri" w:hAnsi="Calibri" w:cs="Calibri"/>
        </w:rPr>
        <w:t xml:space="preserve"> age</w:t>
      </w:r>
      <w:r w:rsidR="05693594">
        <w:rPr>
          <w:rFonts w:ascii="Calibri" w:eastAsia="Calibri" w:hAnsi="Calibri" w:cs="Calibri"/>
        </w:rPr>
        <w:t xml:space="preserve"> of</w:t>
      </w:r>
      <w:r w:rsidR="310649BA" w:rsidRPr="00D01756">
        <w:rPr>
          <w:rFonts w:ascii="Calibri" w:eastAsia="Calibri" w:hAnsi="Calibri" w:cs="Calibri"/>
        </w:rPr>
        <w:t xml:space="preserve"> 50 account for 62.4% of surgical patients. (See Table </w:t>
      </w:r>
      <w:r w:rsidR="7107AB43">
        <w:rPr>
          <w:rFonts w:ascii="Calibri" w:eastAsia="Calibri" w:hAnsi="Calibri" w:cs="Calibri"/>
        </w:rPr>
        <w:t>7</w:t>
      </w:r>
      <w:r w:rsidR="310649BA" w:rsidRPr="00D01756">
        <w:rPr>
          <w:rFonts w:ascii="Calibri" w:eastAsia="Calibri" w:hAnsi="Calibri" w:cs="Calibri"/>
        </w:rPr>
        <w:t>)</w:t>
      </w:r>
      <w:r w:rsidR="310649BA">
        <w:rPr>
          <w:rFonts w:ascii="Calibri" w:eastAsia="Calibri" w:hAnsi="Calibri" w:cs="Calibri"/>
        </w:rPr>
        <w:t xml:space="preserve">. As this number grows the </w:t>
      </w:r>
      <w:r w:rsidR="614721BD">
        <w:rPr>
          <w:rFonts w:ascii="Calibri" w:eastAsia="Calibri" w:hAnsi="Calibri" w:cs="Calibri"/>
        </w:rPr>
        <w:t xml:space="preserve">need </w:t>
      </w:r>
      <w:r w:rsidR="310649BA">
        <w:rPr>
          <w:rFonts w:ascii="Calibri" w:eastAsia="Calibri" w:hAnsi="Calibri" w:cs="Calibri"/>
        </w:rPr>
        <w:t>for ASC</w:t>
      </w:r>
      <w:r w:rsidR="114584B1">
        <w:rPr>
          <w:rFonts w:ascii="Calibri" w:eastAsia="Calibri" w:hAnsi="Calibri" w:cs="Calibri"/>
        </w:rPr>
        <w:t>-appropriate</w:t>
      </w:r>
      <w:r w:rsidR="310649BA">
        <w:rPr>
          <w:rFonts w:ascii="Calibri" w:eastAsia="Calibri" w:hAnsi="Calibri" w:cs="Calibri"/>
        </w:rPr>
        <w:t xml:space="preserve"> surgeries will continue to grow. Accordingly, t</w:t>
      </w:r>
      <w:r w:rsidR="115ACC38" w:rsidRPr="00A65CE5">
        <w:rPr>
          <w:rFonts w:ascii="Calibri" w:eastAsia="Calibri" w:hAnsi="Calibri" w:cs="Calibri"/>
        </w:rPr>
        <w:t xml:space="preserve">he </w:t>
      </w:r>
      <w:r w:rsidR="310649BA">
        <w:rPr>
          <w:rFonts w:ascii="Calibri" w:eastAsia="Calibri" w:hAnsi="Calibri" w:cs="Calibri"/>
        </w:rPr>
        <w:t xml:space="preserve">Applicant asserts the </w:t>
      </w:r>
      <w:r w:rsidR="115ACC38" w:rsidRPr="00A65CE5">
        <w:rPr>
          <w:rFonts w:ascii="Calibri" w:eastAsia="Calibri" w:hAnsi="Calibri" w:cs="Calibri"/>
        </w:rPr>
        <w:t>Proposed Project will allow the Applicant to address the needs of its aging Patient Panel through improved access to</w:t>
      </w:r>
      <w:r w:rsidR="310649BA">
        <w:rPr>
          <w:rFonts w:ascii="Calibri" w:eastAsia="Calibri" w:hAnsi="Calibri" w:cs="Calibri"/>
        </w:rPr>
        <w:t xml:space="preserve"> ASC services</w:t>
      </w:r>
      <w:r w:rsidR="115ACC38" w:rsidRPr="00A65CE5">
        <w:rPr>
          <w:rFonts w:ascii="Calibri" w:eastAsia="Calibri" w:hAnsi="Calibri" w:cs="Calibri"/>
        </w:rPr>
        <w:t>.</w:t>
      </w:r>
    </w:p>
    <w:p w14:paraId="2F56CD84" w14:textId="0F98629F" w:rsidR="00955740" w:rsidRDefault="00955740" w:rsidP="00955740">
      <w:pPr>
        <w:autoSpaceDE w:val="0"/>
        <w:autoSpaceDN w:val="0"/>
        <w:adjustRightInd w:val="0"/>
        <w:spacing w:after="200"/>
        <w:jc w:val="center"/>
        <w:rPr>
          <w:rFonts w:ascii="Calibri" w:eastAsia="Calibri" w:hAnsi="Calibri" w:cs="Calibri"/>
          <w:b/>
          <w:bCs/>
        </w:rPr>
      </w:pPr>
      <w:r w:rsidRPr="00C31DDA">
        <w:rPr>
          <w:rFonts w:ascii="Calibri" w:eastAsia="Calibri" w:hAnsi="Calibri" w:cs="Calibri"/>
          <w:b/>
          <w:bCs/>
        </w:rPr>
        <w:t xml:space="preserve">Table </w:t>
      </w:r>
      <w:r w:rsidR="008173F8" w:rsidRPr="00C31DDA">
        <w:rPr>
          <w:rFonts w:ascii="Calibri" w:eastAsia="Calibri" w:hAnsi="Calibri" w:cs="Calibri"/>
          <w:b/>
          <w:bCs/>
        </w:rPr>
        <w:t>7</w:t>
      </w:r>
      <w:r w:rsidRPr="00C31DDA">
        <w:rPr>
          <w:rFonts w:ascii="Calibri" w:eastAsia="Calibri" w:hAnsi="Calibri" w:cs="Calibri"/>
          <w:b/>
          <w:bCs/>
        </w:rPr>
        <w:t>:</w:t>
      </w:r>
      <w:r w:rsidRPr="00955740">
        <w:rPr>
          <w:rFonts w:ascii="Calibri" w:eastAsia="Calibri" w:hAnsi="Calibri" w:cs="Calibri"/>
          <w:b/>
          <w:bCs/>
        </w:rPr>
        <w:t xml:space="preserve"> Surgical Patients Under and Over 50 Years of Age</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188"/>
        <w:gridCol w:w="1160"/>
        <w:gridCol w:w="1350"/>
        <w:gridCol w:w="1715"/>
      </w:tblGrid>
      <w:tr w:rsidR="0060645C" w:rsidRPr="00955740" w14:paraId="573EDE48" w14:textId="1CBE66E2" w:rsidTr="00D612AF">
        <w:trPr>
          <w:cantSplit/>
          <w:trHeight w:val="368"/>
          <w:tblHeader/>
          <w:jc w:val="center"/>
        </w:trPr>
        <w:tc>
          <w:tcPr>
            <w:tcW w:w="2682" w:type="dxa"/>
            <w:shd w:val="clear" w:color="auto" w:fill="E5FFFF"/>
            <w:noWrap/>
            <w:vAlign w:val="center"/>
            <w:hideMark/>
          </w:tcPr>
          <w:p w14:paraId="73C37C16" w14:textId="77777777" w:rsidR="0060645C" w:rsidRPr="00955740" w:rsidRDefault="0060645C" w:rsidP="0060645C">
            <w:pPr>
              <w:autoSpaceDE w:val="0"/>
              <w:autoSpaceDN w:val="0"/>
              <w:adjustRightInd w:val="0"/>
              <w:jc w:val="center"/>
              <w:rPr>
                <w:rFonts w:ascii="Calibri" w:eastAsia="Calibri" w:hAnsi="Calibri" w:cs="Calibri"/>
                <w:b/>
                <w:bCs/>
              </w:rPr>
            </w:pPr>
            <w:r w:rsidRPr="00955740">
              <w:rPr>
                <w:rFonts w:ascii="Calibri" w:eastAsia="Calibri" w:hAnsi="Calibri" w:cs="Calibri"/>
                <w:b/>
                <w:bCs/>
              </w:rPr>
              <w:t> </w:t>
            </w:r>
          </w:p>
        </w:tc>
        <w:tc>
          <w:tcPr>
            <w:tcW w:w="1188" w:type="dxa"/>
            <w:shd w:val="clear" w:color="auto" w:fill="E5FFFF"/>
            <w:vAlign w:val="center"/>
            <w:hideMark/>
          </w:tcPr>
          <w:p w14:paraId="2D7C5E0A" w14:textId="77777777" w:rsidR="0060645C" w:rsidRPr="00955740" w:rsidRDefault="0060645C" w:rsidP="0060645C">
            <w:pPr>
              <w:autoSpaceDE w:val="0"/>
              <w:autoSpaceDN w:val="0"/>
              <w:adjustRightInd w:val="0"/>
              <w:jc w:val="center"/>
              <w:rPr>
                <w:rFonts w:ascii="Calibri" w:eastAsia="Calibri" w:hAnsi="Calibri" w:cs="Calibri"/>
                <w:b/>
                <w:bCs/>
              </w:rPr>
            </w:pPr>
            <w:r w:rsidRPr="00955740">
              <w:rPr>
                <w:rFonts w:ascii="Calibri" w:eastAsia="Calibri" w:hAnsi="Calibri" w:cs="Calibri"/>
                <w:b/>
                <w:bCs/>
              </w:rPr>
              <w:t>Total</w:t>
            </w:r>
          </w:p>
        </w:tc>
        <w:tc>
          <w:tcPr>
            <w:tcW w:w="1160" w:type="dxa"/>
            <w:shd w:val="clear" w:color="auto" w:fill="E5FFFF"/>
            <w:vAlign w:val="center"/>
            <w:hideMark/>
          </w:tcPr>
          <w:p w14:paraId="17307DD4" w14:textId="77777777" w:rsidR="0060645C" w:rsidRPr="00955740" w:rsidRDefault="0060645C" w:rsidP="0060645C">
            <w:pPr>
              <w:autoSpaceDE w:val="0"/>
              <w:autoSpaceDN w:val="0"/>
              <w:adjustRightInd w:val="0"/>
              <w:jc w:val="center"/>
              <w:rPr>
                <w:rFonts w:ascii="Calibri" w:eastAsia="Calibri" w:hAnsi="Calibri" w:cs="Calibri"/>
                <w:b/>
                <w:bCs/>
              </w:rPr>
            </w:pPr>
            <w:r w:rsidRPr="00955740">
              <w:rPr>
                <w:rFonts w:ascii="Calibri" w:eastAsia="Calibri" w:hAnsi="Calibri" w:cs="Calibri"/>
                <w:b/>
                <w:bCs/>
              </w:rPr>
              <w:t>Under 50</w:t>
            </w:r>
          </w:p>
        </w:tc>
        <w:tc>
          <w:tcPr>
            <w:tcW w:w="1350" w:type="dxa"/>
            <w:shd w:val="clear" w:color="auto" w:fill="E5FFFF"/>
            <w:vAlign w:val="center"/>
            <w:hideMark/>
          </w:tcPr>
          <w:p w14:paraId="3A57D97A" w14:textId="77777777" w:rsidR="0060645C" w:rsidRPr="00955740" w:rsidRDefault="0060645C" w:rsidP="0060645C">
            <w:pPr>
              <w:autoSpaceDE w:val="0"/>
              <w:autoSpaceDN w:val="0"/>
              <w:adjustRightInd w:val="0"/>
              <w:jc w:val="center"/>
              <w:rPr>
                <w:rFonts w:ascii="Calibri" w:eastAsia="Calibri" w:hAnsi="Calibri" w:cs="Calibri"/>
                <w:b/>
                <w:bCs/>
              </w:rPr>
            </w:pPr>
            <w:r w:rsidRPr="00955740">
              <w:rPr>
                <w:rFonts w:ascii="Calibri" w:eastAsia="Calibri" w:hAnsi="Calibri" w:cs="Calibri"/>
                <w:b/>
                <w:bCs/>
              </w:rPr>
              <w:t>Over 50</w:t>
            </w:r>
          </w:p>
        </w:tc>
        <w:tc>
          <w:tcPr>
            <w:tcW w:w="1715" w:type="dxa"/>
            <w:shd w:val="clear" w:color="auto" w:fill="E5FFFF"/>
            <w:vAlign w:val="center"/>
          </w:tcPr>
          <w:p w14:paraId="4F7DB947" w14:textId="23FAC402" w:rsidR="0060645C" w:rsidRPr="0060645C" w:rsidRDefault="008173F8" w:rsidP="0060645C">
            <w:pPr>
              <w:autoSpaceDE w:val="0"/>
              <w:autoSpaceDN w:val="0"/>
              <w:adjustRightInd w:val="0"/>
              <w:jc w:val="center"/>
              <w:rPr>
                <w:rFonts w:eastAsia="Calibri"/>
                <w:b/>
                <w:bCs/>
              </w:rPr>
            </w:pPr>
            <w:r>
              <w:rPr>
                <w:b/>
                <w:bCs/>
                <w:color w:val="000000"/>
              </w:rPr>
              <w:t xml:space="preserve">50+ </w:t>
            </w:r>
            <w:r w:rsidR="0060645C" w:rsidRPr="0060645C">
              <w:rPr>
                <w:b/>
                <w:bCs/>
                <w:color w:val="000000"/>
              </w:rPr>
              <w:t>% of Total</w:t>
            </w:r>
          </w:p>
        </w:tc>
      </w:tr>
      <w:tr w:rsidR="0060645C" w:rsidRPr="00955740" w14:paraId="62681D06" w14:textId="6A886F0A" w:rsidTr="00D612AF">
        <w:trPr>
          <w:cantSplit/>
          <w:trHeight w:val="320"/>
          <w:jc w:val="center"/>
        </w:trPr>
        <w:tc>
          <w:tcPr>
            <w:tcW w:w="2682" w:type="dxa"/>
            <w:shd w:val="clear" w:color="auto" w:fill="auto"/>
            <w:noWrap/>
            <w:vAlign w:val="center"/>
            <w:hideMark/>
          </w:tcPr>
          <w:p w14:paraId="21E25C81" w14:textId="77777777" w:rsidR="0060645C" w:rsidRPr="00955740" w:rsidRDefault="0060645C" w:rsidP="0060645C">
            <w:pPr>
              <w:autoSpaceDE w:val="0"/>
              <w:autoSpaceDN w:val="0"/>
              <w:adjustRightInd w:val="0"/>
              <w:rPr>
                <w:rFonts w:ascii="Calibri" w:eastAsia="Calibri" w:hAnsi="Calibri" w:cs="Calibri"/>
                <w:b/>
                <w:bCs/>
              </w:rPr>
            </w:pPr>
            <w:r w:rsidRPr="00955740">
              <w:rPr>
                <w:rFonts w:ascii="Calibri" w:eastAsia="Calibri" w:hAnsi="Calibri" w:cs="Calibri"/>
                <w:b/>
                <w:bCs/>
              </w:rPr>
              <w:t>CY 2020</w:t>
            </w:r>
          </w:p>
        </w:tc>
        <w:tc>
          <w:tcPr>
            <w:tcW w:w="1188" w:type="dxa"/>
            <w:shd w:val="clear" w:color="auto" w:fill="auto"/>
            <w:noWrap/>
            <w:vAlign w:val="center"/>
            <w:hideMark/>
          </w:tcPr>
          <w:p w14:paraId="04038D5E"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12,573</w:t>
            </w:r>
          </w:p>
        </w:tc>
        <w:tc>
          <w:tcPr>
            <w:tcW w:w="1160" w:type="dxa"/>
            <w:shd w:val="clear" w:color="auto" w:fill="auto"/>
            <w:noWrap/>
            <w:vAlign w:val="center"/>
            <w:hideMark/>
          </w:tcPr>
          <w:p w14:paraId="17531416"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4,611</w:t>
            </w:r>
          </w:p>
        </w:tc>
        <w:tc>
          <w:tcPr>
            <w:tcW w:w="1350" w:type="dxa"/>
            <w:shd w:val="clear" w:color="auto" w:fill="auto"/>
            <w:noWrap/>
            <w:vAlign w:val="center"/>
            <w:hideMark/>
          </w:tcPr>
          <w:p w14:paraId="693647A9"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7,962</w:t>
            </w:r>
          </w:p>
        </w:tc>
        <w:tc>
          <w:tcPr>
            <w:tcW w:w="1715" w:type="dxa"/>
            <w:shd w:val="clear" w:color="auto" w:fill="auto"/>
            <w:vAlign w:val="center"/>
          </w:tcPr>
          <w:p w14:paraId="0F18B218" w14:textId="691ED640" w:rsidR="0060645C" w:rsidRPr="0060645C" w:rsidRDefault="0060645C" w:rsidP="0060645C">
            <w:pPr>
              <w:autoSpaceDE w:val="0"/>
              <w:autoSpaceDN w:val="0"/>
              <w:adjustRightInd w:val="0"/>
              <w:jc w:val="center"/>
              <w:rPr>
                <w:rFonts w:eastAsia="Calibri"/>
              </w:rPr>
            </w:pPr>
            <w:r w:rsidRPr="0060645C">
              <w:rPr>
                <w:color w:val="000000"/>
              </w:rPr>
              <w:t>63.3%</w:t>
            </w:r>
          </w:p>
        </w:tc>
      </w:tr>
      <w:tr w:rsidR="0060645C" w:rsidRPr="00955740" w14:paraId="22D3279E" w14:textId="337DA12C" w:rsidTr="00D612AF">
        <w:trPr>
          <w:cantSplit/>
          <w:trHeight w:val="320"/>
          <w:jc w:val="center"/>
        </w:trPr>
        <w:tc>
          <w:tcPr>
            <w:tcW w:w="2682" w:type="dxa"/>
            <w:shd w:val="clear" w:color="auto" w:fill="auto"/>
            <w:noWrap/>
            <w:vAlign w:val="center"/>
            <w:hideMark/>
          </w:tcPr>
          <w:p w14:paraId="4F2E47F8" w14:textId="77777777" w:rsidR="0060645C" w:rsidRPr="00955740" w:rsidRDefault="0060645C" w:rsidP="0060645C">
            <w:pPr>
              <w:autoSpaceDE w:val="0"/>
              <w:autoSpaceDN w:val="0"/>
              <w:adjustRightInd w:val="0"/>
              <w:rPr>
                <w:rFonts w:ascii="Calibri" w:eastAsia="Calibri" w:hAnsi="Calibri" w:cs="Calibri"/>
                <w:b/>
                <w:bCs/>
              </w:rPr>
            </w:pPr>
            <w:r w:rsidRPr="00955740">
              <w:rPr>
                <w:rFonts w:ascii="Calibri" w:eastAsia="Calibri" w:hAnsi="Calibri" w:cs="Calibri"/>
                <w:b/>
                <w:bCs/>
              </w:rPr>
              <w:t>CY 2023</w:t>
            </w:r>
          </w:p>
        </w:tc>
        <w:tc>
          <w:tcPr>
            <w:tcW w:w="1188" w:type="dxa"/>
            <w:shd w:val="clear" w:color="auto" w:fill="auto"/>
            <w:noWrap/>
            <w:vAlign w:val="center"/>
            <w:hideMark/>
          </w:tcPr>
          <w:p w14:paraId="3D8BD84D"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15,396</w:t>
            </w:r>
          </w:p>
        </w:tc>
        <w:tc>
          <w:tcPr>
            <w:tcW w:w="1160" w:type="dxa"/>
            <w:shd w:val="clear" w:color="auto" w:fill="auto"/>
            <w:noWrap/>
            <w:vAlign w:val="center"/>
            <w:hideMark/>
          </w:tcPr>
          <w:p w14:paraId="38F5C855"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5,783</w:t>
            </w:r>
          </w:p>
        </w:tc>
        <w:tc>
          <w:tcPr>
            <w:tcW w:w="1350" w:type="dxa"/>
            <w:shd w:val="clear" w:color="auto" w:fill="auto"/>
            <w:noWrap/>
            <w:vAlign w:val="center"/>
            <w:hideMark/>
          </w:tcPr>
          <w:p w14:paraId="48132DDC"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9,613</w:t>
            </w:r>
          </w:p>
        </w:tc>
        <w:tc>
          <w:tcPr>
            <w:tcW w:w="1715" w:type="dxa"/>
            <w:shd w:val="clear" w:color="auto" w:fill="auto"/>
            <w:vAlign w:val="center"/>
          </w:tcPr>
          <w:p w14:paraId="759CE528" w14:textId="5F0E5274" w:rsidR="0060645C" w:rsidRPr="0060645C" w:rsidRDefault="0060645C" w:rsidP="0060645C">
            <w:pPr>
              <w:autoSpaceDE w:val="0"/>
              <w:autoSpaceDN w:val="0"/>
              <w:adjustRightInd w:val="0"/>
              <w:jc w:val="center"/>
              <w:rPr>
                <w:rFonts w:eastAsia="Calibri"/>
              </w:rPr>
            </w:pPr>
            <w:r w:rsidRPr="0060645C">
              <w:rPr>
                <w:color w:val="000000"/>
              </w:rPr>
              <w:t>62.4%</w:t>
            </w:r>
          </w:p>
        </w:tc>
      </w:tr>
      <w:tr w:rsidR="0060645C" w:rsidRPr="00955740" w14:paraId="6104C576" w14:textId="4F4A336F" w:rsidTr="00D612AF">
        <w:trPr>
          <w:cantSplit/>
          <w:trHeight w:val="320"/>
          <w:jc w:val="center"/>
        </w:trPr>
        <w:tc>
          <w:tcPr>
            <w:tcW w:w="2682" w:type="dxa"/>
            <w:shd w:val="clear" w:color="auto" w:fill="auto"/>
            <w:noWrap/>
            <w:vAlign w:val="center"/>
            <w:hideMark/>
          </w:tcPr>
          <w:p w14:paraId="19A391F2" w14:textId="77777777" w:rsidR="0060645C" w:rsidRPr="00955740" w:rsidRDefault="0060645C" w:rsidP="0060645C">
            <w:pPr>
              <w:autoSpaceDE w:val="0"/>
              <w:autoSpaceDN w:val="0"/>
              <w:adjustRightInd w:val="0"/>
              <w:rPr>
                <w:rFonts w:ascii="Calibri" w:eastAsia="Calibri" w:hAnsi="Calibri" w:cs="Calibri"/>
                <w:b/>
                <w:bCs/>
              </w:rPr>
            </w:pPr>
            <w:r w:rsidRPr="00955740">
              <w:rPr>
                <w:rFonts w:ascii="Calibri" w:eastAsia="Calibri" w:hAnsi="Calibri" w:cs="Calibri"/>
                <w:b/>
                <w:bCs/>
              </w:rPr>
              <w:t>Change CY 2020 - 2023</w:t>
            </w:r>
          </w:p>
        </w:tc>
        <w:tc>
          <w:tcPr>
            <w:tcW w:w="1188" w:type="dxa"/>
            <w:shd w:val="clear" w:color="auto" w:fill="auto"/>
            <w:noWrap/>
            <w:vAlign w:val="center"/>
            <w:hideMark/>
          </w:tcPr>
          <w:p w14:paraId="3322B793"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2,823</w:t>
            </w:r>
          </w:p>
        </w:tc>
        <w:tc>
          <w:tcPr>
            <w:tcW w:w="1160" w:type="dxa"/>
            <w:shd w:val="clear" w:color="auto" w:fill="auto"/>
            <w:noWrap/>
            <w:vAlign w:val="center"/>
            <w:hideMark/>
          </w:tcPr>
          <w:p w14:paraId="55E940E4"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1,172</w:t>
            </w:r>
          </w:p>
        </w:tc>
        <w:tc>
          <w:tcPr>
            <w:tcW w:w="1350" w:type="dxa"/>
            <w:shd w:val="clear" w:color="auto" w:fill="auto"/>
            <w:noWrap/>
            <w:vAlign w:val="center"/>
            <w:hideMark/>
          </w:tcPr>
          <w:p w14:paraId="706B5766" w14:textId="77777777" w:rsidR="0060645C" w:rsidRPr="00955740" w:rsidRDefault="0060645C" w:rsidP="0060645C">
            <w:pPr>
              <w:autoSpaceDE w:val="0"/>
              <w:autoSpaceDN w:val="0"/>
              <w:adjustRightInd w:val="0"/>
              <w:jc w:val="center"/>
              <w:rPr>
                <w:rFonts w:ascii="Calibri" w:eastAsia="Calibri" w:hAnsi="Calibri" w:cs="Calibri"/>
              </w:rPr>
            </w:pPr>
            <w:r w:rsidRPr="00955740">
              <w:rPr>
                <w:rFonts w:ascii="Calibri" w:eastAsia="Calibri" w:hAnsi="Calibri" w:cs="Calibri"/>
              </w:rPr>
              <w:t>1,651</w:t>
            </w:r>
          </w:p>
        </w:tc>
        <w:tc>
          <w:tcPr>
            <w:tcW w:w="1715" w:type="dxa"/>
            <w:shd w:val="clear" w:color="auto" w:fill="auto"/>
            <w:vAlign w:val="bottom"/>
          </w:tcPr>
          <w:p w14:paraId="6CA4113F" w14:textId="324ABCA1" w:rsidR="0060645C" w:rsidRPr="0060645C" w:rsidRDefault="0060645C" w:rsidP="0060645C">
            <w:pPr>
              <w:autoSpaceDE w:val="0"/>
              <w:autoSpaceDN w:val="0"/>
              <w:adjustRightInd w:val="0"/>
              <w:jc w:val="center"/>
              <w:rPr>
                <w:rFonts w:eastAsia="Calibri"/>
              </w:rPr>
            </w:pPr>
            <w:r>
              <w:rPr>
                <w:rFonts w:eastAsia="Calibri"/>
              </w:rPr>
              <w:t>-</w:t>
            </w:r>
          </w:p>
        </w:tc>
      </w:tr>
    </w:tbl>
    <w:p w14:paraId="7FC16B9B" w14:textId="77777777" w:rsidR="00955740" w:rsidRPr="00955740" w:rsidRDefault="00955740" w:rsidP="000F7D9A">
      <w:pPr>
        <w:autoSpaceDE w:val="0"/>
        <w:autoSpaceDN w:val="0"/>
        <w:adjustRightInd w:val="0"/>
        <w:jc w:val="center"/>
        <w:rPr>
          <w:rFonts w:ascii="Calibri" w:eastAsia="Calibri" w:hAnsi="Calibri" w:cs="Calibri"/>
          <w:b/>
          <w:bCs/>
        </w:rPr>
      </w:pPr>
    </w:p>
    <w:p w14:paraId="072F85B0" w14:textId="77777777" w:rsidR="0043689A" w:rsidRDefault="0043689A" w:rsidP="0043689A">
      <w:pPr>
        <w:rPr>
          <w:rFonts w:ascii="Calibri" w:eastAsia="Calibri" w:hAnsi="Calibri" w:cs="Calibri"/>
        </w:rPr>
      </w:pPr>
    </w:p>
    <w:p w14:paraId="6FFBDF24" w14:textId="3A0E1F74" w:rsidR="0043689A" w:rsidRPr="0043689A" w:rsidRDefault="0043689A" w:rsidP="0043689A">
      <w:pPr>
        <w:pStyle w:val="ListParagraph"/>
        <w:numPr>
          <w:ilvl w:val="0"/>
          <w:numId w:val="19"/>
        </w:numPr>
        <w:rPr>
          <w:rFonts w:eastAsia="Calibri"/>
          <w:b/>
          <w:bCs/>
          <w:sz w:val="24"/>
          <w:szCs w:val="24"/>
        </w:rPr>
      </w:pPr>
      <w:r w:rsidRPr="0043689A">
        <w:rPr>
          <w:rFonts w:eastAsia="Calibri"/>
          <w:b/>
          <w:bCs/>
          <w:sz w:val="24"/>
          <w:szCs w:val="24"/>
        </w:rPr>
        <w:t>Need to Integrate the ASC services into Atrius Health Continuum of Care.</w:t>
      </w:r>
    </w:p>
    <w:p w14:paraId="17438EE0" w14:textId="0308B77B" w:rsidR="00446EE7" w:rsidRDefault="0043689A" w:rsidP="0043689A">
      <w:pPr>
        <w:rPr>
          <w:rFonts w:ascii="Calibri" w:eastAsia="Calibri" w:hAnsi="Calibri" w:cs="Calibri"/>
        </w:rPr>
      </w:pPr>
      <w:r w:rsidRPr="391A23E5">
        <w:rPr>
          <w:rFonts w:ascii="Calibri" w:eastAsia="Calibri" w:hAnsi="Calibri" w:cs="Calibri"/>
        </w:rPr>
        <w:t xml:space="preserve">In 2022, 56% of the </w:t>
      </w:r>
      <w:r w:rsidR="004E1369" w:rsidRPr="391A23E5">
        <w:rPr>
          <w:rFonts w:ascii="Calibri" w:eastAsia="Calibri" w:hAnsi="Calibri" w:cs="Calibri"/>
        </w:rPr>
        <w:t>s</w:t>
      </w:r>
      <w:r w:rsidRPr="391A23E5">
        <w:rPr>
          <w:rFonts w:ascii="Calibri" w:eastAsia="Calibri" w:hAnsi="Calibri" w:cs="Calibri"/>
        </w:rPr>
        <w:t xml:space="preserve">urgical </w:t>
      </w:r>
      <w:r w:rsidR="004E1369" w:rsidRPr="391A23E5">
        <w:rPr>
          <w:rFonts w:ascii="Calibri" w:eastAsia="Calibri" w:hAnsi="Calibri" w:cs="Calibri"/>
        </w:rPr>
        <w:t>p</w:t>
      </w:r>
      <w:r w:rsidRPr="391A23E5">
        <w:rPr>
          <w:rFonts w:ascii="Calibri" w:eastAsia="Calibri" w:hAnsi="Calibri" w:cs="Calibri"/>
        </w:rPr>
        <w:t xml:space="preserve">atients covered by risk products received care from surgeons outside of Atrius Health. </w:t>
      </w:r>
      <w:r w:rsidR="00EB1C8F" w:rsidRPr="391A23E5">
        <w:rPr>
          <w:rFonts w:ascii="Calibri" w:eastAsia="Calibri" w:hAnsi="Calibri" w:cs="Calibri"/>
        </w:rPr>
        <w:t>S</w:t>
      </w:r>
      <w:r w:rsidRPr="391A23E5">
        <w:rPr>
          <w:rFonts w:ascii="Calibri" w:eastAsia="Calibri" w:hAnsi="Calibri" w:cs="Calibri"/>
        </w:rPr>
        <w:t>ince over half of patients are covered under risk contracts where the Applicant is fully responsible for a patient’s care</w:t>
      </w:r>
      <w:r w:rsidR="00EB1C8F" w:rsidRPr="391A23E5">
        <w:rPr>
          <w:rFonts w:ascii="Calibri" w:eastAsia="Calibri" w:hAnsi="Calibri" w:cs="Calibri"/>
        </w:rPr>
        <w:t xml:space="preserve">, the Applicant has a need to gain control of </w:t>
      </w:r>
      <w:r w:rsidR="00446EE7" w:rsidRPr="391A23E5">
        <w:rPr>
          <w:rFonts w:ascii="Calibri" w:eastAsia="Calibri" w:hAnsi="Calibri" w:cs="Calibri"/>
        </w:rPr>
        <w:t>spending.</w:t>
      </w:r>
      <w:r w:rsidRPr="391A23E5">
        <w:rPr>
          <w:rFonts w:ascii="Calibri" w:eastAsia="Calibri" w:hAnsi="Calibri" w:cs="Calibri"/>
        </w:rPr>
        <w:t xml:space="preserve"> Generally, cost of care that goes outside the network is not as predictable as when care is delivered within the network.</w:t>
      </w:r>
    </w:p>
    <w:p w14:paraId="72BD6348" w14:textId="77777777" w:rsidR="00446EE7" w:rsidRDefault="00446EE7" w:rsidP="0043689A">
      <w:pPr>
        <w:rPr>
          <w:rFonts w:ascii="Calibri" w:eastAsia="Calibri" w:hAnsi="Calibri" w:cs="Calibri"/>
        </w:rPr>
      </w:pPr>
    </w:p>
    <w:p w14:paraId="58C6F5F3" w14:textId="45C53855" w:rsidR="0043689A" w:rsidRDefault="0043689A" w:rsidP="0043689A">
      <w:pPr>
        <w:rPr>
          <w:rFonts w:ascii="Calibri" w:eastAsia="Calibri" w:hAnsi="Calibri" w:cs="Calibri"/>
        </w:rPr>
      </w:pPr>
      <w:r w:rsidRPr="391A23E5">
        <w:rPr>
          <w:rFonts w:ascii="Calibri" w:eastAsia="Calibri" w:hAnsi="Calibri" w:cs="Calibri"/>
        </w:rPr>
        <w:t>Additionally, the Applicant asserts that patients leaving the network are more likely to experience more disjointed patient care experiences because often patients must</w:t>
      </w:r>
      <w:r w:rsidR="00F91E77" w:rsidRPr="391A23E5">
        <w:rPr>
          <w:rFonts w:ascii="Calibri" w:eastAsia="Calibri" w:hAnsi="Calibri" w:cs="Calibri"/>
        </w:rPr>
        <w:t>:</w:t>
      </w:r>
      <w:r w:rsidRPr="391A23E5">
        <w:rPr>
          <w:rFonts w:ascii="Calibri" w:eastAsia="Calibri" w:hAnsi="Calibri" w:cs="Calibri"/>
        </w:rPr>
        <w:t xml:space="preserve"> </w:t>
      </w:r>
    </w:p>
    <w:p w14:paraId="078A2691" w14:textId="77777777" w:rsidR="0043689A" w:rsidRPr="0043689A" w:rsidRDefault="0043689A" w:rsidP="0043689A">
      <w:pPr>
        <w:rPr>
          <w:rFonts w:ascii="Calibri" w:eastAsia="Calibri" w:hAnsi="Calibri" w:cs="Calibri"/>
        </w:rPr>
      </w:pPr>
    </w:p>
    <w:p w14:paraId="63D64497" w14:textId="09DBC13C" w:rsidR="0043689A" w:rsidRPr="00666E65" w:rsidRDefault="0043689A" w:rsidP="00666E65">
      <w:pPr>
        <w:pStyle w:val="ListParagraph"/>
        <w:numPr>
          <w:ilvl w:val="0"/>
          <w:numId w:val="28"/>
        </w:numPr>
        <w:spacing w:after="0" w:line="240" w:lineRule="auto"/>
        <w:rPr>
          <w:rFonts w:ascii="Calibri" w:eastAsia="Calibri" w:hAnsi="Calibri" w:cs="Calibri"/>
          <w:sz w:val="24"/>
          <w:szCs w:val="24"/>
        </w:rPr>
      </w:pPr>
      <w:r w:rsidRPr="00666E65">
        <w:rPr>
          <w:rFonts w:ascii="Calibri" w:eastAsia="Calibri" w:hAnsi="Calibri" w:cs="Calibri"/>
          <w:sz w:val="24"/>
          <w:szCs w:val="24"/>
        </w:rPr>
        <w:t xml:space="preserve">navigate a different set of providers </w:t>
      </w:r>
      <w:r w:rsidR="000E7007">
        <w:rPr>
          <w:rFonts w:ascii="Calibri" w:eastAsia="Calibri" w:hAnsi="Calibri" w:cs="Calibri"/>
          <w:sz w:val="24"/>
          <w:szCs w:val="24"/>
        </w:rPr>
        <w:t xml:space="preserve">where </w:t>
      </w:r>
      <w:r w:rsidRPr="00666E65">
        <w:rPr>
          <w:rFonts w:ascii="Calibri" w:eastAsia="Calibri" w:hAnsi="Calibri" w:cs="Calibri"/>
          <w:sz w:val="24"/>
          <w:szCs w:val="24"/>
        </w:rPr>
        <w:t xml:space="preserve">they have a </w:t>
      </w:r>
      <w:r w:rsidR="005413E5">
        <w:rPr>
          <w:rFonts w:ascii="Calibri" w:eastAsia="Calibri" w:hAnsi="Calibri" w:cs="Calibri"/>
          <w:sz w:val="24"/>
          <w:szCs w:val="24"/>
        </w:rPr>
        <w:t xml:space="preserve">time-bound </w:t>
      </w:r>
      <w:r w:rsidRPr="00666E65">
        <w:rPr>
          <w:rFonts w:ascii="Calibri" w:eastAsia="Calibri" w:hAnsi="Calibri" w:cs="Calibri"/>
          <w:sz w:val="24"/>
          <w:szCs w:val="24"/>
        </w:rPr>
        <w:t xml:space="preserve">limited, relationship; </w:t>
      </w:r>
    </w:p>
    <w:p w14:paraId="2E12427A" w14:textId="731BFD3F" w:rsidR="0043689A" w:rsidRPr="00666E65" w:rsidRDefault="0043689A" w:rsidP="00666E65">
      <w:pPr>
        <w:pStyle w:val="ListParagraph"/>
        <w:numPr>
          <w:ilvl w:val="0"/>
          <w:numId w:val="28"/>
        </w:numPr>
        <w:spacing w:after="0" w:line="240" w:lineRule="auto"/>
        <w:rPr>
          <w:rFonts w:ascii="Calibri" w:eastAsia="Calibri" w:hAnsi="Calibri" w:cs="Calibri"/>
          <w:sz w:val="24"/>
          <w:szCs w:val="24"/>
        </w:rPr>
      </w:pPr>
      <w:r w:rsidRPr="00666E65">
        <w:rPr>
          <w:rFonts w:ascii="Calibri" w:eastAsia="Calibri" w:hAnsi="Calibri" w:cs="Calibri"/>
          <w:sz w:val="24"/>
          <w:szCs w:val="24"/>
        </w:rPr>
        <w:t xml:space="preserve">coordinate </w:t>
      </w:r>
      <w:r w:rsidR="000E7007">
        <w:rPr>
          <w:rFonts w:ascii="Calibri" w:eastAsia="Calibri" w:hAnsi="Calibri" w:cs="Calibri"/>
          <w:sz w:val="24"/>
          <w:szCs w:val="24"/>
        </w:rPr>
        <w:t xml:space="preserve">medical records </w:t>
      </w:r>
      <w:r w:rsidRPr="00666E65">
        <w:rPr>
          <w:rFonts w:ascii="Calibri" w:eastAsia="Calibri" w:hAnsi="Calibri" w:cs="Calibri"/>
          <w:sz w:val="24"/>
          <w:szCs w:val="24"/>
        </w:rPr>
        <w:t xml:space="preserve">sharing </w:t>
      </w:r>
      <w:r w:rsidR="000E7007">
        <w:rPr>
          <w:rFonts w:ascii="Calibri" w:eastAsia="Calibri" w:hAnsi="Calibri" w:cs="Calibri"/>
          <w:sz w:val="24"/>
          <w:szCs w:val="24"/>
        </w:rPr>
        <w:t>among</w:t>
      </w:r>
      <w:r w:rsidRPr="00666E65">
        <w:rPr>
          <w:rFonts w:ascii="Calibri" w:eastAsia="Calibri" w:hAnsi="Calibri" w:cs="Calibri"/>
          <w:sz w:val="24"/>
          <w:szCs w:val="24"/>
        </w:rPr>
        <w:t xml:space="preserve"> outside provider</w:t>
      </w:r>
      <w:r w:rsidR="000E7007">
        <w:rPr>
          <w:rFonts w:ascii="Calibri" w:eastAsia="Calibri" w:hAnsi="Calibri" w:cs="Calibri"/>
          <w:sz w:val="24"/>
          <w:szCs w:val="24"/>
        </w:rPr>
        <w:t>s</w:t>
      </w:r>
      <w:r w:rsidRPr="00666E65">
        <w:rPr>
          <w:rFonts w:ascii="Calibri" w:eastAsia="Calibri" w:hAnsi="Calibri" w:cs="Calibri"/>
          <w:sz w:val="24"/>
          <w:szCs w:val="24"/>
        </w:rPr>
        <w:t xml:space="preserve"> and their Atrius Health team; </w:t>
      </w:r>
    </w:p>
    <w:p w14:paraId="0D8D1233" w14:textId="7E6F94A8" w:rsidR="0043689A" w:rsidRPr="00666E65" w:rsidRDefault="0043689A" w:rsidP="00666E65">
      <w:pPr>
        <w:pStyle w:val="ListParagraph"/>
        <w:numPr>
          <w:ilvl w:val="0"/>
          <w:numId w:val="28"/>
        </w:numPr>
        <w:spacing w:after="0" w:line="240" w:lineRule="auto"/>
        <w:rPr>
          <w:rFonts w:ascii="Calibri" w:eastAsia="Calibri" w:hAnsi="Calibri" w:cs="Calibri"/>
          <w:sz w:val="24"/>
          <w:szCs w:val="24"/>
        </w:rPr>
      </w:pPr>
      <w:r w:rsidRPr="391A23E5">
        <w:rPr>
          <w:rFonts w:ascii="Calibri" w:eastAsia="Calibri" w:hAnsi="Calibri" w:cs="Calibri"/>
          <w:sz w:val="24"/>
          <w:szCs w:val="24"/>
        </w:rPr>
        <w:t xml:space="preserve">undergo repeat </w:t>
      </w:r>
      <w:r w:rsidR="000E7007" w:rsidRPr="391A23E5">
        <w:rPr>
          <w:rFonts w:ascii="Calibri" w:eastAsia="Calibri" w:hAnsi="Calibri" w:cs="Calibri"/>
          <w:sz w:val="24"/>
          <w:szCs w:val="24"/>
        </w:rPr>
        <w:t xml:space="preserve">diagnostic </w:t>
      </w:r>
      <w:r w:rsidRPr="391A23E5">
        <w:rPr>
          <w:rFonts w:ascii="Calibri" w:eastAsia="Calibri" w:hAnsi="Calibri" w:cs="Calibri"/>
          <w:sz w:val="24"/>
          <w:szCs w:val="24"/>
        </w:rPr>
        <w:t>testing due to inefficient or lack of medical record-sharing;</w:t>
      </w:r>
      <w:r w:rsidR="003E1833" w:rsidRPr="391A23E5">
        <w:rPr>
          <w:rFonts w:ascii="Calibri" w:eastAsia="Calibri" w:hAnsi="Calibri" w:cs="Calibri"/>
          <w:sz w:val="24"/>
          <w:szCs w:val="24"/>
        </w:rPr>
        <w:t xml:space="preserve"> and</w:t>
      </w:r>
    </w:p>
    <w:p w14:paraId="77FFD3C3" w14:textId="5EE6439C" w:rsidR="0043689A" w:rsidRPr="00666E65" w:rsidRDefault="0043689A" w:rsidP="00666E65">
      <w:pPr>
        <w:pStyle w:val="ListParagraph"/>
        <w:numPr>
          <w:ilvl w:val="0"/>
          <w:numId w:val="28"/>
        </w:numPr>
        <w:spacing w:after="0" w:line="240" w:lineRule="auto"/>
        <w:rPr>
          <w:rFonts w:ascii="Calibri" w:eastAsia="Calibri" w:hAnsi="Calibri" w:cs="Calibri"/>
          <w:sz w:val="24"/>
          <w:szCs w:val="24"/>
        </w:rPr>
      </w:pPr>
      <w:r w:rsidRPr="00666E65">
        <w:rPr>
          <w:rFonts w:ascii="Calibri" w:eastAsia="Calibri" w:hAnsi="Calibri" w:cs="Calibri"/>
          <w:sz w:val="24"/>
          <w:szCs w:val="24"/>
        </w:rPr>
        <w:t xml:space="preserve">ensure follow-up with their Atrius Health primary care provider on their own. </w:t>
      </w:r>
    </w:p>
    <w:p w14:paraId="7FA60324" w14:textId="77777777" w:rsidR="0043689A" w:rsidRPr="0043689A" w:rsidRDefault="0043689A" w:rsidP="0043689A">
      <w:pPr>
        <w:rPr>
          <w:rFonts w:ascii="Calibri" w:eastAsia="Calibri" w:hAnsi="Calibri" w:cs="Calibri"/>
        </w:rPr>
      </w:pPr>
    </w:p>
    <w:p w14:paraId="2C6BEA9C" w14:textId="52B1DEC7" w:rsidR="0043689A" w:rsidRPr="0043689A" w:rsidRDefault="0043689A" w:rsidP="0043689A">
      <w:pPr>
        <w:rPr>
          <w:rFonts w:ascii="Calibri" w:eastAsia="Calibri" w:hAnsi="Calibri" w:cs="Calibri"/>
        </w:rPr>
      </w:pPr>
      <w:r w:rsidRPr="05AFC214">
        <w:rPr>
          <w:rFonts w:ascii="Calibri" w:eastAsia="Calibri" w:hAnsi="Calibri" w:cs="Calibri"/>
        </w:rPr>
        <w:t xml:space="preserve">As discussed in more detail under factor 1(c) the Proposed ASC will have integrated </w:t>
      </w:r>
      <w:r w:rsidR="00936705" w:rsidRPr="05AFC214">
        <w:rPr>
          <w:rFonts w:ascii="Calibri" w:eastAsia="Calibri" w:hAnsi="Calibri" w:cs="Calibri"/>
        </w:rPr>
        <w:t xml:space="preserve">systems </w:t>
      </w:r>
      <w:r w:rsidRPr="05AFC214">
        <w:rPr>
          <w:rFonts w:ascii="Calibri" w:eastAsia="Calibri" w:hAnsi="Calibri" w:cs="Calibri"/>
        </w:rPr>
        <w:t xml:space="preserve">to </w:t>
      </w:r>
      <w:r w:rsidR="00446EE7" w:rsidRPr="05AFC214">
        <w:rPr>
          <w:rFonts w:ascii="Calibri" w:eastAsia="Calibri" w:hAnsi="Calibri" w:cs="Calibri"/>
        </w:rPr>
        <w:t xml:space="preserve">facilitate </w:t>
      </w:r>
      <w:r w:rsidRPr="05AFC214">
        <w:rPr>
          <w:rFonts w:ascii="Calibri" w:eastAsia="Calibri" w:hAnsi="Calibri" w:cs="Calibri"/>
        </w:rPr>
        <w:t>continuity of patient care, efficiency, and cost savings</w:t>
      </w:r>
      <w:r w:rsidR="003E1833" w:rsidRPr="05AFC214">
        <w:rPr>
          <w:rFonts w:ascii="Calibri" w:eastAsia="Calibri" w:hAnsi="Calibri" w:cs="Calibri"/>
        </w:rPr>
        <w:t xml:space="preserve"> across Atrius Health</w:t>
      </w:r>
      <w:r w:rsidR="00A7371C">
        <w:rPr>
          <w:rFonts w:ascii="Calibri" w:eastAsia="Calibri" w:hAnsi="Calibri" w:cs="Calibri"/>
        </w:rPr>
        <w:t>’s Patient Panel and physician practice</w:t>
      </w:r>
      <w:r w:rsidRPr="05AFC214">
        <w:rPr>
          <w:rFonts w:ascii="Calibri" w:eastAsia="Calibri" w:hAnsi="Calibri" w:cs="Calibri"/>
        </w:rPr>
        <w:t xml:space="preserve">. This will mean that a patient’s care team has </w:t>
      </w:r>
      <w:r w:rsidR="00936705" w:rsidRPr="05AFC214">
        <w:rPr>
          <w:rFonts w:ascii="Calibri" w:eastAsia="Calibri" w:hAnsi="Calibri" w:cs="Calibri"/>
        </w:rPr>
        <w:t xml:space="preserve">timely </w:t>
      </w:r>
      <w:r w:rsidRPr="05AFC214">
        <w:rPr>
          <w:rFonts w:ascii="Calibri" w:eastAsia="Calibri" w:hAnsi="Calibri" w:cs="Calibri"/>
        </w:rPr>
        <w:t xml:space="preserve">access to </w:t>
      </w:r>
      <w:r w:rsidR="00936705" w:rsidRPr="05AFC214">
        <w:rPr>
          <w:rFonts w:ascii="Calibri" w:eastAsia="Calibri" w:hAnsi="Calibri" w:cs="Calibri"/>
        </w:rPr>
        <w:lastRenderedPageBreak/>
        <w:t>identic</w:t>
      </w:r>
      <w:r w:rsidR="007823D5" w:rsidRPr="05AFC214">
        <w:rPr>
          <w:rFonts w:ascii="Calibri" w:eastAsia="Calibri" w:hAnsi="Calibri" w:cs="Calibri"/>
        </w:rPr>
        <w:t>a</w:t>
      </w:r>
      <w:r w:rsidR="00936705" w:rsidRPr="05AFC214">
        <w:rPr>
          <w:rFonts w:ascii="Calibri" w:eastAsia="Calibri" w:hAnsi="Calibri" w:cs="Calibri"/>
        </w:rPr>
        <w:t>l</w:t>
      </w:r>
      <w:r w:rsidRPr="05AFC214">
        <w:rPr>
          <w:rFonts w:ascii="Calibri" w:eastAsia="Calibri" w:hAnsi="Calibri" w:cs="Calibri"/>
        </w:rPr>
        <w:t xml:space="preserve"> clinical information, which will reduce the need for additional labs, testing, and other pre-surgical work often required before the surgical procedures </w:t>
      </w:r>
      <w:r w:rsidR="00936705" w:rsidRPr="05AFC214">
        <w:rPr>
          <w:rFonts w:ascii="Calibri" w:eastAsia="Calibri" w:hAnsi="Calibri" w:cs="Calibri"/>
        </w:rPr>
        <w:t xml:space="preserve">are </w:t>
      </w:r>
      <w:r w:rsidRPr="05AFC214">
        <w:rPr>
          <w:rFonts w:ascii="Calibri" w:eastAsia="Calibri" w:hAnsi="Calibri" w:cs="Calibri"/>
        </w:rPr>
        <w:t>performed at non-Atrius Health facilities.</w:t>
      </w:r>
    </w:p>
    <w:p w14:paraId="5A6ACB35" w14:textId="07D61860" w:rsidR="00477E36" w:rsidRPr="0038147C" w:rsidRDefault="00477E36" w:rsidP="00A82960">
      <w:pPr>
        <w:spacing w:before="240" w:after="200"/>
        <w:rPr>
          <w:rFonts w:ascii="Calibri" w:eastAsia="Calibri" w:hAnsi="Calibri" w:cs="Calibri"/>
          <w:b/>
          <w:bCs/>
        </w:rPr>
      </w:pPr>
      <w:r w:rsidRPr="0038147C">
        <w:rPr>
          <w:rFonts w:ascii="Calibri" w:eastAsia="Calibri" w:hAnsi="Calibri" w:cs="Calibri"/>
          <w:b/>
          <w:bCs/>
        </w:rPr>
        <w:t>Projections</w:t>
      </w:r>
      <w:r w:rsidR="00C31DDA">
        <w:rPr>
          <w:rFonts w:ascii="Calibri" w:eastAsia="Calibri" w:hAnsi="Calibri" w:cs="Calibri"/>
          <w:b/>
          <w:bCs/>
        </w:rPr>
        <w:t xml:space="preserve"> </w:t>
      </w:r>
    </w:p>
    <w:p w14:paraId="1EAAB9A0" w14:textId="5661C4A5" w:rsidR="0038147C" w:rsidRDefault="0038147C" w:rsidP="00BE1D93">
      <w:pPr>
        <w:rPr>
          <w:rFonts w:ascii="Calibri" w:eastAsia="Calibri" w:hAnsi="Calibri" w:cs="Calibri"/>
        </w:rPr>
      </w:pPr>
      <w:r>
        <w:rPr>
          <w:rFonts w:ascii="Calibri" w:eastAsia="Calibri" w:hAnsi="Calibri" w:cs="Calibri"/>
        </w:rPr>
        <w:t xml:space="preserve">Upon staff inquiry, the Applicant </w:t>
      </w:r>
      <w:r w:rsidR="00B1179B">
        <w:rPr>
          <w:rFonts w:ascii="Calibri" w:eastAsia="Calibri" w:hAnsi="Calibri" w:cs="Calibri"/>
        </w:rPr>
        <w:t xml:space="preserve">further </w:t>
      </w:r>
      <w:r>
        <w:rPr>
          <w:rFonts w:ascii="Calibri" w:eastAsia="Calibri" w:hAnsi="Calibri" w:cs="Calibri"/>
        </w:rPr>
        <w:t xml:space="preserve">explained their methodology, and justification for </w:t>
      </w:r>
      <w:r w:rsidR="00936705">
        <w:rPr>
          <w:rFonts w:ascii="Calibri" w:eastAsia="Calibri" w:hAnsi="Calibri" w:cs="Calibri"/>
        </w:rPr>
        <w:t>six (</w:t>
      </w:r>
      <w:r>
        <w:rPr>
          <w:rFonts w:ascii="Calibri" w:eastAsia="Calibri" w:hAnsi="Calibri" w:cs="Calibri"/>
        </w:rPr>
        <w:t>6</w:t>
      </w:r>
      <w:r w:rsidR="00936705">
        <w:rPr>
          <w:rFonts w:ascii="Calibri" w:eastAsia="Calibri" w:hAnsi="Calibri" w:cs="Calibri"/>
        </w:rPr>
        <w:t>)</w:t>
      </w:r>
      <w:r>
        <w:rPr>
          <w:rFonts w:ascii="Calibri" w:eastAsia="Calibri" w:hAnsi="Calibri" w:cs="Calibri"/>
        </w:rPr>
        <w:t xml:space="preserve"> ORs. </w:t>
      </w:r>
      <w:r w:rsidR="00936705">
        <w:rPr>
          <w:rFonts w:ascii="Calibri" w:eastAsia="Calibri" w:hAnsi="Calibri" w:cs="Calibri"/>
        </w:rPr>
        <w:t>T</w:t>
      </w:r>
      <w:r w:rsidR="00BC6C12" w:rsidRPr="00BC6C12">
        <w:rPr>
          <w:rFonts w:ascii="Calibri" w:eastAsia="Calibri" w:hAnsi="Calibri" w:cs="Calibri"/>
        </w:rPr>
        <w:t>he Applicant</w:t>
      </w:r>
      <w:r w:rsidR="00936705">
        <w:rPr>
          <w:rFonts w:ascii="Calibri" w:eastAsia="Calibri" w:hAnsi="Calibri" w:cs="Calibri"/>
        </w:rPr>
        <w:t xml:space="preserve"> states it</w:t>
      </w:r>
      <w:r w:rsidR="00BC6C12" w:rsidRPr="00BC6C12">
        <w:rPr>
          <w:rFonts w:ascii="Calibri" w:eastAsia="Calibri" w:hAnsi="Calibri" w:cs="Calibri"/>
        </w:rPr>
        <w:t xml:space="preserve"> reviewed the current mix of appropriate surgical cases </w:t>
      </w:r>
      <w:r w:rsidR="004D4620">
        <w:rPr>
          <w:rFonts w:ascii="Calibri" w:eastAsia="Calibri" w:hAnsi="Calibri" w:cs="Calibri"/>
        </w:rPr>
        <w:t xml:space="preserve">for </w:t>
      </w:r>
      <w:r w:rsidR="00BC6C12" w:rsidRPr="00BC6C12">
        <w:rPr>
          <w:rFonts w:ascii="Calibri" w:eastAsia="Calibri" w:hAnsi="Calibri" w:cs="Calibri"/>
        </w:rPr>
        <w:t xml:space="preserve">their planned specialties </w:t>
      </w:r>
      <w:r w:rsidR="004D4620">
        <w:rPr>
          <w:rFonts w:ascii="Calibri" w:eastAsia="Calibri" w:hAnsi="Calibri" w:cs="Calibri"/>
        </w:rPr>
        <w:t xml:space="preserve">(currently performed </w:t>
      </w:r>
      <w:r w:rsidR="004D4620" w:rsidRPr="004D4620">
        <w:rPr>
          <w:rFonts w:ascii="Calibri" w:eastAsia="Calibri" w:hAnsi="Calibri" w:cs="Calibri"/>
        </w:rPr>
        <w:t>at alternative sites</w:t>
      </w:r>
      <w:r w:rsidR="004D4620">
        <w:rPr>
          <w:rFonts w:ascii="Calibri" w:eastAsia="Calibri" w:hAnsi="Calibri" w:cs="Calibri"/>
        </w:rPr>
        <w:t>)</w:t>
      </w:r>
      <w:r w:rsidR="004D4620" w:rsidRPr="004D4620">
        <w:rPr>
          <w:rFonts w:ascii="Calibri" w:eastAsia="Calibri" w:hAnsi="Calibri" w:cs="Calibri"/>
        </w:rPr>
        <w:t xml:space="preserve"> </w:t>
      </w:r>
      <w:r w:rsidR="00BC6C12" w:rsidRPr="00BC6C12">
        <w:rPr>
          <w:rFonts w:ascii="Calibri" w:eastAsia="Calibri" w:hAnsi="Calibri" w:cs="Calibri"/>
        </w:rPr>
        <w:t xml:space="preserve">and made assumptions on expected case migration based on eligibility criteria, such as clinical appropriateness and comorbidities. </w:t>
      </w:r>
    </w:p>
    <w:p w14:paraId="1BD3B8E3" w14:textId="77777777" w:rsidR="00BC6C12" w:rsidRDefault="00BC6C12" w:rsidP="00BE1D93">
      <w:pPr>
        <w:rPr>
          <w:rFonts w:ascii="Calibri" w:eastAsia="Calibri" w:hAnsi="Calibri" w:cs="Calibri"/>
        </w:rPr>
      </w:pPr>
    </w:p>
    <w:p w14:paraId="35242121" w14:textId="45F414DA" w:rsidR="0038147C" w:rsidRDefault="03ABFDF2" w:rsidP="0038147C">
      <w:pPr>
        <w:spacing w:after="200"/>
        <w:rPr>
          <w:rFonts w:ascii="Calibri" w:eastAsia="Calibri" w:hAnsi="Calibri" w:cs="Calibri"/>
        </w:rPr>
      </w:pPr>
      <w:r w:rsidRPr="163A5443">
        <w:rPr>
          <w:rFonts w:ascii="Calibri" w:eastAsia="Calibri" w:hAnsi="Calibri" w:cs="Calibri"/>
        </w:rPr>
        <w:t xml:space="preserve">The Applicant projects that 1,264 cases would </w:t>
      </w:r>
      <w:r w:rsidR="0056293F">
        <w:rPr>
          <w:rFonts w:ascii="Calibri" w:eastAsia="Calibri" w:hAnsi="Calibri" w:cs="Calibri"/>
        </w:rPr>
        <w:t xml:space="preserve">migrate </w:t>
      </w:r>
      <w:r w:rsidR="00FA2DC8" w:rsidRPr="163A5443">
        <w:rPr>
          <w:rFonts w:ascii="Calibri" w:eastAsia="Calibri" w:hAnsi="Calibri" w:cs="Calibri"/>
        </w:rPr>
        <w:t xml:space="preserve">from </w:t>
      </w:r>
      <w:r w:rsidR="0041795C">
        <w:rPr>
          <w:rFonts w:ascii="Calibri" w:eastAsia="Calibri" w:hAnsi="Calibri" w:cs="Calibri"/>
        </w:rPr>
        <w:t xml:space="preserve">non-Atrius </w:t>
      </w:r>
      <w:r w:rsidR="00FA2DC8" w:rsidRPr="194A834D">
        <w:rPr>
          <w:rFonts w:ascii="Calibri" w:eastAsia="Calibri" w:hAnsi="Calibri" w:cs="Calibri"/>
        </w:rPr>
        <w:t>ASC’s</w:t>
      </w:r>
      <w:r w:rsidRPr="194A834D">
        <w:rPr>
          <w:rFonts w:ascii="Calibri" w:eastAsia="Calibri" w:hAnsi="Calibri" w:cs="Calibri"/>
        </w:rPr>
        <w:t>,</w:t>
      </w:r>
      <w:r w:rsidR="0038147C" w:rsidRPr="163A5443">
        <w:rPr>
          <w:rStyle w:val="FootnoteReference"/>
          <w:rFonts w:ascii="Calibri" w:eastAsia="Calibri" w:hAnsi="Calibri" w:cs="Calibri"/>
        </w:rPr>
        <w:footnoteReference w:id="19"/>
      </w:r>
      <w:r w:rsidRPr="163A5443">
        <w:rPr>
          <w:rFonts w:ascii="Calibri" w:eastAsia="Calibri" w:hAnsi="Calibri" w:cs="Calibri"/>
        </w:rPr>
        <w:t xml:space="preserve"> 4,242 from HOPD, and 727 from HIPD </w:t>
      </w:r>
      <w:r w:rsidR="43BB8A6E" w:rsidRPr="163A5443">
        <w:rPr>
          <w:rFonts w:ascii="Calibri" w:eastAsia="Calibri" w:hAnsi="Calibri" w:cs="Calibri"/>
        </w:rPr>
        <w:t>(</w:t>
      </w:r>
      <w:r w:rsidR="00A82960">
        <w:rPr>
          <w:rFonts w:ascii="Calibri" w:eastAsia="Calibri" w:hAnsi="Calibri" w:cs="Calibri"/>
        </w:rPr>
        <w:t>t</w:t>
      </w:r>
      <w:r w:rsidR="43BB8A6E" w:rsidRPr="163A5443">
        <w:rPr>
          <w:rFonts w:ascii="Calibri" w:eastAsia="Calibri" w:hAnsi="Calibri" w:cs="Calibri"/>
        </w:rPr>
        <w:t xml:space="preserve">otal </w:t>
      </w:r>
      <w:r w:rsidR="00A82960">
        <w:rPr>
          <w:rFonts w:ascii="Calibri" w:eastAsia="Calibri" w:hAnsi="Calibri" w:cs="Calibri"/>
        </w:rPr>
        <w:t xml:space="preserve">of </w:t>
      </w:r>
      <w:r w:rsidR="0670B328" w:rsidRPr="163A5443">
        <w:rPr>
          <w:rFonts w:ascii="Calibri" w:eastAsia="Calibri" w:hAnsi="Calibri" w:cs="Calibri"/>
        </w:rPr>
        <w:t>6</w:t>
      </w:r>
      <w:r w:rsidR="43BB8A6E" w:rsidRPr="163A5443">
        <w:rPr>
          <w:rFonts w:ascii="Calibri" w:eastAsia="Calibri" w:hAnsi="Calibri" w:cs="Calibri"/>
        </w:rPr>
        <w:t>,233</w:t>
      </w:r>
      <w:r w:rsidR="0670B328" w:rsidRPr="163A5443">
        <w:rPr>
          <w:rFonts w:ascii="Calibri" w:eastAsia="Calibri" w:hAnsi="Calibri" w:cs="Calibri"/>
        </w:rPr>
        <w:t xml:space="preserve">) </w:t>
      </w:r>
      <w:r w:rsidRPr="163A5443">
        <w:rPr>
          <w:rFonts w:ascii="Calibri" w:eastAsia="Calibri" w:hAnsi="Calibri" w:cs="Calibri"/>
        </w:rPr>
        <w:t xml:space="preserve">to the Proposed </w:t>
      </w:r>
      <w:r w:rsidR="43BB8A6E" w:rsidRPr="163A5443">
        <w:rPr>
          <w:rFonts w:ascii="Calibri" w:eastAsia="Calibri" w:hAnsi="Calibri" w:cs="Calibri"/>
        </w:rPr>
        <w:t>ASC</w:t>
      </w:r>
      <w:r w:rsidR="17B68124" w:rsidRPr="163A5443">
        <w:rPr>
          <w:rFonts w:ascii="Calibri" w:eastAsia="Calibri" w:hAnsi="Calibri" w:cs="Calibri"/>
        </w:rPr>
        <w:t xml:space="preserve"> by year 2</w:t>
      </w:r>
      <w:r w:rsidRPr="163A5443">
        <w:rPr>
          <w:rFonts w:ascii="Calibri" w:eastAsia="Calibri" w:hAnsi="Calibri" w:cs="Calibri"/>
        </w:rPr>
        <w:t xml:space="preserve">. </w:t>
      </w:r>
      <w:r w:rsidR="56BC3D59" w:rsidRPr="163A5443">
        <w:rPr>
          <w:rFonts w:ascii="Calibri" w:eastAsia="Calibri" w:hAnsi="Calibri" w:cs="Calibri"/>
        </w:rPr>
        <w:t xml:space="preserve">It then calculated the estimated number of hours for the types of cases planned </w:t>
      </w:r>
      <w:r w:rsidR="0670B328" w:rsidRPr="163A5443">
        <w:rPr>
          <w:rFonts w:ascii="Calibri" w:eastAsia="Calibri" w:hAnsi="Calibri" w:cs="Calibri"/>
        </w:rPr>
        <w:t xml:space="preserve">(9,984). </w:t>
      </w:r>
      <w:r w:rsidR="41DB9699" w:rsidRPr="163A5443">
        <w:rPr>
          <w:rFonts w:ascii="Calibri" w:eastAsia="Calibri" w:hAnsi="Calibri" w:cs="Calibri"/>
        </w:rPr>
        <w:t xml:space="preserve">(See </w:t>
      </w:r>
      <w:r w:rsidR="0670B328" w:rsidRPr="163A5443">
        <w:rPr>
          <w:rFonts w:ascii="Calibri" w:eastAsia="Calibri" w:hAnsi="Calibri" w:cs="Calibri"/>
        </w:rPr>
        <w:t>Table 8</w:t>
      </w:r>
      <w:r w:rsidR="41DB9699" w:rsidRPr="163A5443">
        <w:rPr>
          <w:rFonts w:ascii="Calibri" w:eastAsia="Calibri" w:hAnsi="Calibri" w:cs="Calibri"/>
        </w:rPr>
        <w:t>)</w:t>
      </w:r>
    </w:p>
    <w:p w14:paraId="11DCFF8A" w14:textId="057528C5" w:rsidR="00725D91" w:rsidRPr="0058549A" w:rsidRDefault="0058549A" w:rsidP="0058549A">
      <w:pPr>
        <w:spacing w:after="200"/>
        <w:jc w:val="center"/>
        <w:rPr>
          <w:rFonts w:ascii="Calibri" w:eastAsia="Calibri" w:hAnsi="Calibri" w:cs="Calibri"/>
          <w:b/>
          <w:bCs/>
        </w:rPr>
      </w:pPr>
      <w:r w:rsidRPr="0058549A">
        <w:rPr>
          <w:rFonts w:ascii="Calibri" w:eastAsia="Calibri" w:hAnsi="Calibri" w:cs="Calibri"/>
          <w:b/>
          <w:bCs/>
        </w:rPr>
        <w:t>Table 8: Year 2 Projected Volume and Hours</w:t>
      </w:r>
    </w:p>
    <w:tbl>
      <w:tblPr>
        <w:tblStyle w:val="TableGrid"/>
        <w:tblW w:w="0" w:type="auto"/>
        <w:jc w:val="center"/>
        <w:tblLayout w:type="fixed"/>
        <w:tblLook w:val="04A0" w:firstRow="1" w:lastRow="0" w:firstColumn="1" w:lastColumn="0" w:noHBand="0" w:noVBand="1"/>
      </w:tblPr>
      <w:tblGrid>
        <w:gridCol w:w="2155"/>
        <w:gridCol w:w="1620"/>
      </w:tblGrid>
      <w:tr w:rsidR="00725D91" w:rsidRPr="000400BC" w14:paraId="6617A819" w14:textId="77777777" w:rsidTr="0058549A">
        <w:trPr>
          <w:trHeight w:val="566"/>
          <w:jc w:val="center"/>
        </w:trPr>
        <w:tc>
          <w:tcPr>
            <w:tcW w:w="2155" w:type="dxa"/>
            <w:shd w:val="clear" w:color="auto" w:fill="E5FFFF"/>
            <w:hideMark/>
          </w:tcPr>
          <w:p w14:paraId="24D8E77C" w14:textId="0FF25C33" w:rsidR="00725D91" w:rsidRPr="000400BC" w:rsidRDefault="00725D91" w:rsidP="00725D91">
            <w:pPr>
              <w:rPr>
                <w:rFonts w:ascii="Calibri" w:eastAsia="Calibri" w:hAnsi="Calibri" w:cs="Calibri"/>
              </w:rPr>
            </w:pPr>
            <w:r>
              <w:rPr>
                <w:rFonts w:ascii="Calibri" w:eastAsia="Calibri" w:hAnsi="Calibri" w:cs="Calibri"/>
              </w:rPr>
              <w:t xml:space="preserve">Projected </w:t>
            </w:r>
            <w:r w:rsidRPr="000400BC">
              <w:rPr>
                <w:rFonts w:ascii="Calibri" w:eastAsia="Calibri" w:hAnsi="Calibri" w:cs="Calibri"/>
              </w:rPr>
              <w:t>Procedure Volume</w:t>
            </w:r>
          </w:p>
        </w:tc>
        <w:tc>
          <w:tcPr>
            <w:tcW w:w="1620" w:type="dxa"/>
            <w:shd w:val="clear" w:color="auto" w:fill="E5FFFF"/>
            <w:hideMark/>
          </w:tcPr>
          <w:p w14:paraId="30353433" w14:textId="02A6B40D" w:rsidR="00725D91" w:rsidRPr="000400BC" w:rsidRDefault="00725D91" w:rsidP="00725D91">
            <w:pPr>
              <w:rPr>
                <w:rFonts w:ascii="Calibri" w:eastAsia="Calibri" w:hAnsi="Calibri" w:cs="Calibri"/>
              </w:rPr>
            </w:pPr>
            <w:r w:rsidRPr="000400BC">
              <w:rPr>
                <w:rFonts w:ascii="Calibri" w:eastAsia="Calibri" w:hAnsi="Calibri" w:cs="Calibri"/>
              </w:rPr>
              <w:t>Projected Hours</w:t>
            </w:r>
            <w:r>
              <w:rPr>
                <w:rFonts w:ascii="Calibri" w:eastAsia="Calibri" w:hAnsi="Calibri" w:cs="Calibri"/>
              </w:rPr>
              <w:t xml:space="preserve"> Needed </w:t>
            </w:r>
          </w:p>
        </w:tc>
      </w:tr>
      <w:tr w:rsidR="00725D91" w:rsidRPr="000400BC" w14:paraId="7B3AB1B8" w14:textId="77777777" w:rsidTr="0058549A">
        <w:trPr>
          <w:trHeight w:val="320"/>
          <w:jc w:val="center"/>
        </w:trPr>
        <w:tc>
          <w:tcPr>
            <w:tcW w:w="2155" w:type="dxa"/>
            <w:noWrap/>
            <w:hideMark/>
          </w:tcPr>
          <w:p w14:paraId="3498BF0B" w14:textId="54DA3801" w:rsidR="00725D91" w:rsidRPr="000400BC" w:rsidRDefault="00725D91" w:rsidP="00725D91">
            <w:pPr>
              <w:jc w:val="right"/>
              <w:rPr>
                <w:rFonts w:ascii="Calibri" w:eastAsia="Calibri" w:hAnsi="Calibri" w:cs="Calibri"/>
              </w:rPr>
            </w:pPr>
            <w:r w:rsidRPr="000400BC">
              <w:rPr>
                <w:rFonts w:ascii="Calibri" w:eastAsia="Calibri" w:hAnsi="Calibri" w:cs="Calibri"/>
              </w:rPr>
              <w:t>6</w:t>
            </w:r>
            <w:r>
              <w:rPr>
                <w:rFonts w:ascii="Calibri" w:eastAsia="Calibri" w:hAnsi="Calibri" w:cs="Calibri"/>
              </w:rPr>
              <w:t>,</w:t>
            </w:r>
            <w:r w:rsidRPr="000400BC">
              <w:rPr>
                <w:rFonts w:ascii="Calibri" w:eastAsia="Calibri" w:hAnsi="Calibri" w:cs="Calibri"/>
              </w:rPr>
              <w:t>233</w:t>
            </w:r>
          </w:p>
        </w:tc>
        <w:tc>
          <w:tcPr>
            <w:tcW w:w="1620" w:type="dxa"/>
            <w:noWrap/>
            <w:hideMark/>
          </w:tcPr>
          <w:p w14:paraId="62E5DB6A" w14:textId="2A4E8506" w:rsidR="00725D91" w:rsidRPr="000400BC" w:rsidRDefault="00725D91" w:rsidP="00725D91">
            <w:pPr>
              <w:jc w:val="right"/>
              <w:rPr>
                <w:rFonts w:ascii="Calibri" w:eastAsia="Calibri" w:hAnsi="Calibri" w:cs="Calibri"/>
              </w:rPr>
            </w:pPr>
            <w:r w:rsidRPr="000400BC">
              <w:rPr>
                <w:rFonts w:ascii="Calibri" w:eastAsia="Calibri" w:hAnsi="Calibri" w:cs="Calibri"/>
              </w:rPr>
              <w:t>9</w:t>
            </w:r>
            <w:r>
              <w:rPr>
                <w:rFonts w:ascii="Calibri" w:eastAsia="Calibri" w:hAnsi="Calibri" w:cs="Calibri"/>
              </w:rPr>
              <w:t>,</w:t>
            </w:r>
            <w:r w:rsidRPr="000400BC">
              <w:rPr>
                <w:rFonts w:ascii="Calibri" w:eastAsia="Calibri" w:hAnsi="Calibri" w:cs="Calibri"/>
              </w:rPr>
              <w:t>984</w:t>
            </w:r>
          </w:p>
        </w:tc>
      </w:tr>
    </w:tbl>
    <w:p w14:paraId="27F0A43F" w14:textId="77777777" w:rsidR="00725D91" w:rsidRDefault="00725D91" w:rsidP="00955DB8">
      <w:pPr>
        <w:spacing w:after="200"/>
        <w:rPr>
          <w:rFonts w:ascii="Calibri" w:eastAsia="Calibri" w:hAnsi="Calibri" w:cs="Calibri"/>
        </w:rPr>
      </w:pPr>
    </w:p>
    <w:p w14:paraId="2C5A10C3" w14:textId="479E05D2" w:rsidR="0038147C" w:rsidRDefault="00725D91" w:rsidP="00955DB8">
      <w:pPr>
        <w:spacing w:after="200"/>
        <w:rPr>
          <w:rFonts w:ascii="Calibri" w:eastAsia="Calibri" w:hAnsi="Calibri" w:cs="Calibri"/>
        </w:rPr>
      </w:pPr>
      <w:r>
        <w:rPr>
          <w:rFonts w:ascii="Calibri" w:eastAsia="Calibri" w:hAnsi="Calibri" w:cs="Calibri"/>
        </w:rPr>
        <w:t xml:space="preserve">The </w:t>
      </w:r>
      <w:r w:rsidRPr="00725D91">
        <w:rPr>
          <w:rFonts w:ascii="Calibri" w:eastAsia="Calibri" w:hAnsi="Calibri" w:cs="Calibri"/>
        </w:rPr>
        <w:t>utilization rate of 83%</w:t>
      </w:r>
      <w:r w:rsidR="004A3E79">
        <w:rPr>
          <w:rStyle w:val="EndnoteReference"/>
          <w:rFonts w:ascii="Calibri" w:eastAsia="Calibri" w:hAnsi="Calibri" w:cs="Calibri"/>
        </w:rPr>
        <w:endnoteReference w:id="3"/>
      </w:r>
      <w:r w:rsidR="004A3E79" w:rsidRPr="00725D91">
        <w:rPr>
          <w:rFonts w:ascii="Calibri" w:eastAsia="Calibri" w:hAnsi="Calibri" w:cs="Calibri"/>
        </w:rPr>
        <w:t xml:space="preserve"> </w:t>
      </w:r>
      <w:r w:rsidRPr="00725D91">
        <w:rPr>
          <w:rFonts w:ascii="Calibri" w:eastAsia="Calibri" w:hAnsi="Calibri" w:cs="Calibri"/>
        </w:rPr>
        <w:t>in the second year of operation</w:t>
      </w:r>
      <w:r>
        <w:rPr>
          <w:rFonts w:ascii="Calibri" w:eastAsia="Calibri" w:hAnsi="Calibri" w:cs="Calibri"/>
        </w:rPr>
        <w:t xml:space="preserve"> calculates to </w:t>
      </w:r>
      <w:r w:rsidR="00BC0224">
        <w:rPr>
          <w:rFonts w:ascii="Calibri" w:eastAsia="Calibri" w:hAnsi="Calibri" w:cs="Calibri"/>
        </w:rPr>
        <w:t>~</w:t>
      </w:r>
      <w:r>
        <w:rPr>
          <w:rFonts w:ascii="Calibri" w:eastAsia="Calibri" w:hAnsi="Calibri" w:cs="Calibri"/>
        </w:rPr>
        <w:t xml:space="preserve">10,000 hours </w:t>
      </w:r>
      <w:r w:rsidR="0058549A">
        <w:rPr>
          <w:rFonts w:ascii="Calibri" w:eastAsia="Calibri" w:hAnsi="Calibri" w:cs="Calibri"/>
        </w:rPr>
        <w:t>which</w:t>
      </w:r>
      <w:r>
        <w:rPr>
          <w:rFonts w:ascii="Calibri" w:eastAsia="Calibri" w:hAnsi="Calibri" w:cs="Calibri"/>
        </w:rPr>
        <w:t xml:space="preserve"> indicat</w:t>
      </w:r>
      <w:r w:rsidR="0058549A">
        <w:rPr>
          <w:rFonts w:ascii="Calibri" w:eastAsia="Calibri" w:hAnsi="Calibri" w:cs="Calibri"/>
        </w:rPr>
        <w:t>es</w:t>
      </w:r>
      <w:r>
        <w:rPr>
          <w:rFonts w:ascii="Calibri" w:eastAsia="Calibri" w:hAnsi="Calibri" w:cs="Calibri"/>
        </w:rPr>
        <w:t xml:space="preserve"> that 6 ORs are needed</w:t>
      </w:r>
      <w:r w:rsidR="0058549A">
        <w:rPr>
          <w:rFonts w:ascii="Calibri" w:eastAsia="Calibri" w:hAnsi="Calibri" w:cs="Calibri"/>
        </w:rPr>
        <w:t xml:space="preserve"> to accommodate the projected hours</w:t>
      </w:r>
      <w:r>
        <w:rPr>
          <w:rFonts w:ascii="Calibri" w:eastAsia="Calibri" w:hAnsi="Calibri" w:cs="Calibri"/>
        </w:rPr>
        <w:t>.</w:t>
      </w:r>
      <w:r w:rsidR="0058549A">
        <w:rPr>
          <w:rFonts w:ascii="Calibri" w:eastAsia="Calibri" w:hAnsi="Calibri" w:cs="Calibri"/>
        </w:rPr>
        <w:t xml:space="preserve"> </w:t>
      </w:r>
      <w:r w:rsidR="00353792">
        <w:rPr>
          <w:rFonts w:ascii="Calibri" w:eastAsia="Calibri" w:hAnsi="Calibri" w:cs="Calibri"/>
        </w:rPr>
        <w:t>(</w:t>
      </w:r>
      <w:r w:rsidR="0058549A">
        <w:rPr>
          <w:rFonts w:ascii="Calibri" w:eastAsia="Calibri" w:hAnsi="Calibri" w:cs="Calibri"/>
        </w:rPr>
        <w:t>See Table 9</w:t>
      </w:r>
      <w:r w:rsidR="00353792">
        <w:rPr>
          <w:rFonts w:ascii="Calibri" w:eastAsia="Calibri" w:hAnsi="Calibri" w:cs="Calibri"/>
        </w:rPr>
        <w:t>)</w:t>
      </w:r>
    </w:p>
    <w:p w14:paraId="3E5B2AC7" w14:textId="1E6744F2" w:rsidR="00C20419" w:rsidRPr="0058549A" w:rsidRDefault="0058549A" w:rsidP="0058549A">
      <w:pPr>
        <w:spacing w:after="200"/>
        <w:jc w:val="center"/>
        <w:rPr>
          <w:rFonts w:ascii="Calibri" w:eastAsia="Calibri" w:hAnsi="Calibri" w:cs="Calibri"/>
          <w:b/>
          <w:bCs/>
        </w:rPr>
      </w:pPr>
      <w:r w:rsidRPr="0058549A">
        <w:rPr>
          <w:rFonts w:ascii="Calibri" w:eastAsia="Calibri" w:hAnsi="Calibri" w:cs="Calibri"/>
          <w:b/>
          <w:bCs/>
        </w:rPr>
        <w:t>Table 9: ORs Needed to Meet the Projected Volume at 83% Utilization</w:t>
      </w:r>
    </w:p>
    <w:tbl>
      <w:tblPr>
        <w:tblStyle w:val="TableGrid"/>
        <w:tblW w:w="0" w:type="auto"/>
        <w:jc w:val="center"/>
        <w:tblLayout w:type="fixed"/>
        <w:tblLook w:val="04A0" w:firstRow="1" w:lastRow="0" w:firstColumn="1" w:lastColumn="0" w:noHBand="0" w:noVBand="1"/>
      </w:tblPr>
      <w:tblGrid>
        <w:gridCol w:w="1057"/>
        <w:gridCol w:w="1093"/>
        <w:gridCol w:w="1411"/>
        <w:gridCol w:w="1440"/>
        <w:gridCol w:w="1924"/>
        <w:gridCol w:w="1800"/>
      </w:tblGrid>
      <w:tr w:rsidR="000400BC" w:rsidRPr="00C20419" w14:paraId="4D346BB0" w14:textId="77777777" w:rsidTr="0058549A">
        <w:trPr>
          <w:trHeight w:val="602"/>
          <w:jc w:val="center"/>
        </w:trPr>
        <w:tc>
          <w:tcPr>
            <w:tcW w:w="1057" w:type="dxa"/>
            <w:shd w:val="clear" w:color="auto" w:fill="E5FFFF"/>
            <w:noWrap/>
            <w:hideMark/>
          </w:tcPr>
          <w:p w14:paraId="1DA38BBC" w14:textId="1C3B3B24" w:rsidR="000400BC" w:rsidRPr="00C20419" w:rsidRDefault="000400BC" w:rsidP="000400BC">
            <w:pPr>
              <w:jc w:val="center"/>
              <w:rPr>
                <w:rFonts w:ascii="Calibri" w:eastAsia="Calibri" w:hAnsi="Calibri" w:cs="Calibri"/>
                <w:b/>
                <w:bCs/>
              </w:rPr>
            </w:pPr>
            <w:r>
              <w:rPr>
                <w:rFonts w:ascii="Calibri" w:eastAsia="Calibri" w:hAnsi="Calibri" w:cs="Calibri"/>
                <w:b/>
                <w:bCs/>
              </w:rPr>
              <w:t># ORs</w:t>
            </w:r>
          </w:p>
        </w:tc>
        <w:tc>
          <w:tcPr>
            <w:tcW w:w="1093" w:type="dxa"/>
            <w:shd w:val="clear" w:color="auto" w:fill="E5FFFF"/>
            <w:noWrap/>
            <w:hideMark/>
          </w:tcPr>
          <w:p w14:paraId="263460DF" w14:textId="77777777" w:rsidR="000400BC" w:rsidRPr="00C20419" w:rsidRDefault="000400BC" w:rsidP="000400BC">
            <w:pPr>
              <w:jc w:val="center"/>
              <w:rPr>
                <w:rFonts w:ascii="Calibri" w:eastAsia="Calibri" w:hAnsi="Calibri" w:cs="Calibri"/>
                <w:b/>
                <w:bCs/>
              </w:rPr>
            </w:pPr>
            <w:r w:rsidRPr="00C20419">
              <w:rPr>
                <w:rFonts w:ascii="Calibri" w:eastAsia="Calibri" w:hAnsi="Calibri" w:cs="Calibri"/>
                <w:b/>
                <w:bCs/>
              </w:rPr>
              <w:t>Hours / Day</w:t>
            </w:r>
          </w:p>
        </w:tc>
        <w:tc>
          <w:tcPr>
            <w:tcW w:w="1411" w:type="dxa"/>
            <w:shd w:val="clear" w:color="auto" w:fill="E5FFFF"/>
            <w:noWrap/>
            <w:hideMark/>
          </w:tcPr>
          <w:p w14:paraId="42751FFB" w14:textId="4081B60B" w:rsidR="000400BC" w:rsidRPr="00C20419" w:rsidRDefault="000400BC" w:rsidP="000400BC">
            <w:pPr>
              <w:jc w:val="center"/>
              <w:rPr>
                <w:rFonts w:ascii="Calibri" w:eastAsia="Calibri" w:hAnsi="Calibri" w:cs="Calibri"/>
                <w:b/>
                <w:bCs/>
              </w:rPr>
            </w:pPr>
            <w:r w:rsidRPr="00C20419">
              <w:rPr>
                <w:rFonts w:ascii="Calibri" w:eastAsia="Calibri" w:hAnsi="Calibri" w:cs="Calibri"/>
                <w:b/>
                <w:bCs/>
              </w:rPr>
              <w:t>Capacity / Day</w:t>
            </w:r>
            <w:r>
              <w:rPr>
                <w:rFonts w:ascii="Calibri" w:eastAsia="Calibri" w:hAnsi="Calibri" w:cs="Calibri"/>
                <w:b/>
                <w:bCs/>
              </w:rPr>
              <w:t xml:space="preserve"> Hours</w:t>
            </w:r>
          </w:p>
        </w:tc>
        <w:tc>
          <w:tcPr>
            <w:tcW w:w="1440" w:type="dxa"/>
            <w:shd w:val="clear" w:color="auto" w:fill="E5FFFF"/>
            <w:hideMark/>
          </w:tcPr>
          <w:p w14:paraId="2258B947" w14:textId="77777777" w:rsidR="000400BC" w:rsidRPr="00C20419" w:rsidRDefault="000400BC" w:rsidP="000400BC">
            <w:pPr>
              <w:jc w:val="center"/>
              <w:rPr>
                <w:rFonts w:ascii="Calibri" w:eastAsia="Calibri" w:hAnsi="Calibri" w:cs="Calibri"/>
                <w:b/>
                <w:bCs/>
              </w:rPr>
            </w:pPr>
            <w:r w:rsidRPr="00C20419">
              <w:rPr>
                <w:rFonts w:ascii="Calibri" w:eastAsia="Calibri" w:hAnsi="Calibri" w:cs="Calibri"/>
                <w:b/>
                <w:bCs/>
              </w:rPr>
              <w:t>Work Days / Year</w:t>
            </w:r>
          </w:p>
        </w:tc>
        <w:tc>
          <w:tcPr>
            <w:tcW w:w="1924" w:type="dxa"/>
            <w:shd w:val="clear" w:color="auto" w:fill="E5FFFF"/>
            <w:hideMark/>
          </w:tcPr>
          <w:p w14:paraId="6CABDA3F" w14:textId="77777777" w:rsidR="000400BC" w:rsidRDefault="000400BC" w:rsidP="000400BC">
            <w:pPr>
              <w:jc w:val="center"/>
              <w:rPr>
                <w:rFonts w:ascii="Calibri" w:eastAsia="Calibri" w:hAnsi="Calibri" w:cs="Calibri"/>
                <w:b/>
                <w:bCs/>
              </w:rPr>
            </w:pPr>
            <w:r w:rsidRPr="00C20419">
              <w:rPr>
                <w:rFonts w:ascii="Calibri" w:eastAsia="Calibri" w:hAnsi="Calibri" w:cs="Calibri"/>
                <w:b/>
                <w:bCs/>
              </w:rPr>
              <w:t>Annual Capacity</w:t>
            </w:r>
          </w:p>
          <w:p w14:paraId="40C88B25" w14:textId="4099681E" w:rsidR="000400BC" w:rsidRPr="00C20419" w:rsidRDefault="000400BC" w:rsidP="000400BC">
            <w:pPr>
              <w:jc w:val="center"/>
              <w:rPr>
                <w:rFonts w:ascii="Calibri" w:eastAsia="Calibri" w:hAnsi="Calibri" w:cs="Calibri"/>
                <w:b/>
                <w:bCs/>
              </w:rPr>
            </w:pPr>
            <w:r>
              <w:rPr>
                <w:rFonts w:ascii="Calibri" w:eastAsia="Calibri" w:hAnsi="Calibri" w:cs="Calibri"/>
                <w:b/>
                <w:bCs/>
              </w:rPr>
              <w:t>Hours</w:t>
            </w:r>
          </w:p>
        </w:tc>
        <w:tc>
          <w:tcPr>
            <w:tcW w:w="1800" w:type="dxa"/>
            <w:shd w:val="clear" w:color="auto" w:fill="E5FFFF"/>
            <w:hideMark/>
          </w:tcPr>
          <w:p w14:paraId="688EE6AD" w14:textId="1FB41EDA" w:rsidR="000400BC" w:rsidRPr="00C20419" w:rsidRDefault="000400BC" w:rsidP="0058549A">
            <w:pPr>
              <w:jc w:val="center"/>
              <w:rPr>
                <w:rFonts w:ascii="Calibri" w:eastAsia="Calibri" w:hAnsi="Calibri" w:cs="Calibri"/>
                <w:b/>
                <w:bCs/>
              </w:rPr>
            </w:pPr>
            <w:proofErr w:type="gramStart"/>
            <w:r w:rsidRPr="00C20419">
              <w:rPr>
                <w:rFonts w:ascii="Calibri" w:eastAsia="Calibri" w:hAnsi="Calibri" w:cs="Calibri"/>
                <w:b/>
                <w:bCs/>
              </w:rPr>
              <w:t>Utilization</w:t>
            </w:r>
            <w:proofErr w:type="gramEnd"/>
            <w:r w:rsidRPr="00C20419">
              <w:rPr>
                <w:rFonts w:ascii="Calibri" w:eastAsia="Calibri" w:hAnsi="Calibri" w:cs="Calibri"/>
                <w:b/>
                <w:bCs/>
              </w:rPr>
              <w:t xml:space="preserve"> 83</w:t>
            </w:r>
            <w:proofErr w:type="gramStart"/>
            <w:r w:rsidRPr="00C20419">
              <w:rPr>
                <w:rFonts w:ascii="Calibri" w:eastAsia="Calibri" w:hAnsi="Calibri" w:cs="Calibri"/>
                <w:b/>
                <w:bCs/>
              </w:rPr>
              <w:t>%</w:t>
            </w:r>
            <w:r w:rsidR="0058549A">
              <w:rPr>
                <w:rFonts w:ascii="Calibri" w:eastAsia="Calibri" w:hAnsi="Calibri" w:cs="Calibri"/>
                <w:b/>
                <w:bCs/>
              </w:rPr>
              <w:t xml:space="preserve">  </w:t>
            </w:r>
            <w:r>
              <w:rPr>
                <w:rFonts w:ascii="Calibri" w:eastAsia="Calibri" w:hAnsi="Calibri" w:cs="Calibri"/>
                <w:b/>
                <w:bCs/>
              </w:rPr>
              <w:t>Hours</w:t>
            </w:r>
            <w:proofErr w:type="gramEnd"/>
          </w:p>
        </w:tc>
      </w:tr>
      <w:tr w:rsidR="000400BC" w:rsidRPr="00C20419" w14:paraId="22A0F26B" w14:textId="77777777" w:rsidTr="0058549A">
        <w:trPr>
          <w:trHeight w:val="341"/>
          <w:jc w:val="center"/>
        </w:trPr>
        <w:tc>
          <w:tcPr>
            <w:tcW w:w="1057" w:type="dxa"/>
            <w:noWrap/>
            <w:hideMark/>
          </w:tcPr>
          <w:p w14:paraId="7431F77E" w14:textId="77777777" w:rsidR="000400BC" w:rsidRPr="00C20419" w:rsidRDefault="000400BC" w:rsidP="000400BC">
            <w:pPr>
              <w:jc w:val="right"/>
              <w:rPr>
                <w:rFonts w:ascii="Calibri" w:eastAsia="Calibri" w:hAnsi="Calibri" w:cs="Calibri"/>
              </w:rPr>
            </w:pPr>
            <w:r w:rsidRPr="00C20419">
              <w:rPr>
                <w:rFonts w:ascii="Calibri" w:eastAsia="Calibri" w:hAnsi="Calibri" w:cs="Calibri"/>
              </w:rPr>
              <w:t>6</w:t>
            </w:r>
          </w:p>
        </w:tc>
        <w:tc>
          <w:tcPr>
            <w:tcW w:w="1093" w:type="dxa"/>
            <w:noWrap/>
            <w:hideMark/>
          </w:tcPr>
          <w:p w14:paraId="3BF0914A" w14:textId="77777777" w:rsidR="000400BC" w:rsidRPr="00C20419" w:rsidRDefault="000400BC" w:rsidP="000400BC">
            <w:pPr>
              <w:jc w:val="right"/>
              <w:rPr>
                <w:rFonts w:ascii="Calibri" w:eastAsia="Calibri" w:hAnsi="Calibri" w:cs="Calibri"/>
              </w:rPr>
            </w:pPr>
            <w:r w:rsidRPr="00C20419">
              <w:rPr>
                <w:rFonts w:ascii="Calibri" w:eastAsia="Calibri" w:hAnsi="Calibri" w:cs="Calibri"/>
              </w:rPr>
              <w:t>8</w:t>
            </w:r>
          </w:p>
        </w:tc>
        <w:tc>
          <w:tcPr>
            <w:tcW w:w="1411" w:type="dxa"/>
            <w:noWrap/>
            <w:hideMark/>
          </w:tcPr>
          <w:p w14:paraId="170288BF" w14:textId="77777777" w:rsidR="000400BC" w:rsidRPr="00C20419" w:rsidRDefault="000400BC" w:rsidP="000400BC">
            <w:pPr>
              <w:jc w:val="right"/>
              <w:rPr>
                <w:rFonts w:ascii="Calibri" w:eastAsia="Calibri" w:hAnsi="Calibri" w:cs="Calibri"/>
              </w:rPr>
            </w:pPr>
            <w:r w:rsidRPr="00C20419">
              <w:rPr>
                <w:rFonts w:ascii="Calibri" w:eastAsia="Calibri" w:hAnsi="Calibri" w:cs="Calibri"/>
              </w:rPr>
              <w:t>48</w:t>
            </w:r>
          </w:p>
        </w:tc>
        <w:tc>
          <w:tcPr>
            <w:tcW w:w="1440" w:type="dxa"/>
            <w:noWrap/>
            <w:hideMark/>
          </w:tcPr>
          <w:p w14:paraId="5744B817" w14:textId="77777777" w:rsidR="000400BC" w:rsidRPr="00C20419" w:rsidRDefault="000400BC" w:rsidP="000400BC">
            <w:pPr>
              <w:jc w:val="right"/>
              <w:rPr>
                <w:rFonts w:ascii="Calibri" w:eastAsia="Calibri" w:hAnsi="Calibri" w:cs="Calibri"/>
              </w:rPr>
            </w:pPr>
            <w:r w:rsidRPr="00C20419">
              <w:rPr>
                <w:rFonts w:ascii="Calibri" w:eastAsia="Calibri" w:hAnsi="Calibri" w:cs="Calibri"/>
              </w:rPr>
              <w:t>251</w:t>
            </w:r>
          </w:p>
        </w:tc>
        <w:tc>
          <w:tcPr>
            <w:tcW w:w="1924" w:type="dxa"/>
            <w:noWrap/>
            <w:hideMark/>
          </w:tcPr>
          <w:p w14:paraId="025726BF" w14:textId="77777777" w:rsidR="000400BC" w:rsidRPr="00C20419" w:rsidRDefault="000400BC" w:rsidP="000400BC">
            <w:pPr>
              <w:jc w:val="right"/>
              <w:rPr>
                <w:rFonts w:ascii="Calibri" w:eastAsia="Calibri" w:hAnsi="Calibri" w:cs="Calibri"/>
              </w:rPr>
            </w:pPr>
            <w:r w:rsidRPr="00C20419">
              <w:rPr>
                <w:rFonts w:ascii="Calibri" w:eastAsia="Calibri" w:hAnsi="Calibri" w:cs="Calibri"/>
              </w:rPr>
              <w:t>12,048</w:t>
            </w:r>
          </w:p>
        </w:tc>
        <w:tc>
          <w:tcPr>
            <w:tcW w:w="1800" w:type="dxa"/>
            <w:noWrap/>
            <w:hideMark/>
          </w:tcPr>
          <w:p w14:paraId="64761F70" w14:textId="6B55D5D9" w:rsidR="000400BC" w:rsidRPr="00C20419" w:rsidRDefault="000400BC" w:rsidP="000400BC">
            <w:pPr>
              <w:jc w:val="right"/>
              <w:rPr>
                <w:rFonts w:ascii="Calibri" w:eastAsia="Calibri" w:hAnsi="Calibri" w:cs="Calibri"/>
              </w:rPr>
            </w:pPr>
            <w:r w:rsidRPr="00C20419">
              <w:rPr>
                <w:rFonts w:ascii="Calibri" w:eastAsia="Calibri" w:hAnsi="Calibri" w:cs="Calibri"/>
              </w:rPr>
              <w:t xml:space="preserve">     10,000 </w:t>
            </w:r>
          </w:p>
        </w:tc>
      </w:tr>
    </w:tbl>
    <w:p w14:paraId="681DC69E" w14:textId="77777777" w:rsidR="00C20419" w:rsidRDefault="00C20419" w:rsidP="00955DB8">
      <w:pPr>
        <w:spacing w:after="200"/>
        <w:rPr>
          <w:rFonts w:ascii="Calibri" w:eastAsia="Calibri" w:hAnsi="Calibri" w:cs="Calibri"/>
        </w:rPr>
      </w:pPr>
    </w:p>
    <w:p w14:paraId="560D8322" w14:textId="024C6658" w:rsidR="00477E36" w:rsidRDefault="00477E36" w:rsidP="00955DB8">
      <w:pPr>
        <w:spacing w:after="200"/>
        <w:rPr>
          <w:rFonts w:ascii="Calibri" w:eastAsia="Calibri" w:hAnsi="Calibri" w:cs="Calibri"/>
        </w:rPr>
      </w:pPr>
      <w:r w:rsidRPr="00477E36">
        <w:rPr>
          <w:rFonts w:ascii="Calibri" w:eastAsia="Calibri" w:hAnsi="Calibri" w:cs="Calibri"/>
        </w:rPr>
        <w:t xml:space="preserve">Based on the projected case volume, the Applicant determined that by year three of the Proposed </w:t>
      </w:r>
      <w:r w:rsidR="00353792">
        <w:rPr>
          <w:rFonts w:ascii="Calibri" w:eastAsia="Calibri" w:hAnsi="Calibri" w:cs="Calibri"/>
        </w:rPr>
        <w:t>ASC</w:t>
      </w:r>
      <w:r w:rsidRPr="00477E36">
        <w:rPr>
          <w:rFonts w:ascii="Calibri" w:eastAsia="Calibri" w:hAnsi="Calibri" w:cs="Calibri"/>
        </w:rPr>
        <w:t xml:space="preserve">, </w:t>
      </w:r>
      <w:r w:rsidR="00353792">
        <w:rPr>
          <w:rFonts w:ascii="Calibri" w:eastAsia="Calibri" w:hAnsi="Calibri" w:cs="Calibri"/>
        </w:rPr>
        <w:t xml:space="preserve">it anticipates </w:t>
      </w:r>
      <w:r w:rsidRPr="00477E36">
        <w:rPr>
          <w:rFonts w:ascii="Calibri" w:eastAsia="Calibri" w:hAnsi="Calibri" w:cs="Calibri"/>
        </w:rPr>
        <w:t xml:space="preserve">the case volume </w:t>
      </w:r>
      <w:r w:rsidR="00353792">
        <w:rPr>
          <w:rFonts w:ascii="Calibri" w:eastAsia="Calibri" w:hAnsi="Calibri" w:cs="Calibri"/>
        </w:rPr>
        <w:t xml:space="preserve">will </w:t>
      </w:r>
      <w:r w:rsidRPr="00477E36">
        <w:rPr>
          <w:rFonts w:ascii="Calibri" w:eastAsia="Calibri" w:hAnsi="Calibri" w:cs="Calibri"/>
        </w:rPr>
        <w:t xml:space="preserve">support and maintain six (6) operating rooms. </w:t>
      </w:r>
    </w:p>
    <w:p w14:paraId="3FD9E52A" w14:textId="6A5F3903" w:rsidR="00246A82" w:rsidRPr="00246A82" w:rsidRDefault="024BFAAB" w:rsidP="3D08D11C">
      <w:pPr>
        <w:spacing w:after="200" w:line="276" w:lineRule="auto"/>
        <w:jc w:val="center"/>
        <w:rPr>
          <w:rFonts w:ascii="Calibri" w:eastAsia="Calibri" w:hAnsi="Calibri" w:cs="Calibri"/>
          <w:b/>
          <w:bCs/>
        </w:rPr>
      </w:pPr>
      <w:r w:rsidRPr="391A23E5">
        <w:rPr>
          <w:rFonts w:ascii="Calibri" w:eastAsia="Calibri" w:hAnsi="Calibri" w:cs="Calibri"/>
          <w:b/>
          <w:bCs/>
        </w:rPr>
        <w:t xml:space="preserve">Table </w:t>
      </w:r>
      <w:r w:rsidR="50497BCD" w:rsidRPr="391A23E5">
        <w:rPr>
          <w:rFonts w:ascii="Calibri" w:eastAsia="Calibri" w:hAnsi="Calibri" w:cs="Calibri"/>
          <w:b/>
          <w:bCs/>
        </w:rPr>
        <w:t>10</w:t>
      </w:r>
      <w:r w:rsidRPr="391A23E5">
        <w:rPr>
          <w:rFonts w:ascii="Calibri" w:eastAsia="Calibri" w:hAnsi="Calibri" w:cs="Calibri"/>
          <w:b/>
          <w:bCs/>
        </w:rPr>
        <w:t>. Projected Cases Volume by Year</w:t>
      </w:r>
      <w:r w:rsidR="00246A82" w:rsidRPr="391A23E5">
        <w:rPr>
          <w:rFonts w:ascii="Calibri" w:eastAsia="Calibri" w:hAnsi="Calibri" w:cs="Calibri"/>
          <w:b/>
          <w:bCs/>
          <w:vertAlign w:val="superscript"/>
        </w:rPr>
        <w:footnoteReference w:id="20"/>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086"/>
        <w:gridCol w:w="1236"/>
        <w:gridCol w:w="1236"/>
        <w:gridCol w:w="1236"/>
        <w:gridCol w:w="1236"/>
      </w:tblGrid>
      <w:tr w:rsidR="00246A82" w:rsidRPr="00246A82" w14:paraId="62F099C3" w14:textId="77777777" w:rsidTr="00676ADE">
        <w:trPr>
          <w:trHeight w:val="260"/>
          <w:jc w:val="center"/>
        </w:trPr>
        <w:tc>
          <w:tcPr>
            <w:tcW w:w="2070" w:type="dxa"/>
            <w:shd w:val="clear" w:color="auto" w:fill="E5FFFF"/>
            <w:vAlign w:val="center"/>
          </w:tcPr>
          <w:p w14:paraId="25394338" w14:textId="77777777" w:rsidR="00246A82" w:rsidRPr="00246A82" w:rsidRDefault="00246A82" w:rsidP="00246A82">
            <w:pPr>
              <w:jc w:val="center"/>
              <w:rPr>
                <w:rFonts w:ascii="Calibri" w:eastAsia="Times New Roman" w:hAnsi="Calibri" w:cs="Calibri"/>
                <w:b/>
                <w:bCs/>
                <w:color w:val="000000"/>
              </w:rPr>
            </w:pPr>
          </w:p>
        </w:tc>
        <w:tc>
          <w:tcPr>
            <w:tcW w:w="1086" w:type="dxa"/>
            <w:shd w:val="clear" w:color="auto" w:fill="E5FFFF"/>
            <w:noWrap/>
            <w:vAlign w:val="center"/>
          </w:tcPr>
          <w:p w14:paraId="20D46F59" w14:textId="77777777" w:rsidR="00246A82" w:rsidRPr="00246A82" w:rsidRDefault="00246A82" w:rsidP="00246A82">
            <w:pPr>
              <w:jc w:val="center"/>
              <w:rPr>
                <w:rFonts w:ascii="Calibri" w:eastAsia="Times New Roman" w:hAnsi="Calibri" w:cs="Calibri"/>
                <w:b/>
                <w:bCs/>
                <w:color w:val="000000"/>
              </w:rPr>
            </w:pPr>
            <w:r w:rsidRPr="00246A82">
              <w:rPr>
                <w:rFonts w:ascii="Calibri" w:eastAsia="Times New Roman" w:hAnsi="Calibri" w:cs="Calibri"/>
                <w:b/>
                <w:bCs/>
                <w:color w:val="000000"/>
              </w:rPr>
              <w:t>CY 2026</w:t>
            </w:r>
          </w:p>
        </w:tc>
        <w:tc>
          <w:tcPr>
            <w:tcW w:w="1236" w:type="dxa"/>
            <w:shd w:val="clear" w:color="auto" w:fill="E5FFFF"/>
            <w:noWrap/>
            <w:vAlign w:val="center"/>
          </w:tcPr>
          <w:p w14:paraId="10C05F0F" w14:textId="77777777" w:rsidR="00246A82" w:rsidRPr="00246A82" w:rsidRDefault="00246A82" w:rsidP="00246A82">
            <w:pPr>
              <w:jc w:val="center"/>
              <w:rPr>
                <w:rFonts w:ascii="Calibri" w:eastAsia="Times New Roman" w:hAnsi="Calibri" w:cs="Calibri"/>
                <w:b/>
                <w:bCs/>
                <w:color w:val="000000"/>
              </w:rPr>
            </w:pPr>
            <w:r w:rsidRPr="00246A82">
              <w:rPr>
                <w:rFonts w:ascii="Calibri" w:eastAsia="Times New Roman" w:hAnsi="Calibri" w:cs="Calibri"/>
                <w:b/>
                <w:bCs/>
                <w:color w:val="000000"/>
              </w:rPr>
              <w:t>CY 2027</w:t>
            </w:r>
          </w:p>
        </w:tc>
        <w:tc>
          <w:tcPr>
            <w:tcW w:w="1236" w:type="dxa"/>
            <w:shd w:val="clear" w:color="auto" w:fill="E5FFFF"/>
            <w:noWrap/>
            <w:vAlign w:val="center"/>
          </w:tcPr>
          <w:p w14:paraId="3F0B7EFE" w14:textId="77777777" w:rsidR="00246A82" w:rsidRPr="00246A82" w:rsidRDefault="00246A82" w:rsidP="00246A82">
            <w:pPr>
              <w:jc w:val="center"/>
              <w:rPr>
                <w:rFonts w:ascii="Calibri" w:eastAsia="Times New Roman" w:hAnsi="Calibri" w:cs="Calibri"/>
                <w:b/>
                <w:bCs/>
                <w:color w:val="000000"/>
              </w:rPr>
            </w:pPr>
            <w:r w:rsidRPr="00246A82">
              <w:rPr>
                <w:rFonts w:ascii="Calibri" w:eastAsia="Times New Roman" w:hAnsi="Calibri" w:cs="Calibri"/>
                <w:b/>
                <w:bCs/>
                <w:color w:val="000000"/>
              </w:rPr>
              <w:t>CY 2028</w:t>
            </w:r>
          </w:p>
        </w:tc>
        <w:tc>
          <w:tcPr>
            <w:tcW w:w="1236" w:type="dxa"/>
            <w:shd w:val="clear" w:color="auto" w:fill="E5FFFF"/>
            <w:noWrap/>
            <w:vAlign w:val="center"/>
          </w:tcPr>
          <w:p w14:paraId="3713A71F" w14:textId="77777777" w:rsidR="00246A82" w:rsidRPr="00246A82" w:rsidRDefault="00246A82" w:rsidP="00246A82">
            <w:pPr>
              <w:jc w:val="center"/>
              <w:rPr>
                <w:rFonts w:ascii="Calibri" w:eastAsia="Times New Roman" w:hAnsi="Calibri" w:cs="Calibri"/>
                <w:b/>
                <w:bCs/>
                <w:color w:val="000000"/>
              </w:rPr>
            </w:pPr>
            <w:r w:rsidRPr="00246A82">
              <w:rPr>
                <w:rFonts w:ascii="Calibri" w:eastAsia="Times New Roman" w:hAnsi="Calibri" w:cs="Calibri"/>
                <w:b/>
                <w:bCs/>
                <w:color w:val="000000"/>
              </w:rPr>
              <w:t>CY 2029</w:t>
            </w:r>
          </w:p>
        </w:tc>
        <w:tc>
          <w:tcPr>
            <w:tcW w:w="1236" w:type="dxa"/>
            <w:shd w:val="clear" w:color="auto" w:fill="E5FFFF"/>
            <w:noWrap/>
            <w:vAlign w:val="center"/>
          </w:tcPr>
          <w:p w14:paraId="07FF29BB" w14:textId="77777777" w:rsidR="00246A82" w:rsidRPr="00246A82" w:rsidRDefault="00246A82" w:rsidP="00246A82">
            <w:pPr>
              <w:jc w:val="center"/>
              <w:rPr>
                <w:rFonts w:ascii="Calibri" w:eastAsia="Times New Roman" w:hAnsi="Calibri" w:cs="Calibri"/>
                <w:b/>
                <w:bCs/>
                <w:color w:val="000000"/>
              </w:rPr>
            </w:pPr>
            <w:r w:rsidRPr="00246A82">
              <w:rPr>
                <w:rFonts w:ascii="Calibri" w:eastAsia="Times New Roman" w:hAnsi="Calibri" w:cs="Calibri"/>
                <w:b/>
                <w:bCs/>
                <w:color w:val="000000"/>
              </w:rPr>
              <w:t>CY 2030</w:t>
            </w:r>
          </w:p>
        </w:tc>
      </w:tr>
      <w:tr w:rsidR="00246A82" w:rsidRPr="00246A82" w14:paraId="7E8CFB9F" w14:textId="77777777" w:rsidTr="00676ADE">
        <w:trPr>
          <w:trHeight w:val="323"/>
          <w:jc w:val="center"/>
        </w:trPr>
        <w:tc>
          <w:tcPr>
            <w:tcW w:w="2070" w:type="dxa"/>
            <w:vAlign w:val="center"/>
          </w:tcPr>
          <w:p w14:paraId="4347BBD6" w14:textId="7C47345A" w:rsidR="00246A82" w:rsidRPr="00246A82" w:rsidRDefault="00676ADE" w:rsidP="00246A82">
            <w:pPr>
              <w:rPr>
                <w:rFonts w:ascii="Calibri" w:eastAsia="Times New Roman" w:hAnsi="Calibri" w:cs="Calibri"/>
                <w:b/>
                <w:bCs/>
                <w:color w:val="000000"/>
              </w:rPr>
            </w:pPr>
            <w:r>
              <w:rPr>
                <w:rFonts w:ascii="Calibri" w:eastAsia="Times New Roman" w:hAnsi="Calibri" w:cs="Calibri"/>
                <w:b/>
                <w:bCs/>
                <w:color w:val="000000"/>
              </w:rPr>
              <w:t xml:space="preserve">Projected </w:t>
            </w:r>
            <w:r w:rsidR="00246A82" w:rsidRPr="00246A82">
              <w:rPr>
                <w:rFonts w:ascii="Calibri" w:eastAsia="Times New Roman" w:hAnsi="Calibri" w:cs="Calibri"/>
                <w:b/>
                <w:bCs/>
                <w:color w:val="000000"/>
              </w:rPr>
              <w:t>Cases</w:t>
            </w:r>
          </w:p>
        </w:tc>
        <w:tc>
          <w:tcPr>
            <w:tcW w:w="1086" w:type="dxa"/>
            <w:shd w:val="clear" w:color="auto" w:fill="auto"/>
            <w:noWrap/>
            <w:vAlign w:val="center"/>
            <w:hideMark/>
          </w:tcPr>
          <w:p w14:paraId="31FDCD18" w14:textId="77777777" w:rsidR="00246A82" w:rsidRPr="00C31DDA" w:rsidRDefault="00246A82" w:rsidP="00C31DDA">
            <w:pPr>
              <w:jc w:val="right"/>
              <w:rPr>
                <w:rFonts w:ascii="Calibri" w:eastAsia="Times New Roman" w:hAnsi="Calibri" w:cs="Calibri"/>
                <w:color w:val="000000"/>
              </w:rPr>
            </w:pPr>
            <w:r w:rsidRPr="00C31DDA">
              <w:rPr>
                <w:rFonts w:ascii="Calibri" w:eastAsia="Times New Roman" w:hAnsi="Calibri" w:cs="Calibri"/>
                <w:color w:val="000000"/>
              </w:rPr>
              <w:t>3,428</w:t>
            </w:r>
          </w:p>
        </w:tc>
        <w:tc>
          <w:tcPr>
            <w:tcW w:w="1236" w:type="dxa"/>
            <w:shd w:val="clear" w:color="auto" w:fill="auto"/>
            <w:noWrap/>
            <w:vAlign w:val="center"/>
            <w:hideMark/>
          </w:tcPr>
          <w:p w14:paraId="70B1EF14" w14:textId="77777777" w:rsidR="00246A82" w:rsidRPr="00C31DDA" w:rsidRDefault="00246A82" w:rsidP="00C31DDA">
            <w:pPr>
              <w:jc w:val="right"/>
              <w:rPr>
                <w:rFonts w:ascii="Calibri" w:eastAsia="Times New Roman" w:hAnsi="Calibri" w:cs="Calibri"/>
                <w:color w:val="000000"/>
              </w:rPr>
            </w:pPr>
            <w:r w:rsidRPr="00C31DDA">
              <w:rPr>
                <w:rFonts w:ascii="Calibri" w:eastAsia="Times New Roman" w:hAnsi="Calibri" w:cs="Calibri"/>
                <w:color w:val="000000"/>
              </w:rPr>
              <w:t>6,233</w:t>
            </w:r>
          </w:p>
        </w:tc>
        <w:tc>
          <w:tcPr>
            <w:tcW w:w="1236" w:type="dxa"/>
            <w:shd w:val="clear" w:color="auto" w:fill="auto"/>
            <w:noWrap/>
            <w:vAlign w:val="center"/>
            <w:hideMark/>
          </w:tcPr>
          <w:p w14:paraId="752DB88A" w14:textId="77777777" w:rsidR="00246A82" w:rsidRPr="00C31DDA" w:rsidRDefault="00246A82" w:rsidP="00C31DDA">
            <w:pPr>
              <w:jc w:val="right"/>
              <w:rPr>
                <w:rFonts w:ascii="Calibri" w:eastAsia="Times New Roman" w:hAnsi="Calibri" w:cs="Calibri"/>
                <w:color w:val="000000"/>
              </w:rPr>
            </w:pPr>
            <w:r w:rsidRPr="00C31DDA">
              <w:rPr>
                <w:rFonts w:ascii="Calibri" w:eastAsia="Times New Roman" w:hAnsi="Calibri" w:cs="Calibri"/>
                <w:color w:val="000000"/>
              </w:rPr>
              <w:t>6,358</w:t>
            </w:r>
          </w:p>
        </w:tc>
        <w:tc>
          <w:tcPr>
            <w:tcW w:w="1236" w:type="dxa"/>
            <w:shd w:val="clear" w:color="auto" w:fill="auto"/>
            <w:noWrap/>
            <w:vAlign w:val="center"/>
            <w:hideMark/>
          </w:tcPr>
          <w:p w14:paraId="760D8416" w14:textId="77777777" w:rsidR="00246A82" w:rsidRPr="00C31DDA" w:rsidRDefault="00246A82" w:rsidP="00C31DDA">
            <w:pPr>
              <w:jc w:val="right"/>
              <w:rPr>
                <w:rFonts w:ascii="Calibri" w:eastAsia="Times New Roman" w:hAnsi="Calibri" w:cs="Calibri"/>
                <w:color w:val="000000"/>
              </w:rPr>
            </w:pPr>
            <w:r w:rsidRPr="00C31DDA">
              <w:rPr>
                <w:rFonts w:ascii="Calibri" w:eastAsia="Times New Roman" w:hAnsi="Calibri" w:cs="Calibri"/>
                <w:color w:val="000000"/>
              </w:rPr>
              <w:t>6,485</w:t>
            </w:r>
          </w:p>
        </w:tc>
        <w:tc>
          <w:tcPr>
            <w:tcW w:w="1236" w:type="dxa"/>
            <w:shd w:val="clear" w:color="auto" w:fill="auto"/>
            <w:noWrap/>
            <w:vAlign w:val="center"/>
            <w:hideMark/>
          </w:tcPr>
          <w:p w14:paraId="7F9126DD" w14:textId="77777777" w:rsidR="00246A82" w:rsidRPr="00C31DDA" w:rsidRDefault="00246A82" w:rsidP="00C31DDA">
            <w:pPr>
              <w:jc w:val="right"/>
              <w:rPr>
                <w:rFonts w:ascii="Calibri" w:eastAsia="Times New Roman" w:hAnsi="Calibri" w:cs="Calibri"/>
                <w:color w:val="000000"/>
              </w:rPr>
            </w:pPr>
            <w:r w:rsidRPr="00C31DDA">
              <w:rPr>
                <w:rFonts w:ascii="Calibri" w:eastAsia="Times New Roman" w:hAnsi="Calibri" w:cs="Calibri"/>
                <w:color w:val="000000"/>
              </w:rPr>
              <w:t>6,615</w:t>
            </w:r>
          </w:p>
        </w:tc>
      </w:tr>
    </w:tbl>
    <w:p w14:paraId="5A59E822" w14:textId="7BEDC7E1" w:rsidR="0038147C" w:rsidRPr="0058549A" w:rsidRDefault="0038147C" w:rsidP="00BF0CCD">
      <w:pPr>
        <w:spacing w:after="200"/>
        <w:rPr>
          <w:rFonts w:ascii="Calibri" w:eastAsia="Calibri" w:hAnsi="Calibri" w:cs="Calibri"/>
        </w:rPr>
      </w:pPr>
      <w:r w:rsidRPr="0038147C">
        <w:rPr>
          <w:rFonts w:ascii="Calibri" w:eastAsia="Calibri" w:hAnsi="Calibri" w:cs="Calibri"/>
        </w:rPr>
        <w:lastRenderedPageBreak/>
        <w:t>The Applicant projects that volume of ASC procedures needed will increase year-over-year and estimates that the projected case volume for the Proposed Project will follow a gradual ramp up of cases during the first few years as cases shift from their current site</w:t>
      </w:r>
      <w:r w:rsidR="0058549A">
        <w:rPr>
          <w:rFonts w:ascii="Calibri" w:eastAsia="Calibri" w:hAnsi="Calibri" w:cs="Calibri"/>
        </w:rPr>
        <w:t>s</w:t>
      </w:r>
      <w:r w:rsidR="0041795C">
        <w:rPr>
          <w:rFonts w:ascii="Calibri" w:eastAsia="Calibri" w:hAnsi="Calibri" w:cs="Calibri"/>
        </w:rPr>
        <w:t xml:space="preserve"> (HOPDs, hospital </w:t>
      </w:r>
      <w:r w:rsidR="00127369">
        <w:rPr>
          <w:rFonts w:ascii="Calibri" w:eastAsia="Calibri" w:hAnsi="Calibri" w:cs="Calibri"/>
        </w:rPr>
        <w:t>i</w:t>
      </w:r>
      <w:r w:rsidR="0041795C">
        <w:rPr>
          <w:rFonts w:ascii="Calibri" w:eastAsia="Calibri" w:hAnsi="Calibri" w:cs="Calibri"/>
        </w:rPr>
        <w:t xml:space="preserve">npatient departments, and non-affiliated ASCs) </w:t>
      </w:r>
      <w:r w:rsidRPr="0038147C">
        <w:rPr>
          <w:rFonts w:ascii="Calibri" w:eastAsia="Calibri" w:hAnsi="Calibri" w:cs="Calibri"/>
        </w:rPr>
        <w:t xml:space="preserve">to the Proposed Project. It also projects a modest 2% organic growth due to the demographic shifts and advances in medical technology that will allow more procedures to be safely performed in an outpatient setting. </w:t>
      </w:r>
      <w:r w:rsidR="0058549A">
        <w:rPr>
          <w:rFonts w:ascii="Calibri" w:eastAsia="Calibri" w:hAnsi="Calibri" w:cs="Calibri"/>
        </w:rPr>
        <w:t>(See Table 10)</w:t>
      </w:r>
    </w:p>
    <w:p w14:paraId="2BFE8E62" w14:textId="77777777" w:rsidR="00306606" w:rsidRPr="00306606" w:rsidRDefault="00306606" w:rsidP="00BF0CCD">
      <w:pPr>
        <w:spacing w:after="200"/>
        <w:rPr>
          <w:rFonts w:ascii="Calibri" w:eastAsia="Calibri" w:hAnsi="Calibri" w:cs="Calibri"/>
          <w:b/>
          <w:bCs/>
          <w:i/>
          <w:iCs/>
        </w:rPr>
      </w:pPr>
      <w:r w:rsidRPr="00306606">
        <w:rPr>
          <w:rFonts w:ascii="Calibri" w:eastAsia="Calibri" w:hAnsi="Calibri" w:cs="Calibri"/>
          <w:b/>
          <w:bCs/>
          <w:i/>
          <w:iCs/>
        </w:rPr>
        <w:t>Analysis</w:t>
      </w:r>
    </w:p>
    <w:p w14:paraId="05A66BF0" w14:textId="0E58239B" w:rsidR="00BE481D" w:rsidRDefault="00BC0224" w:rsidP="00387E97">
      <w:pPr>
        <w:spacing w:after="200"/>
        <w:rPr>
          <w:rFonts w:ascii="Calibri" w:eastAsia="Calibri" w:hAnsi="Calibri" w:cs="Calibri"/>
        </w:rPr>
      </w:pPr>
      <w:r>
        <w:rPr>
          <w:rFonts w:ascii="Calibri" w:eastAsia="Calibri" w:hAnsi="Calibri" w:cs="Calibri"/>
        </w:rPr>
        <w:t xml:space="preserve">Based on information provided by the Applicant, </w:t>
      </w:r>
      <w:r w:rsidR="00127369">
        <w:rPr>
          <w:rFonts w:ascii="Calibri" w:eastAsia="Calibri" w:hAnsi="Calibri" w:cs="Calibri"/>
        </w:rPr>
        <w:t xml:space="preserve">Staff </w:t>
      </w:r>
      <w:r w:rsidR="002E6ED9">
        <w:rPr>
          <w:rFonts w:ascii="Calibri" w:eastAsia="Calibri" w:hAnsi="Calibri" w:cs="Calibri"/>
        </w:rPr>
        <w:t xml:space="preserve">calculated </w:t>
      </w:r>
      <w:r>
        <w:rPr>
          <w:rFonts w:ascii="Calibri" w:eastAsia="Calibri" w:hAnsi="Calibri" w:cs="Calibri"/>
        </w:rPr>
        <w:t>the average hours per case</w:t>
      </w:r>
      <w:r w:rsidR="002E6ED9">
        <w:rPr>
          <w:rFonts w:ascii="Calibri" w:eastAsia="Calibri" w:hAnsi="Calibri" w:cs="Calibri"/>
        </w:rPr>
        <w:t xml:space="preserve"> (</w:t>
      </w:r>
      <w:r>
        <w:rPr>
          <w:rFonts w:ascii="Calibri" w:eastAsia="Calibri" w:hAnsi="Calibri" w:cs="Calibri"/>
        </w:rPr>
        <w:t>1.6</w:t>
      </w:r>
      <w:r>
        <w:rPr>
          <w:rStyle w:val="FootnoteReference"/>
          <w:rFonts w:ascii="Calibri" w:eastAsia="Calibri" w:hAnsi="Calibri" w:cs="Calibri"/>
        </w:rPr>
        <w:footnoteReference w:id="21"/>
      </w:r>
      <w:r w:rsidR="002E6ED9">
        <w:rPr>
          <w:rFonts w:ascii="Calibri" w:eastAsia="Calibri" w:hAnsi="Calibri" w:cs="Calibri"/>
        </w:rPr>
        <w:t>)</w:t>
      </w:r>
      <w:r>
        <w:rPr>
          <w:rFonts w:ascii="Calibri" w:eastAsia="Calibri" w:hAnsi="Calibri" w:cs="Calibri"/>
        </w:rPr>
        <w:t xml:space="preserve"> </w:t>
      </w:r>
      <w:r w:rsidR="002E6ED9">
        <w:rPr>
          <w:rFonts w:ascii="Calibri" w:eastAsia="Calibri" w:hAnsi="Calibri" w:cs="Calibri"/>
        </w:rPr>
        <w:t xml:space="preserve">and multiplied that by the projected cases to gain total hours. </w:t>
      </w:r>
      <w:r w:rsidR="00127369">
        <w:rPr>
          <w:rFonts w:ascii="Calibri" w:eastAsia="Calibri" w:hAnsi="Calibri" w:cs="Calibri"/>
        </w:rPr>
        <w:t xml:space="preserve"> </w:t>
      </w:r>
      <w:r w:rsidR="00387E97">
        <w:rPr>
          <w:rFonts w:ascii="Calibri" w:eastAsia="Calibri" w:hAnsi="Calibri" w:cs="Calibri"/>
        </w:rPr>
        <w:t xml:space="preserve">(See Table 11). </w:t>
      </w:r>
      <w:r w:rsidR="002E6ED9">
        <w:rPr>
          <w:rFonts w:ascii="Calibri" w:eastAsia="Calibri" w:hAnsi="Calibri" w:cs="Calibri"/>
        </w:rPr>
        <w:t xml:space="preserve">Starting in FY 2028 (year 3) the utilization rate increases above the Applicants 83% benchmark (10,000 hours), but never exceeds 90%. </w:t>
      </w:r>
      <w:r w:rsidR="006949A1">
        <w:rPr>
          <w:rFonts w:ascii="Calibri" w:eastAsia="Calibri" w:hAnsi="Calibri" w:cs="Calibri"/>
        </w:rPr>
        <w:t xml:space="preserve">When asked about the high utilization rates in the projections the Applicant stated that </w:t>
      </w:r>
      <w:r w:rsidR="006949A1" w:rsidRPr="006949A1">
        <w:rPr>
          <w:rFonts w:ascii="Calibri" w:eastAsia="Calibri" w:hAnsi="Calibri" w:cs="Calibri"/>
        </w:rPr>
        <w:t xml:space="preserve">in the future, the Applicant will consider its options for </w:t>
      </w:r>
      <w:r w:rsidR="006949A1">
        <w:rPr>
          <w:rFonts w:ascii="Calibri" w:eastAsia="Calibri" w:hAnsi="Calibri" w:cs="Calibri"/>
        </w:rPr>
        <w:t xml:space="preserve">adding capacity as the need arises and that </w:t>
      </w:r>
      <w:r w:rsidR="006949A1" w:rsidRPr="006949A1">
        <w:rPr>
          <w:rFonts w:ascii="Calibri" w:eastAsia="Calibri" w:hAnsi="Calibri" w:cs="Calibri"/>
        </w:rPr>
        <w:t xml:space="preserve">the location </w:t>
      </w:r>
      <w:r w:rsidR="006949A1">
        <w:rPr>
          <w:rFonts w:ascii="Calibri" w:eastAsia="Calibri" w:hAnsi="Calibri" w:cs="Calibri"/>
        </w:rPr>
        <w:t xml:space="preserve">has additional space </w:t>
      </w:r>
      <w:r w:rsidR="006949A1" w:rsidRPr="006949A1">
        <w:rPr>
          <w:rFonts w:ascii="Calibri" w:eastAsia="Calibri" w:hAnsi="Calibri" w:cs="Calibri"/>
        </w:rPr>
        <w:t>that could be used for ORs</w:t>
      </w:r>
      <w:r w:rsidR="006949A1">
        <w:rPr>
          <w:rFonts w:ascii="Calibri" w:eastAsia="Calibri" w:hAnsi="Calibri" w:cs="Calibri"/>
        </w:rPr>
        <w:t>.</w:t>
      </w:r>
    </w:p>
    <w:p w14:paraId="0292C212" w14:textId="1BD74145" w:rsidR="005E68FD" w:rsidRPr="009B6600" w:rsidRDefault="005E68FD" w:rsidP="002E6ED9">
      <w:pPr>
        <w:spacing w:after="160" w:line="259" w:lineRule="auto"/>
        <w:jc w:val="center"/>
        <w:rPr>
          <w:rFonts w:ascii="Calibri" w:eastAsia="Aptos" w:hAnsi="Calibri" w:cs="Calibri"/>
          <w:b/>
          <w:bCs/>
        </w:rPr>
      </w:pPr>
      <w:r>
        <w:rPr>
          <w:rFonts w:ascii="Calibri" w:eastAsia="Aptos" w:hAnsi="Calibri" w:cs="Calibri"/>
          <w:b/>
          <w:bCs/>
        </w:rPr>
        <w:t xml:space="preserve">Table 11: </w:t>
      </w:r>
      <w:r w:rsidR="00BE481D">
        <w:rPr>
          <w:rFonts w:ascii="Calibri" w:eastAsia="Aptos" w:hAnsi="Calibri" w:cs="Calibri"/>
          <w:b/>
          <w:bCs/>
        </w:rPr>
        <w:t xml:space="preserve">Utilization Rate for Each Year </w:t>
      </w:r>
      <w:r w:rsidR="00BE481D" w:rsidRPr="00BE481D">
        <w:rPr>
          <w:rFonts w:ascii="Calibri" w:eastAsia="Aptos" w:hAnsi="Calibri" w:cs="Calibri"/>
          <w:b/>
          <w:bCs/>
        </w:rPr>
        <w:t>Based on Projections in Table 10</w:t>
      </w:r>
    </w:p>
    <w:tbl>
      <w:tblPr>
        <w:tblStyle w:val="TableGrid"/>
        <w:tblW w:w="0" w:type="auto"/>
        <w:jc w:val="center"/>
        <w:tblLook w:val="04A0" w:firstRow="1" w:lastRow="0" w:firstColumn="1" w:lastColumn="0" w:noHBand="0" w:noVBand="1"/>
      </w:tblPr>
      <w:tblGrid>
        <w:gridCol w:w="2070"/>
        <w:gridCol w:w="1120"/>
        <w:gridCol w:w="1120"/>
        <w:gridCol w:w="1240"/>
        <w:gridCol w:w="1240"/>
        <w:gridCol w:w="1240"/>
      </w:tblGrid>
      <w:tr w:rsidR="00BE481D" w:rsidRPr="00BE481D" w14:paraId="09875ECD" w14:textId="77777777" w:rsidTr="00D612AF">
        <w:trPr>
          <w:cantSplit/>
          <w:trHeight w:val="290"/>
          <w:tblHeader/>
          <w:jc w:val="center"/>
        </w:trPr>
        <w:tc>
          <w:tcPr>
            <w:tcW w:w="2070" w:type="dxa"/>
            <w:shd w:val="clear" w:color="auto" w:fill="E5FFFF"/>
            <w:noWrap/>
            <w:hideMark/>
          </w:tcPr>
          <w:p w14:paraId="2A049114" w14:textId="77777777" w:rsidR="00BE481D" w:rsidRPr="00BE481D" w:rsidRDefault="00BE481D" w:rsidP="00BE481D">
            <w:pPr>
              <w:rPr>
                <w:rFonts w:ascii="Calibri" w:eastAsia="Calibri" w:hAnsi="Calibri" w:cs="Calibri"/>
              </w:rPr>
            </w:pPr>
            <w:r w:rsidRPr="00BE481D">
              <w:rPr>
                <w:rFonts w:ascii="Calibri" w:eastAsia="Calibri" w:hAnsi="Calibri" w:cs="Calibri"/>
              </w:rPr>
              <w:t> </w:t>
            </w:r>
          </w:p>
        </w:tc>
        <w:tc>
          <w:tcPr>
            <w:tcW w:w="1120" w:type="dxa"/>
            <w:shd w:val="clear" w:color="auto" w:fill="E5FFFF"/>
            <w:noWrap/>
            <w:hideMark/>
          </w:tcPr>
          <w:p w14:paraId="0C3E7F11" w14:textId="77777777" w:rsidR="00BE481D" w:rsidRPr="00EB721B" w:rsidRDefault="00BE481D" w:rsidP="00BE481D">
            <w:pPr>
              <w:rPr>
                <w:rFonts w:ascii="Calibri" w:eastAsia="Calibri" w:hAnsi="Calibri" w:cs="Calibri"/>
                <w:b/>
                <w:bCs/>
              </w:rPr>
            </w:pPr>
            <w:r w:rsidRPr="00EB721B">
              <w:rPr>
                <w:rFonts w:ascii="Calibri" w:eastAsia="Calibri" w:hAnsi="Calibri" w:cs="Calibri"/>
                <w:b/>
                <w:bCs/>
              </w:rPr>
              <w:t>CY 2026</w:t>
            </w:r>
          </w:p>
        </w:tc>
        <w:tc>
          <w:tcPr>
            <w:tcW w:w="1120" w:type="dxa"/>
            <w:shd w:val="clear" w:color="auto" w:fill="E5FFFF"/>
            <w:noWrap/>
            <w:hideMark/>
          </w:tcPr>
          <w:p w14:paraId="549D57A3" w14:textId="77777777" w:rsidR="00BE481D" w:rsidRPr="00EB721B" w:rsidRDefault="00BE481D" w:rsidP="00BE481D">
            <w:pPr>
              <w:rPr>
                <w:rFonts w:ascii="Calibri" w:eastAsia="Calibri" w:hAnsi="Calibri" w:cs="Calibri"/>
                <w:b/>
                <w:bCs/>
              </w:rPr>
            </w:pPr>
            <w:r w:rsidRPr="00EB721B">
              <w:rPr>
                <w:rFonts w:ascii="Calibri" w:eastAsia="Calibri" w:hAnsi="Calibri" w:cs="Calibri"/>
                <w:b/>
                <w:bCs/>
              </w:rPr>
              <w:t>CY 2027</w:t>
            </w:r>
          </w:p>
        </w:tc>
        <w:tc>
          <w:tcPr>
            <w:tcW w:w="1240" w:type="dxa"/>
            <w:shd w:val="clear" w:color="auto" w:fill="E5FFFF"/>
            <w:noWrap/>
            <w:hideMark/>
          </w:tcPr>
          <w:p w14:paraId="3337E55A" w14:textId="77777777" w:rsidR="00BE481D" w:rsidRPr="00EB721B" w:rsidRDefault="00BE481D" w:rsidP="00BE481D">
            <w:pPr>
              <w:rPr>
                <w:rFonts w:ascii="Calibri" w:eastAsia="Calibri" w:hAnsi="Calibri" w:cs="Calibri"/>
                <w:b/>
                <w:bCs/>
              </w:rPr>
            </w:pPr>
            <w:r w:rsidRPr="00EB721B">
              <w:rPr>
                <w:rFonts w:ascii="Calibri" w:eastAsia="Calibri" w:hAnsi="Calibri" w:cs="Calibri"/>
                <w:b/>
                <w:bCs/>
              </w:rPr>
              <w:t>CY 2028</w:t>
            </w:r>
          </w:p>
        </w:tc>
        <w:tc>
          <w:tcPr>
            <w:tcW w:w="1240" w:type="dxa"/>
            <w:shd w:val="clear" w:color="auto" w:fill="E5FFFF"/>
            <w:noWrap/>
            <w:hideMark/>
          </w:tcPr>
          <w:p w14:paraId="02667F12" w14:textId="77777777" w:rsidR="00BE481D" w:rsidRPr="00EB721B" w:rsidRDefault="00BE481D" w:rsidP="00BE481D">
            <w:pPr>
              <w:rPr>
                <w:rFonts w:ascii="Calibri" w:eastAsia="Calibri" w:hAnsi="Calibri" w:cs="Calibri"/>
                <w:b/>
                <w:bCs/>
              </w:rPr>
            </w:pPr>
            <w:r w:rsidRPr="00EB721B">
              <w:rPr>
                <w:rFonts w:ascii="Calibri" w:eastAsia="Calibri" w:hAnsi="Calibri" w:cs="Calibri"/>
                <w:b/>
                <w:bCs/>
              </w:rPr>
              <w:t>CY 2029</w:t>
            </w:r>
          </w:p>
        </w:tc>
        <w:tc>
          <w:tcPr>
            <w:tcW w:w="1240" w:type="dxa"/>
            <w:shd w:val="clear" w:color="auto" w:fill="E5FFFF"/>
            <w:noWrap/>
            <w:hideMark/>
          </w:tcPr>
          <w:p w14:paraId="3125930E" w14:textId="77777777" w:rsidR="00BE481D" w:rsidRPr="00EB721B" w:rsidRDefault="00BE481D" w:rsidP="00BE481D">
            <w:pPr>
              <w:rPr>
                <w:rFonts w:ascii="Calibri" w:eastAsia="Calibri" w:hAnsi="Calibri" w:cs="Calibri"/>
                <w:b/>
                <w:bCs/>
              </w:rPr>
            </w:pPr>
            <w:r w:rsidRPr="00EB721B">
              <w:rPr>
                <w:rFonts w:ascii="Calibri" w:eastAsia="Calibri" w:hAnsi="Calibri" w:cs="Calibri"/>
                <w:b/>
                <w:bCs/>
              </w:rPr>
              <w:t>CY 2030</w:t>
            </w:r>
          </w:p>
        </w:tc>
      </w:tr>
      <w:tr w:rsidR="00BE481D" w:rsidRPr="00BE481D" w14:paraId="7B2DC801" w14:textId="77777777" w:rsidTr="00D612AF">
        <w:trPr>
          <w:cantSplit/>
          <w:trHeight w:val="290"/>
          <w:jc w:val="center"/>
        </w:trPr>
        <w:tc>
          <w:tcPr>
            <w:tcW w:w="2070" w:type="dxa"/>
            <w:noWrap/>
            <w:hideMark/>
          </w:tcPr>
          <w:p w14:paraId="294C995E" w14:textId="77777777" w:rsidR="00BE481D" w:rsidRPr="00BE481D" w:rsidRDefault="00BE481D" w:rsidP="00BE481D">
            <w:pPr>
              <w:rPr>
                <w:rFonts w:ascii="Calibri" w:eastAsia="Calibri" w:hAnsi="Calibri" w:cs="Calibri"/>
              </w:rPr>
            </w:pPr>
            <w:r w:rsidRPr="00BE481D">
              <w:rPr>
                <w:rFonts w:ascii="Calibri" w:eastAsia="Calibri" w:hAnsi="Calibri" w:cs="Calibri"/>
              </w:rPr>
              <w:t>Projected Cases</w:t>
            </w:r>
          </w:p>
        </w:tc>
        <w:tc>
          <w:tcPr>
            <w:tcW w:w="1120" w:type="dxa"/>
            <w:noWrap/>
            <w:hideMark/>
          </w:tcPr>
          <w:p w14:paraId="7AA47C25"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3,428</w:t>
            </w:r>
          </w:p>
        </w:tc>
        <w:tc>
          <w:tcPr>
            <w:tcW w:w="1120" w:type="dxa"/>
            <w:noWrap/>
            <w:hideMark/>
          </w:tcPr>
          <w:p w14:paraId="133B7ED8"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6,233</w:t>
            </w:r>
          </w:p>
        </w:tc>
        <w:tc>
          <w:tcPr>
            <w:tcW w:w="1240" w:type="dxa"/>
            <w:noWrap/>
            <w:hideMark/>
          </w:tcPr>
          <w:p w14:paraId="6C7DF16B"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6,358</w:t>
            </w:r>
          </w:p>
        </w:tc>
        <w:tc>
          <w:tcPr>
            <w:tcW w:w="1240" w:type="dxa"/>
            <w:noWrap/>
            <w:hideMark/>
          </w:tcPr>
          <w:p w14:paraId="36A3849E"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6,485</w:t>
            </w:r>
          </w:p>
        </w:tc>
        <w:tc>
          <w:tcPr>
            <w:tcW w:w="1240" w:type="dxa"/>
            <w:noWrap/>
            <w:hideMark/>
          </w:tcPr>
          <w:p w14:paraId="3A2366DC"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6,615</w:t>
            </w:r>
          </w:p>
        </w:tc>
      </w:tr>
      <w:tr w:rsidR="00BE481D" w:rsidRPr="00BE481D" w14:paraId="0F3DE330" w14:textId="77777777" w:rsidTr="00D612AF">
        <w:trPr>
          <w:cantSplit/>
          <w:trHeight w:val="290"/>
          <w:jc w:val="center"/>
        </w:trPr>
        <w:tc>
          <w:tcPr>
            <w:tcW w:w="2070" w:type="dxa"/>
            <w:noWrap/>
            <w:hideMark/>
          </w:tcPr>
          <w:p w14:paraId="265ED683" w14:textId="09B075C7" w:rsidR="00BE481D" w:rsidRPr="00BE481D" w:rsidRDefault="00BE481D" w:rsidP="00BE481D">
            <w:pPr>
              <w:rPr>
                <w:rFonts w:ascii="Calibri" w:eastAsia="Calibri" w:hAnsi="Calibri" w:cs="Calibri"/>
              </w:rPr>
            </w:pPr>
            <w:r w:rsidRPr="00BE481D">
              <w:rPr>
                <w:rFonts w:ascii="Calibri" w:eastAsia="Calibri" w:hAnsi="Calibri" w:cs="Calibri"/>
              </w:rPr>
              <w:t>Projected Hours</w:t>
            </w:r>
            <w:r w:rsidR="002E6ED9" w:rsidRPr="002E6ED9">
              <w:rPr>
                <w:rFonts w:ascii="Calibri" w:eastAsia="Calibri" w:hAnsi="Calibri" w:cs="Calibri"/>
                <w:vertAlign w:val="superscript"/>
              </w:rPr>
              <w:footnoteReference w:id="22"/>
            </w:r>
          </w:p>
        </w:tc>
        <w:tc>
          <w:tcPr>
            <w:tcW w:w="1120" w:type="dxa"/>
            <w:noWrap/>
            <w:hideMark/>
          </w:tcPr>
          <w:p w14:paraId="1F5814B7" w14:textId="117E8883" w:rsidR="00BE481D" w:rsidRPr="00BE481D" w:rsidRDefault="00BE481D" w:rsidP="00BE481D">
            <w:pPr>
              <w:jc w:val="right"/>
              <w:rPr>
                <w:rFonts w:ascii="Calibri" w:eastAsia="Calibri" w:hAnsi="Calibri" w:cs="Calibri"/>
              </w:rPr>
            </w:pPr>
            <w:r w:rsidRPr="00BE481D">
              <w:rPr>
                <w:rFonts w:ascii="Calibri" w:eastAsia="Calibri" w:hAnsi="Calibri" w:cs="Calibri"/>
              </w:rPr>
              <w:t xml:space="preserve">      5,485 </w:t>
            </w:r>
          </w:p>
        </w:tc>
        <w:tc>
          <w:tcPr>
            <w:tcW w:w="1120" w:type="dxa"/>
            <w:noWrap/>
            <w:hideMark/>
          </w:tcPr>
          <w:p w14:paraId="111F8201" w14:textId="4E62B9E0" w:rsidR="00BE481D" w:rsidRPr="00BE481D" w:rsidRDefault="00BE481D" w:rsidP="00BE481D">
            <w:pPr>
              <w:jc w:val="right"/>
              <w:rPr>
                <w:rFonts w:ascii="Calibri" w:eastAsia="Calibri" w:hAnsi="Calibri" w:cs="Calibri"/>
              </w:rPr>
            </w:pPr>
            <w:r w:rsidRPr="00BE481D">
              <w:rPr>
                <w:rFonts w:ascii="Calibri" w:eastAsia="Calibri" w:hAnsi="Calibri" w:cs="Calibri"/>
              </w:rPr>
              <w:t xml:space="preserve">      9,973 </w:t>
            </w:r>
          </w:p>
        </w:tc>
        <w:tc>
          <w:tcPr>
            <w:tcW w:w="1240" w:type="dxa"/>
            <w:noWrap/>
            <w:hideMark/>
          </w:tcPr>
          <w:p w14:paraId="00CB2BD2" w14:textId="12EC9CFC" w:rsidR="00BE481D" w:rsidRPr="00BE481D" w:rsidRDefault="00BE481D" w:rsidP="00BE481D">
            <w:pPr>
              <w:jc w:val="right"/>
              <w:rPr>
                <w:rFonts w:ascii="Calibri" w:eastAsia="Calibri" w:hAnsi="Calibri" w:cs="Calibri"/>
              </w:rPr>
            </w:pPr>
            <w:r w:rsidRPr="00BE481D">
              <w:rPr>
                <w:rFonts w:ascii="Calibri" w:eastAsia="Calibri" w:hAnsi="Calibri" w:cs="Calibri"/>
              </w:rPr>
              <w:t xml:space="preserve">      10,173 </w:t>
            </w:r>
          </w:p>
        </w:tc>
        <w:tc>
          <w:tcPr>
            <w:tcW w:w="1240" w:type="dxa"/>
            <w:noWrap/>
            <w:hideMark/>
          </w:tcPr>
          <w:p w14:paraId="0D5CC765" w14:textId="204B3493" w:rsidR="00BE481D" w:rsidRPr="00BE481D" w:rsidRDefault="00BE481D" w:rsidP="00BE481D">
            <w:pPr>
              <w:jc w:val="right"/>
              <w:rPr>
                <w:rFonts w:ascii="Calibri" w:eastAsia="Calibri" w:hAnsi="Calibri" w:cs="Calibri"/>
              </w:rPr>
            </w:pPr>
            <w:r w:rsidRPr="00BE481D">
              <w:rPr>
                <w:rFonts w:ascii="Calibri" w:eastAsia="Calibri" w:hAnsi="Calibri" w:cs="Calibri"/>
              </w:rPr>
              <w:t xml:space="preserve">      10,376 </w:t>
            </w:r>
          </w:p>
        </w:tc>
        <w:tc>
          <w:tcPr>
            <w:tcW w:w="1240" w:type="dxa"/>
            <w:noWrap/>
            <w:hideMark/>
          </w:tcPr>
          <w:p w14:paraId="3B5A38B2" w14:textId="351FC86F" w:rsidR="00BE481D" w:rsidRPr="00BE481D" w:rsidRDefault="00BE481D" w:rsidP="00BE481D">
            <w:pPr>
              <w:jc w:val="right"/>
              <w:rPr>
                <w:rFonts w:ascii="Calibri" w:eastAsia="Calibri" w:hAnsi="Calibri" w:cs="Calibri"/>
              </w:rPr>
            </w:pPr>
            <w:r w:rsidRPr="00BE481D">
              <w:rPr>
                <w:rFonts w:ascii="Calibri" w:eastAsia="Calibri" w:hAnsi="Calibri" w:cs="Calibri"/>
              </w:rPr>
              <w:t xml:space="preserve">      10,584 </w:t>
            </w:r>
          </w:p>
        </w:tc>
      </w:tr>
      <w:tr w:rsidR="00BE481D" w:rsidRPr="00BE481D" w14:paraId="70FC5458" w14:textId="77777777" w:rsidTr="00D612AF">
        <w:trPr>
          <w:cantSplit/>
          <w:trHeight w:val="290"/>
          <w:jc w:val="center"/>
        </w:trPr>
        <w:tc>
          <w:tcPr>
            <w:tcW w:w="2070" w:type="dxa"/>
            <w:noWrap/>
            <w:hideMark/>
          </w:tcPr>
          <w:p w14:paraId="5441746A" w14:textId="77777777" w:rsidR="00BE481D" w:rsidRPr="00BE481D" w:rsidRDefault="00BE481D" w:rsidP="00BE481D">
            <w:pPr>
              <w:rPr>
                <w:rFonts w:ascii="Calibri" w:eastAsia="Calibri" w:hAnsi="Calibri" w:cs="Calibri"/>
              </w:rPr>
            </w:pPr>
            <w:r w:rsidRPr="00BE481D">
              <w:rPr>
                <w:rFonts w:ascii="Calibri" w:eastAsia="Calibri" w:hAnsi="Calibri" w:cs="Calibri"/>
              </w:rPr>
              <w:t>Utilization Rate</w:t>
            </w:r>
          </w:p>
        </w:tc>
        <w:tc>
          <w:tcPr>
            <w:tcW w:w="1120" w:type="dxa"/>
            <w:noWrap/>
            <w:hideMark/>
          </w:tcPr>
          <w:p w14:paraId="6E1BE763"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46%</w:t>
            </w:r>
          </w:p>
        </w:tc>
        <w:tc>
          <w:tcPr>
            <w:tcW w:w="1120" w:type="dxa"/>
            <w:noWrap/>
            <w:hideMark/>
          </w:tcPr>
          <w:p w14:paraId="3F88BBD9"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83%</w:t>
            </w:r>
          </w:p>
        </w:tc>
        <w:tc>
          <w:tcPr>
            <w:tcW w:w="1240" w:type="dxa"/>
            <w:noWrap/>
            <w:hideMark/>
          </w:tcPr>
          <w:p w14:paraId="7B9B4979"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84%</w:t>
            </w:r>
          </w:p>
        </w:tc>
        <w:tc>
          <w:tcPr>
            <w:tcW w:w="1240" w:type="dxa"/>
            <w:noWrap/>
            <w:hideMark/>
          </w:tcPr>
          <w:p w14:paraId="0F5E9867"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86%</w:t>
            </w:r>
          </w:p>
        </w:tc>
        <w:tc>
          <w:tcPr>
            <w:tcW w:w="1240" w:type="dxa"/>
            <w:noWrap/>
            <w:hideMark/>
          </w:tcPr>
          <w:p w14:paraId="3B095B32" w14:textId="77777777" w:rsidR="00BE481D" w:rsidRPr="00BE481D" w:rsidRDefault="00BE481D" w:rsidP="00BE481D">
            <w:pPr>
              <w:jc w:val="right"/>
              <w:rPr>
                <w:rFonts w:ascii="Calibri" w:eastAsia="Calibri" w:hAnsi="Calibri" w:cs="Calibri"/>
              </w:rPr>
            </w:pPr>
            <w:r w:rsidRPr="00BE481D">
              <w:rPr>
                <w:rFonts w:ascii="Calibri" w:eastAsia="Calibri" w:hAnsi="Calibri" w:cs="Calibri"/>
              </w:rPr>
              <w:t>88%</w:t>
            </w:r>
          </w:p>
        </w:tc>
      </w:tr>
    </w:tbl>
    <w:p w14:paraId="5C7E3154" w14:textId="77777777" w:rsidR="00AB4E6D" w:rsidRDefault="00AB4E6D" w:rsidP="009E44FF">
      <w:pPr>
        <w:spacing w:after="200"/>
        <w:rPr>
          <w:rFonts w:ascii="Calibri" w:eastAsia="Calibri" w:hAnsi="Calibri" w:cs="Calibri"/>
        </w:rPr>
      </w:pPr>
    </w:p>
    <w:p w14:paraId="78547BEB" w14:textId="3A731F29" w:rsidR="00BE481D" w:rsidRPr="00BE481D" w:rsidRDefault="00BE481D" w:rsidP="00BE481D">
      <w:pPr>
        <w:spacing w:after="200"/>
        <w:rPr>
          <w:rFonts w:ascii="Calibri" w:eastAsia="Calibri" w:hAnsi="Calibri" w:cs="Calibri"/>
        </w:rPr>
      </w:pPr>
      <w:r w:rsidRPr="00BE481D">
        <w:rPr>
          <w:rFonts w:ascii="Calibri" w:eastAsia="Calibri" w:hAnsi="Calibri" w:cs="Calibri"/>
        </w:rPr>
        <w:t xml:space="preserve">Staff notes that having available high quality, lower cost sites of care for lower acuity cases will free up surgical capacity for approximately 5,000 cases annually in acute hospital settings for patients with higher acuity who need resources for their care. </w:t>
      </w:r>
    </w:p>
    <w:p w14:paraId="5D1AB2F4" w14:textId="661A68A8" w:rsidR="007201AE" w:rsidRPr="007201AE" w:rsidRDefault="009E44FF" w:rsidP="007201AE">
      <w:pPr>
        <w:spacing w:after="200"/>
        <w:rPr>
          <w:rFonts w:ascii="Calibri" w:eastAsia="Calibri" w:hAnsi="Calibri" w:cs="Calibri"/>
        </w:rPr>
      </w:pPr>
      <w:r w:rsidRPr="009E44FF">
        <w:rPr>
          <w:rFonts w:ascii="Calibri" w:eastAsia="Calibri" w:hAnsi="Calibri" w:cs="Calibri"/>
        </w:rPr>
        <w:t>The development of technology that enables minimally invasive procedures and advancements in anesthesia have both contributed to increased migration of surgical to outpatient care.</w:t>
      </w:r>
      <w:r w:rsidRPr="009E44FF">
        <w:rPr>
          <w:rFonts w:ascii="Calibri" w:eastAsia="Calibri" w:hAnsi="Calibri" w:cs="Calibri"/>
          <w:vertAlign w:val="superscript"/>
        </w:rPr>
        <w:endnoteReference w:id="4"/>
      </w:r>
      <w:r w:rsidRPr="009E44FF">
        <w:rPr>
          <w:rFonts w:ascii="Calibri" w:eastAsia="Calibri" w:hAnsi="Calibri" w:cs="Calibri"/>
        </w:rPr>
        <w:t xml:space="preserve">  Anticipated additional advances in medical technology and favorable regulatory treatment by third party payers will increase the number and types of cases that can be performed in an ASC.</w:t>
      </w:r>
      <w:r w:rsidR="009B6600">
        <w:rPr>
          <w:rFonts w:ascii="Calibri" w:eastAsia="Calibri" w:hAnsi="Calibri" w:cs="Calibri"/>
        </w:rPr>
        <w:t xml:space="preserve"> </w:t>
      </w:r>
      <w:r w:rsidR="007201AE">
        <w:rPr>
          <w:rFonts w:ascii="Calibri" w:eastAsia="Calibri" w:hAnsi="Calibri" w:cs="Calibri"/>
        </w:rPr>
        <w:t xml:space="preserve">Center for Medicare Services added </w:t>
      </w:r>
      <w:r w:rsidR="007201AE" w:rsidRPr="007201AE">
        <w:rPr>
          <w:rFonts w:ascii="Calibri" w:eastAsia="Calibri" w:hAnsi="Calibri" w:cs="Calibri"/>
        </w:rPr>
        <w:t>26 new procedures that are separately payable in the ASC setting</w:t>
      </w:r>
      <w:r w:rsidR="007201AE">
        <w:rPr>
          <w:rFonts w:ascii="Calibri" w:eastAsia="Calibri" w:hAnsi="Calibri" w:cs="Calibri"/>
        </w:rPr>
        <w:t xml:space="preserve"> a</w:t>
      </w:r>
      <w:r w:rsidR="000A6309">
        <w:rPr>
          <w:rFonts w:ascii="Calibri" w:eastAsia="Calibri" w:hAnsi="Calibri" w:cs="Calibri"/>
        </w:rPr>
        <w:t>n</w:t>
      </w:r>
      <w:r w:rsidR="007201AE">
        <w:rPr>
          <w:rFonts w:ascii="Calibri" w:eastAsia="Calibri" w:hAnsi="Calibri" w:cs="Calibri"/>
        </w:rPr>
        <w:t xml:space="preserve">d in January 2023, and in </w:t>
      </w:r>
      <w:r w:rsidR="007201AE" w:rsidRPr="007201AE">
        <w:rPr>
          <w:rFonts w:ascii="Calibri" w:eastAsia="Calibri" w:hAnsi="Calibri" w:cs="Calibri"/>
        </w:rPr>
        <w:t xml:space="preserve">2024, </w:t>
      </w:r>
      <w:r w:rsidR="007201AE">
        <w:rPr>
          <w:rFonts w:ascii="Calibri" w:eastAsia="Calibri" w:hAnsi="Calibri" w:cs="Calibri"/>
        </w:rPr>
        <w:t>172 procedures were added.</w:t>
      </w:r>
      <w:r w:rsidR="007201AE">
        <w:rPr>
          <w:rStyle w:val="FootnoteReference"/>
          <w:rFonts w:ascii="Calibri" w:eastAsia="Calibri" w:hAnsi="Calibri" w:cs="Calibri"/>
        </w:rPr>
        <w:footnoteReference w:id="23"/>
      </w:r>
    </w:p>
    <w:p w14:paraId="516E9A32" w14:textId="3B71D7B8" w:rsidR="00A43951" w:rsidRDefault="00A43951" w:rsidP="005A385E">
      <w:pPr>
        <w:pStyle w:val="Heading2"/>
        <w:spacing w:line="240" w:lineRule="auto"/>
        <w:rPr>
          <w:rFonts w:asciiTheme="minorHAnsi" w:hAnsiTheme="minorHAnsi" w:cstheme="minorHAnsi"/>
          <w:sz w:val="28"/>
          <w:szCs w:val="28"/>
        </w:rPr>
      </w:pPr>
      <w:bookmarkStart w:id="43" w:name="_Toc157428828"/>
      <w:bookmarkStart w:id="44" w:name="_Toc181356977"/>
      <w:r w:rsidRPr="005A385E">
        <w:rPr>
          <w:rFonts w:asciiTheme="minorHAnsi" w:hAnsiTheme="minorHAnsi" w:cstheme="minorHAnsi"/>
          <w:sz w:val="28"/>
          <w:szCs w:val="28"/>
        </w:rPr>
        <w:t xml:space="preserve">Factor 1: b) </w:t>
      </w:r>
      <w:r w:rsidR="004954E4" w:rsidRPr="005A385E">
        <w:rPr>
          <w:rFonts w:asciiTheme="minorHAnsi" w:hAnsiTheme="minorHAnsi" w:cstheme="minorHAnsi"/>
          <w:sz w:val="28"/>
          <w:szCs w:val="28"/>
        </w:rPr>
        <w:t>P</w:t>
      </w:r>
      <w:r w:rsidRPr="005A385E">
        <w:rPr>
          <w:rFonts w:asciiTheme="minorHAnsi" w:hAnsiTheme="minorHAnsi" w:cstheme="minorHAnsi"/>
          <w:sz w:val="28"/>
          <w:szCs w:val="28"/>
        </w:rPr>
        <w:t>ublic health value, improved health outcomes and quality of life; assurances of health equity</w:t>
      </w:r>
      <w:bookmarkEnd w:id="36"/>
      <w:bookmarkEnd w:id="43"/>
      <w:bookmarkEnd w:id="44"/>
      <w:r w:rsidR="00B767A9">
        <w:rPr>
          <w:rFonts w:asciiTheme="minorHAnsi" w:hAnsiTheme="minorHAnsi" w:cstheme="minorHAnsi"/>
          <w:sz w:val="28"/>
          <w:szCs w:val="28"/>
        </w:rPr>
        <w:t xml:space="preserve"> </w:t>
      </w:r>
    </w:p>
    <w:p w14:paraId="6728B545" w14:textId="77777777" w:rsidR="007B1DAB" w:rsidRPr="007B1DAB" w:rsidRDefault="007B1DAB" w:rsidP="007B1DAB"/>
    <w:p w14:paraId="69AE6155" w14:textId="72F06949" w:rsidR="00196BFC" w:rsidRDefault="00196BFC" w:rsidP="005A385E">
      <w:bookmarkStart w:id="45" w:name="_Toc17149377"/>
      <w:bookmarkStart w:id="46" w:name="_Toc17151181"/>
      <w:bookmarkEnd w:id="37"/>
      <w:bookmarkEnd w:id="38"/>
      <w:bookmarkEnd w:id="39"/>
      <w:bookmarkEnd w:id="40"/>
      <w:bookmarkEnd w:id="41"/>
      <w:r w:rsidRPr="005A385E">
        <w:t>In this section</w:t>
      </w:r>
      <w:r w:rsidR="00DE4CD3">
        <w:t xml:space="preserve"> the Applicant must demonstrate that </w:t>
      </w:r>
      <w:r w:rsidRPr="005A385E">
        <w:t xml:space="preserve">the Proposed Project adds measurable public health value in terms of improved health outcomes and quality of life </w:t>
      </w:r>
      <w:r w:rsidR="00052556" w:rsidRPr="005A385E">
        <w:t>for</w:t>
      </w:r>
      <w:r w:rsidRPr="005A385E">
        <w:t xml:space="preserve"> the Applicant’s existing patient panel, while providing reasonable assurances of health equity. </w:t>
      </w:r>
    </w:p>
    <w:p w14:paraId="2BFF122F" w14:textId="77777777" w:rsidR="00B65ABE" w:rsidRDefault="00B65ABE" w:rsidP="00C25E7C"/>
    <w:p w14:paraId="1D039A0A" w14:textId="12C89A6F" w:rsidR="00C25E7C" w:rsidRDefault="6D45C045" w:rsidP="00C25E7C">
      <w:r w:rsidRPr="00C25E7C">
        <w:t xml:space="preserve">In addition to reducing costs by shifting care from </w:t>
      </w:r>
      <w:r w:rsidR="05F36545">
        <w:t>HOPDs</w:t>
      </w:r>
      <w:r w:rsidRPr="00C25E7C">
        <w:t xml:space="preserve"> to ASCs, patient care outcomes in an ASC have </w:t>
      </w:r>
      <w:r w:rsidR="0F833B8F">
        <w:t>been document</w:t>
      </w:r>
      <w:r w:rsidR="464149B2">
        <w:t xml:space="preserve">ed to have </w:t>
      </w:r>
      <w:r w:rsidRPr="00C25E7C">
        <w:t xml:space="preserve">several </w:t>
      </w:r>
      <w:r w:rsidR="21853E79">
        <w:t>quality</w:t>
      </w:r>
      <w:r w:rsidR="6592E1BA">
        <w:t xml:space="preserve"> </w:t>
      </w:r>
      <w:r w:rsidR="3D2C9035">
        <w:t>related advantages</w:t>
      </w:r>
      <w:r w:rsidRPr="00C25E7C">
        <w:t xml:space="preserve"> relative to services performed in a HOPD.</w:t>
      </w:r>
      <w:r w:rsidR="3D2C9035">
        <w:t xml:space="preserve"> </w:t>
      </w:r>
      <w:r w:rsidRPr="00C25E7C">
        <w:t>Infection rates for procedures performed in ASCs are significantly lower than that of hospital outpatient departments, and morbidity and mortality following ASC procedures is favorable.</w:t>
      </w:r>
      <w:r w:rsidR="004A3E79" w:rsidRPr="00C25E7C">
        <w:rPr>
          <w:vertAlign w:val="superscript"/>
        </w:rPr>
        <w:endnoteReference w:id="5"/>
      </w:r>
      <w:r w:rsidR="08DAE595" w:rsidRPr="00C25E7C">
        <w:t xml:space="preserve"> </w:t>
      </w:r>
      <w:r w:rsidRPr="00C25E7C">
        <w:t>ASC patients are less likely to revisit the hospital within one-week of surgery compared with those treated in a HOPD.</w:t>
      </w:r>
      <w:r w:rsidR="004A3E79" w:rsidRPr="00C25E7C">
        <w:rPr>
          <w:vertAlign w:val="superscript"/>
        </w:rPr>
        <w:endnoteReference w:id="6"/>
      </w:r>
      <w:r w:rsidR="08DAE595" w:rsidRPr="00C25E7C">
        <w:t xml:space="preserve"> </w:t>
      </w:r>
      <w:r w:rsidRPr="00C25E7C">
        <w:t xml:space="preserve"> Similarly, hospital readmission rates at the 30 and 90 day mark</w:t>
      </w:r>
      <w:r w:rsidR="008B2C52">
        <w:t>s</w:t>
      </w:r>
      <w:r w:rsidRPr="00C25E7C">
        <w:t xml:space="preserve"> post-surgery are lower for ASC patients compared with patients treated in hospitals.</w:t>
      </w:r>
      <w:r w:rsidR="004A3E79" w:rsidRPr="00C25E7C">
        <w:rPr>
          <w:vertAlign w:val="superscript"/>
        </w:rPr>
        <w:endnoteReference w:id="7"/>
      </w:r>
      <w:r w:rsidR="08DAE595" w:rsidRPr="00C25E7C">
        <w:t xml:space="preserve"> </w:t>
      </w:r>
      <w:r w:rsidR="190623CA" w:rsidRPr="00A3035E">
        <w:t>Surgeries performed in an ASC are generally shorter and patient recovery time is faster than cases performed in a hospital</w:t>
      </w:r>
      <w:r w:rsidR="190623CA">
        <w:t>.</w:t>
      </w:r>
      <w:r w:rsidR="004A3E79" w:rsidRPr="00A3035E">
        <w:rPr>
          <w:vertAlign w:val="superscript"/>
        </w:rPr>
        <w:endnoteReference w:id="8"/>
      </w:r>
      <w:r w:rsidR="08DAE595">
        <w:t xml:space="preserve"> </w:t>
      </w:r>
      <w:r w:rsidR="008B2C52">
        <w:t>B</w:t>
      </w:r>
      <w:r w:rsidR="727969AB">
        <w:t>y</w:t>
      </w:r>
      <w:r w:rsidRPr="00C25E7C">
        <w:t xml:space="preserve"> only accommodat</w:t>
      </w:r>
      <w:r w:rsidR="727969AB">
        <w:t>ing</w:t>
      </w:r>
      <w:r w:rsidRPr="00C25E7C">
        <w:t xml:space="preserve"> scheduled procedures, </w:t>
      </w:r>
      <w:r w:rsidR="008B2C52">
        <w:t xml:space="preserve">ASCs </w:t>
      </w:r>
      <w:r w:rsidRPr="00C25E7C">
        <w:t>are not as affected by the schedule disruptions that can occur in a hospital setting.</w:t>
      </w:r>
      <w:r w:rsidR="008B2C52">
        <w:t xml:space="preserve"> Further</w:t>
      </w:r>
      <w:r w:rsidR="727969AB">
        <w:t>,</w:t>
      </w:r>
      <w:r w:rsidRPr="00C25E7C">
        <w:t xml:space="preserve"> hospital-based operating rooms also must be equipped to accommodate complex cases.</w:t>
      </w:r>
      <w:r w:rsidR="004A3E79" w:rsidRPr="00C25E7C">
        <w:rPr>
          <w:vertAlign w:val="superscript"/>
        </w:rPr>
        <w:endnoteReference w:id="9"/>
      </w:r>
      <w:r w:rsidR="08DAE595" w:rsidRPr="00C25E7C">
        <w:t xml:space="preserve"> </w:t>
      </w:r>
    </w:p>
    <w:p w14:paraId="099E766F" w14:textId="77777777" w:rsidR="00B63D79" w:rsidRPr="00C25E7C" w:rsidRDefault="00B63D79" w:rsidP="00C25E7C"/>
    <w:p w14:paraId="2E39245C" w14:textId="1B227616" w:rsidR="00C25E7C" w:rsidRDefault="00D72045" w:rsidP="00C25E7C">
      <w:r w:rsidRPr="00D72045">
        <w:t xml:space="preserve">The Applicant’s ASC will be Medicare certified and accredited by The Joint Commission and the Accreditation Association for Ambulatory Health Care. </w:t>
      </w:r>
      <w:r>
        <w:t>The applicant states that t</w:t>
      </w:r>
      <w:r w:rsidR="00C25E7C" w:rsidRPr="00C25E7C">
        <w:t xml:space="preserve">hese enhanced quality </w:t>
      </w:r>
      <w:r>
        <w:t xml:space="preserve">outcomes </w:t>
      </w:r>
      <w:r w:rsidR="00C25E7C" w:rsidRPr="00C25E7C">
        <w:t xml:space="preserve">of ASCs will </w:t>
      </w:r>
      <w:r>
        <w:t xml:space="preserve">provide </w:t>
      </w:r>
      <w:r w:rsidRPr="00C25E7C">
        <w:t>positive</w:t>
      </w:r>
      <w:r w:rsidR="00C25E7C" w:rsidRPr="00C25E7C">
        <w:t xml:space="preserve"> surgical experience relative to surgeries performed in a hospital setting and provide increased patient convenience.</w:t>
      </w:r>
    </w:p>
    <w:p w14:paraId="57DD3A3C" w14:textId="77777777" w:rsidR="005347AC" w:rsidRDefault="005347AC" w:rsidP="00C25E7C"/>
    <w:p w14:paraId="62FF9B99" w14:textId="510DBCB4" w:rsidR="00B53CDC" w:rsidRDefault="00B53CDC" w:rsidP="3517B26C">
      <w:pPr>
        <w:rPr>
          <w:b/>
          <w:bCs/>
        </w:rPr>
      </w:pPr>
      <w:r w:rsidRPr="3517B26C">
        <w:rPr>
          <w:b/>
          <w:bCs/>
        </w:rPr>
        <w:t>Public Health Value - Health Equity-Focused</w:t>
      </w:r>
    </w:p>
    <w:p w14:paraId="027B498F" w14:textId="77777777" w:rsidR="00C00E95" w:rsidRPr="00B53CDC" w:rsidRDefault="00C00E95" w:rsidP="00B53CDC">
      <w:pPr>
        <w:rPr>
          <w:b/>
        </w:rPr>
      </w:pPr>
    </w:p>
    <w:p w14:paraId="6DAB6D0C" w14:textId="096C4A6F" w:rsidR="00F94BD8" w:rsidRDefault="00C00E95" w:rsidP="008E2026">
      <w:pPr>
        <w:spacing w:after="200"/>
        <w:rPr>
          <w:rFonts w:ascii="Calibri" w:eastAsia="Calibri" w:hAnsi="Calibri" w:cs="Calibri"/>
        </w:rPr>
      </w:pPr>
      <w:r w:rsidRPr="391A23E5">
        <w:rPr>
          <w:rFonts w:ascii="Calibri" w:eastAsia="Calibri" w:hAnsi="Calibri" w:cs="Calibri"/>
        </w:rPr>
        <w:t xml:space="preserve">The Applicant states that it is committed to serving a diverse patient population and strives to address the needs of individuals who may be at risk for poor health as a result of financial, cultural, </w:t>
      </w:r>
      <w:r w:rsidR="008B2C52" w:rsidRPr="391A23E5">
        <w:rPr>
          <w:rFonts w:ascii="Calibri" w:eastAsia="Calibri" w:hAnsi="Calibri" w:cs="Calibri"/>
        </w:rPr>
        <w:t>social,</w:t>
      </w:r>
      <w:r w:rsidRPr="391A23E5">
        <w:rPr>
          <w:rFonts w:ascii="Calibri" w:eastAsia="Calibri" w:hAnsi="Calibri" w:cs="Calibri"/>
        </w:rPr>
        <w:t xml:space="preserve"> and other conditions. It asserts that its historical efforts </w:t>
      </w:r>
      <w:r w:rsidR="008B2C52">
        <w:rPr>
          <w:rFonts w:ascii="Calibri" w:eastAsia="Calibri" w:hAnsi="Calibri" w:cs="Calibri"/>
        </w:rPr>
        <w:t xml:space="preserve">of </w:t>
      </w:r>
      <w:r w:rsidRPr="391A23E5">
        <w:rPr>
          <w:rFonts w:ascii="Calibri" w:eastAsia="Calibri" w:hAnsi="Calibri" w:cs="Calibri"/>
        </w:rPr>
        <w:t>advancing health equity described below</w:t>
      </w:r>
      <w:r w:rsidR="00F94BD8" w:rsidRPr="391A23E5">
        <w:rPr>
          <w:rFonts w:ascii="Calibri" w:eastAsia="Calibri" w:hAnsi="Calibri" w:cs="Calibri"/>
        </w:rPr>
        <w:t xml:space="preserve"> will be applied to </w:t>
      </w:r>
      <w:r w:rsidRPr="391A23E5">
        <w:rPr>
          <w:rFonts w:ascii="Calibri" w:eastAsia="Calibri" w:hAnsi="Calibri" w:cs="Calibri"/>
        </w:rPr>
        <w:t xml:space="preserve">the </w:t>
      </w:r>
      <w:r w:rsidR="007A677A" w:rsidRPr="391A23E5">
        <w:rPr>
          <w:rFonts w:ascii="Calibri" w:eastAsia="Calibri" w:hAnsi="Calibri" w:cs="Calibri"/>
        </w:rPr>
        <w:t>p</w:t>
      </w:r>
      <w:r w:rsidRPr="391A23E5">
        <w:rPr>
          <w:rFonts w:ascii="Calibri" w:eastAsia="Calibri" w:hAnsi="Calibri" w:cs="Calibri"/>
        </w:rPr>
        <w:t>roposed ASC</w:t>
      </w:r>
      <w:r w:rsidR="00F94BD8" w:rsidRPr="391A23E5">
        <w:rPr>
          <w:rFonts w:ascii="Calibri" w:eastAsia="Calibri" w:hAnsi="Calibri" w:cs="Calibri"/>
        </w:rPr>
        <w:t xml:space="preserve"> which</w:t>
      </w:r>
      <w:r w:rsidRPr="391A23E5">
        <w:rPr>
          <w:rFonts w:ascii="Calibri" w:eastAsia="Calibri" w:hAnsi="Calibri" w:cs="Calibri"/>
        </w:rPr>
        <w:t xml:space="preserve"> will increase access to high quality surgical care for all patients. </w:t>
      </w:r>
    </w:p>
    <w:p w14:paraId="1A5FD0EA" w14:textId="20FF86C8" w:rsidR="00F94BD8" w:rsidRDefault="5603BADD" w:rsidP="008E2026">
      <w:pPr>
        <w:spacing w:after="200"/>
        <w:rPr>
          <w:rFonts w:ascii="Calibri" w:eastAsia="Calibri" w:hAnsi="Calibri" w:cs="Calibri"/>
        </w:rPr>
      </w:pPr>
      <w:r w:rsidRPr="00C4280F">
        <w:rPr>
          <w:rFonts w:ascii="Calibri" w:eastAsia="Calibri" w:hAnsi="Calibri" w:cs="Calibri"/>
        </w:rPr>
        <w:t>Atrius Health</w:t>
      </w:r>
      <w:r w:rsidR="6F01F9F5">
        <w:rPr>
          <w:rFonts w:ascii="Calibri" w:eastAsia="Calibri" w:hAnsi="Calibri" w:cs="Calibri"/>
        </w:rPr>
        <w:t>’s</w:t>
      </w:r>
      <w:r w:rsidRPr="00C4280F">
        <w:rPr>
          <w:rFonts w:ascii="Calibri" w:eastAsia="Calibri" w:hAnsi="Calibri" w:cs="Calibri"/>
        </w:rPr>
        <w:t xml:space="preserve"> model of care is focused on the individual, regardless of payer source or ability to pay</w:t>
      </w:r>
      <w:r w:rsidRPr="00B67440">
        <w:rPr>
          <w:rFonts w:ascii="Calibri" w:eastAsia="Calibri" w:hAnsi="Calibri" w:cs="Calibri"/>
        </w:rPr>
        <w:t>; it</w:t>
      </w:r>
      <w:r w:rsidR="72D5335F">
        <w:rPr>
          <w:rFonts w:ascii="Calibri" w:eastAsia="Calibri" w:hAnsi="Calibri" w:cs="Calibri"/>
        </w:rPr>
        <w:t xml:space="preserve"> has</w:t>
      </w:r>
      <w:r w:rsidRPr="00B67440">
        <w:rPr>
          <w:rFonts w:ascii="Calibri" w:eastAsia="Calibri" w:hAnsi="Calibri" w:cs="Calibri"/>
        </w:rPr>
        <w:t xml:space="preserve"> </w:t>
      </w:r>
      <w:r w:rsidR="72D5335F" w:rsidRPr="00F94BD8">
        <w:rPr>
          <w:rFonts w:ascii="Calibri" w:eastAsia="Calibri" w:hAnsi="Calibri" w:cs="Calibri"/>
        </w:rPr>
        <w:t xml:space="preserve">a financial assistance </w:t>
      </w:r>
      <w:r w:rsidR="72D5335F">
        <w:rPr>
          <w:rFonts w:ascii="Calibri" w:eastAsia="Calibri" w:hAnsi="Calibri" w:cs="Calibri"/>
        </w:rPr>
        <w:t xml:space="preserve">program that </w:t>
      </w:r>
      <w:r w:rsidRPr="00C4280F">
        <w:rPr>
          <w:rFonts w:ascii="Calibri" w:eastAsia="Calibri" w:hAnsi="Calibri" w:cs="Calibri"/>
        </w:rPr>
        <w:t>works with patients who have difficulty paying for care.</w:t>
      </w:r>
      <w:r w:rsidR="72D5335F">
        <w:rPr>
          <w:rFonts w:ascii="Calibri" w:eastAsia="Calibri" w:hAnsi="Calibri" w:cs="Calibri"/>
        </w:rPr>
        <w:t xml:space="preserve"> </w:t>
      </w:r>
      <w:r w:rsidRPr="00EA3F4E">
        <w:rPr>
          <w:rFonts w:ascii="Calibri" w:eastAsia="Calibri" w:hAnsi="Calibri" w:cs="Calibri"/>
        </w:rPr>
        <w:t>Atrius Health participated in Medicaid (MassHealth)</w:t>
      </w:r>
      <w:r w:rsidR="72D5335F">
        <w:rPr>
          <w:rFonts w:ascii="Calibri" w:eastAsia="Calibri" w:hAnsi="Calibri" w:cs="Calibri"/>
        </w:rPr>
        <w:t xml:space="preserve"> as </w:t>
      </w:r>
      <w:r w:rsidR="6028BDE0" w:rsidRPr="0088366D">
        <w:rPr>
          <w:rFonts w:ascii="Calibri" w:eastAsia="Calibri" w:hAnsi="Calibri" w:cs="Calibri"/>
        </w:rPr>
        <w:t>one of the few provider groups in the state in a full-risk arrangement with MassHealth</w:t>
      </w:r>
      <w:r w:rsidR="6028BDE0">
        <w:rPr>
          <w:rFonts w:ascii="Calibri" w:eastAsia="Calibri" w:hAnsi="Calibri" w:cs="Calibri"/>
        </w:rPr>
        <w:t xml:space="preserve"> </w:t>
      </w:r>
      <w:r w:rsidR="72D5335F">
        <w:rPr>
          <w:rFonts w:ascii="Calibri" w:eastAsia="Calibri" w:hAnsi="Calibri" w:cs="Calibri"/>
        </w:rPr>
        <w:t xml:space="preserve">well before </w:t>
      </w:r>
      <w:r w:rsidRPr="001851FD">
        <w:rPr>
          <w:rFonts w:ascii="Calibri" w:eastAsia="Calibri" w:hAnsi="Calibri" w:cs="Calibri"/>
        </w:rPr>
        <w:t>the launch of the MassHealth ACO program in 2018</w:t>
      </w:r>
      <w:r w:rsidR="6028BDE0">
        <w:rPr>
          <w:rFonts w:ascii="Calibri" w:eastAsia="Calibri" w:hAnsi="Calibri" w:cs="Calibri"/>
        </w:rPr>
        <w:t>.</w:t>
      </w:r>
      <w:r>
        <w:rPr>
          <w:rFonts w:ascii="Calibri" w:eastAsia="Calibri" w:hAnsi="Calibri" w:cs="Calibri"/>
        </w:rPr>
        <w:t xml:space="preserve"> Atrius Health </w:t>
      </w:r>
      <w:r w:rsidRPr="00EA3F4E">
        <w:rPr>
          <w:rFonts w:ascii="Calibri" w:eastAsia="Calibri" w:hAnsi="Calibri" w:cs="Calibri"/>
        </w:rPr>
        <w:t xml:space="preserve">participates as the ACO Partner in the MassHealth ACO plan, Fallon Health - Atrius Health Care Collaborative. </w:t>
      </w:r>
      <w:r w:rsidRPr="001851FD">
        <w:rPr>
          <w:rFonts w:ascii="Calibri" w:eastAsia="Calibri" w:hAnsi="Calibri" w:cs="Calibri"/>
        </w:rPr>
        <w:t>Since the launch of the MassHealth ACO program in 2018, the</w:t>
      </w:r>
      <w:r w:rsidR="6028BDE0">
        <w:rPr>
          <w:rFonts w:ascii="Calibri" w:eastAsia="Calibri" w:hAnsi="Calibri" w:cs="Calibri"/>
        </w:rPr>
        <w:t xml:space="preserve"> Applicant</w:t>
      </w:r>
      <w:r w:rsidRPr="001851FD">
        <w:rPr>
          <w:rFonts w:ascii="Calibri" w:eastAsia="Calibri" w:hAnsi="Calibri" w:cs="Calibri"/>
        </w:rPr>
        <w:t>’s MassHealth population has almost doubled</w:t>
      </w:r>
      <w:r w:rsidR="6028BDE0">
        <w:rPr>
          <w:rFonts w:ascii="Calibri" w:eastAsia="Calibri" w:hAnsi="Calibri" w:cs="Calibri"/>
        </w:rPr>
        <w:t>; and it h</w:t>
      </w:r>
      <w:r w:rsidRPr="001851FD">
        <w:rPr>
          <w:rFonts w:ascii="Calibri" w:eastAsia="Calibri" w:hAnsi="Calibri" w:cs="Calibri"/>
        </w:rPr>
        <w:t>as one of the highest rates of voluntary attribution amongst the other ACOs</w:t>
      </w:r>
      <w:r w:rsidR="6028BDE0">
        <w:rPr>
          <w:rFonts w:ascii="Calibri" w:eastAsia="Calibri" w:hAnsi="Calibri" w:cs="Calibri"/>
        </w:rPr>
        <w:t xml:space="preserve">; during the </w:t>
      </w:r>
      <w:r w:rsidR="6028BDE0" w:rsidRPr="0088366D">
        <w:rPr>
          <w:rFonts w:ascii="Calibri" w:eastAsia="Calibri" w:hAnsi="Calibri" w:cs="Calibri"/>
        </w:rPr>
        <w:t>COVID Public Health Emergency (“PHE”)</w:t>
      </w:r>
      <w:r w:rsidR="6028BDE0">
        <w:rPr>
          <w:rFonts w:ascii="Calibri" w:eastAsia="Calibri" w:hAnsi="Calibri" w:cs="Calibri"/>
        </w:rPr>
        <w:t xml:space="preserve"> it </w:t>
      </w:r>
      <w:r w:rsidRPr="001851FD">
        <w:rPr>
          <w:rFonts w:ascii="Calibri" w:eastAsia="Calibri" w:hAnsi="Calibri" w:cs="Calibri"/>
        </w:rPr>
        <w:t>saw a 40% growth in its MassHealth population.</w:t>
      </w:r>
      <w:r w:rsidR="00C00E95" w:rsidRPr="001851FD">
        <w:rPr>
          <w:rFonts w:ascii="Calibri" w:eastAsia="Calibri" w:hAnsi="Calibri" w:cs="Calibri"/>
          <w:vertAlign w:val="superscript"/>
        </w:rPr>
        <w:footnoteReference w:id="24"/>
      </w:r>
      <w:r w:rsidRPr="001851FD">
        <w:rPr>
          <w:rFonts w:ascii="Calibri" w:eastAsia="Calibri" w:hAnsi="Calibri" w:cs="Calibri"/>
        </w:rPr>
        <w:t xml:space="preserve">  </w:t>
      </w:r>
      <w:r w:rsidR="6028BDE0">
        <w:rPr>
          <w:rFonts w:ascii="Calibri" w:eastAsia="Calibri" w:hAnsi="Calibri" w:cs="Calibri"/>
        </w:rPr>
        <w:t xml:space="preserve">With the </w:t>
      </w:r>
      <w:r w:rsidRPr="001851FD">
        <w:rPr>
          <w:rFonts w:ascii="Calibri" w:eastAsia="Calibri" w:hAnsi="Calibri" w:cs="Calibri"/>
        </w:rPr>
        <w:t xml:space="preserve">lift of the PHE and reinstatement of the MassHealth redetermination process </w:t>
      </w:r>
      <w:r w:rsidR="6028BDE0">
        <w:rPr>
          <w:rFonts w:ascii="Calibri" w:eastAsia="Calibri" w:hAnsi="Calibri" w:cs="Calibri"/>
        </w:rPr>
        <w:t xml:space="preserve">there was an </w:t>
      </w:r>
      <w:r w:rsidRPr="001851FD">
        <w:rPr>
          <w:rFonts w:ascii="Calibri" w:eastAsia="Calibri" w:hAnsi="Calibri" w:cs="Calibri"/>
        </w:rPr>
        <w:t>8% decrease in MassHealth population</w:t>
      </w:r>
      <w:r>
        <w:rPr>
          <w:rFonts w:ascii="Calibri" w:eastAsia="Calibri" w:hAnsi="Calibri" w:cs="Calibri"/>
        </w:rPr>
        <w:t>;</w:t>
      </w:r>
      <w:r w:rsidR="00C00E95" w:rsidRPr="001851FD">
        <w:rPr>
          <w:rFonts w:ascii="Calibri" w:eastAsia="Calibri" w:hAnsi="Calibri" w:cs="Calibri"/>
          <w:vertAlign w:val="superscript"/>
        </w:rPr>
        <w:footnoteReference w:id="25"/>
      </w:r>
      <w:r>
        <w:rPr>
          <w:rFonts w:ascii="Calibri" w:eastAsia="Calibri" w:hAnsi="Calibri" w:cs="Calibri"/>
        </w:rPr>
        <w:t xml:space="preserve"> however this </w:t>
      </w:r>
      <w:r w:rsidRPr="001851FD">
        <w:rPr>
          <w:rFonts w:ascii="Calibri" w:eastAsia="Calibri" w:hAnsi="Calibri" w:cs="Calibri"/>
        </w:rPr>
        <w:t xml:space="preserve">is a smaller decrease than what has </w:t>
      </w:r>
      <w:r w:rsidR="6028BDE0">
        <w:rPr>
          <w:rFonts w:ascii="Calibri" w:eastAsia="Calibri" w:hAnsi="Calibri" w:cs="Calibri"/>
        </w:rPr>
        <w:t xml:space="preserve">occurred </w:t>
      </w:r>
      <w:r w:rsidRPr="001851FD">
        <w:rPr>
          <w:rFonts w:ascii="Calibri" w:eastAsia="Calibri" w:hAnsi="Calibri" w:cs="Calibri"/>
        </w:rPr>
        <w:t>across the Commonwealth.</w:t>
      </w:r>
      <w:r w:rsidR="00C00E95" w:rsidRPr="001851FD">
        <w:rPr>
          <w:rFonts w:ascii="Calibri" w:eastAsia="Calibri" w:hAnsi="Calibri" w:cs="Calibri"/>
          <w:vertAlign w:val="superscript"/>
        </w:rPr>
        <w:footnoteReference w:id="26"/>
      </w:r>
      <w:r w:rsidRPr="001851FD">
        <w:rPr>
          <w:rFonts w:ascii="Calibri" w:eastAsia="Calibri" w:hAnsi="Calibri" w:cs="Calibri"/>
        </w:rPr>
        <w:t xml:space="preserve"> Under the new</w:t>
      </w:r>
      <w:r>
        <w:rPr>
          <w:rFonts w:ascii="Calibri" w:eastAsia="Calibri" w:hAnsi="Calibri" w:cs="Calibri"/>
        </w:rPr>
        <w:t>est</w:t>
      </w:r>
      <w:r w:rsidRPr="001851FD">
        <w:rPr>
          <w:rFonts w:ascii="Calibri" w:eastAsia="Calibri" w:hAnsi="Calibri" w:cs="Calibri"/>
        </w:rPr>
        <w:t xml:space="preserve"> MassHealth ACO model, Atrius Health has improved</w:t>
      </w:r>
      <w:r>
        <w:rPr>
          <w:rFonts w:ascii="Calibri" w:eastAsia="Calibri" w:hAnsi="Calibri" w:cs="Calibri"/>
        </w:rPr>
        <w:t xml:space="preserve"> and expanded</w:t>
      </w:r>
      <w:r w:rsidRPr="001851FD">
        <w:rPr>
          <w:rFonts w:ascii="Calibri" w:eastAsia="Calibri" w:hAnsi="Calibri" w:cs="Calibri"/>
        </w:rPr>
        <w:t xml:space="preserve"> connection</w:t>
      </w:r>
      <w:r>
        <w:rPr>
          <w:rFonts w:ascii="Calibri" w:eastAsia="Calibri" w:hAnsi="Calibri" w:cs="Calibri"/>
        </w:rPr>
        <w:t>s</w:t>
      </w:r>
      <w:r w:rsidRPr="001851FD">
        <w:rPr>
          <w:rFonts w:ascii="Calibri" w:eastAsia="Calibri" w:hAnsi="Calibri" w:cs="Calibri"/>
        </w:rPr>
        <w:t xml:space="preserve"> to</w:t>
      </w:r>
      <w:r>
        <w:rPr>
          <w:rFonts w:ascii="Calibri" w:eastAsia="Calibri" w:hAnsi="Calibri" w:cs="Calibri"/>
        </w:rPr>
        <w:t xml:space="preserve"> services addressing </w:t>
      </w:r>
      <w:r w:rsidRPr="001851FD">
        <w:rPr>
          <w:rFonts w:ascii="Calibri" w:eastAsia="Calibri" w:hAnsi="Calibri" w:cs="Calibri"/>
        </w:rPr>
        <w:t xml:space="preserve">health-related social, </w:t>
      </w:r>
      <w:r w:rsidRPr="001851FD">
        <w:rPr>
          <w:rFonts w:ascii="Calibri" w:eastAsia="Calibri" w:hAnsi="Calibri" w:cs="Calibri"/>
        </w:rPr>
        <w:lastRenderedPageBreak/>
        <w:t xml:space="preserve">long-term </w:t>
      </w:r>
      <w:r>
        <w:rPr>
          <w:rFonts w:ascii="Calibri" w:eastAsia="Calibri" w:hAnsi="Calibri" w:cs="Calibri"/>
        </w:rPr>
        <w:t>care</w:t>
      </w:r>
      <w:r w:rsidRPr="001851FD">
        <w:rPr>
          <w:rFonts w:ascii="Calibri" w:eastAsia="Calibri" w:hAnsi="Calibri" w:cs="Calibri"/>
        </w:rPr>
        <w:t xml:space="preserve">, behavioral health, and care management </w:t>
      </w:r>
      <w:r>
        <w:rPr>
          <w:rFonts w:ascii="Calibri" w:eastAsia="Calibri" w:hAnsi="Calibri" w:cs="Calibri"/>
        </w:rPr>
        <w:t>needs of its</w:t>
      </w:r>
      <w:r w:rsidRPr="001851FD">
        <w:rPr>
          <w:rFonts w:ascii="Calibri" w:eastAsia="Calibri" w:hAnsi="Calibri" w:cs="Calibri"/>
        </w:rPr>
        <w:t xml:space="preserve"> MassHealth patient population. </w:t>
      </w:r>
    </w:p>
    <w:p w14:paraId="2C3C1CA2" w14:textId="1943E217" w:rsidR="00F94BD8" w:rsidRPr="00F94BD8" w:rsidRDefault="00F94BD8" w:rsidP="008E2026">
      <w:pPr>
        <w:spacing w:after="200"/>
        <w:rPr>
          <w:rFonts w:ascii="Calibri" w:eastAsia="Calibri" w:hAnsi="Calibri" w:cs="Calibri"/>
        </w:rPr>
      </w:pPr>
      <w:r>
        <w:rPr>
          <w:rFonts w:ascii="Calibri" w:eastAsia="Calibri" w:hAnsi="Calibri" w:cs="Calibri"/>
        </w:rPr>
        <w:t xml:space="preserve">Additionally, </w:t>
      </w:r>
      <w:r w:rsidR="0088366D">
        <w:rPr>
          <w:rFonts w:ascii="Calibri" w:eastAsia="Calibri" w:hAnsi="Calibri" w:cs="Calibri"/>
        </w:rPr>
        <w:t>to improve</w:t>
      </w:r>
      <w:r w:rsidRPr="00F94BD8">
        <w:rPr>
          <w:rFonts w:ascii="Calibri" w:eastAsia="Calibri" w:hAnsi="Calibri" w:cs="Calibri"/>
        </w:rPr>
        <w:t xml:space="preserve"> access to and coordinating care for the 65 and over population enrolled in Medicare, Atrius Health participates in Medicare alternative payment models, such as the Medicare Shared Savings Program and Primary Care First.</w:t>
      </w:r>
    </w:p>
    <w:p w14:paraId="0A75F974" w14:textId="2C13C25A" w:rsidR="00C00E95" w:rsidRDefault="00C00E95" w:rsidP="008E2026">
      <w:pPr>
        <w:spacing w:after="200"/>
        <w:rPr>
          <w:rFonts w:ascii="Calibri" w:eastAsia="Calibri" w:hAnsi="Calibri" w:cs="Calibri"/>
        </w:rPr>
      </w:pPr>
      <w:r>
        <w:rPr>
          <w:rFonts w:ascii="Calibri" w:eastAsia="Calibri" w:hAnsi="Calibri" w:cs="Calibri"/>
        </w:rPr>
        <w:t>Building upon this experience, t</w:t>
      </w:r>
      <w:r w:rsidRPr="00EA3F4E">
        <w:rPr>
          <w:rFonts w:ascii="Calibri" w:eastAsia="Calibri" w:hAnsi="Calibri" w:cs="Calibri"/>
        </w:rPr>
        <w:t xml:space="preserve">he Proposed </w:t>
      </w:r>
      <w:r>
        <w:rPr>
          <w:rFonts w:ascii="Calibri" w:eastAsia="Calibri" w:hAnsi="Calibri" w:cs="Calibri"/>
        </w:rPr>
        <w:t>ASC</w:t>
      </w:r>
      <w:r w:rsidRPr="00EA3F4E">
        <w:rPr>
          <w:rFonts w:ascii="Calibri" w:eastAsia="Calibri" w:hAnsi="Calibri" w:cs="Calibri"/>
        </w:rPr>
        <w:t xml:space="preserve"> will contribute to </w:t>
      </w:r>
      <w:bookmarkStart w:id="47" w:name="_BPDCI_57"/>
      <w:r w:rsidRPr="00EA3F4E">
        <w:rPr>
          <w:rFonts w:ascii="Calibri" w:eastAsia="Calibri" w:hAnsi="Calibri" w:cs="Calibri"/>
        </w:rPr>
        <w:t xml:space="preserve">Atrius Health’s </w:t>
      </w:r>
      <w:bookmarkEnd w:id="47"/>
      <w:r w:rsidRPr="00EA3F4E">
        <w:rPr>
          <w:rFonts w:ascii="Calibri" w:eastAsia="Calibri" w:hAnsi="Calibri" w:cs="Calibri"/>
        </w:rPr>
        <w:t xml:space="preserve">efforts to </w:t>
      </w:r>
      <w:r w:rsidR="0088366D">
        <w:rPr>
          <w:rFonts w:ascii="Calibri" w:eastAsia="Calibri" w:hAnsi="Calibri" w:cs="Calibri"/>
        </w:rPr>
        <w:t xml:space="preserve">care </w:t>
      </w:r>
      <w:r w:rsidRPr="00EA3F4E">
        <w:rPr>
          <w:rFonts w:ascii="Calibri" w:eastAsia="Calibri" w:hAnsi="Calibri" w:cs="Calibri"/>
        </w:rPr>
        <w:t xml:space="preserve">for </w:t>
      </w:r>
      <w:r w:rsidR="0088366D">
        <w:rPr>
          <w:rFonts w:ascii="Calibri" w:eastAsia="Calibri" w:hAnsi="Calibri" w:cs="Calibri"/>
        </w:rPr>
        <w:t xml:space="preserve">fixed income and </w:t>
      </w:r>
      <w:r w:rsidRPr="00EA3F4E">
        <w:rPr>
          <w:rFonts w:ascii="Calibri" w:eastAsia="Calibri" w:hAnsi="Calibri" w:cs="Calibri"/>
        </w:rPr>
        <w:t xml:space="preserve">underserved populations by making </w:t>
      </w:r>
      <w:r>
        <w:rPr>
          <w:rFonts w:ascii="Calibri" w:eastAsia="Calibri" w:hAnsi="Calibri" w:cs="Calibri"/>
        </w:rPr>
        <w:t xml:space="preserve">outpatient surgeries </w:t>
      </w:r>
      <w:r w:rsidRPr="00EA3F4E">
        <w:rPr>
          <w:rFonts w:ascii="Calibri" w:eastAsia="Calibri" w:hAnsi="Calibri" w:cs="Calibri"/>
        </w:rPr>
        <w:t>more accessible</w:t>
      </w:r>
      <w:r w:rsidR="0088366D">
        <w:rPr>
          <w:rFonts w:ascii="Calibri" w:eastAsia="Calibri" w:hAnsi="Calibri" w:cs="Calibri"/>
        </w:rPr>
        <w:t xml:space="preserve"> and</w:t>
      </w:r>
      <w:r w:rsidRPr="00EA3F4E">
        <w:rPr>
          <w:rFonts w:ascii="Calibri" w:eastAsia="Calibri" w:hAnsi="Calibri" w:cs="Calibri"/>
        </w:rPr>
        <w:t xml:space="preserve"> at a lower cost </w:t>
      </w:r>
      <w:r w:rsidR="004A5FCE">
        <w:rPr>
          <w:rFonts w:ascii="Calibri" w:eastAsia="Calibri" w:hAnsi="Calibri" w:cs="Calibri"/>
        </w:rPr>
        <w:t>so that patients</w:t>
      </w:r>
      <w:r w:rsidRPr="00EA3F4E">
        <w:rPr>
          <w:rFonts w:ascii="Calibri" w:eastAsia="Calibri" w:hAnsi="Calibri" w:cs="Calibri"/>
        </w:rPr>
        <w:t xml:space="preserve"> with significant cost-sharing as part of their health insurance plans</w:t>
      </w:r>
      <w:r>
        <w:rPr>
          <w:rFonts w:ascii="Calibri" w:eastAsia="Calibri" w:hAnsi="Calibri" w:cs="Calibri"/>
        </w:rPr>
        <w:t xml:space="preserve"> will see reduced out</w:t>
      </w:r>
      <w:r w:rsidRPr="00C4280F">
        <w:rPr>
          <w:rFonts w:ascii="Calibri" w:eastAsia="Calibri" w:hAnsi="Calibri" w:cs="Calibri"/>
        </w:rPr>
        <w:t>-of-pocket expenses</w:t>
      </w:r>
      <w:r w:rsidRPr="00EA3F4E">
        <w:rPr>
          <w:rFonts w:ascii="Calibri" w:eastAsia="Calibri" w:hAnsi="Calibri" w:cs="Calibri"/>
        </w:rPr>
        <w:t xml:space="preserve">. </w:t>
      </w:r>
      <w:r>
        <w:rPr>
          <w:rFonts w:ascii="Calibri" w:eastAsia="Calibri" w:hAnsi="Calibri" w:cs="Calibri"/>
        </w:rPr>
        <w:t xml:space="preserve">Accordingly, the Proposed ASC </w:t>
      </w:r>
      <w:r w:rsidRPr="00EA3F4E">
        <w:rPr>
          <w:rFonts w:ascii="Calibri" w:eastAsia="Calibri" w:hAnsi="Calibri" w:cs="Calibri"/>
        </w:rPr>
        <w:t>will help address inequities in access and cost of care.</w:t>
      </w:r>
    </w:p>
    <w:p w14:paraId="6AEF9268" w14:textId="1FD7E5C5" w:rsidR="00C00E95" w:rsidRDefault="5603BADD" w:rsidP="008E2026">
      <w:pPr>
        <w:rPr>
          <w:rFonts w:ascii="Calibri" w:eastAsia="Calibri" w:hAnsi="Calibri" w:cs="Calibri"/>
        </w:rPr>
      </w:pPr>
      <w:r>
        <w:rPr>
          <w:rFonts w:ascii="Calibri" w:eastAsia="Calibri" w:hAnsi="Calibri" w:cs="Calibri"/>
        </w:rPr>
        <w:t>This need</w:t>
      </w:r>
      <w:r w:rsidR="4EF3377F">
        <w:rPr>
          <w:rFonts w:ascii="Calibri" w:eastAsia="Calibri" w:hAnsi="Calibri" w:cs="Calibri"/>
        </w:rPr>
        <w:t xml:space="preserve"> to increase access via lower costs</w:t>
      </w:r>
      <w:r>
        <w:rPr>
          <w:rFonts w:ascii="Calibri" w:eastAsia="Calibri" w:hAnsi="Calibri" w:cs="Calibri"/>
        </w:rPr>
        <w:t xml:space="preserve"> is supported by the </w:t>
      </w:r>
      <w:r w:rsidRPr="003053AD">
        <w:rPr>
          <w:rFonts w:ascii="Calibri" w:eastAsia="Calibri" w:hAnsi="Calibri" w:cs="Calibri"/>
        </w:rPr>
        <w:t xml:space="preserve">HPC findings from an analysis of the CHIA 2019 Massachusetts Health Insurance Survey, </w:t>
      </w:r>
      <w:r>
        <w:rPr>
          <w:rFonts w:ascii="Calibri" w:eastAsia="Calibri" w:hAnsi="Calibri" w:cs="Calibri"/>
        </w:rPr>
        <w:t xml:space="preserve">which </w:t>
      </w:r>
      <w:r w:rsidRPr="003053AD">
        <w:rPr>
          <w:rFonts w:ascii="Calibri" w:eastAsia="Calibri" w:hAnsi="Calibri" w:cs="Calibri"/>
        </w:rPr>
        <w:t>indicat</w:t>
      </w:r>
      <w:r>
        <w:rPr>
          <w:rFonts w:ascii="Calibri" w:eastAsia="Calibri" w:hAnsi="Calibri" w:cs="Calibri"/>
        </w:rPr>
        <w:t>es</w:t>
      </w:r>
      <w:r w:rsidRPr="003053AD">
        <w:rPr>
          <w:rFonts w:ascii="Calibri" w:eastAsia="Calibri" w:hAnsi="Calibri" w:cs="Calibri"/>
        </w:rPr>
        <w:t xml:space="preserve"> that among Massachusetts commercially insured patients with lower incomes, 59.3% had trouble accessing care due to cost; and that lower-income residents disproportionately </w:t>
      </w:r>
      <w:bookmarkStart w:id="48" w:name="_BPDCD_58"/>
      <w:r w:rsidRPr="003053AD">
        <w:rPr>
          <w:rFonts w:ascii="Calibri" w:eastAsia="Calibri" w:hAnsi="Calibri" w:cs="Calibri"/>
        </w:rPr>
        <w:t xml:space="preserve">forgo </w:t>
      </w:r>
      <w:bookmarkEnd w:id="48"/>
      <w:r w:rsidRPr="003053AD">
        <w:rPr>
          <w:rFonts w:ascii="Calibri" w:eastAsia="Calibri" w:hAnsi="Calibri" w:cs="Calibri"/>
        </w:rPr>
        <w:t>needed care.</w:t>
      </w:r>
      <w:r w:rsidR="00C00E95" w:rsidRPr="003053AD">
        <w:rPr>
          <w:rFonts w:ascii="Calibri" w:eastAsia="Calibri" w:hAnsi="Calibri" w:cs="Calibri"/>
          <w:vertAlign w:val="superscript"/>
        </w:rPr>
        <w:footnoteReference w:id="27"/>
      </w:r>
      <w:r w:rsidRPr="003053AD">
        <w:rPr>
          <w:rFonts w:ascii="Calibri" w:eastAsia="Calibri" w:hAnsi="Calibri" w:cs="Calibri"/>
        </w:rPr>
        <w:t xml:space="preserve">  </w:t>
      </w:r>
    </w:p>
    <w:p w14:paraId="20FD3B8F" w14:textId="77777777" w:rsidR="00C00E95" w:rsidRDefault="00C00E95" w:rsidP="008E2026">
      <w:pPr>
        <w:rPr>
          <w:rFonts w:ascii="Calibri" w:eastAsia="Calibri" w:hAnsi="Calibri" w:cs="Calibri"/>
        </w:rPr>
      </w:pPr>
    </w:p>
    <w:p w14:paraId="63C9C956" w14:textId="682B6563" w:rsidR="00921132" w:rsidRPr="0000747D" w:rsidRDefault="5603BADD" w:rsidP="008E2026">
      <w:pPr>
        <w:spacing w:after="200"/>
        <w:rPr>
          <w:rFonts w:ascii="Calibri" w:eastAsia="Calibri" w:hAnsi="Calibri" w:cs="Calibri"/>
        </w:rPr>
      </w:pPr>
      <w:r>
        <w:rPr>
          <w:rFonts w:ascii="Calibri" w:eastAsia="Calibri" w:hAnsi="Calibri" w:cs="Calibri"/>
        </w:rPr>
        <w:t>C</w:t>
      </w:r>
      <w:r w:rsidRPr="00EA3F4E">
        <w:rPr>
          <w:rFonts w:ascii="Calibri" w:eastAsia="Calibri" w:hAnsi="Calibri" w:cs="Calibri"/>
        </w:rPr>
        <w:t xml:space="preserve">ultural differences among its Patient Panel </w:t>
      </w:r>
      <w:r>
        <w:rPr>
          <w:rFonts w:ascii="Calibri" w:eastAsia="Calibri" w:hAnsi="Calibri" w:cs="Calibri"/>
        </w:rPr>
        <w:t xml:space="preserve">and staff are </w:t>
      </w:r>
      <w:r w:rsidRPr="00EA502F">
        <w:rPr>
          <w:rFonts w:ascii="Calibri" w:eastAsia="Calibri" w:hAnsi="Calibri" w:cs="Calibri"/>
        </w:rPr>
        <w:t>respect</w:t>
      </w:r>
      <w:r>
        <w:rPr>
          <w:rFonts w:ascii="Calibri" w:eastAsia="Calibri" w:hAnsi="Calibri" w:cs="Calibri"/>
        </w:rPr>
        <w:t>ed</w:t>
      </w:r>
      <w:r w:rsidRPr="00EA502F">
        <w:rPr>
          <w:rFonts w:ascii="Calibri" w:eastAsia="Calibri" w:hAnsi="Calibri" w:cs="Calibri"/>
        </w:rPr>
        <w:t xml:space="preserve"> and honor</w:t>
      </w:r>
      <w:r>
        <w:rPr>
          <w:rFonts w:ascii="Calibri" w:eastAsia="Calibri" w:hAnsi="Calibri" w:cs="Calibri"/>
        </w:rPr>
        <w:t xml:space="preserve">ed through </w:t>
      </w:r>
      <w:r w:rsidRPr="00EA3F4E">
        <w:rPr>
          <w:rFonts w:ascii="Calibri" w:eastAsia="Calibri" w:hAnsi="Calibri" w:cs="Calibri"/>
        </w:rPr>
        <w:t xml:space="preserve">a robust DEI (diversity, </w:t>
      </w:r>
      <w:r w:rsidR="00617CF2" w:rsidRPr="00EA3F4E">
        <w:rPr>
          <w:rFonts w:ascii="Calibri" w:eastAsia="Calibri" w:hAnsi="Calibri" w:cs="Calibri"/>
        </w:rPr>
        <w:t>equity,</w:t>
      </w:r>
      <w:r w:rsidRPr="00EA3F4E">
        <w:rPr>
          <w:rFonts w:ascii="Calibri" w:eastAsia="Calibri" w:hAnsi="Calibri" w:cs="Calibri"/>
        </w:rPr>
        <w:t xml:space="preserve"> and inclusion) program, which provides training to staff on cultural and socioeconomic differences to help address disparities and inequities in patient care. </w:t>
      </w:r>
      <w:r>
        <w:rPr>
          <w:rFonts w:ascii="Calibri" w:eastAsia="Calibri" w:hAnsi="Calibri" w:cs="Calibri"/>
        </w:rPr>
        <w:t xml:space="preserve">The Applicant works </w:t>
      </w:r>
      <w:r w:rsidRPr="00EA3F4E">
        <w:rPr>
          <w:rFonts w:ascii="Calibri" w:eastAsia="Calibri" w:hAnsi="Calibri" w:cs="Calibri"/>
        </w:rPr>
        <w:t>to hire and retain medical staff and leadership that is culturally diverse</w:t>
      </w:r>
      <w:r>
        <w:rPr>
          <w:rFonts w:ascii="Calibri" w:eastAsia="Calibri" w:hAnsi="Calibri" w:cs="Calibri"/>
        </w:rPr>
        <w:t xml:space="preserve"> and will ensure t</w:t>
      </w:r>
      <w:r w:rsidRPr="00EA3F4E">
        <w:rPr>
          <w:rFonts w:ascii="Calibri" w:eastAsia="Calibri" w:hAnsi="Calibri" w:cs="Calibri"/>
        </w:rPr>
        <w:t xml:space="preserve">he staff performing </w:t>
      </w:r>
      <w:r>
        <w:rPr>
          <w:rFonts w:ascii="Calibri" w:eastAsia="Calibri" w:hAnsi="Calibri" w:cs="Calibri"/>
        </w:rPr>
        <w:t xml:space="preserve">surgeries </w:t>
      </w:r>
      <w:r w:rsidRPr="00EA3F4E">
        <w:rPr>
          <w:rFonts w:ascii="Calibri" w:eastAsia="Calibri" w:hAnsi="Calibri" w:cs="Calibri"/>
        </w:rPr>
        <w:t xml:space="preserve">will </w:t>
      </w:r>
      <w:r>
        <w:rPr>
          <w:rFonts w:ascii="Calibri" w:eastAsia="Calibri" w:hAnsi="Calibri" w:cs="Calibri"/>
        </w:rPr>
        <w:t xml:space="preserve">be trained to </w:t>
      </w:r>
      <w:r w:rsidRPr="00EA3F4E">
        <w:rPr>
          <w:rFonts w:ascii="Calibri" w:eastAsia="Calibri" w:hAnsi="Calibri" w:cs="Calibri"/>
        </w:rPr>
        <w:t xml:space="preserve">provide respectful, compassionate, and empathetic care to all patients consistent with Atrius Health policy and its DEI program. </w:t>
      </w:r>
      <w:r w:rsidR="30CDA40F" w:rsidRPr="0000747D">
        <w:rPr>
          <w:rFonts w:ascii="Calibri" w:eastAsia="Calibri" w:hAnsi="Calibri" w:cs="Calibri"/>
        </w:rPr>
        <w:t>The Applicant’s Atrius Health Interpretive Services Department</w:t>
      </w:r>
      <w:r w:rsidR="00921132" w:rsidRPr="0000747D">
        <w:rPr>
          <w:rFonts w:ascii="Calibri" w:eastAsia="Calibri" w:hAnsi="Calibri" w:cs="Calibri"/>
          <w:vertAlign w:val="superscript"/>
        </w:rPr>
        <w:footnoteReference w:id="28"/>
      </w:r>
      <w:r w:rsidR="30CDA40F" w:rsidRPr="0000747D">
        <w:rPr>
          <w:rFonts w:ascii="Calibri" w:eastAsia="Calibri" w:hAnsi="Calibri" w:cs="Calibri"/>
        </w:rPr>
        <w:t xml:space="preserve"> provides patients and families interpreter services in 240 spoken languages as well as American Sign Language. These services are coordinated by Atrius Health staff and will be made available for the Proposed ASC.</w:t>
      </w:r>
    </w:p>
    <w:p w14:paraId="73BC0DB4" w14:textId="1FA72835" w:rsidR="00C00E95" w:rsidRDefault="00C00E95" w:rsidP="00617CF2">
      <w:pPr>
        <w:tabs>
          <w:tab w:val="left" w:pos="7020"/>
        </w:tabs>
        <w:spacing w:after="200"/>
        <w:rPr>
          <w:rFonts w:ascii="Calibri" w:eastAsia="Calibri" w:hAnsi="Calibri" w:cs="Calibri"/>
        </w:rPr>
      </w:pPr>
      <w:r w:rsidRPr="00EA3F4E">
        <w:rPr>
          <w:rFonts w:ascii="Calibri" w:eastAsia="Calibri" w:hAnsi="Calibri" w:cs="Calibri"/>
        </w:rPr>
        <w:t xml:space="preserve">The </w:t>
      </w:r>
      <w:r>
        <w:rPr>
          <w:rFonts w:ascii="Calibri" w:eastAsia="Calibri" w:hAnsi="Calibri" w:cs="Calibri"/>
        </w:rPr>
        <w:t xml:space="preserve">Applicant has a </w:t>
      </w:r>
      <w:r w:rsidRPr="00EA3F4E">
        <w:rPr>
          <w:rFonts w:ascii="Calibri" w:eastAsia="Calibri" w:hAnsi="Calibri" w:cs="Calibri"/>
        </w:rPr>
        <w:t xml:space="preserve">Health Equity Steering Committee </w:t>
      </w:r>
      <w:r>
        <w:rPr>
          <w:rFonts w:ascii="Calibri" w:eastAsia="Calibri" w:hAnsi="Calibri" w:cs="Calibri"/>
        </w:rPr>
        <w:t xml:space="preserve">that </w:t>
      </w:r>
      <w:r w:rsidRPr="00EA3F4E">
        <w:rPr>
          <w:rFonts w:ascii="Calibri" w:eastAsia="Calibri" w:hAnsi="Calibri" w:cs="Calibri"/>
        </w:rPr>
        <w:t>is charged with monitoring health disparities and establishing plans to reduce inequities and</w:t>
      </w:r>
      <w:r>
        <w:rPr>
          <w:rFonts w:ascii="Calibri" w:eastAsia="Calibri" w:hAnsi="Calibri" w:cs="Calibri"/>
        </w:rPr>
        <w:t xml:space="preserve"> </w:t>
      </w:r>
      <w:r w:rsidRPr="00EA3F4E">
        <w:rPr>
          <w:rFonts w:ascii="Calibri" w:eastAsia="Calibri" w:hAnsi="Calibri" w:cs="Calibri"/>
        </w:rPr>
        <w:t xml:space="preserve">improving equitable access to services for all Atrius Health patients. </w:t>
      </w:r>
      <w:r>
        <w:rPr>
          <w:rFonts w:ascii="Calibri" w:eastAsia="Calibri" w:hAnsi="Calibri" w:cs="Calibri"/>
        </w:rPr>
        <w:t xml:space="preserve">The </w:t>
      </w:r>
      <w:r w:rsidRPr="00EA3F4E">
        <w:rPr>
          <w:rFonts w:ascii="Calibri" w:eastAsia="Calibri" w:hAnsi="Calibri" w:cs="Calibri"/>
        </w:rPr>
        <w:t>Committee</w:t>
      </w:r>
      <w:r>
        <w:rPr>
          <w:rFonts w:ascii="Calibri" w:eastAsia="Calibri" w:hAnsi="Calibri" w:cs="Calibri"/>
        </w:rPr>
        <w:t xml:space="preserve">’s </w:t>
      </w:r>
      <w:r w:rsidRPr="00EA3F4E">
        <w:rPr>
          <w:rFonts w:ascii="Calibri" w:eastAsia="Calibri" w:hAnsi="Calibri" w:cs="Calibri"/>
        </w:rPr>
        <w:t xml:space="preserve">broad </w:t>
      </w:r>
      <w:r>
        <w:rPr>
          <w:rFonts w:ascii="Calibri" w:eastAsia="Calibri" w:hAnsi="Calibri" w:cs="Calibri"/>
        </w:rPr>
        <w:t xml:space="preserve">scope </w:t>
      </w:r>
      <w:r w:rsidRPr="00EA3F4E">
        <w:rPr>
          <w:rFonts w:ascii="Calibri" w:eastAsia="Calibri" w:hAnsi="Calibri" w:cs="Calibri"/>
        </w:rPr>
        <w:t xml:space="preserve">includes </w:t>
      </w:r>
      <w:r>
        <w:rPr>
          <w:rFonts w:ascii="Calibri" w:eastAsia="Calibri" w:hAnsi="Calibri" w:cs="Calibri"/>
        </w:rPr>
        <w:t xml:space="preserve">all </w:t>
      </w:r>
      <w:r w:rsidRPr="00EA3F4E">
        <w:rPr>
          <w:rFonts w:ascii="Calibri" w:eastAsia="Calibri" w:hAnsi="Calibri" w:cs="Calibri"/>
        </w:rPr>
        <w:t xml:space="preserve">services, including those to be provided </w:t>
      </w:r>
      <w:r>
        <w:rPr>
          <w:rFonts w:ascii="Calibri" w:eastAsia="Calibri" w:hAnsi="Calibri" w:cs="Calibri"/>
        </w:rPr>
        <w:t xml:space="preserve">by </w:t>
      </w:r>
      <w:r w:rsidR="009269B4">
        <w:rPr>
          <w:rFonts w:ascii="Calibri" w:eastAsia="Calibri" w:hAnsi="Calibri" w:cs="Calibri"/>
        </w:rPr>
        <w:t xml:space="preserve">the </w:t>
      </w:r>
      <w:r w:rsidRPr="00EA3F4E">
        <w:rPr>
          <w:rFonts w:ascii="Calibri" w:eastAsia="Calibri" w:hAnsi="Calibri" w:cs="Calibri"/>
        </w:rPr>
        <w:t xml:space="preserve">Proposed </w:t>
      </w:r>
      <w:r>
        <w:rPr>
          <w:rFonts w:ascii="Calibri" w:eastAsia="Calibri" w:hAnsi="Calibri" w:cs="Calibri"/>
        </w:rPr>
        <w:t>ASC</w:t>
      </w:r>
      <w:r w:rsidRPr="00EA3F4E">
        <w:rPr>
          <w:rFonts w:ascii="Calibri" w:eastAsia="Calibri" w:hAnsi="Calibri" w:cs="Calibri"/>
        </w:rPr>
        <w:t xml:space="preserve">. </w:t>
      </w:r>
      <w:r>
        <w:rPr>
          <w:rFonts w:ascii="Calibri" w:eastAsia="Calibri" w:hAnsi="Calibri" w:cs="Calibri"/>
        </w:rPr>
        <w:t>T</w:t>
      </w:r>
      <w:r w:rsidRPr="00EA3F4E">
        <w:rPr>
          <w:rFonts w:ascii="Calibri" w:eastAsia="Calibri" w:hAnsi="Calibri" w:cs="Calibri"/>
        </w:rPr>
        <w:t xml:space="preserve">he health equity program enacted under the MassHealth ACO program, is focused on reducing health disparities through improving the IT infrastructure </w:t>
      </w:r>
      <w:r>
        <w:rPr>
          <w:rFonts w:ascii="Calibri" w:eastAsia="Calibri" w:hAnsi="Calibri" w:cs="Calibri"/>
        </w:rPr>
        <w:t xml:space="preserve">for better collection and reporting of </w:t>
      </w:r>
      <w:r w:rsidRPr="00EA3F4E">
        <w:rPr>
          <w:rFonts w:ascii="Calibri" w:eastAsia="Calibri" w:hAnsi="Calibri" w:cs="Calibri"/>
        </w:rPr>
        <w:t>race, ethnicity, disability, sexual orientation, and gender identify data; implement</w:t>
      </w:r>
      <w:r>
        <w:rPr>
          <w:rFonts w:ascii="Calibri" w:eastAsia="Calibri" w:hAnsi="Calibri" w:cs="Calibri"/>
        </w:rPr>
        <w:t xml:space="preserve">ation of </w:t>
      </w:r>
      <w:r w:rsidRPr="00EA3F4E">
        <w:rPr>
          <w:rFonts w:ascii="Calibri" w:eastAsia="Calibri" w:hAnsi="Calibri" w:cs="Calibri"/>
        </w:rPr>
        <w:t xml:space="preserve"> clinical and non-clinical intervention to address health disparities among patients with disabilities, hypertension and/or diabetes; and establish</w:t>
      </w:r>
      <w:r>
        <w:rPr>
          <w:rFonts w:ascii="Calibri" w:eastAsia="Calibri" w:hAnsi="Calibri" w:cs="Calibri"/>
        </w:rPr>
        <w:t>ment of</w:t>
      </w:r>
      <w:r w:rsidRPr="00EA3F4E">
        <w:rPr>
          <w:rFonts w:ascii="Calibri" w:eastAsia="Calibri" w:hAnsi="Calibri" w:cs="Calibri"/>
        </w:rPr>
        <w:t xml:space="preserve"> organizational </w:t>
      </w:r>
      <w:r>
        <w:rPr>
          <w:rFonts w:ascii="Calibri" w:eastAsia="Calibri" w:hAnsi="Calibri" w:cs="Calibri"/>
        </w:rPr>
        <w:t xml:space="preserve">structures  to  address </w:t>
      </w:r>
      <w:r w:rsidRPr="00EA3F4E">
        <w:rPr>
          <w:rFonts w:ascii="Calibri" w:eastAsia="Calibri" w:hAnsi="Calibri" w:cs="Calibri"/>
        </w:rPr>
        <w:t xml:space="preserve">health equity awareness through diversity, equity, and inclusion training </w:t>
      </w:r>
      <w:r>
        <w:rPr>
          <w:rFonts w:ascii="Calibri" w:eastAsia="Calibri" w:hAnsi="Calibri" w:cs="Calibri"/>
        </w:rPr>
        <w:t xml:space="preserve">including </w:t>
      </w:r>
      <w:r w:rsidRPr="00EA3F4E">
        <w:rPr>
          <w:rFonts w:ascii="Calibri" w:eastAsia="Calibri" w:hAnsi="Calibri" w:cs="Calibri"/>
        </w:rPr>
        <w:t>implicit bias and LGBTQ</w:t>
      </w:r>
      <w:r w:rsidR="00BF3F88">
        <w:rPr>
          <w:rFonts w:ascii="Calibri" w:eastAsia="Calibri" w:hAnsi="Calibri" w:cs="Calibri"/>
        </w:rPr>
        <w:t>IA</w:t>
      </w:r>
      <w:r w:rsidRPr="00EA3F4E">
        <w:rPr>
          <w:rFonts w:ascii="Calibri" w:eastAsia="Calibri" w:hAnsi="Calibri" w:cs="Calibri"/>
        </w:rPr>
        <w:t xml:space="preserve">+ competency trainings. </w:t>
      </w:r>
    </w:p>
    <w:p w14:paraId="35E6CD1F" w14:textId="40C97460" w:rsidR="0000747D" w:rsidRDefault="00A2712A" w:rsidP="008E2026">
      <w:pPr>
        <w:spacing w:after="200"/>
        <w:rPr>
          <w:rFonts w:ascii="Calibri" w:eastAsia="Calibri" w:hAnsi="Calibri" w:cs="Calibri"/>
        </w:rPr>
      </w:pPr>
      <w:r w:rsidRPr="391A23E5">
        <w:rPr>
          <w:rFonts w:ascii="Calibri" w:eastAsia="Calibri" w:hAnsi="Calibri" w:cs="Calibri"/>
        </w:rPr>
        <w:t xml:space="preserve">To improve care and services for Atrius Health LGBTQIA+ adult patients, in March 2024, Atrius Health launched Pride+ Care, with a program team that includes primary care clinicians, </w:t>
      </w:r>
      <w:r w:rsidRPr="391A23E5">
        <w:rPr>
          <w:rFonts w:ascii="Calibri" w:eastAsia="Calibri" w:hAnsi="Calibri" w:cs="Calibri"/>
        </w:rPr>
        <w:lastRenderedPageBreak/>
        <w:t xml:space="preserve">behavioral health providers, and a care facilitator that </w:t>
      </w:r>
      <w:r w:rsidR="006D2E4F" w:rsidRPr="391A23E5">
        <w:rPr>
          <w:rFonts w:ascii="Calibri" w:eastAsia="Calibri" w:hAnsi="Calibri" w:cs="Calibri"/>
        </w:rPr>
        <w:t>specializes</w:t>
      </w:r>
      <w:r w:rsidRPr="391A23E5">
        <w:rPr>
          <w:rFonts w:ascii="Calibri" w:eastAsia="Calibri" w:hAnsi="Calibri" w:cs="Calibri"/>
        </w:rPr>
        <w:t xml:space="preserve"> in LGBTQIA+ and gender affirming care. The Pride+ Care program created systemic changes at Atrius by updating care flows to include more affirming language, training all staff at pilot sites in LGBTQ</w:t>
      </w:r>
      <w:r w:rsidR="00620878" w:rsidRPr="391A23E5">
        <w:rPr>
          <w:rFonts w:ascii="Calibri" w:eastAsia="Calibri" w:hAnsi="Calibri" w:cs="Calibri"/>
        </w:rPr>
        <w:t>IA</w:t>
      </w:r>
      <w:r w:rsidRPr="391A23E5">
        <w:rPr>
          <w:rFonts w:ascii="Calibri" w:eastAsia="Calibri" w:hAnsi="Calibri" w:cs="Calibri"/>
        </w:rPr>
        <w:t xml:space="preserve">+ inclusive care practices, and building off of prior EMR enhancements to </w:t>
      </w:r>
      <w:r w:rsidR="0007279E" w:rsidRPr="391A23E5">
        <w:rPr>
          <w:rFonts w:ascii="Calibri" w:eastAsia="Calibri" w:hAnsi="Calibri" w:cs="Calibri"/>
        </w:rPr>
        <w:t xml:space="preserve">include </w:t>
      </w:r>
      <w:r w:rsidRPr="391A23E5">
        <w:rPr>
          <w:rFonts w:ascii="Calibri" w:eastAsia="Calibri" w:hAnsi="Calibri" w:cs="Calibri"/>
        </w:rPr>
        <w:t>sexual orientation and gender identity (SOGI) data collection to ensure communication practices and processes were inclusive and affirming. By linking patients with expert clinicians and offering customized services, the practice aims to elevate engagement, experiences, &amp; health outcomes within the LGBTQIA+ communities.</w:t>
      </w:r>
    </w:p>
    <w:p w14:paraId="4F4E5DFF" w14:textId="459CCD21" w:rsidR="00C00E95" w:rsidRPr="00EA3F4E" w:rsidRDefault="00C00E95" w:rsidP="008E2026">
      <w:pPr>
        <w:spacing w:after="200"/>
        <w:rPr>
          <w:rFonts w:ascii="Calibri" w:eastAsia="Calibri" w:hAnsi="Calibri" w:cs="Calibri"/>
        </w:rPr>
      </w:pPr>
      <w:r w:rsidRPr="391A23E5">
        <w:rPr>
          <w:rFonts w:ascii="Calibri" w:eastAsia="Calibri" w:hAnsi="Calibri" w:cs="Calibri"/>
        </w:rPr>
        <w:t xml:space="preserve">Atrius Health has instituted Social Needs Screening protocols across its primary care practice. One important benefit of the </w:t>
      </w:r>
      <w:r w:rsidR="00411DE3" w:rsidRPr="391A23E5">
        <w:rPr>
          <w:rFonts w:ascii="Calibri" w:eastAsia="Calibri" w:hAnsi="Calibri" w:cs="Calibri"/>
        </w:rPr>
        <w:t>p</w:t>
      </w:r>
      <w:r w:rsidR="00A2712A" w:rsidRPr="391A23E5">
        <w:rPr>
          <w:rFonts w:ascii="Calibri" w:eastAsia="Calibri" w:hAnsi="Calibri" w:cs="Calibri"/>
        </w:rPr>
        <w:t>roposed ASC</w:t>
      </w:r>
      <w:r w:rsidRPr="391A23E5">
        <w:rPr>
          <w:rFonts w:ascii="Calibri" w:eastAsia="Calibri" w:hAnsi="Calibri" w:cs="Calibri"/>
        </w:rPr>
        <w:t xml:space="preserve"> will be that the results of social needs screening – and all other medical history and information – will be immediately available to clinical staff via an integrated medical record. This means that </w:t>
      </w:r>
      <w:r w:rsidR="00816CEC" w:rsidRPr="391A23E5">
        <w:rPr>
          <w:rFonts w:ascii="Calibri" w:eastAsia="Calibri" w:hAnsi="Calibri" w:cs="Calibri"/>
        </w:rPr>
        <w:t xml:space="preserve">ASC </w:t>
      </w:r>
      <w:r w:rsidRPr="391A23E5">
        <w:rPr>
          <w:rFonts w:ascii="Calibri" w:eastAsia="Calibri" w:hAnsi="Calibri" w:cs="Calibri"/>
        </w:rPr>
        <w:t>patient</w:t>
      </w:r>
      <w:r w:rsidR="00816CEC" w:rsidRPr="391A23E5">
        <w:rPr>
          <w:rFonts w:ascii="Calibri" w:eastAsia="Calibri" w:hAnsi="Calibri" w:cs="Calibri"/>
        </w:rPr>
        <w:t>’s</w:t>
      </w:r>
      <w:r w:rsidRPr="391A23E5">
        <w:rPr>
          <w:rFonts w:ascii="Calibri" w:eastAsia="Calibri" w:hAnsi="Calibri" w:cs="Calibri"/>
        </w:rPr>
        <w:t xml:space="preserve"> social care needs can be seamlessly incorporated into</w:t>
      </w:r>
      <w:r w:rsidR="006D2E4F" w:rsidRPr="391A23E5">
        <w:rPr>
          <w:rFonts w:ascii="Calibri" w:eastAsia="Calibri" w:hAnsi="Calibri" w:cs="Calibri"/>
        </w:rPr>
        <w:t xml:space="preserve"> a</w:t>
      </w:r>
      <w:r w:rsidRPr="391A23E5">
        <w:rPr>
          <w:rFonts w:ascii="Calibri" w:eastAsia="Calibri" w:hAnsi="Calibri" w:cs="Calibri"/>
        </w:rPr>
        <w:t xml:space="preserve"> care plan development. </w:t>
      </w:r>
      <w:r w:rsidR="006949A1">
        <w:rPr>
          <w:rFonts w:ascii="Calibri" w:eastAsia="Calibri" w:hAnsi="Calibri" w:cs="Calibri"/>
        </w:rPr>
        <w:t>The Applicant states that t</w:t>
      </w:r>
      <w:r w:rsidRPr="391A23E5">
        <w:rPr>
          <w:rFonts w:ascii="Calibri" w:eastAsia="Calibri" w:hAnsi="Calibri" w:cs="Calibri"/>
        </w:rPr>
        <w:t xml:space="preserve">he </w:t>
      </w:r>
      <w:r w:rsidR="00816CEC" w:rsidRPr="391A23E5">
        <w:rPr>
          <w:rFonts w:ascii="Calibri" w:eastAsia="Calibri" w:hAnsi="Calibri" w:cs="Calibri"/>
        </w:rPr>
        <w:t xml:space="preserve">social work </w:t>
      </w:r>
      <w:r w:rsidRPr="391A23E5">
        <w:rPr>
          <w:rFonts w:ascii="Calibri" w:eastAsia="Calibri" w:hAnsi="Calibri" w:cs="Calibri"/>
        </w:rPr>
        <w:t xml:space="preserve">team </w:t>
      </w:r>
      <w:r w:rsidR="00AB54E9" w:rsidRPr="391A23E5">
        <w:rPr>
          <w:rFonts w:ascii="Calibri" w:eastAsia="Calibri" w:hAnsi="Calibri" w:cs="Calibri"/>
        </w:rPr>
        <w:t xml:space="preserve">also </w:t>
      </w:r>
      <w:r w:rsidRPr="391A23E5">
        <w:rPr>
          <w:rFonts w:ascii="Calibri" w:eastAsia="Calibri" w:hAnsi="Calibri" w:cs="Calibri"/>
        </w:rPr>
        <w:t>provides assistance arranging transportation for patients that need it</w:t>
      </w:r>
      <w:r w:rsidR="0070154C">
        <w:rPr>
          <w:rFonts w:ascii="Calibri" w:eastAsia="Calibri" w:hAnsi="Calibri" w:cs="Calibri"/>
        </w:rPr>
        <w:t xml:space="preserve"> and had the resources to accommodate an increase in demand for the services</w:t>
      </w:r>
      <w:r w:rsidRPr="391A23E5">
        <w:rPr>
          <w:rFonts w:ascii="Calibri" w:eastAsia="Calibri" w:hAnsi="Calibri" w:cs="Calibri"/>
        </w:rPr>
        <w:t xml:space="preserve">. </w:t>
      </w:r>
    </w:p>
    <w:p w14:paraId="7E7C1E2D" w14:textId="54BCA8AF" w:rsidR="007B1DAB" w:rsidRDefault="007B1DAB" w:rsidP="00B65ABE">
      <w:pPr>
        <w:rPr>
          <w:b/>
          <w:bCs/>
          <w:i/>
          <w:iCs/>
        </w:rPr>
      </w:pPr>
      <w:r w:rsidRPr="005071DF">
        <w:rPr>
          <w:b/>
          <w:bCs/>
          <w:i/>
          <w:iCs/>
        </w:rPr>
        <w:t>Analysis</w:t>
      </w:r>
    </w:p>
    <w:p w14:paraId="4DD81056" w14:textId="77777777" w:rsidR="00621161" w:rsidRPr="005071DF" w:rsidRDefault="00621161" w:rsidP="003F7CD2">
      <w:pPr>
        <w:pStyle w:val="RNNum"/>
        <w:numPr>
          <w:ilvl w:val="0"/>
          <w:numId w:val="0"/>
        </w:numPr>
        <w:spacing w:after="0"/>
        <w:rPr>
          <w:b/>
          <w:bCs/>
          <w:i/>
          <w:iCs/>
          <w:szCs w:val="24"/>
        </w:rPr>
      </w:pPr>
    </w:p>
    <w:p w14:paraId="31303881" w14:textId="489C6A93" w:rsidR="00BF0F71" w:rsidRPr="00C00E95" w:rsidRDefault="00BF0F71" w:rsidP="00C00E95">
      <w:pPr>
        <w:rPr>
          <w:rFonts w:ascii="Calibri" w:eastAsia="Calibri" w:hAnsi="Calibri" w:cs="Times New Roman"/>
          <w:kern w:val="2"/>
          <w14:ligatures w14:val="standardContextual"/>
        </w:rPr>
      </w:pPr>
      <w:r w:rsidRPr="00C00E95">
        <w:rPr>
          <w:rFonts w:ascii="Calibri" w:eastAsia="Calibri" w:hAnsi="Calibri" w:cs="Times New Roman"/>
          <w:kern w:val="2"/>
          <w14:ligatures w14:val="standardContextual"/>
        </w:rPr>
        <w:t xml:space="preserve">The Applicant provided </w:t>
      </w:r>
      <w:r w:rsidR="005B0FF0">
        <w:rPr>
          <w:rFonts w:ascii="Calibri" w:eastAsia="Calibri" w:hAnsi="Calibri" w:cs="Times New Roman"/>
          <w:kern w:val="2"/>
          <w14:ligatures w14:val="standardContextual"/>
        </w:rPr>
        <w:t xml:space="preserve">a description of its </w:t>
      </w:r>
      <w:r w:rsidR="0003337F">
        <w:rPr>
          <w:rFonts w:ascii="Calibri" w:eastAsia="Calibri" w:hAnsi="Calibri" w:cs="Times New Roman"/>
          <w:kern w:val="2"/>
          <w14:ligatures w14:val="standardContextual"/>
        </w:rPr>
        <w:t>initiatives to improve access and to</w:t>
      </w:r>
      <w:r w:rsidR="00AA2F70">
        <w:rPr>
          <w:rFonts w:ascii="Calibri" w:eastAsia="Calibri" w:hAnsi="Calibri" w:cs="Times New Roman"/>
          <w:kern w:val="2"/>
          <w14:ligatures w14:val="standardContextual"/>
        </w:rPr>
        <w:t xml:space="preserve"> provide screenings and assistance with SDOH issues that patients may have</w:t>
      </w:r>
      <w:r w:rsidR="00AC4318">
        <w:rPr>
          <w:rFonts w:ascii="Calibri" w:eastAsia="Calibri" w:hAnsi="Calibri" w:cs="Times New Roman"/>
          <w:kern w:val="2"/>
          <w14:ligatures w14:val="standardContextual"/>
        </w:rPr>
        <w:t xml:space="preserve">. Additionally, </w:t>
      </w:r>
      <w:r w:rsidR="007C1C21">
        <w:rPr>
          <w:rFonts w:ascii="Calibri" w:eastAsia="Calibri" w:hAnsi="Calibri" w:cs="Times New Roman"/>
          <w:kern w:val="2"/>
          <w14:ligatures w14:val="standardContextual"/>
        </w:rPr>
        <w:t>t</w:t>
      </w:r>
      <w:r w:rsidR="00AC4318">
        <w:rPr>
          <w:rFonts w:ascii="Calibri" w:eastAsia="Calibri" w:hAnsi="Calibri" w:cs="Times New Roman"/>
          <w:kern w:val="2"/>
          <w14:ligatures w14:val="standardContextual"/>
        </w:rPr>
        <w:t>he Applicant</w:t>
      </w:r>
      <w:r w:rsidR="00AA2F70">
        <w:rPr>
          <w:rFonts w:ascii="Calibri" w:eastAsia="Calibri" w:hAnsi="Calibri" w:cs="Times New Roman"/>
          <w:kern w:val="2"/>
          <w14:ligatures w14:val="standardContextual"/>
        </w:rPr>
        <w:t xml:space="preserve"> provided </w:t>
      </w:r>
      <w:r w:rsidRPr="00C00E95">
        <w:rPr>
          <w:rFonts w:ascii="Calibri" w:eastAsia="Calibri" w:hAnsi="Calibri" w:cs="Times New Roman"/>
          <w:kern w:val="2"/>
          <w14:ligatures w14:val="standardContextual"/>
        </w:rPr>
        <w:t xml:space="preserve">several measures to track in order to assess the impact of the Proposed Project which are found in Appendix 1. The Applicant will track and report the measures as part of their annual reporting. </w:t>
      </w:r>
    </w:p>
    <w:p w14:paraId="32EAA93E" w14:textId="77777777" w:rsidR="007B1DAB" w:rsidRPr="00C00E95" w:rsidRDefault="007B1DAB" w:rsidP="00C00E95"/>
    <w:p w14:paraId="3BB95CC3" w14:textId="7C015B80" w:rsidR="00822C58" w:rsidRPr="00C00E95" w:rsidRDefault="15451349" w:rsidP="00C00E95">
      <w:pPr>
        <w:rPr>
          <w:b/>
          <w:bCs/>
          <w:i/>
          <w:iCs/>
          <w:sz w:val="28"/>
          <w:szCs w:val="28"/>
        </w:rPr>
      </w:pPr>
      <w:r w:rsidRPr="00C00E95">
        <w:t xml:space="preserve">Staff has reviewed </w:t>
      </w:r>
      <w:r w:rsidR="59F842AF" w:rsidRPr="00C00E95">
        <w:t xml:space="preserve">and concurs </w:t>
      </w:r>
      <w:r w:rsidR="18ABFE9A" w:rsidRPr="00C00E95">
        <w:t xml:space="preserve">that </w:t>
      </w:r>
      <w:r w:rsidR="37DD63E5" w:rsidRPr="00C00E95">
        <w:t xml:space="preserve">the </w:t>
      </w:r>
      <w:r w:rsidR="46CD4640" w:rsidRPr="00C00E95">
        <w:t>P</w:t>
      </w:r>
      <w:r w:rsidR="3FDFC2CB" w:rsidRPr="00C00E95">
        <w:t xml:space="preserve">roposed </w:t>
      </w:r>
      <w:r w:rsidR="46CD4640" w:rsidRPr="00C00E95">
        <w:t xml:space="preserve">Project </w:t>
      </w:r>
      <w:r w:rsidR="1E2B5125" w:rsidRPr="00C00E95">
        <w:t xml:space="preserve">will </w:t>
      </w:r>
      <w:r w:rsidR="1159FB78" w:rsidRPr="00C00E95">
        <w:t xml:space="preserve">add </w:t>
      </w:r>
      <w:r w:rsidR="45BF6CE0" w:rsidRPr="00C00E95">
        <w:t xml:space="preserve">to </w:t>
      </w:r>
      <w:r w:rsidR="1159FB78" w:rsidRPr="00C00E95">
        <w:t xml:space="preserve">public health value in terms of improved </w:t>
      </w:r>
      <w:r w:rsidR="00A31DE2" w:rsidRPr="00C00E95">
        <w:t xml:space="preserve">access, </w:t>
      </w:r>
      <w:r w:rsidR="1159FB78" w:rsidRPr="00C00E95">
        <w:t xml:space="preserve">health outcomes and quality of </w:t>
      </w:r>
      <w:r w:rsidR="00621161" w:rsidRPr="00C00E95">
        <w:t>life</w:t>
      </w:r>
      <w:r w:rsidR="1159FB78" w:rsidRPr="00C00E95">
        <w:t xml:space="preserve"> </w:t>
      </w:r>
      <w:r w:rsidR="00C00E95" w:rsidRPr="00C00E95">
        <w:t xml:space="preserve">and </w:t>
      </w:r>
      <w:r w:rsidR="00AC4318">
        <w:t xml:space="preserve">improve </w:t>
      </w:r>
      <w:r w:rsidR="00C00E95" w:rsidRPr="00C00E95">
        <w:t xml:space="preserve">health equity </w:t>
      </w:r>
      <w:r w:rsidR="00DE313D" w:rsidRPr="00C00E95">
        <w:t xml:space="preserve">for </w:t>
      </w:r>
      <w:r w:rsidR="00653744" w:rsidRPr="00C00E95">
        <w:t>the</w:t>
      </w:r>
      <w:r w:rsidR="00A31DE2" w:rsidRPr="00C00E95">
        <w:t xml:space="preserve"> </w:t>
      </w:r>
      <w:r w:rsidR="1159FB78" w:rsidRPr="00C00E95">
        <w:t>Patient Panel.</w:t>
      </w:r>
      <w:r w:rsidR="29A2D2C1" w:rsidRPr="00C00E95">
        <w:t xml:space="preserve"> </w:t>
      </w:r>
    </w:p>
    <w:p w14:paraId="462CDF9A" w14:textId="77777777" w:rsidR="003E2749" w:rsidRPr="002B61BC" w:rsidRDefault="003E2749" w:rsidP="00B31381">
      <w:pPr>
        <w:pStyle w:val="Heading1"/>
        <w:spacing w:before="0" w:line="240" w:lineRule="auto"/>
        <w:rPr>
          <w:rFonts w:ascii="Garamond" w:hAnsi="Garamond"/>
          <w:color w:val="0070C0"/>
          <w:sz w:val="24"/>
          <w:szCs w:val="24"/>
        </w:rPr>
      </w:pPr>
      <w:bookmarkStart w:id="49" w:name="_Toc18922409"/>
      <w:bookmarkStart w:id="50" w:name="_Toc17151150"/>
      <w:bookmarkStart w:id="51" w:name="_Toc17322394"/>
      <w:bookmarkEnd w:id="45"/>
      <w:bookmarkEnd w:id="46"/>
    </w:p>
    <w:p w14:paraId="4E8BED05" w14:textId="6E5CC1A1" w:rsidR="00BB7B4F" w:rsidRDefault="00BB7B4F" w:rsidP="007C36FF">
      <w:pPr>
        <w:pStyle w:val="Heading1"/>
        <w:spacing w:before="0" w:line="240" w:lineRule="auto"/>
        <w:rPr>
          <w:rFonts w:asciiTheme="minorHAnsi" w:hAnsiTheme="minorHAnsi" w:cstheme="minorHAnsi"/>
        </w:rPr>
      </w:pPr>
      <w:bookmarkStart w:id="52" w:name="_Toc157428829"/>
      <w:bookmarkStart w:id="53" w:name="_Toc181356978"/>
      <w:r w:rsidRPr="00B13F08">
        <w:rPr>
          <w:rFonts w:asciiTheme="minorHAnsi" w:hAnsiTheme="minorHAnsi" w:cstheme="minorHAnsi"/>
        </w:rPr>
        <w:t xml:space="preserve">Factor 1: c) Efficiency, Continuity </w:t>
      </w:r>
      <w:r w:rsidR="001B5708">
        <w:rPr>
          <w:rFonts w:asciiTheme="minorHAnsi" w:hAnsiTheme="minorHAnsi" w:cstheme="minorHAnsi"/>
        </w:rPr>
        <w:t xml:space="preserve">and </w:t>
      </w:r>
      <w:r w:rsidRPr="00B13F08">
        <w:rPr>
          <w:rFonts w:asciiTheme="minorHAnsi" w:hAnsiTheme="minorHAnsi" w:cstheme="minorHAnsi"/>
        </w:rPr>
        <w:t>Coordination of Care</w:t>
      </w:r>
      <w:bookmarkStart w:id="54" w:name="_Toc17322393"/>
      <w:bookmarkStart w:id="55" w:name="_Toc17748465"/>
      <w:bookmarkEnd w:id="49"/>
      <w:bookmarkEnd w:id="52"/>
      <w:bookmarkEnd w:id="53"/>
    </w:p>
    <w:bookmarkEnd w:id="50"/>
    <w:bookmarkEnd w:id="51"/>
    <w:bookmarkEnd w:id="54"/>
    <w:bookmarkEnd w:id="55"/>
    <w:p w14:paraId="314988F0" w14:textId="77777777" w:rsidR="00653744" w:rsidRDefault="00653744" w:rsidP="00653744">
      <w:pPr>
        <w:rPr>
          <w:rFonts w:ascii="Calibri" w:eastAsia="Calibri" w:hAnsi="Calibri" w:cs="Calibri"/>
        </w:rPr>
      </w:pPr>
    </w:p>
    <w:p w14:paraId="0A6CD074" w14:textId="43BA06BA" w:rsidR="00576ACD" w:rsidRDefault="2938440E" w:rsidP="00617CF2">
      <w:pPr>
        <w:spacing w:after="200"/>
      </w:pPr>
      <w:r>
        <w:t xml:space="preserve">In </w:t>
      </w:r>
      <w:r w:rsidRPr="00C25E7C">
        <w:t>addition to better quality outcomes, ASCs offer greater clinical and operational efficiencies compared to HOPDs</w:t>
      </w:r>
      <w:r w:rsidR="00B63D79" w:rsidRPr="00C25E7C">
        <w:rPr>
          <w:vertAlign w:val="superscript"/>
        </w:rPr>
        <w:footnoteReference w:id="29"/>
      </w:r>
      <w:r w:rsidRPr="00C25E7C">
        <w:t xml:space="preserve">  </w:t>
      </w:r>
      <w:r w:rsidR="3E69C0AD">
        <w:t>since they</w:t>
      </w:r>
      <w:r w:rsidRPr="00C25E7C">
        <w:t xml:space="preserve"> focus on performing a subset of surgical procedures in a limited number of medical specialties, and they </w:t>
      </w:r>
      <w:r w:rsidR="3E69C0AD">
        <w:t>p</w:t>
      </w:r>
      <w:r w:rsidRPr="00C25E7C">
        <w:t xml:space="preserve">rovide care for specific categories of lower-acuity surgical cases. </w:t>
      </w:r>
      <w:proofErr w:type="gramStart"/>
      <w:r>
        <w:t xml:space="preserve">This </w:t>
      </w:r>
      <w:r w:rsidRPr="00C25E7C">
        <w:t xml:space="preserve">limited scope of </w:t>
      </w:r>
      <w:r w:rsidR="1F3409D9" w:rsidRPr="00C25E7C">
        <w:t>care,</w:t>
      </w:r>
      <w:proofErr w:type="gramEnd"/>
      <w:r w:rsidR="1F3409D9" w:rsidRPr="00C25E7C">
        <w:t xml:space="preserve"> allows</w:t>
      </w:r>
      <w:r w:rsidRPr="00C25E7C">
        <w:t xml:space="preserve"> staff to organize</w:t>
      </w:r>
      <w:r w:rsidR="663BF3AD">
        <w:t xml:space="preserve"> </w:t>
      </w:r>
      <w:r w:rsidRPr="00C25E7C">
        <w:t>services</w:t>
      </w:r>
      <w:r w:rsidR="663BF3AD">
        <w:t xml:space="preserve"> </w:t>
      </w:r>
      <w:r w:rsidR="592AD489">
        <w:t>and</w:t>
      </w:r>
      <w:r w:rsidRPr="00C25E7C">
        <w:t xml:space="preserve"> specializ</w:t>
      </w:r>
      <w:r>
        <w:t>e</w:t>
      </w:r>
      <w:r w:rsidRPr="00C25E7C">
        <w:t xml:space="preserve"> </w:t>
      </w:r>
      <w:r w:rsidR="1F3409D9">
        <w:t>in</w:t>
      </w:r>
      <w:r>
        <w:t xml:space="preserve"> those </w:t>
      </w:r>
      <w:r w:rsidRPr="00C25E7C">
        <w:t>pr</w:t>
      </w:r>
      <w:r>
        <w:t>o</w:t>
      </w:r>
      <w:r w:rsidRPr="00C25E7C">
        <w:t>ce</w:t>
      </w:r>
      <w:r>
        <w:t>dures</w:t>
      </w:r>
      <w:r w:rsidR="592AD489">
        <w:t xml:space="preserve"> </w:t>
      </w:r>
      <w:r w:rsidR="1F3409D9">
        <w:t>resulting in</w:t>
      </w:r>
      <w:r w:rsidRPr="00C25E7C">
        <w:t xml:space="preserve"> </w:t>
      </w:r>
      <w:r w:rsidR="592AD489">
        <w:t xml:space="preserve">shorter </w:t>
      </w:r>
      <w:r w:rsidR="342782D0">
        <w:t xml:space="preserve">procedure times, greater </w:t>
      </w:r>
      <w:proofErr w:type="gramStart"/>
      <w:r w:rsidRPr="00C25E7C">
        <w:t>efficienc</w:t>
      </w:r>
      <w:r w:rsidR="342782D0">
        <w:t>ies</w:t>
      </w:r>
      <w:proofErr w:type="gramEnd"/>
      <w:r w:rsidRPr="00C25E7C">
        <w:t xml:space="preserve"> and lower costs</w:t>
      </w:r>
      <w:r w:rsidR="342782D0">
        <w:t xml:space="preserve"> than HOPD settings</w:t>
      </w:r>
      <w:r w:rsidRPr="00C25E7C">
        <w:t>.</w:t>
      </w:r>
      <w:r w:rsidR="00B50E4B" w:rsidRPr="00C25E7C">
        <w:rPr>
          <w:vertAlign w:val="superscript"/>
        </w:rPr>
        <w:endnoteReference w:id="10"/>
      </w:r>
      <w:r w:rsidR="6B314CF7" w:rsidRPr="00C25E7C">
        <w:t xml:space="preserve"> </w:t>
      </w:r>
      <w:r w:rsidRPr="00C25E7C">
        <w:t xml:space="preserve"> </w:t>
      </w:r>
      <w:r>
        <w:t xml:space="preserve">There is </w:t>
      </w:r>
      <w:r w:rsidR="58018E6F">
        <w:t xml:space="preserve">also </w:t>
      </w:r>
      <w:r w:rsidRPr="00C25E7C">
        <w:t xml:space="preserve">improved scheduling and shorter wait times as compared to </w:t>
      </w:r>
      <w:r w:rsidR="00617CF2">
        <w:lastRenderedPageBreak/>
        <w:t xml:space="preserve">hospitals which experience delays in scheduled procedures when emergency surgeries occur. </w:t>
      </w:r>
      <w:r w:rsidR="00617CF2" w:rsidRPr="00641105">
        <w:rPr>
          <w:vertAlign w:val="superscript"/>
        </w:rPr>
        <w:endnoteReference w:id="11"/>
      </w:r>
      <w:r w:rsidR="00617CF2" w:rsidRPr="00641105">
        <w:rPr>
          <w:vertAlign w:val="superscript"/>
        </w:rPr>
        <w:t>,</w:t>
      </w:r>
      <w:r w:rsidR="00617CF2" w:rsidRPr="00641105">
        <w:rPr>
          <w:vertAlign w:val="superscript"/>
        </w:rPr>
        <w:endnoteReference w:id="12"/>
      </w:r>
      <w:r w:rsidR="00617CF2" w:rsidRPr="00641105">
        <w:rPr>
          <w:vertAlign w:val="superscript"/>
        </w:rPr>
        <w:t>,</w:t>
      </w:r>
      <w:r w:rsidR="00617CF2" w:rsidRPr="00641105">
        <w:rPr>
          <w:vertAlign w:val="superscript"/>
        </w:rPr>
        <w:endnoteReference w:id="13"/>
      </w:r>
      <w:r w:rsidR="00617CF2" w:rsidRPr="00641105">
        <w:rPr>
          <w:vertAlign w:val="superscript"/>
        </w:rPr>
        <w:t xml:space="preserve">, </w:t>
      </w:r>
      <w:r w:rsidR="00617CF2" w:rsidRPr="00641105">
        <w:rPr>
          <w:vertAlign w:val="superscript"/>
        </w:rPr>
        <w:footnoteReference w:id="30"/>
      </w:r>
    </w:p>
    <w:p w14:paraId="49A8C62F" w14:textId="191A6D22" w:rsidR="00E64DCD" w:rsidRPr="00E64DCD" w:rsidRDefault="47A088FC" w:rsidP="00E64DCD">
      <w:pPr>
        <w:spacing w:after="200"/>
        <w:rPr>
          <w:rFonts w:ascii="Calibri" w:eastAsia="Calibri" w:hAnsi="Calibri" w:cs="Calibri"/>
        </w:rPr>
      </w:pPr>
      <w:r w:rsidRPr="00B019A8">
        <w:rPr>
          <w:rFonts w:ascii="Calibri" w:eastAsia="Calibri" w:hAnsi="Calibri" w:cs="Calibri"/>
        </w:rPr>
        <w:t xml:space="preserve">To achieve operational efficiencies at the </w:t>
      </w:r>
      <w:r w:rsidR="3E69C0AD">
        <w:rPr>
          <w:rFonts w:ascii="Calibri" w:eastAsia="Calibri" w:hAnsi="Calibri" w:cs="Calibri"/>
        </w:rPr>
        <w:t xml:space="preserve">Atrius </w:t>
      </w:r>
      <w:r w:rsidRPr="00B019A8">
        <w:rPr>
          <w:rFonts w:ascii="Calibri" w:eastAsia="Calibri" w:hAnsi="Calibri" w:cs="Calibri"/>
        </w:rPr>
        <w:t xml:space="preserve">ASC, AHASC will have a management agreement with an experienced national manager of ASC’s, Surgical Care Associates, Inc. (“SCA”). </w:t>
      </w:r>
      <w:r w:rsidR="3E69C0AD">
        <w:rPr>
          <w:rFonts w:ascii="Calibri" w:eastAsia="Calibri" w:hAnsi="Calibri" w:cs="Calibri"/>
        </w:rPr>
        <w:t>(</w:t>
      </w:r>
      <w:r w:rsidRPr="00B019A8">
        <w:rPr>
          <w:rFonts w:ascii="Calibri" w:eastAsia="Calibri" w:hAnsi="Calibri" w:cs="Calibri"/>
        </w:rPr>
        <w:t>SCA will not have any ownership shares in the ASC.</w:t>
      </w:r>
      <w:r w:rsidR="00E64DCD" w:rsidRPr="00E64DCD">
        <w:rPr>
          <w:rFonts w:ascii="Calibri" w:eastAsia="Calibri" w:hAnsi="Calibri" w:cs="Calibri"/>
          <w:vertAlign w:val="superscript"/>
        </w:rPr>
        <w:footnoteReference w:id="31"/>
      </w:r>
      <w:r w:rsidR="3E69C0AD">
        <w:rPr>
          <w:rFonts w:ascii="Calibri" w:eastAsia="Calibri" w:hAnsi="Calibri" w:cs="Calibri"/>
        </w:rPr>
        <w:t>)</w:t>
      </w:r>
      <w:r w:rsidR="2B23CABB" w:rsidRPr="391A23E5">
        <w:rPr>
          <w:rFonts w:ascii="Calibri" w:eastAsia="Calibri" w:hAnsi="Calibri" w:cs="Calibri"/>
        </w:rPr>
        <w:t xml:space="preserve"> SCA</w:t>
      </w:r>
      <w:r w:rsidR="2B23CABB" w:rsidRPr="00E64DCD">
        <w:rPr>
          <w:rFonts w:ascii="Calibri" w:eastAsia="Calibri" w:hAnsi="Calibri" w:cs="Calibri"/>
        </w:rPr>
        <w:t xml:space="preserve"> will </w:t>
      </w:r>
      <w:r w:rsidR="4D962F00">
        <w:rPr>
          <w:rFonts w:ascii="Calibri" w:eastAsia="Calibri" w:hAnsi="Calibri" w:cs="Calibri"/>
        </w:rPr>
        <w:t xml:space="preserve">apply its experience to ensure </w:t>
      </w:r>
      <w:r w:rsidR="2B23CABB" w:rsidRPr="00E64DCD">
        <w:rPr>
          <w:rFonts w:ascii="Calibri" w:eastAsia="Calibri" w:hAnsi="Calibri" w:cs="Calibri"/>
        </w:rPr>
        <w:t xml:space="preserve">the ASC has cost effective and efficient supply chain processes and </w:t>
      </w:r>
      <w:r w:rsidR="4666607E">
        <w:rPr>
          <w:rFonts w:ascii="Calibri" w:eastAsia="Calibri" w:hAnsi="Calibri" w:cs="Calibri"/>
        </w:rPr>
        <w:t xml:space="preserve">achieves </w:t>
      </w:r>
      <w:r w:rsidR="2B23CABB" w:rsidRPr="00E64DCD">
        <w:rPr>
          <w:rFonts w:ascii="Calibri" w:eastAsia="Calibri" w:hAnsi="Calibri" w:cs="Calibri"/>
        </w:rPr>
        <w:t xml:space="preserve">economies of scale. There will be quality clinical support with a wide range of reporting, quality assurance, risk management, and benchmarking tools. The </w:t>
      </w:r>
      <w:r w:rsidR="23FAAA2F">
        <w:rPr>
          <w:rFonts w:ascii="Calibri" w:eastAsia="Calibri" w:hAnsi="Calibri" w:cs="Calibri"/>
        </w:rPr>
        <w:t>ASC</w:t>
      </w:r>
      <w:r w:rsidR="2B23CABB" w:rsidRPr="00E64DCD">
        <w:rPr>
          <w:rFonts w:ascii="Calibri" w:eastAsia="Calibri" w:hAnsi="Calibri" w:cs="Calibri"/>
        </w:rPr>
        <w:t xml:space="preserve"> will be a purpose-built facility </w:t>
      </w:r>
      <w:r w:rsidR="7FE0AC18">
        <w:rPr>
          <w:rFonts w:ascii="Calibri" w:eastAsia="Calibri" w:hAnsi="Calibri" w:cs="Calibri"/>
        </w:rPr>
        <w:t>that is designed</w:t>
      </w:r>
      <w:r w:rsidR="2B23CABB" w:rsidRPr="00E64DCD">
        <w:rPr>
          <w:rFonts w:ascii="Calibri" w:eastAsia="Calibri" w:hAnsi="Calibri" w:cs="Calibri"/>
        </w:rPr>
        <w:t xml:space="preserve"> for </w:t>
      </w:r>
      <w:r w:rsidR="366B966B">
        <w:rPr>
          <w:rFonts w:ascii="Calibri" w:eastAsia="Calibri" w:hAnsi="Calibri" w:cs="Calibri"/>
        </w:rPr>
        <w:t xml:space="preserve">building </w:t>
      </w:r>
      <w:r w:rsidR="4C9E19FC">
        <w:rPr>
          <w:rFonts w:ascii="Calibri" w:eastAsia="Calibri" w:hAnsi="Calibri" w:cs="Calibri"/>
        </w:rPr>
        <w:t xml:space="preserve">efficiencies such as </w:t>
      </w:r>
      <w:r w:rsidR="2B23CABB" w:rsidRPr="00E64DCD">
        <w:rPr>
          <w:rFonts w:ascii="Calibri" w:eastAsia="Calibri" w:hAnsi="Calibri" w:cs="Calibri"/>
        </w:rPr>
        <w:t>efficient staff and patient flow</w:t>
      </w:r>
      <w:r w:rsidR="4C9E19FC">
        <w:rPr>
          <w:rFonts w:ascii="Calibri" w:eastAsia="Calibri" w:hAnsi="Calibri" w:cs="Calibri"/>
        </w:rPr>
        <w:t xml:space="preserve">, </w:t>
      </w:r>
      <w:r w:rsidR="2B23CABB" w:rsidRPr="00E64DCD">
        <w:rPr>
          <w:rFonts w:ascii="Calibri" w:eastAsia="Calibri" w:hAnsi="Calibri" w:cs="Calibri"/>
        </w:rPr>
        <w:t xml:space="preserve">and that is compliant with best practice for infection control. </w:t>
      </w:r>
    </w:p>
    <w:p w14:paraId="6AC7D875" w14:textId="21BA9FED" w:rsidR="00E64DCD" w:rsidRPr="00E64DCD" w:rsidRDefault="00E64DCD" w:rsidP="00E64DCD">
      <w:pPr>
        <w:spacing w:after="200"/>
        <w:rPr>
          <w:rFonts w:ascii="Calibri" w:eastAsia="Calibri" w:hAnsi="Calibri" w:cs="Calibri"/>
        </w:rPr>
      </w:pPr>
      <w:r w:rsidRPr="391A23E5">
        <w:rPr>
          <w:rFonts w:ascii="Calibri" w:eastAsia="Calibri" w:hAnsi="Calibri" w:cs="Calibri"/>
        </w:rPr>
        <w:t xml:space="preserve">The Applicant states that care at the ASC will be </w:t>
      </w:r>
      <w:r w:rsidR="000E5126" w:rsidRPr="391A23E5">
        <w:rPr>
          <w:rFonts w:ascii="Calibri" w:eastAsia="Calibri" w:hAnsi="Calibri" w:cs="Calibri"/>
        </w:rPr>
        <w:t xml:space="preserve">coordinated </w:t>
      </w:r>
      <w:r w:rsidRPr="391A23E5">
        <w:rPr>
          <w:rFonts w:ascii="Calibri" w:eastAsia="Calibri" w:hAnsi="Calibri" w:cs="Calibri"/>
        </w:rPr>
        <w:t xml:space="preserve">with primary and specialty care through </w:t>
      </w:r>
      <w:r w:rsidR="000E5126" w:rsidRPr="391A23E5">
        <w:rPr>
          <w:rFonts w:ascii="Calibri" w:eastAsia="Calibri" w:hAnsi="Calibri" w:cs="Calibri"/>
        </w:rPr>
        <w:t xml:space="preserve">an integrated </w:t>
      </w:r>
      <w:r w:rsidRPr="391A23E5">
        <w:rPr>
          <w:rFonts w:ascii="Calibri" w:eastAsia="Calibri" w:hAnsi="Calibri" w:cs="Calibri"/>
        </w:rPr>
        <w:t>EMR</w:t>
      </w:r>
      <w:r w:rsidR="00BF4F96" w:rsidRPr="391A23E5">
        <w:rPr>
          <w:rFonts w:ascii="Calibri" w:eastAsia="Calibri" w:hAnsi="Calibri" w:cs="Calibri"/>
        </w:rPr>
        <w:t xml:space="preserve">, </w:t>
      </w:r>
      <w:r w:rsidRPr="391A23E5">
        <w:rPr>
          <w:rFonts w:ascii="Calibri" w:eastAsia="Calibri" w:hAnsi="Calibri" w:cs="Calibri"/>
        </w:rPr>
        <w:t>to facilitate a more effective and efficient patient experience, from referral through discharge</w:t>
      </w:r>
      <w:r w:rsidR="000E5126" w:rsidRPr="391A23E5">
        <w:rPr>
          <w:rFonts w:ascii="Calibri" w:eastAsia="Calibri" w:hAnsi="Calibri" w:cs="Calibri"/>
        </w:rPr>
        <w:t>.</w:t>
      </w:r>
      <w:r w:rsidRPr="391A23E5">
        <w:rPr>
          <w:rFonts w:ascii="Calibri" w:eastAsia="Calibri" w:hAnsi="Calibri" w:cs="Calibri"/>
        </w:rPr>
        <w:t xml:space="preserve"> The integrated EMR will facilitate the delivery of efficient and effective care by facilitating communication among the entire care team with note sharing, timely access to the patients’ medical record, tests ordered and results, thereby facilitating diagnosis and treatment. The Applicant’s surgeons </w:t>
      </w:r>
      <w:r w:rsidR="000E5126" w:rsidRPr="391A23E5">
        <w:rPr>
          <w:rFonts w:ascii="Calibri" w:eastAsia="Calibri" w:hAnsi="Calibri" w:cs="Calibri"/>
        </w:rPr>
        <w:t xml:space="preserve">will easily </w:t>
      </w:r>
      <w:r w:rsidRPr="391A23E5">
        <w:rPr>
          <w:rFonts w:ascii="Calibri" w:eastAsia="Calibri" w:hAnsi="Calibri" w:cs="Calibri"/>
        </w:rPr>
        <w:t>share operative notes and post-operative discharge instructions with the Applicant’s primary care physicians so both physicians may track</w:t>
      </w:r>
      <w:r w:rsidR="006D2E4F" w:rsidRPr="391A23E5">
        <w:rPr>
          <w:rFonts w:ascii="Calibri" w:eastAsia="Calibri" w:hAnsi="Calibri" w:cs="Calibri"/>
        </w:rPr>
        <w:t xml:space="preserve"> the</w:t>
      </w:r>
      <w:r w:rsidRPr="391A23E5">
        <w:rPr>
          <w:rFonts w:ascii="Calibri" w:eastAsia="Calibri" w:hAnsi="Calibri" w:cs="Calibri"/>
        </w:rPr>
        <w:t xml:space="preserve"> patient post-discharge. This will improve efficiency and continuity of care by easing coordination of visits to multiple providers. Also, the ASC will fit into the Applicant’s “broader clinical eco-system”, which includes strong existing clinical integration with several local hospitals and home health services. </w:t>
      </w:r>
    </w:p>
    <w:p w14:paraId="0FC7E31D" w14:textId="3A69EA9C" w:rsidR="00E64DCD" w:rsidRPr="00E64DCD" w:rsidRDefault="00E64DCD" w:rsidP="00E64DCD">
      <w:pPr>
        <w:spacing w:after="200"/>
        <w:rPr>
          <w:rFonts w:ascii="Calibri" w:eastAsia="Calibri" w:hAnsi="Calibri" w:cs="Calibri"/>
        </w:rPr>
      </w:pPr>
      <w:r w:rsidRPr="00E64DCD">
        <w:rPr>
          <w:rFonts w:ascii="Calibri" w:eastAsia="Calibri" w:hAnsi="Calibri" w:cs="Calibri"/>
        </w:rPr>
        <w:t xml:space="preserve">As a result of </w:t>
      </w:r>
      <w:r w:rsidR="0032589E">
        <w:rPr>
          <w:rFonts w:ascii="Calibri" w:eastAsia="Calibri" w:hAnsi="Calibri" w:cs="Calibri"/>
        </w:rPr>
        <w:t xml:space="preserve">consolidating surgical </w:t>
      </w:r>
      <w:r w:rsidRPr="00E64DCD">
        <w:rPr>
          <w:rFonts w:ascii="Calibri" w:eastAsia="Calibri" w:hAnsi="Calibri" w:cs="Calibri"/>
        </w:rPr>
        <w:t>cases in</w:t>
      </w:r>
      <w:r w:rsidR="00F267E6">
        <w:rPr>
          <w:rFonts w:ascii="Calibri" w:eastAsia="Calibri" w:hAnsi="Calibri" w:cs="Calibri"/>
        </w:rPr>
        <w:t>to</w:t>
      </w:r>
      <w:r w:rsidRPr="00E64DCD">
        <w:rPr>
          <w:rFonts w:ascii="Calibri" w:eastAsia="Calibri" w:hAnsi="Calibri" w:cs="Calibri"/>
        </w:rPr>
        <w:t xml:space="preserve"> a single facility, Atrius Health will gain cost savings (described further in Factor 1(f)) through operational efficiencies, and patients will benefit from enhanced care coordination and practice efficiency.</w:t>
      </w:r>
    </w:p>
    <w:p w14:paraId="3E46B0E2" w14:textId="4F6633D2" w:rsidR="00621161" w:rsidRDefault="00653744" w:rsidP="00653744">
      <w:pPr>
        <w:rPr>
          <w:b/>
          <w:bCs/>
          <w:i/>
          <w:iCs/>
        </w:rPr>
      </w:pPr>
      <w:r w:rsidRPr="00653744">
        <w:rPr>
          <w:b/>
          <w:bCs/>
          <w:i/>
          <w:iCs/>
        </w:rPr>
        <w:t>Analysis</w:t>
      </w:r>
    </w:p>
    <w:p w14:paraId="53C70F40" w14:textId="77777777" w:rsidR="00653744" w:rsidRDefault="00653744" w:rsidP="00653744">
      <w:pPr>
        <w:rPr>
          <w:b/>
          <w:bCs/>
          <w:i/>
          <w:iCs/>
        </w:rPr>
      </w:pPr>
    </w:p>
    <w:p w14:paraId="37943E6C" w14:textId="1727C172" w:rsidR="00653744" w:rsidRPr="00686A38" w:rsidRDefault="00653744" w:rsidP="00653744">
      <w:pPr>
        <w:rPr>
          <w:rFonts w:ascii="Calibri" w:hAnsi="Calibri" w:cs="Calibri"/>
        </w:rPr>
      </w:pPr>
      <w:r w:rsidRPr="009F349A">
        <w:rPr>
          <w:rFonts w:ascii="Calibri" w:hAnsi="Calibri" w:cs="Calibri"/>
        </w:rPr>
        <w:t>Studies show that integrated health information technology systems directly affect health outcomes, as access to a single, integrated health record improves care coordination, can reduce errors, improve patient safety, and support better patient outcomes.</w:t>
      </w:r>
      <w:r w:rsidRPr="009F349A">
        <w:rPr>
          <w:rFonts w:ascii="Calibri" w:hAnsi="Calibri" w:cs="Calibri"/>
          <w:vertAlign w:val="superscript"/>
        </w:rPr>
        <w:t>gg</w:t>
      </w:r>
      <w:r w:rsidRPr="009F349A">
        <w:rPr>
          <w:rFonts w:ascii="Calibri" w:hAnsi="Calibri" w:cs="Calibri"/>
        </w:rPr>
        <w:t xml:space="preserve"> Successful care coordination includes strong communication and effective care plan transitions among   providers and the provision of clear and simple information that patients can understand.</w:t>
      </w:r>
      <w:r w:rsidRPr="009F349A">
        <w:rPr>
          <w:rFonts w:ascii="Calibri" w:hAnsi="Calibri" w:cs="Calibri"/>
          <w:vertAlign w:val="superscript"/>
        </w:rPr>
        <w:t>ee</w:t>
      </w:r>
      <w:r w:rsidRPr="009F349A">
        <w:rPr>
          <w:rFonts w:ascii="Calibri" w:hAnsi="Calibri" w:cs="Calibri"/>
        </w:rPr>
        <w:t xml:space="preserve"> Effective care coordination can improve patient experience, increase patient safety and reduce </w:t>
      </w:r>
      <w:r w:rsidRPr="009F349A">
        <w:rPr>
          <w:rFonts w:ascii="Calibri" w:hAnsi="Calibri" w:cs="Calibri"/>
        </w:rPr>
        <w:lastRenderedPageBreak/>
        <w:t>medical errors.</w:t>
      </w:r>
      <w:r w:rsidRPr="009F349A">
        <w:rPr>
          <w:rFonts w:ascii="Calibri" w:hAnsi="Calibri" w:cs="Calibri"/>
          <w:vertAlign w:val="superscript"/>
        </w:rPr>
        <w:t>ff</w:t>
      </w:r>
      <w:r w:rsidRPr="009F349A">
        <w:rPr>
          <w:rFonts w:ascii="Calibri" w:hAnsi="Calibri" w:cs="Calibri"/>
        </w:rPr>
        <w:t xml:space="preserve"> Uniform, integrated IT systems that include scheduling, EHR and patient communication tools, are timesavers which improve efficiencies. Accordingly, staff find that the Proposed Project will create efficiencies through the support of continuity and coordination of care initiatives for the Patient Panel.</w:t>
      </w:r>
    </w:p>
    <w:p w14:paraId="776A721D" w14:textId="77777777" w:rsidR="00E64DCD" w:rsidRPr="002B61BC" w:rsidRDefault="00E64DCD" w:rsidP="00621161">
      <w:pPr>
        <w:pStyle w:val="ListParagraph"/>
        <w:spacing w:after="0" w:line="240" w:lineRule="auto"/>
        <w:ind w:left="360"/>
        <w:rPr>
          <w:color w:val="0070C0"/>
        </w:rPr>
      </w:pPr>
    </w:p>
    <w:p w14:paraId="0521E143" w14:textId="169B5054" w:rsidR="00E40FAA" w:rsidRDefault="00371842" w:rsidP="007C36FF">
      <w:pPr>
        <w:pStyle w:val="Heading1"/>
        <w:spacing w:before="0" w:line="240" w:lineRule="auto"/>
        <w:rPr>
          <w:rFonts w:asciiTheme="minorHAnsi" w:hAnsiTheme="minorHAnsi" w:cstheme="minorHAnsi"/>
        </w:rPr>
      </w:pPr>
      <w:bookmarkStart w:id="56" w:name="_Toc18922415"/>
      <w:bookmarkStart w:id="57" w:name="_Toc157428830"/>
      <w:bookmarkStart w:id="58" w:name="_Toc181356979"/>
      <w:r w:rsidRPr="008E54FA">
        <w:rPr>
          <w:rFonts w:asciiTheme="minorHAnsi" w:hAnsiTheme="minorHAnsi" w:cstheme="minorHAnsi"/>
        </w:rPr>
        <w:t>Factor 1: d) Consultatio</w:t>
      </w:r>
      <w:bookmarkEnd w:id="56"/>
      <w:r w:rsidR="00114B38" w:rsidRPr="008E54FA">
        <w:rPr>
          <w:rFonts w:asciiTheme="minorHAnsi" w:hAnsiTheme="minorHAnsi" w:cstheme="minorHAnsi"/>
        </w:rPr>
        <w:t>n</w:t>
      </w:r>
      <w:bookmarkEnd w:id="57"/>
      <w:bookmarkEnd w:id="58"/>
    </w:p>
    <w:p w14:paraId="42B5BE4E" w14:textId="77777777" w:rsidR="007B1DAB" w:rsidRPr="007B1DAB" w:rsidRDefault="007B1DAB" w:rsidP="007C36FF"/>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9" w:name="_Toc157428831"/>
      <w:bookmarkStart w:id="60" w:name="_Toc18922416"/>
    </w:p>
    <w:p w14:paraId="4CEFFA80" w14:textId="77777777" w:rsidR="004137EA" w:rsidRDefault="004137EA" w:rsidP="00FF52C0"/>
    <w:p w14:paraId="2D337550" w14:textId="517611B3" w:rsidR="0074546D" w:rsidRDefault="004137EA" w:rsidP="004137EA">
      <w:pPr>
        <w:pStyle w:val="Heading1"/>
        <w:spacing w:before="0" w:line="240" w:lineRule="auto"/>
        <w:rPr>
          <w:rFonts w:asciiTheme="minorHAnsi" w:hAnsiTheme="minorHAnsi" w:cstheme="minorHAnsi"/>
        </w:rPr>
      </w:pPr>
      <w:bookmarkStart w:id="61" w:name="_Toc181356980"/>
      <w:r w:rsidRPr="008E54FA">
        <w:rPr>
          <w:rFonts w:asciiTheme="minorHAnsi" w:hAnsiTheme="minorHAnsi" w:cstheme="minorHAnsi"/>
        </w:rPr>
        <w:t xml:space="preserve">Factor </w:t>
      </w:r>
      <w:r w:rsidR="00076B1A" w:rsidRPr="004137EA">
        <w:rPr>
          <w:rStyle w:val="Heading1Char"/>
          <w:rFonts w:asciiTheme="minorHAnsi" w:hAnsiTheme="minorHAnsi" w:cstheme="minorHAnsi"/>
          <w:b/>
          <w:bCs/>
        </w:rPr>
        <w:t>1: e) Evidence of Sound Community Engagement through the Patient Panel</w:t>
      </w:r>
      <w:bookmarkEnd w:id="59"/>
      <w:bookmarkEnd w:id="61"/>
    </w:p>
    <w:p w14:paraId="30ACB395" w14:textId="77777777" w:rsidR="008E7DC1" w:rsidRDefault="008E7DC1" w:rsidP="008E7DC1"/>
    <w:p w14:paraId="1FE28D10" w14:textId="77777777" w:rsidR="008E7DC1" w:rsidRDefault="008E7DC1" w:rsidP="008E7DC1">
      <w:r w:rsidRPr="008E7DC1">
        <w:t>The Department’s Guideline</w:t>
      </w:r>
      <w:r w:rsidRPr="008E7DC1">
        <w:rPr>
          <w:vertAlign w:val="superscript"/>
        </w:rPr>
        <w:endnoteReference w:id="14"/>
      </w:r>
      <w:r w:rsidRPr="008E7DC1">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8E7DC1">
        <w:rPr>
          <w:vertAlign w:val="superscript"/>
        </w:rPr>
        <w:endnoteReference w:id="15"/>
      </w:r>
      <w:r w:rsidRPr="008E7DC1">
        <w:t xml:space="preserve"> </w:t>
      </w:r>
    </w:p>
    <w:p w14:paraId="7464EAB2" w14:textId="77777777" w:rsidR="00891DA7" w:rsidRDefault="00891DA7" w:rsidP="008E7DC1"/>
    <w:p w14:paraId="73EE15B6" w14:textId="113A6C48" w:rsidR="00891DA7" w:rsidRDefault="00891DA7" w:rsidP="00891DA7">
      <w:r w:rsidRPr="00891DA7">
        <w:t>The Applicant engaged the community to elicit feedback from patients and its physicians regarding the Proposed Project</w:t>
      </w:r>
      <w:r>
        <w:t xml:space="preserve"> through its </w:t>
      </w:r>
      <w:r w:rsidRPr="00891DA7">
        <w:t xml:space="preserve">Patients </w:t>
      </w:r>
      <w:r>
        <w:t xml:space="preserve">and </w:t>
      </w:r>
      <w:r w:rsidRPr="00891DA7">
        <w:t>Family Advisory Council (PFAC)</w:t>
      </w:r>
      <w:r>
        <w:t xml:space="preserve"> and through meetings with various elected officials.</w:t>
      </w:r>
    </w:p>
    <w:p w14:paraId="685C316A" w14:textId="77777777" w:rsidR="00891DA7" w:rsidRPr="00891DA7" w:rsidRDefault="00891DA7" w:rsidP="00891DA7"/>
    <w:p w14:paraId="0FC3E5F9" w14:textId="1D0B38C4" w:rsidR="00891DA7" w:rsidRDefault="00891DA7" w:rsidP="00891DA7">
      <w:r w:rsidRPr="00891DA7">
        <w:t>The Proposed Project was presented to the Atrius Health</w:t>
      </w:r>
      <w:r>
        <w:t xml:space="preserve"> PFAC</w:t>
      </w:r>
      <w:r w:rsidRPr="00891DA7">
        <w:t xml:space="preserve"> on November 6, 2023.</w:t>
      </w:r>
      <w:r w:rsidR="0023727C">
        <w:t xml:space="preserve"> </w:t>
      </w:r>
      <w:r w:rsidRPr="00891DA7">
        <w:t>The presentation included an overview of the ASC and the proposed specialty services. It included a discussion of the implications for patients having surgical services provided locally and internally to Atrius Health, including improved coordination of care and access to high quality, lower-cost surgical services.</w:t>
      </w:r>
    </w:p>
    <w:p w14:paraId="3340760D" w14:textId="77777777" w:rsidR="004D3683" w:rsidRPr="00891DA7" w:rsidRDefault="004D3683" w:rsidP="00891DA7"/>
    <w:p w14:paraId="695A48DD" w14:textId="7AD74C7C" w:rsidR="00891DA7" w:rsidRDefault="00891DA7" w:rsidP="00891DA7">
      <w:r w:rsidRPr="00891DA7">
        <w:t>Feedback from members of the PFAC was enthusiastic and supportive of the ASC. There was an active discussion where the PFAC members asked questions and provided input and feedback on the Center. Questions focused on the location and accessibility of the Center; the services to be offered at the Center compared to their current sites; which patients could access these services; the integration of the ASC into Atrius Health’s model of care; the Proposed Project’s implementation time and requirements to open the Center</w:t>
      </w:r>
      <w:r w:rsidR="001428D7">
        <w:t xml:space="preserve">. </w:t>
      </w:r>
      <w:r w:rsidRPr="00891DA7">
        <w:t>Members said that they believed that it was consistent with Atrius Health’s approach to providing a wide array of services under a single umbrella, that it would enhance convenience for patients and provide benefit to the community</w:t>
      </w:r>
      <w:r w:rsidR="001428D7">
        <w:t>.</w:t>
      </w:r>
    </w:p>
    <w:p w14:paraId="5D5E92BF" w14:textId="77777777" w:rsidR="004D3683" w:rsidRPr="00891DA7" w:rsidRDefault="004D3683" w:rsidP="00891DA7"/>
    <w:p w14:paraId="47AA2418" w14:textId="451920A2" w:rsidR="00891DA7" w:rsidRPr="00891DA7" w:rsidRDefault="00891DA7" w:rsidP="00891DA7">
      <w:r>
        <w:t>The Applicant also engaged other local stakeholders including the Mayor of Waltham, Jeanette A. McCarthy, as well as the office of State Senator Michael Barrett and State Representative Thomas Stanley, both of whose districts include the City of Waltham</w:t>
      </w:r>
      <w:r w:rsidR="001428D7">
        <w:t>.</w:t>
      </w:r>
      <w:r>
        <w:t xml:space="preserve"> All were supportive of the Proposed Projec</w:t>
      </w:r>
      <w:r w:rsidR="001428D7">
        <w:t>t.</w:t>
      </w:r>
    </w:p>
    <w:p w14:paraId="49F3200B" w14:textId="6A4B9018" w:rsidR="008E7DC1" w:rsidRPr="008E7DC1" w:rsidRDefault="008E7DC1" w:rsidP="008E7DC1">
      <w:pPr>
        <w:rPr>
          <w:b/>
          <w:bCs/>
          <w:i/>
          <w:iCs/>
        </w:rPr>
      </w:pPr>
      <w:r w:rsidRPr="008E7DC1">
        <w:rPr>
          <w:b/>
          <w:bCs/>
          <w:i/>
          <w:iCs/>
        </w:rPr>
        <w:lastRenderedPageBreak/>
        <w:t>Analysis</w:t>
      </w:r>
    </w:p>
    <w:p w14:paraId="0F21260F" w14:textId="021A4C3A" w:rsidR="008E7DC1" w:rsidRPr="002B61BC" w:rsidRDefault="008E7DC1" w:rsidP="008E7DC1">
      <w:pPr>
        <w:rPr>
          <w:bCs/>
          <w:iCs/>
          <w:color w:val="0070C0"/>
        </w:rPr>
      </w:pPr>
    </w:p>
    <w:p w14:paraId="73D7263B" w14:textId="05BDBBAF" w:rsidR="008E7DC1" w:rsidRPr="00891DA7" w:rsidRDefault="008E7DC1" w:rsidP="008E7DC1">
      <w:pPr>
        <w:rPr>
          <w:color w:val="000000" w:themeColor="text1"/>
        </w:rPr>
      </w:pPr>
      <w:r w:rsidRPr="00891DA7">
        <w:rPr>
          <w:color w:val="000000" w:themeColor="text1"/>
        </w:rPr>
        <w:t>Staff reviewed the information on the Applicant’s community engagement and finds that it has met the required community engagement standard of Consult in the planning phase of the Proposed Project.</w:t>
      </w:r>
    </w:p>
    <w:p w14:paraId="3649F9F1" w14:textId="1256F64C" w:rsidR="007B1DAB" w:rsidRPr="00891DA7" w:rsidRDefault="008B3C74" w:rsidP="00FF52C0">
      <w:pPr>
        <w:rPr>
          <w:color w:val="000000" w:themeColor="text1"/>
        </w:rPr>
      </w:pPr>
      <w:r w:rsidRPr="00891DA7">
        <w:rPr>
          <w:rStyle w:val="Heading1Char"/>
          <w:rFonts w:asciiTheme="minorHAnsi" w:hAnsiTheme="minorHAnsi" w:cstheme="minorHAnsi"/>
          <w:color w:val="000000" w:themeColor="text1"/>
        </w:rPr>
        <w:t xml:space="preserve"> </w:t>
      </w:r>
    </w:p>
    <w:p w14:paraId="4A960CCB" w14:textId="4CFA4356" w:rsidR="00E40FAA" w:rsidRDefault="00E40FAA" w:rsidP="00B31381">
      <w:pPr>
        <w:pStyle w:val="Heading1"/>
        <w:spacing w:before="0" w:line="240" w:lineRule="auto"/>
        <w:rPr>
          <w:rFonts w:asciiTheme="minorHAnsi" w:hAnsiTheme="minorHAnsi" w:cstheme="minorBidi"/>
        </w:rPr>
      </w:pPr>
      <w:bookmarkStart w:id="62" w:name="_Toc18922417"/>
      <w:bookmarkStart w:id="63" w:name="_Toc157428832"/>
      <w:bookmarkStart w:id="64" w:name="_Toc181356981"/>
      <w:bookmarkStart w:id="65" w:name="_Toc17322399"/>
      <w:bookmarkEnd w:id="60"/>
      <w:r w:rsidRPr="4116F90D">
        <w:rPr>
          <w:rFonts w:asciiTheme="minorHAnsi" w:hAnsiTheme="minorHAnsi" w:cstheme="minorBidi"/>
        </w:rPr>
        <w:t xml:space="preserve">Factor 1: f) Competition </w:t>
      </w:r>
      <w:r w:rsidR="00471349" w:rsidRPr="4116F90D">
        <w:rPr>
          <w:rFonts w:asciiTheme="minorHAnsi" w:hAnsiTheme="minorHAnsi" w:cstheme="minorBidi"/>
        </w:rPr>
        <w:t>on Price, Total Medical Expenses (</w:t>
      </w:r>
      <w:r w:rsidR="00371842" w:rsidRPr="4116F90D">
        <w:rPr>
          <w:rFonts w:asciiTheme="minorHAnsi" w:hAnsiTheme="minorHAnsi" w:cstheme="minorBidi"/>
        </w:rPr>
        <w:t>TME</w:t>
      </w:r>
      <w:r w:rsidR="00471349" w:rsidRPr="4116F90D">
        <w:rPr>
          <w:rFonts w:asciiTheme="minorHAnsi" w:hAnsiTheme="minorHAnsi" w:cstheme="minorBidi"/>
        </w:rPr>
        <w:t>), Costs and Other Measures of Health Care Spending</w:t>
      </w:r>
      <w:bookmarkEnd w:id="62"/>
      <w:bookmarkEnd w:id="63"/>
      <w:bookmarkEnd w:id="64"/>
    </w:p>
    <w:p w14:paraId="2A24F9CA" w14:textId="77777777" w:rsidR="001F10CC" w:rsidRDefault="001F10CC" w:rsidP="001F10CC"/>
    <w:p w14:paraId="65FD9D18" w14:textId="2AC7E193" w:rsidR="00BB3B7C" w:rsidRDefault="544465B2" w:rsidP="001F10CC">
      <w:pPr>
        <w:contextualSpacing/>
      </w:pPr>
      <w:bookmarkStart w:id="66" w:name="_Hlk160469667"/>
      <w:bookmarkEnd w:id="65"/>
      <w:r w:rsidRPr="391A23E5">
        <w:t>The Applicant asserts that c</w:t>
      </w:r>
      <w:r w:rsidR="4D2B0466" w:rsidRPr="391A23E5">
        <w:t>onsistent with the HPC’s 2024 Report: Trends in ASCs in Massachusetts</w:t>
      </w:r>
      <w:r w:rsidR="001F10CC" w:rsidRPr="391A23E5">
        <w:rPr>
          <w:vertAlign w:val="superscript"/>
        </w:rPr>
        <w:footnoteReference w:id="32"/>
      </w:r>
      <w:r w:rsidR="4D2B0466" w:rsidRPr="391A23E5">
        <w:t xml:space="preserve"> and 2023 Cost Trends Report</w:t>
      </w:r>
      <w:r w:rsidR="001F10CC" w:rsidRPr="391A23E5">
        <w:rPr>
          <w:vertAlign w:val="superscript"/>
        </w:rPr>
        <w:footnoteReference w:id="33"/>
      </w:r>
      <w:r w:rsidR="4D2B0466" w:rsidRPr="391A23E5">
        <w:t xml:space="preserve"> and DPH’s 2017 changes to the DoN </w:t>
      </w:r>
      <w:r w:rsidR="1B1CBB0F">
        <w:t xml:space="preserve"> regulation allowing for applicants to file for new or additional ambulatory surgical capacity</w:t>
      </w:r>
      <w:r w:rsidR="001F10CC" w:rsidRPr="391A23E5">
        <w:rPr>
          <w:vertAlign w:val="superscript"/>
        </w:rPr>
        <w:footnoteReference w:id="34"/>
      </w:r>
      <w:r w:rsidR="4D2B0466" w:rsidRPr="391A23E5">
        <w:t>, the Proposed Project will compete based on price, total medical expense (“TME”), provider costs and other recognized measures of health care spending because it will provide a lower cost alternative to higher cost HOPDs for the same surgical procedures.</w:t>
      </w:r>
      <w:r w:rsidR="001F10CC" w:rsidRPr="391A23E5">
        <w:rPr>
          <w:vertAlign w:val="superscript"/>
        </w:rPr>
        <w:footnoteReference w:id="35"/>
      </w:r>
      <w:r w:rsidR="4D2B0466" w:rsidRPr="001F10CC">
        <w:rPr>
          <w:bCs/>
          <w:iCs/>
        </w:rPr>
        <w:t xml:space="preserve"> </w:t>
      </w:r>
    </w:p>
    <w:p w14:paraId="4D43E9E9" w14:textId="459E53B2" w:rsidR="001F10CC" w:rsidRPr="001F10CC" w:rsidRDefault="001F10CC" w:rsidP="001F10CC">
      <w:pPr>
        <w:contextualSpacing/>
        <w:rPr>
          <w:bCs/>
          <w:iCs/>
        </w:rPr>
      </w:pPr>
      <w:r w:rsidRPr="001F10CC">
        <w:rPr>
          <w:bCs/>
          <w:iCs/>
        </w:rPr>
        <w:t xml:space="preserve">  </w:t>
      </w:r>
    </w:p>
    <w:p w14:paraId="29DEE23B" w14:textId="76255E88" w:rsidR="004E0D14" w:rsidRDefault="4D2B0466" w:rsidP="001F10CC">
      <w:pPr>
        <w:contextualSpacing/>
        <w:rPr>
          <w:bCs/>
          <w:iCs/>
        </w:rPr>
      </w:pPr>
      <w:r w:rsidRPr="391A23E5">
        <w:t>The Applicant has a demonstrated commitment to the Commonwealth’s cost containment goals. The HPC 2021 Annual Cost Trends Report found the Applicant was one of the lowest spending providers on low-value services</w:t>
      </w:r>
      <w:r w:rsidR="001F10CC" w:rsidRPr="391A23E5">
        <w:rPr>
          <w:vertAlign w:val="superscript"/>
        </w:rPr>
        <w:footnoteReference w:id="36"/>
      </w:r>
      <w:r w:rsidRPr="391A23E5">
        <w:t xml:space="preserve"> as compared to its peers. </w:t>
      </w:r>
      <w:r w:rsidR="001F10CC" w:rsidRPr="391A23E5">
        <w:rPr>
          <w:vertAlign w:val="superscript"/>
        </w:rPr>
        <w:footnoteReference w:id="37"/>
      </w:r>
      <w:r w:rsidRPr="391A23E5">
        <w:rPr>
          <w:vertAlign w:val="superscript"/>
        </w:rPr>
        <w:t>,</w:t>
      </w:r>
      <w:r w:rsidR="001F10CC" w:rsidRPr="391A23E5">
        <w:rPr>
          <w:vertAlign w:val="superscript"/>
        </w:rPr>
        <w:footnoteReference w:id="38"/>
      </w:r>
      <w:r w:rsidRPr="001F10CC">
        <w:rPr>
          <w:bCs/>
          <w:iCs/>
        </w:rPr>
        <w:t xml:space="preserve"> </w:t>
      </w:r>
      <w:bookmarkStart w:id="69" w:name="_Hlk141438997"/>
      <w:r w:rsidRPr="391A23E5">
        <w:t xml:space="preserve"> In spring 2023, the HPC also reported that the Applicant was among three provider groups with the lowest unadjusted total medical spending per member per year from 2015-2021.</w:t>
      </w:r>
      <w:r w:rsidR="001F10CC" w:rsidRPr="391A23E5">
        <w:rPr>
          <w:vertAlign w:val="superscript"/>
        </w:rPr>
        <w:footnoteReference w:id="39"/>
      </w:r>
      <w:r w:rsidRPr="001F10CC">
        <w:rPr>
          <w:bCs/>
          <w:iCs/>
        </w:rPr>
        <w:t xml:space="preserve">  </w:t>
      </w:r>
    </w:p>
    <w:p w14:paraId="3468B5FE" w14:textId="77777777" w:rsidR="004E0D14" w:rsidRDefault="004E0D14" w:rsidP="001F10CC">
      <w:pPr>
        <w:contextualSpacing/>
        <w:rPr>
          <w:bCs/>
          <w:iCs/>
        </w:rPr>
      </w:pPr>
    </w:p>
    <w:p w14:paraId="79514962" w14:textId="714EB575" w:rsidR="00223F21" w:rsidRDefault="004E0D14" w:rsidP="001F10CC">
      <w:pPr>
        <w:contextualSpacing/>
        <w:rPr>
          <w:bCs/>
          <w:iCs/>
        </w:rPr>
      </w:pPr>
      <w:r w:rsidRPr="01BB1580">
        <w:lastRenderedPageBreak/>
        <w:t>The Applicant stresses that a</w:t>
      </w:r>
      <w:r w:rsidR="001F10CC" w:rsidRPr="001F10CC">
        <w:rPr>
          <w:bCs/>
          <w:iCs/>
        </w:rPr>
        <w:t xml:space="preserve"> </w:t>
      </w:r>
      <w:r w:rsidR="006F169C">
        <w:rPr>
          <w:bCs/>
          <w:iCs/>
        </w:rPr>
        <w:t>“</w:t>
      </w:r>
      <w:r w:rsidR="001F10CC" w:rsidRPr="01BB1580">
        <w:t xml:space="preserve">foundational </w:t>
      </w:r>
      <w:r w:rsidR="00DC1EA1" w:rsidRPr="01BB1580">
        <w:t>element</w:t>
      </w:r>
      <w:r w:rsidR="00DC1EA1">
        <w:rPr>
          <w:bCs/>
          <w:iCs/>
        </w:rPr>
        <w:t>“</w:t>
      </w:r>
      <w:r w:rsidR="00366528">
        <w:rPr>
          <w:bCs/>
          <w:iCs/>
        </w:rPr>
        <w:t xml:space="preserve"> </w:t>
      </w:r>
      <w:r w:rsidR="00DC1EA1" w:rsidRPr="01BB1580">
        <w:t>of</w:t>
      </w:r>
      <w:r w:rsidR="001F10CC" w:rsidRPr="001F10CC">
        <w:rPr>
          <w:bCs/>
          <w:iCs/>
        </w:rPr>
        <w:t xml:space="preserve"> </w:t>
      </w:r>
      <w:r w:rsidR="007020F0" w:rsidRPr="01BB1580">
        <w:t xml:space="preserve">its </w:t>
      </w:r>
      <w:r w:rsidR="001F10CC" w:rsidRPr="01BB1580">
        <w:t xml:space="preserve">ability to control costs while ensuring high quality is the ability to offer a range of services within its own </w:t>
      </w:r>
      <w:r w:rsidR="00366528" w:rsidRPr="01BB1580">
        <w:t xml:space="preserve">physician </w:t>
      </w:r>
      <w:r w:rsidR="001F10CC" w:rsidRPr="01BB1580">
        <w:t xml:space="preserve">practice, </w:t>
      </w:r>
      <w:r w:rsidR="00366528" w:rsidRPr="01BB1580">
        <w:t xml:space="preserve">thereby </w:t>
      </w:r>
      <w:r w:rsidR="001F10CC" w:rsidRPr="01BB1580">
        <w:t xml:space="preserve">minimizing the need to send patients to more expensive hospital-based or hospital-affiliated providers </w:t>
      </w:r>
      <w:r w:rsidR="00533B93" w:rsidRPr="01BB1580">
        <w:t xml:space="preserve">where </w:t>
      </w:r>
      <w:r w:rsidR="001F10CC" w:rsidRPr="01BB1580">
        <w:t>reimbursement rates and patient cost sharing</w:t>
      </w:r>
      <w:r w:rsidR="00522C25" w:rsidRPr="01BB1580">
        <w:t xml:space="preserve"> are higher</w:t>
      </w:r>
      <w:r w:rsidR="00366528">
        <w:rPr>
          <w:bCs/>
          <w:iCs/>
        </w:rPr>
        <w:t>.</w:t>
      </w:r>
      <w:r w:rsidR="00366528" w:rsidRPr="01BB1580">
        <w:rPr>
          <w:rStyle w:val="FootnoteReference"/>
        </w:rPr>
        <w:footnoteReference w:id="40"/>
      </w:r>
      <w:r w:rsidR="00F12084">
        <w:rPr>
          <w:bCs/>
          <w:iCs/>
        </w:rPr>
        <w:t xml:space="preserve"> </w:t>
      </w:r>
      <w:bookmarkEnd w:id="69"/>
      <w:r w:rsidR="001F10CC" w:rsidRPr="01BB1580">
        <w:t>The Applicant’s system of integrated primary, specialty and ancillary services enables the Applicant’s providers to refer patients within the Applicant’s network, as clinically appropriate</w:t>
      </w:r>
      <w:r w:rsidR="00042169">
        <w:rPr>
          <w:bCs/>
          <w:iCs/>
        </w:rPr>
        <w:t>,</w:t>
      </w:r>
      <w:r w:rsidR="001F10CC" w:rsidRPr="01BB1580">
        <w:t xml:space="preserve"> and in accordance with patient preferences, </w:t>
      </w:r>
      <w:r w:rsidR="00042169" w:rsidRPr="01BB1580">
        <w:t xml:space="preserve">allowing for </w:t>
      </w:r>
      <w:r w:rsidR="001F10CC" w:rsidRPr="01BB1580">
        <w:t>highly coordinated care in the lowest cost setting possible. This care model forms the foundation for the Applicant’s long and successful history of participating in value- and risk-based arrangements with commercial and government payers (referred to alternative payment arrangements or “APMs”).</w:t>
      </w:r>
    </w:p>
    <w:p w14:paraId="4AB2172B" w14:textId="77777777" w:rsidR="00223F21" w:rsidRDefault="00223F21" w:rsidP="001F10CC">
      <w:pPr>
        <w:contextualSpacing/>
        <w:rPr>
          <w:bCs/>
          <w:iCs/>
        </w:rPr>
      </w:pPr>
    </w:p>
    <w:p w14:paraId="3863FAA6" w14:textId="60183E92" w:rsidR="001F10CC" w:rsidRDefault="00366528" w:rsidP="001F10CC">
      <w:pPr>
        <w:contextualSpacing/>
        <w:rPr>
          <w:bCs/>
          <w:iCs/>
        </w:rPr>
      </w:pPr>
      <w:r>
        <w:rPr>
          <w:bCs/>
          <w:iCs/>
        </w:rPr>
        <w:t>The Applicant states that s</w:t>
      </w:r>
      <w:r w:rsidR="00F60FDA">
        <w:rPr>
          <w:bCs/>
          <w:iCs/>
        </w:rPr>
        <w:t xml:space="preserve">ixty-six percent </w:t>
      </w:r>
      <w:r w:rsidR="001F10CC" w:rsidRPr="001F10CC">
        <w:rPr>
          <w:bCs/>
          <w:iCs/>
        </w:rPr>
        <w:t>of the Patient Panel participates in APMs</w:t>
      </w:r>
      <w:r>
        <w:rPr>
          <w:bCs/>
          <w:iCs/>
        </w:rPr>
        <w:t>; and u</w:t>
      </w:r>
      <w:r w:rsidR="001F10CC" w:rsidRPr="001F10CC">
        <w:rPr>
          <w:bCs/>
          <w:iCs/>
        </w:rPr>
        <w:t xml:space="preserve">nder most of these arrangements, the Applicant is fully accountable for all care and treatment rendered to its patients. </w:t>
      </w:r>
      <w:r>
        <w:rPr>
          <w:bCs/>
          <w:iCs/>
        </w:rPr>
        <w:t>The Applicant adds that by a</w:t>
      </w:r>
      <w:r w:rsidR="001F10CC" w:rsidRPr="001F10CC">
        <w:rPr>
          <w:bCs/>
          <w:iCs/>
        </w:rPr>
        <w:t xml:space="preserve">dding the Proposed Project to the Applicant’s </w:t>
      </w:r>
      <w:r w:rsidR="00B51E74">
        <w:rPr>
          <w:bCs/>
          <w:iCs/>
        </w:rPr>
        <w:t xml:space="preserve">continuum </w:t>
      </w:r>
      <w:r w:rsidR="001F10CC" w:rsidRPr="001F10CC">
        <w:rPr>
          <w:bCs/>
          <w:iCs/>
        </w:rPr>
        <w:t>will ensure that it continues to drive value under the APMs and achieve cost savings that will flow back to payors, patients and the Commonwealth.</w:t>
      </w:r>
    </w:p>
    <w:p w14:paraId="18A409DE" w14:textId="77777777" w:rsidR="00B51E74" w:rsidRPr="001F10CC" w:rsidRDefault="00B51E74" w:rsidP="001F10CC">
      <w:pPr>
        <w:contextualSpacing/>
        <w:rPr>
          <w:bCs/>
          <w:iCs/>
        </w:rPr>
      </w:pPr>
    </w:p>
    <w:p w14:paraId="6E9384CC" w14:textId="653FA863" w:rsidR="001F10CC" w:rsidRPr="001F10CC" w:rsidRDefault="001F10CC" w:rsidP="001F10CC">
      <w:pPr>
        <w:contextualSpacing/>
      </w:pPr>
      <w:r>
        <w:t>The Applicant</w:t>
      </w:r>
      <w:r w:rsidR="00366528">
        <w:t xml:space="preserve"> provided</w:t>
      </w:r>
      <w:r w:rsidR="00A0047B">
        <w:t xml:space="preserve"> its</w:t>
      </w:r>
      <w:r w:rsidR="00366528">
        <w:t xml:space="preserve"> analysis of cost savings from the Proposed Project </w:t>
      </w:r>
      <w:r w:rsidR="00A0047B">
        <w:t xml:space="preserve">where it finds </w:t>
      </w:r>
      <w:r>
        <w:t xml:space="preserve">that the Proposed Project will generate a significant savings from shifting the site of </w:t>
      </w:r>
      <w:r w:rsidR="00A0047B">
        <w:t xml:space="preserve">appropriate </w:t>
      </w:r>
      <w:r w:rsidR="2B267772">
        <w:t>s</w:t>
      </w:r>
      <w:r>
        <w:t xml:space="preserve">urgical </w:t>
      </w:r>
      <w:r w:rsidR="00A0047B">
        <w:t xml:space="preserve">cases </w:t>
      </w:r>
      <w:r>
        <w:t xml:space="preserve">from </w:t>
      </w:r>
      <w:r w:rsidR="00366528">
        <w:t xml:space="preserve">higher cost </w:t>
      </w:r>
      <w:r>
        <w:t xml:space="preserve">HOPDs </w:t>
      </w:r>
      <w:r w:rsidR="00A0047B">
        <w:t xml:space="preserve">and HIPDs </w:t>
      </w:r>
      <w:r>
        <w:t xml:space="preserve">to the </w:t>
      </w:r>
      <w:r w:rsidR="58FB69BD">
        <w:t>proposed ASC</w:t>
      </w:r>
      <w:r w:rsidR="00A0047B">
        <w:t>,</w:t>
      </w:r>
      <w:r w:rsidR="58FB69BD">
        <w:t xml:space="preserve"> </w:t>
      </w:r>
      <w:r w:rsidR="00366528">
        <w:t>which will further lower</w:t>
      </w:r>
      <w:r>
        <w:t xml:space="preserve"> its TME. In aggregate, the Proposed Project is anticipated to reduce medical expenses</w:t>
      </w:r>
      <w:r w:rsidR="65EEF846">
        <w:t xml:space="preserve"> </w:t>
      </w:r>
      <w:r>
        <w:t>by performing cases in a single facility,</w:t>
      </w:r>
      <w:r w:rsidR="4ED28E10">
        <w:t xml:space="preserve"> which will allow</w:t>
      </w:r>
      <w:r>
        <w:t xml:space="preserve"> Atrius Health </w:t>
      </w:r>
      <w:r w:rsidR="76CE5F0F">
        <w:t xml:space="preserve">to </w:t>
      </w:r>
      <w:r>
        <w:t xml:space="preserve">gain operational </w:t>
      </w:r>
      <w:r w:rsidR="00366528">
        <w:t xml:space="preserve">control and </w:t>
      </w:r>
      <w:r>
        <w:t>efficiencies</w:t>
      </w:r>
      <w:r w:rsidR="00366528">
        <w:t>, thereby generating cost savings</w:t>
      </w:r>
      <w:r w:rsidR="00A0047B">
        <w:t xml:space="preserve"> and benefitting patients. </w:t>
      </w:r>
      <w:r>
        <w:t xml:space="preserve">Based on the Proposed Project case volume projections in Table </w:t>
      </w:r>
      <w:r w:rsidR="00366528">
        <w:t>8</w:t>
      </w:r>
      <w:r>
        <w:t xml:space="preserve">, by the second year of operations, the Applicant anticipates that 11% of the Surgical Services will </w:t>
      </w:r>
      <w:r w:rsidR="00366528">
        <w:t>be</w:t>
      </w:r>
      <w:r>
        <w:t xml:space="preserve"> from hospital inpatient setting, 68% of cases from a HOPD, and 20% from other ASCs to the Center. Looking at relative prices on </w:t>
      </w:r>
      <w:r w:rsidR="4672252C">
        <w:t>s</w:t>
      </w:r>
      <w:r>
        <w:t xml:space="preserve">urgical </w:t>
      </w:r>
      <w:r w:rsidR="4A38D5A5">
        <w:t>s</w:t>
      </w:r>
      <w:r>
        <w:t xml:space="preserve">ervices claims data and the Proposed Project’s anticipated volume, the Applicant has estimated cost savings in the second year of Proposed Project will be $15.9 million annually, with the vast majority of savings (89% or $14.1 million) coming from shifting cases from an HOPD to the Center. </w:t>
      </w:r>
      <w:r w:rsidR="00FA2DC8">
        <w:t>T</w:t>
      </w:r>
      <w:r>
        <w:t>hese cost savings will continue</w:t>
      </w:r>
      <w:r w:rsidR="00FA2DC8">
        <w:t xml:space="preserve"> throughout the projection period</w:t>
      </w:r>
      <w:r>
        <w:t xml:space="preserve"> </w:t>
      </w:r>
      <w:r w:rsidR="00FA2DC8">
        <w:t xml:space="preserve">and </w:t>
      </w:r>
      <w:r>
        <w:t xml:space="preserve">will have a positive impact on patients, who will have reduced cost sharing for </w:t>
      </w:r>
      <w:r w:rsidR="4CB569D2">
        <w:t>s</w:t>
      </w:r>
      <w:r>
        <w:t xml:space="preserve">urgical </w:t>
      </w:r>
      <w:r w:rsidR="6BFCB846">
        <w:t>s</w:t>
      </w:r>
      <w:r>
        <w:t xml:space="preserve">ervices at the </w:t>
      </w:r>
      <w:r w:rsidR="7647D4A5">
        <w:t>proposed ASC</w:t>
      </w:r>
      <w:r>
        <w:t>, and both governmental and commercial payors.</w:t>
      </w:r>
      <w:r w:rsidR="0023727C">
        <w:t xml:space="preserve"> </w:t>
      </w:r>
      <w:r w:rsidR="00A34B7E">
        <w:t>T</w:t>
      </w:r>
      <w:r>
        <w:t>he Applicant hopes that the Proposed Project will contribute to the ability to maintain and/or lower insurance premiums and positively contribute to lowering the health cost benchmark for the Commonwealth.</w:t>
      </w:r>
    </w:p>
    <w:p w14:paraId="56E4235C" w14:textId="43BE4F55" w:rsidR="00C43448" w:rsidRPr="00F60FDA" w:rsidRDefault="00863E19" w:rsidP="00F60FDA">
      <w:pPr>
        <w:spacing w:before="240" w:after="240"/>
        <w:rPr>
          <w:rFonts w:ascii="Calibri" w:eastAsia="PMingLiU" w:hAnsi="Calibri" w:cs="Times New Roman"/>
          <w:b/>
          <w:bCs/>
          <w:i/>
          <w:iCs/>
        </w:rPr>
      </w:pPr>
      <w:bookmarkStart w:id="70" w:name="_Hlk17663634"/>
      <w:bookmarkEnd w:id="66"/>
      <w:r w:rsidRPr="00F60FDA">
        <w:rPr>
          <w:rFonts w:ascii="Calibri" w:eastAsia="PMingLiU" w:hAnsi="Calibri" w:cs="Times New Roman"/>
          <w:b/>
          <w:bCs/>
          <w:i/>
          <w:iCs/>
        </w:rPr>
        <w:t>Analysis</w:t>
      </w:r>
    </w:p>
    <w:p w14:paraId="6422DEEB" w14:textId="2EC9163F" w:rsidR="00A34B7E" w:rsidRDefault="5C52DE67" w:rsidP="00A34B7E">
      <w:pPr>
        <w:spacing w:before="240" w:after="240"/>
        <w:rPr>
          <w:rFonts w:ascii="Calibri" w:eastAsia="PMingLiU" w:hAnsi="Calibri" w:cs="Times New Roman"/>
        </w:rPr>
      </w:pPr>
      <w:r w:rsidRPr="00A34B7E">
        <w:rPr>
          <w:rFonts w:ascii="Calibri" w:eastAsia="PMingLiU" w:hAnsi="Calibri" w:cs="Times New Roman"/>
        </w:rPr>
        <w:t xml:space="preserve">Because Medicare reimbursement rates for ASCs are lower than HOPDs, “the cost to Medicare (and the taxpayers who fund the program) is lower when a surgical procedure is performed in an ASC rather than an </w:t>
      </w:r>
      <w:proofErr w:type="gramStart"/>
      <w:r w:rsidRPr="00A34B7E">
        <w:rPr>
          <w:rFonts w:ascii="Calibri" w:eastAsia="PMingLiU" w:hAnsi="Calibri" w:cs="Times New Roman"/>
        </w:rPr>
        <w:t>HOPD ”</w:t>
      </w:r>
      <w:proofErr w:type="gramEnd"/>
      <w:r w:rsidR="00B50E4B" w:rsidRPr="00A34B7E">
        <w:rPr>
          <w:rFonts w:ascii="Calibri" w:eastAsia="PMingLiU" w:hAnsi="Calibri" w:cs="Times New Roman"/>
          <w:vertAlign w:val="superscript"/>
        </w:rPr>
        <w:endnoteReference w:id="16"/>
      </w:r>
      <w:r w:rsidR="6B314CF7" w:rsidRPr="00A34B7E">
        <w:rPr>
          <w:rFonts w:ascii="Calibri" w:eastAsia="PMingLiU" w:hAnsi="Calibri" w:cs="Times New Roman"/>
        </w:rPr>
        <w:t xml:space="preserve"> </w:t>
      </w:r>
      <w:r w:rsidRPr="00A34B7E">
        <w:rPr>
          <w:rFonts w:ascii="Calibri" w:eastAsia="PMingLiU" w:hAnsi="Calibri" w:cs="Times New Roman"/>
        </w:rPr>
        <w:t xml:space="preserve">according to the </w:t>
      </w:r>
      <w:r w:rsidRPr="01BB1580">
        <w:rPr>
          <w:rFonts w:ascii="Calibri" w:eastAsia="PMingLiU" w:hAnsi="Calibri" w:cs="Times New Roman"/>
          <w:i/>
          <w:iCs/>
        </w:rPr>
        <w:t>March 2024 Report to the Congress: Medicare Payment Policy</w:t>
      </w:r>
      <w:r w:rsidRPr="00A34B7E">
        <w:rPr>
          <w:rFonts w:ascii="Calibri" w:eastAsia="PMingLiU" w:hAnsi="Calibri" w:cs="Times New Roman"/>
        </w:rPr>
        <w:t xml:space="preserve"> section concerning ASCs. In Massachusetts, as reported in the Health Policy </w:t>
      </w:r>
      <w:r w:rsidRPr="00A34B7E">
        <w:rPr>
          <w:rFonts w:ascii="Calibri" w:eastAsia="PMingLiU" w:hAnsi="Calibri" w:cs="Times New Roman"/>
        </w:rPr>
        <w:lastRenderedPageBreak/>
        <w:t xml:space="preserve">Commission’s (“HPC”) </w:t>
      </w:r>
      <w:proofErr w:type="spellStart"/>
      <w:r w:rsidRPr="01BB1580">
        <w:rPr>
          <w:rFonts w:ascii="Calibri" w:eastAsia="PMingLiU" w:hAnsi="Calibri" w:cs="Times New Roman"/>
          <w:i/>
          <w:iCs/>
        </w:rPr>
        <w:t>DataPoints</w:t>
      </w:r>
      <w:proofErr w:type="spellEnd"/>
      <w:r w:rsidRPr="00A34B7E">
        <w:rPr>
          <w:rFonts w:ascii="Calibri" w:eastAsia="PMingLiU" w:hAnsi="Calibri" w:cs="Times New Roman"/>
        </w:rPr>
        <w:t xml:space="preserve"> focusing on ASC trends</w:t>
      </w:r>
      <w:r w:rsidR="00A34B7E" w:rsidRPr="00A34B7E">
        <w:rPr>
          <w:rFonts w:ascii="Calibri" w:eastAsia="PMingLiU" w:hAnsi="Calibri" w:cs="Times New Roman"/>
          <w:vertAlign w:val="superscript"/>
        </w:rPr>
        <w:footnoteReference w:id="41"/>
      </w:r>
      <w:r w:rsidR="7F38E4CE" w:rsidRPr="00A34B7E">
        <w:rPr>
          <w:rFonts w:ascii="Calibri" w:eastAsia="PMingLiU" w:hAnsi="Calibri" w:cs="Times New Roman"/>
        </w:rPr>
        <w:t xml:space="preserve">, </w:t>
      </w:r>
      <w:r w:rsidRPr="00A34B7E">
        <w:rPr>
          <w:rFonts w:ascii="Calibri" w:eastAsia="PMingLiU" w:hAnsi="Calibri" w:cs="Times New Roman"/>
        </w:rPr>
        <w:t xml:space="preserve">prices </w:t>
      </w:r>
      <w:r w:rsidR="003D6B22">
        <w:rPr>
          <w:rFonts w:ascii="Calibri" w:eastAsia="PMingLiU" w:hAnsi="Calibri" w:cs="Times New Roman"/>
        </w:rPr>
        <w:t xml:space="preserve">in ASCs </w:t>
      </w:r>
      <w:r w:rsidRPr="00A34B7E">
        <w:rPr>
          <w:rFonts w:ascii="Calibri" w:eastAsia="PMingLiU" w:hAnsi="Calibri" w:cs="Times New Roman"/>
        </w:rPr>
        <w:t>are generally “far lower” than in HOPDs across commercial insurers, MassHealth, and Medicare; in 2021, they ranged from 27% to 57% lower in ASCs for the commercial population for common surgeries.</w:t>
      </w:r>
      <w:r w:rsidR="00A34B7E" w:rsidRPr="00A34B7E">
        <w:rPr>
          <w:rFonts w:ascii="Calibri" w:eastAsia="PMingLiU" w:hAnsi="Calibri" w:cs="Times New Roman"/>
          <w:vertAlign w:val="superscript"/>
        </w:rPr>
        <w:footnoteReference w:id="42"/>
      </w:r>
      <w:r w:rsidRPr="00A34B7E">
        <w:rPr>
          <w:rFonts w:ascii="Calibri" w:eastAsia="PMingLiU" w:hAnsi="Calibri" w:cs="Times New Roman"/>
        </w:rPr>
        <w:t xml:space="preserve">  The HPC attributes these lower prices primarily to lower facility payments in ASCs. </w:t>
      </w:r>
    </w:p>
    <w:p w14:paraId="5A2A0ADE" w14:textId="77777777" w:rsidR="009F349A" w:rsidRDefault="397F67B1" w:rsidP="00A34B7E">
      <w:pPr>
        <w:spacing w:before="240" w:after="240"/>
        <w:rPr>
          <w:rFonts w:ascii="Calibri" w:eastAsia="PMingLiU" w:hAnsi="Calibri" w:cs="Times New Roman"/>
        </w:rPr>
      </w:pPr>
      <w:r w:rsidRPr="00A34B7E">
        <w:rPr>
          <w:rFonts w:ascii="Calibri" w:eastAsia="PMingLiU" w:hAnsi="Calibri" w:cs="Times New Roman"/>
        </w:rPr>
        <w:t>Annual savings to the Medicare program and its beneficiaries increased steadily from $3.1 billion in 2011 – to $4.2 billion in 2018;</w:t>
      </w:r>
      <w:r w:rsidR="009F349A" w:rsidRPr="00A34B7E">
        <w:rPr>
          <w:rFonts w:ascii="Calibri" w:eastAsia="PMingLiU" w:hAnsi="Calibri" w:cs="Times New Roman"/>
          <w:vertAlign w:val="superscript"/>
        </w:rPr>
        <w:footnoteReference w:id="43"/>
      </w:r>
      <w:r w:rsidRPr="00A34B7E">
        <w:rPr>
          <w:rFonts w:ascii="Calibri" w:eastAsia="PMingLiU" w:hAnsi="Calibri" w:cs="Times New Roman"/>
        </w:rPr>
        <w:t xml:space="preserve"> and a recent study from 2020 projects Medicare savings from 2019 to 2028 of $73.4 billion, with increases in projected annual savings from $4.3 billion in 2019 to $12.2 billion in 2028.</w:t>
      </w:r>
      <w:r w:rsidR="009F349A" w:rsidRPr="00A34B7E">
        <w:rPr>
          <w:rFonts w:ascii="Calibri" w:eastAsia="PMingLiU" w:hAnsi="Calibri" w:cs="Times New Roman"/>
          <w:vertAlign w:val="superscript"/>
        </w:rPr>
        <w:footnoteReference w:id="44"/>
      </w:r>
      <w:r w:rsidRPr="00A34B7E">
        <w:rPr>
          <w:rFonts w:ascii="Calibri" w:eastAsia="PMingLiU" w:hAnsi="Calibri" w:cs="Times New Roman"/>
        </w:rPr>
        <w:t xml:space="preserve"> </w:t>
      </w:r>
      <w:bookmarkStart w:id="71" w:name="_Hlk155903708"/>
    </w:p>
    <w:p w14:paraId="19888965" w14:textId="006B62A7" w:rsidR="00A34B7E" w:rsidRDefault="00A34B7E" w:rsidP="00A34B7E">
      <w:pPr>
        <w:spacing w:before="240" w:after="240"/>
        <w:rPr>
          <w:rFonts w:ascii="Calibri" w:eastAsia="PMingLiU" w:hAnsi="Calibri" w:cs="Times New Roman"/>
        </w:rPr>
      </w:pPr>
      <w:r w:rsidRPr="00A34B7E">
        <w:rPr>
          <w:rFonts w:ascii="Calibri" w:eastAsia="PMingLiU" w:hAnsi="Calibri" w:cs="Times New Roman"/>
        </w:rPr>
        <w:t xml:space="preserve">Studies also address </w:t>
      </w:r>
      <w:r w:rsidR="0028072D">
        <w:rPr>
          <w:rFonts w:ascii="Calibri" w:eastAsia="PMingLiU" w:hAnsi="Calibri" w:cs="Times New Roman"/>
        </w:rPr>
        <w:t xml:space="preserve">ASC </w:t>
      </w:r>
      <w:r w:rsidRPr="00A34B7E">
        <w:rPr>
          <w:rFonts w:ascii="Calibri" w:eastAsia="PMingLiU" w:hAnsi="Calibri" w:cs="Times New Roman"/>
        </w:rPr>
        <w:t>cost savings that are attributable to procedure length.</w:t>
      </w:r>
      <w:r w:rsidR="00B50E4B" w:rsidRPr="00A34B7E">
        <w:rPr>
          <w:rFonts w:ascii="Calibri" w:eastAsia="PMingLiU" w:hAnsi="Calibri" w:cs="Times New Roman"/>
          <w:vertAlign w:val="superscript"/>
        </w:rPr>
        <w:endnoteReference w:id="17"/>
      </w:r>
      <w:r w:rsidR="00B50E4B" w:rsidRPr="00A34B7E">
        <w:rPr>
          <w:rFonts w:ascii="Calibri" w:eastAsia="PMingLiU" w:hAnsi="Calibri" w:cs="Times New Roman"/>
        </w:rPr>
        <w:t xml:space="preserve"> Researchers have found that </w:t>
      </w:r>
      <w:r w:rsidR="0028072D">
        <w:rPr>
          <w:rFonts w:ascii="Calibri" w:eastAsia="PMingLiU" w:hAnsi="Calibri" w:cs="Times New Roman"/>
        </w:rPr>
        <w:t xml:space="preserve">outpatient procedures in </w:t>
      </w:r>
      <w:r w:rsidR="00B50E4B" w:rsidRPr="00A34B7E">
        <w:rPr>
          <w:rFonts w:ascii="Calibri" w:eastAsia="PMingLiU" w:hAnsi="Calibri" w:cs="Times New Roman"/>
        </w:rPr>
        <w:t xml:space="preserve">ASCs are substantially faster than </w:t>
      </w:r>
      <w:r w:rsidR="0028072D">
        <w:rPr>
          <w:rFonts w:ascii="Calibri" w:eastAsia="PMingLiU" w:hAnsi="Calibri" w:cs="Times New Roman"/>
        </w:rPr>
        <w:t>HOPDs,</w:t>
      </w:r>
      <w:r w:rsidR="00B50E4B" w:rsidRPr="00A34B7E">
        <w:rPr>
          <w:rFonts w:ascii="Calibri" w:eastAsia="PMingLiU" w:hAnsi="Calibri" w:cs="Times New Roman"/>
        </w:rPr>
        <w:t xml:space="preserve"> and that these shorter procedure times  are attributable to operating efficiencies and lead to cost reductions.</w:t>
      </w:r>
      <w:r w:rsidR="00B50E4B" w:rsidRPr="00A34B7E">
        <w:rPr>
          <w:rFonts w:ascii="Calibri" w:eastAsia="PMingLiU" w:hAnsi="Calibri" w:cs="Times New Roman"/>
          <w:vertAlign w:val="superscript"/>
        </w:rPr>
        <w:endnoteReference w:id="18"/>
      </w:r>
      <w:r w:rsidR="00B50E4B" w:rsidRPr="00A34B7E">
        <w:rPr>
          <w:rFonts w:ascii="Calibri" w:eastAsia="PMingLiU" w:hAnsi="Calibri" w:cs="Times New Roman"/>
        </w:rPr>
        <w:t xml:space="preserve"> According to the data, procedures performed in ASCs take, on average, “31.8 fewer minutes than those performed in hospitals – a 25% difference relative to the mean procedure time.”</w:t>
      </w:r>
      <w:r w:rsidR="00B50E4B" w:rsidRPr="00A34B7E">
        <w:rPr>
          <w:rFonts w:ascii="Calibri" w:eastAsia="PMingLiU" w:hAnsi="Calibri" w:cs="Times New Roman"/>
          <w:vertAlign w:val="superscript"/>
        </w:rPr>
        <w:endnoteReference w:id="19"/>
      </w:r>
      <w:r w:rsidR="00B50E4B" w:rsidRPr="00A34B7E">
        <w:rPr>
          <w:rFonts w:ascii="Calibri" w:eastAsia="PMingLiU" w:hAnsi="Calibri" w:cs="Times New Roman"/>
        </w:rPr>
        <w:t xml:space="preserve"> Consequently, an ASC will be able to perform more procedures per day than a HOPD with the same number of staff and of operating and recovery rooms.</w:t>
      </w:r>
      <w:r w:rsidR="00B50E4B" w:rsidRPr="00A34B7E">
        <w:rPr>
          <w:rFonts w:ascii="Calibri" w:eastAsia="PMingLiU" w:hAnsi="Calibri" w:cs="Times New Roman"/>
          <w:vertAlign w:val="superscript"/>
        </w:rPr>
        <w:endnoteReference w:id="20"/>
      </w:r>
      <w:r w:rsidR="00B50E4B" w:rsidRPr="00A34B7E">
        <w:rPr>
          <w:rFonts w:ascii="Calibri" w:eastAsia="PMingLiU" w:hAnsi="Calibri" w:cs="Times New Roman"/>
        </w:rPr>
        <w:t xml:space="preserve"> Researchers estimate the associated cost savings at $363 – $1,000 per outpatient case. On an annual basis, ASCs perform more than 7 million procedures for Medicare beneficiaries requiring same-day procedures and by specializing in specific procedures, ASCs are able to maximize efficiency and quality outcomes for patients</w:t>
      </w:r>
      <w:r w:rsidR="00B50E4B" w:rsidRPr="00A34B7E">
        <w:rPr>
          <w:rFonts w:ascii="Calibri" w:eastAsia="PMingLiU" w:hAnsi="Calibri" w:cs="Times New Roman"/>
          <w:vertAlign w:val="superscript"/>
        </w:rPr>
        <w:t xml:space="preserve"> </w:t>
      </w:r>
      <w:r w:rsidR="00B50E4B" w:rsidRPr="00A34B7E">
        <w:rPr>
          <w:rFonts w:ascii="Calibri" w:eastAsia="PMingLiU" w:hAnsi="Calibri" w:cs="Times New Roman"/>
          <w:vertAlign w:val="superscript"/>
        </w:rPr>
        <w:endnoteReference w:id="21"/>
      </w:r>
      <w:r w:rsidR="00B50E4B" w:rsidRPr="00A34B7E">
        <w:rPr>
          <w:rFonts w:ascii="Calibri" w:eastAsia="PMingLiU" w:hAnsi="Calibri" w:cs="Times New Roman"/>
        </w:rPr>
        <w:t xml:space="preserve"> </w:t>
      </w:r>
      <w:r w:rsidRPr="00A34B7E">
        <w:rPr>
          <w:rFonts w:ascii="Calibri" w:eastAsia="PMingLiU" w:hAnsi="Calibri" w:cs="Times New Roman"/>
        </w:rPr>
        <w:t>which lead to cost savings.</w:t>
      </w:r>
      <w:r w:rsidR="00BC7CD9" w:rsidRPr="00A34B7E">
        <w:rPr>
          <w:rFonts w:ascii="Calibri" w:eastAsia="PMingLiU" w:hAnsi="Calibri" w:cs="Times New Roman"/>
        </w:rPr>
        <w:t xml:space="preserve"> </w:t>
      </w:r>
      <w:r w:rsidRPr="00A34B7E">
        <w:rPr>
          <w:rFonts w:ascii="Calibri" w:eastAsia="PMingLiU" w:hAnsi="Calibri" w:cs="Times New Roman"/>
        </w:rPr>
        <w:t xml:space="preserve"> </w:t>
      </w:r>
    </w:p>
    <w:p w14:paraId="48582048" w14:textId="2FC59FD3" w:rsidR="0028072D" w:rsidRPr="00A34B7E" w:rsidRDefault="0028072D" w:rsidP="00A34B7E">
      <w:pPr>
        <w:spacing w:before="240" w:after="240"/>
        <w:rPr>
          <w:rFonts w:ascii="Calibri" w:eastAsia="PMingLiU" w:hAnsi="Calibri" w:cs="Times New Roman"/>
        </w:rPr>
      </w:pPr>
      <w:r>
        <w:rPr>
          <w:rFonts w:ascii="Calibri" w:eastAsia="PMingLiU" w:hAnsi="Calibri" w:cs="Times New Roman"/>
        </w:rPr>
        <w:t xml:space="preserve">As noted earlier, </w:t>
      </w:r>
      <w:r w:rsidR="00E565DA">
        <w:rPr>
          <w:rFonts w:ascii="Calibri" w:eastAsia="PMingLiU" w:hAnsi="Calibri" w:cs="Times New Roman"/>
        </w:rPr>
        <w:t xml:space="preserve">depending on the specialty and payer, </w:t>
      </w:r>
      <w:r w:rsidR="00A0047B">
        <w:rPr>
          <w:rFonts w:ascii="Calibri" w:eastAsia="PMingLiU" w:hAnsi="Calibri" w:cs="Times New Roman"/>
        </w:rPr>
        <w:t xml:space="preserve">currently </w:t>
      </w:r>
      <w:r>
        <w:rPr>
          <w:rFonts w:ascii="Calibri" w:eastAsia="PMingLiU" w:hAnsi="Calibri" w:cs="Times New Roman"/>
        </w:rPr>
        <w:t>only a small percentage of eligible procedures are per</w:t>
      </w:r>
      <w:r w:rsidR="003C454B">
        <w:rPr>
          <w:rFonts w:ascii="Calibri" w:eastAsia="PMingLiU" w:hAnsi="Calibri" w:cs="Times New Roman"/>
        </w:rPr>
        <w:t>formed in ASC’s</w:t>
      </w:r>
      <w:r w:rsidR="00D179AC">
        <w:rPr>
          <w:rFonts w:ascii="Calibri" w:eastAsia="PMingLiU" w:hAnsi="Calibri" w:cs="Times New Roman"/>
        </w:rPr>
        <w:t xml:space="preserve"> (ranging from ~2% to ~15%) </w:t>
      </w:r>
      <w:r w:rsidR="003C454B">
        <w:rPr>
          <w:rFonts w:ascii="Calibri" w:eastAsia="PMingLiU" w:hAnsi="Calibri" w:cs="Times New Roman"/>
        </w:rPr>
        <w:t xml:space="preserve">in Massachusetts according to the HPC. </w:t>
      </w:r>
      <w:r w:rsidR="00C137CF" w:rsidRPr="05AFC214">
        <w:rPr>
          <w:rFonts w:ascii="Calibri" w:eastAsia="PMingLiU" w:hAnsi="Calibri" w:cs="Times New Roman"/>
          <w:i/>
          <w:iCs/>
          <w:vertAlign w:val="superscript"/>
        </w:rPr>
        <w:endnoteReference w:id="22"/>
      </w:r>
      <w:r w:rsidR="00F241CD">
        <w:rPr>
          <w:rFonts w:ascii="Calibri" w:eastAsia="PMingLiU" w:hAnsi="Calibri" w:cs="Times New Roman"/>
        </w:rPr>
        <w:t xml:space="preserve"> While not quantified,</w:t>
      </w:r>
      <w:r w:rsidR="00C137CF">
        <w:rPr>
          <w:rFonts w:ascii="Calibri" w:eastAsia="PMingLiU" w:hAnsi="Calibri" w:cs="Times New Roman"/>
        </w:rPr>
        <w:t xml:space="preserve"> </w:t>
      </w:r>
      <w:r w:rsidR="00E565DA">
        <w:rPr>
          <w:rFonts w:ascii="Calibri" w:eastAsia="PMingLiU" w:hAnsi="Calibri" w:cs="Times New Roman"/>
        </w:rPr>
        <w:t xml:space="preserve">with greater ASC capacity, the potential for cost savings for patients and </w:t>
      </w:r>
      <w:r w:rsidR="00F241CD">
        <w:rPr>
          <w:rFonts w:ascii="Calibri" w:eastAsia="PMingLiU" w:hAnsi="Calibri" w:cs="Times New Roman"/>
        </w:rPr>
        <w:t>insurers, public and private are significant.</w:t>
      </w:r>
    </w:p>
    <w:bookmarkEnd w:id="71"/>
    <w:p w14:paraId="6942614A" w14:textId="3A6C92A8" w:rsidR="00A34B7E" w:rsidRPr="00A34B7E" w:rsidRDefault="00A34B7E" w:rsidP="00A34B7E">
      <w:pPr>
        <w:spacing w:before="240" w:after="240"/>
        <w:rPr>
          <w:rFonts w:ascii="Calibri" w:eastAsia="PMingLiU" w:hAnsi="Calibri" w:cs="Times New Roman"/>
        </w:rPr>
      </w:pPr>
      <w:r w:rsidRPr="00A34B7E">
        <w:rPr>
          <w:rFonts w:ascii="Calibri" w:eastAsia="PMingLiU" w:hAnsi="Calibri" w:cs="Times New Roman"/>
        </w:rPr>
        <w:t>The addition of ASC services within the Atrius network will allow for better communication and more coordinated care within the Patient Panel. This is better for the patients and better for the financial success of value-based programs by reducing unnecessary repeat testing, inpatient surgeries, readmissions, and the overall cost of care which has been cited within the literature and studied by the HPC</w:t>
      </w:r>
      <w:r w:rsidR="00C137CF">
        <w:rPr>
          <w:rFonts w:ascii="Calibri" w:eastAsia="PMingLiU" w:hAnsi="Calibri" w:cs="Times New Roman"/>
        </w:rPr>
        <w:t>, and the percentages are even smaller for MassHealth patients.</w:t>
      </w:r>
    </w:p>
    <w:p w14:paraId="30275340" w14:textId="65E2D20B" w:rsidR="00196EC4" w:rsidRPr="00F60FDA" w:rsidRDefault="00196EC4" w:rsidP="00F60FDA">
      <w:pPr>
        <w:spacing w:before="240" w:after="240"/>
        <w:rPr>
          <w:rFonts w:ascii="Calibri" w:eastAsia="PMingLiU" w:hAnsi="Calibri" w:cs="Times New Roman"/>
        </w:rPr>
      </w:pPr>
      <w:r w:rsidRPr="00F60FDA">
        <w:rPr>
          <w:rFonts w:ascii="Calibri" w:eastAsia="PMingLiU" w:hAnsi="Calibri" w:cs="Times New Roman"/>
        </w:rPr>
        <w:t>Thus</w:t>
      </w:r>
      <w:r w:rsidR="00F65CF1" w:rsidRPr="00F60FDA">
        <w:rPr>
          <w:rFonts w:ascii="Calibri" w:eastAsia="PMingLiU" w:hAnsi="Calibri" w:cs="Times New Roman"/>
        </w:rPr>
        <w:t>,</w:t>
      </w:r>
      <w:r w:rsidRPr="00F60FDA">
        <w:rPr>
          <w:rFonts w:ascii="Calibri" w:eastAsia="PMingLiU" w:hAnsi="Calibri" w:cs="Times New Roman"/>
        </w:rPr>
        <w:t xml:space="preserve"> the Project will likely have a positive impact on the Massachusetts healthcare market through the expansion of operating efficiencies, cost reductions in overall care, and ultimately total medical expense (TME). </w:t>
      </w:r>
    </w:p>
    <w:p w14:paraId="2BC86BE0" w14:textId="78F25651" w:rsidR="002D535F" w:rsidRPr="00F60FDA" w:rsidRDefault="002D535F" w:rsidP="00F60FDA">
      <w:pPr>
        <w:pStyle w:val="Heading2"/>
        <w:spacing w:line="240" w:lineRule="auto"/>
        <w:rPr>
          <w:rFonts w:asciiTheme="minorHAnsi" w:hAnsiTheme="minorHAnsi" w:cstheme="minorHAnsi"/>
          <w:color w:val="auto"/>
          <w:sz w:val="24"/>
          <w:szCs w:val="24"/>
        </w:rPr>
      </w:pPr>
      <w:bookmarkStart w:id="72" w:name="_Toc106783922"/>
      <w:bookmarkStart w:id="73" w:name="_Toc157428833"/>
      <w:bookmarkStart w:id="74" w:name="_Toc181356982"/>
      <w:r w:rsidRPr="00F60FDA">
        <w:rPr>
          <w:rFonts w:asciiTheme="minorHAnsi" w:hAnsiTheme="minorHAnsi" w:cstheme="minorHAnsi"/>
          <w:color w:val="auto"/>
          <w:sz w:val="24"/>
          <w:szCs w:val="24"/>
        </w:rPr>
        <w:lastRenderedPageBreak/>
        <w:t xml:space="preserve">FACTOR 1 </w:t>
      </w:r>
      <w:r w:rsidR="008E54FA" w:rsidRPr="00F60FDA">
        <w:rPr>
          <w:rFonts w:asciiTheme="minorHAnsi" w:hAnsiTheme="minorHAnsi" w:cstheme="minorHAnsi"/>
          <w:color w:val="auto"/>
          <w:sz w:val="24"/>
          <w:szCs w:val="24"/>
        </w:rPr>
        <w:t>Summary Analysis</w:t>
      </w:r>
      <w:bookmarkEnd w:id="72"/>
      <w:bookmarkEnd w:id="73"/>
      <w:bookmarkEnd w:id="74"/>
    </w:p>
    <w:p w14:paraId="753464F1" w14:textId="77777777" w:rsidR="00764C52" w:rsidRPr="00F60FDA" w:rsidRDefault="00764C52" w:rsidP="00F60FDA">
      <w:pPr>
        <w:rPr>
          <w:strike/>
        </w:rPr>
      </w:pPr>
    </w:p>
    <w:p w14:paraId="3502C9B4" w14:textId="1F363364" w:rsidR="00223F21" w:rsidRPr="00F60FDA" w:rsidRDefault="00223F21" w:rsidP="000042A2">
      <w:pPr>
        <w:widowControl w:val="0"/>
        <w:tabs>
          <w:tab w:val="left" w:pos="901"/>
        </w:tabs>
        <w:autoSpaceDE w:val="0"/>
        <w:autoSpaceDN w:val="0"/>
        <w:ind w:right="225"/>
        <w:rPr>
          <w:bCs/>
          <w:iCs/>
        </w:rPr>
      </w:pPr>
      <w:r w:rsidRPr="00F60FDA">
        <w:rPr>
          <w:bCs/>
          <w:iCs/>
        </w:rPr>
        <w:t>Staff finds that maintaining patients within the Atrius practices allows them to experience lower cost-sharing and avoid administrative inefficiencies associated with external referrals and disruptions to care</w:t>
      </w:r>
      <w:r w:rsidR="00D0314B" w:rsidRPr="00F60FDA">
        <w:rPr>
          <w:bCs/>
          <w:iCs/>
        </w:rPr>
        <w:t>,</w:t>
      </w:r>
      <w:r w:rsidRPr="00F60FDA">
        <w:rPr>
          <w:bCs/>
          <w:iCs/>
        </w:rPr>
        <w:t xml:space="preserve"> and has the potential to improve </w:t>
      </w:r>
      <w:r w:rsidR="00BF3F88">
        <w:rPr>
          <w:bCs/>
          <w:iCs/>
        </w:rPr>
        <w:t xml:space="preserve">quality of care, </w:t>
      </w:r>
      <w:r w:rsidR="001C48CB">
        <w:rPr>
          <w:bCs/>
          <w:iCs/>
        </w:rPr>
        <w:t xml:space="preserve">such as shorter recovery times, and </w:t>
      </w:r>
      <w:r w:rsidR="00B17F2C">
        <w:rPr>
          <w:bCs/>
          <w:iCs/>
        </w:rPr>
        <w:t>lower</w:t>
      </w:r>
      <w:r w:rsidR="001C48CB">
        <w:rPr>
          <w:bCs/>
          <w:iCs/>
        </w:rPr>
        <w:t xml:space="preserve"> </w:t>
      </w:r>
      <w:r w:rsidR="00B17F2C">
        <w:rPr>
          <w:bCs/>
          <w:iCs/>
        </w:rPr>
        <w:t xml:space="preserve">infection and </w:t>
      </w:r>
      <w:r w:rsidR="001C48CB">
        <w:rPr>
          <w:bCs/>
          <w:iCs/>
        </w:rPr>
        <w:t>readmission rates</w:t>
      </w:r>
      <w:r w:rsidR="00805F59">
        <w:rPr>
          <w:bCs/>
          <w:iCs/>
        </w:rPr>
        <w:t>, as</w:t>
      </w:r>
      <w:r w:rsidR="00BF3F88">
        <w:rPr>
          <w:bCs/>
          <w:iCs/>
        </w:rPr>
        <w:t xml:space="preserve"> cited </w:t>
      </w:r>
      <w:r w:rsidR="00805F59">
        <w:rPr>
          <w:bCs/>
          <w:iCs/>
        </w:rPr>
        <w:t xml:space="preserve">above in </w:t>
      </w:r>
      <w:r w:rsidR="00A0047B">
        <w:rPr>
          <w:bCs/>
          <w:iCs/>
        </w:rPr>
        <w:t xml:space="preserve">Factor 1(b) </w:t>
      </w:r>
      <w:r w:rsidR="00805F59">
        <w:rPr>
          <w:bCs/>
          <w:iCs/>
        </w:rPr>
        <w:t xml:space="preserve">public health value of </w:t>
      </w:r>
      <w:r w:rsidRPr="00F60FDA">
        <w:rPr>
          <w:bCs/>
          <w:iCs/>
        </w:rPr>
        <w:t xml:space="preserve">ASCs. </w:t>
      </w:r>
    </w:p>
    <w:p w14:paraId="001649EC" w14:textId="1D6DF5F3" w:rsidR="003B2A12" w:rsidRPr="00F60FDA" w:rsidRDefault="690051EB" w:rsidP="00F60FDA">
      <w:pPr>
        <w:widowControl w:val="0"/>
        <w:tabs>
          <w:tab w:val="left" w:pos="901"/>
        </w:tabs>
        <w:autoSpaceDE w:val="0"/>
        <w:autoSpaceDN w:val="0"/>
        <w:spacing w:before="74"/>
        <w:ind w:right="225"/>
        <w:rPr>
          <w:rFonts w:ascii="Calibri" w:eastAsia="Garamond" w:hAnsi="Calibri" w:cs="Calibri"/>
        </w:rPr>
      </w:pPr>
      <w:r w:rsidRPr="00F60FDA">
        <w:t xml:space="preserve">Staff finds that </w:t>
      </w:r>
      <w:r w:rsidR="21B79E30">
        <w:t xml:space="preserve">by increasing the supply of operating rooms that serve several specialties, </w:t>
      </w:r>
      <w:r w:rsidRPr="00F60FDA">
        <w:t>the Proposed Project will</w:t>
      </w:r>
      <w:r w:rsidR="605C03A1" w:rsidRPr="00F60FDA">
        <w:t xml:space="preserve"> </w:t>
      </w:r>
      <w:r w:rsidR="7EF74A48" w:rsidRPr="00F60FDA">
        <w:t xml:space="preserve">reduce wait times and </w:t>
      </w:r>
      <w:r w:rsidR="605C03A1" w:rsidRPr="00F60FDA">
        <w:rPr>
          <w:rFonts w:ascii="Calibri" w:eastAsia="Garamond" w:hAnsi="Calibri" w:cs="Calibri"/>
        </w:rPr>
        <w:t xml:space="preserve">secure access to </w:t>
      </w:r>
      <w:r w:rsidR="2EEB7F60" w:rsidRPr="00F60FDA">
        <w:rPr>
          <w:rFonts w:ascii="Calibri" w:eastAsia="Garamond" w:hAnsi="Calibri" w:cs="Calibri"/>
        </w:rPr>
        <w:t xml:space="preserve">ASC </w:t>
      </w:r>
      <w:r w:rsidR="605C03A1" w:rsidRPr="00F60FDA">
        <w:rPr>
          <w:rFonts w:ascii="Calibri" w:eastAsia="Garamond" w:hAnsi="Calibri" w:cs="Calibri"/>
        </w:rPr>
        <w:t xml:space="preserve">care </w:t>
      </w:r>
      <w:r w:rsidR="3B6B2AB4" w:rsidRPr="00F60FDA">
        <w:rPr>
          <w:rFonts w:ascii="Calibri" w:eastAsia="Garamond" w:hAnsi="Calibri" w:cs="Calibri"/>
        </w:rPr>
        <w:t xml:space="preserve">for </w:t>
      </w:r>
      <w:r w:rsidR="00A0047B">
        <w:rPr>
          <w:rFonts w:ascii="Calibri" w:eastAsia="Garamond" w:hAnsi="Calibri" w:cs="Calibri"/>
        </w:rPr>
        <w:t xml:space="preserve">its </w:t>
      </w:r>
      <w:r w:rsidR="3B6B2AB4" w:rsidRPr="00F60FDA">
        <w:rPr>
          <w:rFonts w:ascii="Calibri" w:eastAsia="Garamond" w:hAnsi="Calibri" w:cs="Calibri"/>
        </w:rPr>
        <w:t>patients</w:t>
      </w:r>
      <w:r w:rsidR="39F24FE3">
        <w:rPr>
          <w:rFonts w:ascii="Calibri" w:eastAsia="Garamond" w:hAnsi="Calibri" w:cs="Calibri"/>
        </w:rPr>
        <w:t xml:space="preserve">. </w:t>
      </w:r>
      <w:r w:rsidR="0070154C">
        <w:rPr>
          <w:rFonts w:ascii="Calibri" w:eastAsia="Garamond" w:hAnsi="Calibri" w:cs="Calibri"/>
        </w:rPr>
        <w:t>T</w:t>
      </w:r>
      <w:r w:rsidR="4E226A65">
        <w:rPr>
          <w:rFonts w:ascii="Calibri" w:eastAsia="Garamond" w:hAnsi="Calibri" w:cs="Calibri"/>
        </w:rPr>
        <w:t xml:space="preserve">he changing technology, </w:t>
      </w:r>
      <w:r w:rsidR="0070154C">
        <w:rPr>
          <w:rFonts w:ascii="Calibri" w:eastAsia="Garamond" w:hAnsi="Calibri" w:cs="Calibri"/>
        </w:rPr>
        <w:t xml:space="preserve">improvements in </w:t>
      </w:r>
      <w:r w:rsidR="4E226A65">
        <w:rPr>
          <w:rFonts w:ascii="Calibri" w:eastAsia="Garamond" w:hAnsi="Calibri" w:cs="Calibri"/>
        </w:rPr>
        <w:t xml:space="preserve">anesthesia and surgical techniques have led to increasing numbers of procedures being added to the </w:t>
      </w:r>
      <w:r w:rsidR="00A0047B">
        <w:rPr>
          <w:rFonts w:ascii="Calibri" w:eastAsia="Garamond" w:hAnsi="Calibri" w:cs="Calibri"/>
        </w:rPr>
        <w:t xml:space="preserve">Medicare </w:t>
      </w:r>
      <w:r w:rsidR="4E226A65">
        <w:rPr>
          <w:rFonts w:ascii="Calibri" w:eastAsia="Garamond" w:hAnsi="Calibri" w:cs="Calibri"/>
        </w:rPr>
        <w:t>ASC eligible list</w:t>
      </w:r>
      <w:r w:rsidR="6FBE3EB9">
        <w:rPr>
          <w:rFonts w:ascii="Calibri" w:eastAsia="Garamond" w:hAnsi="Calibri" w:cs="Calibri"/>
        </w:rPr>
        <w:t xml:space="preserve"> annually</w:t>
      </w:r>
      <w:r w:rsidR="00F44DDB">
        <w:rPr>
          <w:rFonts w:ascii="Calibri" w:eastAsia="Garamond" w:hAnsi="Calibri" w:cs="Calibri"/>
        </w:rPr>
        <w:t xml:space="preserve"> making it difficult to predict</w:t>
      </w:r>
      <w:r w:rsidR="0070154C">
        <w:rPr>
          <w:rFonts w:ascii="Calibri" w:eastAsia="Garamond" w:hAnsi="Calibri" w:cs="Calibri"/>
        </w:rPr>
        <w:t xml:space="preserve"> optimal numbers of ORs</w:t>
      </w:r>
      <w:r w:rsidR="6FBE3EB9">
        <w:rPr>
          <w:rFonts w:ascii="Calibri" w:eastAsia="Garamond" w:hAnsi="Calibri" w:cs="Calibri"/>
        </w:rPr>
        <w:t>. G</w:t>
      </w:r>
      <w:r w:rsidR="4E226A65" w:rsidRPr="00A12697">
        <w:rPr>
          <w:rFonts w:ascii="Calibri" w:eastAsia="Garamond" w:hAnsi="Calibri" w:cs="Calibri"/>
        </w:rPr>
        <w:t xml:space="preserve">iven that Massachusetts is </w:t>
      </w:r>
      <w:r w:rsidR="6FBE3EB9">
        <w:rPr>
          <w:rFonts w:ascii="Calibri" w:eastAsia="Garamond" w:hAnsi="Calibri" w:cs="Calibri"/>
        </w:rPr>
        <w:t xml:space="preserve">currently </w:t>
      </w:r>
      <w:r w:rsidR="4E226A65" w:rsidRPr="00A12697">
        <w:rPr>
          <w:rFonts w:ascii="Calibri" w:eastAsia="Garamond" w:hAnsi="Calibri" w:cs="Calibri"/>
        </w:rPr>
        <w:t>under-resource</w:t>
      </w:r>
      <w:r w:rsidR="00F44DDB">
        <w:rPr>
          <w:rFonts w:ascii="Calibri" w:eastAsia="Garamond" w:hAnsi="Calibri" w:cs="Calibri"/>
        </w:rPr>
        <w:t>d</w:t>
      </w:r>
      <w:r w:rsidR="00A0047B">
        <w:rPr>
          <w:rFonts w:ascii="Calibri" w:eastAsia="Garamond" w:hAnsi="Calibri" w:cs="Calibri"/>
        </w:rPr>
        <w:t xml:space="preserve"> </w:t>
      </w:r>
      <w:r w:rsidR="4E226A65" w:rsidRPr="00A12697">
        <w:rPr>
          <w:rFonts w:ascii="Calibri" w:eastAsia="Garamond" w:hAnsi="Calibri" w:cs="Calibri"/>
        </w:rPr>
        <w:t>with respect to ASC’s relative to all but three other states, it is reasonable to consider ASC</w:t>
      </w:r>
      <w:r w:rsidR="39F24FE3">
        <w:rPr>
          <w:rFonts w:ascii="Calibri" w:eastAsia="Garamond" w:hAnsi="Calibri" w:cs="Calibri"/>
        </w:rPr>
        <w:t>s</w:t>
      </w:r>
      <w:r w:rsidR="4E226A65" w:rsidRPr="00A12697">
        <w:rPr>
          <w:rFonts w:ascii="Calibri" w:eastAsia="Garamond" w:hAnsi="Calibri" w:cs="Calibri"/>
        </w:rPr>
        <w:t xml:space="preserve"> as a </w:t>
      </w:r>
      <w:r w:rsidR="39F24FE3" w:rsidRPr="00A12697">
        <w:rPr>
          <w:rFonts w:ascii="Calibri" w:eastAsia="Garamond" w:hAnsi="Calibri" w:cs="Calibri"/>
        </w:rPr>
        <w:t>resource</w:t>
      </w:r>
      <w:r w:rsidR="4E226A65" w:rsidRPr="00A12697">
        <w:rPr>
          <w:rFonts w:ascii="Calibri" w:eastAsia="Garamond" w:hAnsi="Calibri" w:cs="Calibri"/>
        </w:rPr>
        <w:t xml:space="preserve"> </w:t>
      </w:r>
      <w:r w:rsidR="6FBE3EB9">
        <w:rPr>
          <w:rFonts w:ascii="Calibri" w:eastAsia="Garamond" w:hAnsi="Calibri" w:cs="Calibri"/>
        </w:rPr>
        <w:t xml:space="preserve">for </w:t>
      </w:r>
      <w:r w:rsidR="4E226A65" w:rsidRPr="00A12697">
        <w:rPr>
          <w:rFonts w:ascii="Calibri" w:eastAsia="Garamond" w:hAnsi="Calibri" w:cs="Calibri"/>
        </w:rPr>
        <w:t>a large</w:t>
      </w:r>
      <w:r w:rsidR="00A0047B">
        <w:rPr>
          <w:rFonts w:ascii="Calibri" w:eastAsia="Garamond" w:hAnsi="Calibri" w:cs="Calibri"/>
        </w:rPr>
        <w:t>r</w:t>
      </w:r>
      <w:r w:rsidR="4E226A65" w:rsidRPr="00A12697">
        <w:rPr>
          <w:rFonts w:ascii="Calibri" w:eastAsia="Garamond" w:hAnsi="Calibri" w:cs="Calibri"/>
        </w:rPr>
        <w:t xml:space="preserve"> service area</w:t>
      </w:r>
      <w:r w:rsidR="00A0047B">
        <w:rPr>
          <w:rFonts w:ascii="Calibri" w:eastAsia="Garamond" w:hAnsi="Calibri" w:cs="Calibri"/>
        </w:rPr>
        <w:t xml:space="preserve"> than for example a PCP</w:t>
      </w:r>
      <w:r w:rsidR="4E226A65" w:rsidRPr="00A12697">
        <w:rPr>
          <w:rFonts w:ascii="Calibri" w:eastAsia="Garamond" w:hAnsi="Calibri" w:cs="Calibri"/>
        </w:rPr>
        <w:t>.</w:t>
      </w:r>
      <w:r w:rsidR="6FBE3EB9">
        <w:rPr>
          <w:rFonts w:ascii="Calibri" w:eastAsia="Garamond" w:hAnsi="Calibri" w:cs="Calibri"/>
        </w:rPr>
        <w:t xml:space="preserve"> The </w:t>
      </w:r>
      <w:r w:rsidR="39F24FE3">
        <w:rPr>
          <w:rFonts w:ascii="Calibri" w:eastAsia="Garamond" w:hAnsi="Calibri" w:cs="Calibri"/>
        </w:rPr>
        <w:t>30-minute</w:t>
      </w:r>
      <w:r w:rsidR="6FBE3EB9">
        <w:rPr>
          <w:rFonts w:ascii="Calibri" w:eastAsia="Garamond" w:hAnsi="Calibri" w:cs="Calibri"/>
        </w:rPr>
        <w:t xml:space="preserve"> drive time</w:t>
      </w:r>
      <w:r w:rsidR="39F24FE3">
        <w:rPr>
          <w:rFonts w:ascii="Calibri" w:eastAsia="Garamond" w:hAnsi="Calibri" w:cs="Calibri"/>
        </w:rPr>
        <w:t xml:space="preserve"> that the Applicant used</w:t>
      </w:r>
      <w:r w:rsidR="6FBE3EB9">
        <w:rPr>
          <w:rFonts w:ascii="Calibri" w:eastAsia="Garamond" w:hAnsi="Calibri" w:cs="Calibri"/>
        </w:rPr>
        <w:t xml:space="preserve"> has been a benchmark for outpatient </w:t>
      </w:r>
      <w:r w:rsidR="7727A2E0">
        <w:rPr>
          <w:rFonts w:ascii="Calibri" w:eastAsia="Garamond" w:hAnsi="Calibri" w:cs="Calibri"/>
        </w:rPr>
        <w:t xml:space="preserve">health care </w:t>
      </w:r>
      <w:r w:rsidR="6FBE3EB9">
        <w:rPr>
          <w:rFonts w:ascii="Calibri" w:eastAsia="Garamond" w:hAnsi="Calibri" w:cs="Calibri"/>
        </w:rPr>
        <w:t xml:space="preserve">services planning </w:t>
      </w:r>
      <w:r w:rsidR="39F24FE3">
        <w:rPr>
          <w:rFonts w:ascii="Calibri" w:eastAsia="Garamond" w:hAnsi="Calibri" w:cs="Calibri"/>
        </w:rPr>
        <w:t>policymakers</w:t>
      </w:r>
      <w:r w:rsidR="7727A2E0">
        <w:rPr>
          <w:rFonts w:ascii="Calibri" w:eastAsia="Garamond" w:hAnsi="Calibri" w:cs="Calibri"/>
        </w:rPr>
        <w:t>.</w:t>
      </w:r>
      <w:r w:rsidR="001C057A">
        <w:rPr>
          <w:rStyle w:val="FootnoteReference"/>
          <w:rFonts w:ascii="Calibri" w:eastAsia="Garamond" w:hAnsi="Calibri" w:cs="Calibri"/>
        </w:rPr>
        <w:footnoteReference w:id="45"/>
      </w:r>
    </w:p>
    <w:p w14:paraId="6F9A47F8" w14:textId="77777777" w:rsidR="005D3A9E" w:rsidRPr="00F60FDA" w:rsidRDefault="005D3A9E" w:rsidP="00F60FDA"/>
    <w:p w14:paraId="5A354BE7" w14:textId="4D5194F3" w:rsidR="00140989" w:rsidRPr="00F60FDA" w:rsidRDefault="002D535F" w:rsidP="00F60FDA">
      <w:r>
        <w:t>As a result of information provided by the Applicant and additional analysis, staf</w:t>
      </w:r>
      <w:r w:rsidR="00D07308">
        <w:t xml:space="preserve">f finds </w:t>
      </w:r>
      <w:r w:rsidR="0014242D">
        <w:t>tha</w:t>
      </w:r>
      <w:r w:rsidR="00562778">
        <w:t xml:space="preserve">t </w:t>
      </w:r>
      <w:r>
        <w:t xml:space="preserve">the Applicant has demonstrated the Proposed Project </w:t>
      </w:r>
      <w:r w:rsidR="00251229">
        <w:t>meets</w:t>
      </w:r>
      <w:r>
        <w:t xml:space="preserve"> Factors 1(a-f). </w:t>
      </w:r>
    </w:p>
    <w:bookmarkEnd w:id="70"/>
    <w:p w14:paraId="3020A853" w14:textId="77777777" w:rsidR="00471349" w:rsidRPr="002B61BC" w:rsidRDefault="00471349" w:rsidP="0017310C">
      <w:pPr>
        <w:pStyle w:val="Heading1"/>
        <w:spacing w:before="0" w:line="240" w:lineRule="auto"/>
        <w:rPr>
          <w:rFonts w:asciiTheme="minorHAnsi" w:hAnsiTheme="minorHAnsi" w:cstheme="minorHAnsi"/>
          <w:color w:val="0070C0"/>
        </w:rPr>
      </w:pPr>
    </w:p>
    <w:p w14:paraId="36BC3E73" w14:textId="0BBE21FD" w:rsidR="002D535F" w:rsidRDefault="00664406" w:rsidP="00B31381">
      <w:pPr>
        <w:pStyle w:val="Heading1"/>
        <w:spacing w:before="0" w:line="240" w:lineRule="auto"/>
        <w:rPr>
          <w:rFonts w:asciiTheme="minorHAnsi" w:hAnsiTheme="minorHAnsi" w:cstheme="minorHAnsi"/>
        </w:rPr>
      </w:pPr>
      <w:bookmarkStart w:id="75" w:name="_Toc157428834"/>
      <w:bookmarkStart w:id="76" w:name="_Toc181356983"/>
      <w:r w:rsidRPr="008E54FA">
        <w:rPr>
          <w:rFonts w:asciiTheme="minorHAnsi" w:hAnsiTheme="minorHAnsi" w:cstheme="minorHAnsi"/>
        </w:rPr>
        <w:t>Factor</w:t>
      </w:r>
      <w:r w:rsidR="002D535F" w:rsidRPr="008E54FA">
        <w:rPr>
          <w:rFonts w:asciiTheme="minorHAnsi" w:hAnsiTheme="minorHAnsi" w:cstheme="minorHAnsi"/>
        </w:rPr>
        <w:t xml:space="preserve"> 2: Cost </w:t>
      </w:r>
      <w:r w:rsidR="00471349">
        <w:rPr>
          <w:rFonts w:asciiTheme="minorHAnsi" w:hAnsiTheme="minorHAnsi" w:cstheme="minorHAnsi"/>
        </w:rPr>
        <w:t>C</w:t>
      </w:r>
      <w:r w:rsidR="002D535F" w:rsidRPr="008E54FA">
        <w:rPr>
          <w:rFonts w:asciiTheme="minorHAnsi" w:hAnsiTheme="minorHAnsi" w:cstheme="minorHAnsi"/>
        </w:rPr>
        <w:t>ontainment, Improved Public Health Outcomes and Delivery System Transformation</w:t>
      </w:r>
      <w:bookmarkEnd w:id="75"/>
      <w:bookmarkEnd w:id="76"/>
    </w:p>
    <w:p w14:paraId="44B4C547" w14:textId="66010C02" w:rsidR="00794127" w:rsidRDefault="00794127" w:rsidP="00794127"/>
    <w:p w14:paraId="6273920F" w14:textId="3D57DBA7" w:rsidR="006E5F91" w:rsidRDefault="004A2DCA" w:rsidP="004F5131">
      <w:pPr>
        <w:rPr>
          <w:rFonts w:ascii="Calibri" w:eastAsia="Calibri" w:hAnsi="Calibri" w:cs="Calibri"/>
          <w:b/>
          <w:bCs/>
        </w:rPr>
      </w:pPr>
      <w:r w:rsidRPr="004F5131">
        <w:rPr>
          <w:rFonts w:ascii="Calibri" w:eastAsia="Calibri" w:hAnsi="Calibri" w:cs="Calibri"/>
          <w:b/>
          <w:bCs/>
        </w:rPr>
        <w:t>Cost Containment</w:t>
      </w:r>
      <w:r w:rsidR="003D6B22">
        <w:rPr>
          <w:rFonts w:ascii="Calibri" w:eastAsia="Calibri" w:hAnsi="Calibri" w:cs="Calibri"/>
          <w:b/>
          <w:bCs/>
        </w:rPr>
        <w:t xml:space="preserve"> </w:t>
      </w:r>
    </w:p>
    <w:p w14:paraId="7E038081" w14:textId="77777777" w:rsidR="00686A38" w:rsidRDefault="00686A38" w:rsidP="004F5131">
      <w:pPr>
        <w:rPr>
          <w:rFonts w:ascii="Calibri" w:eastAsia="Calibri" w:hAnsi="Calibri" w:cs="Calibri"/>
          <w:b/>
          <w:bCs/>
        </w:rPr>
      </w:pPr>
    </w:p>
    <w:p w14:paraId="6F91626E" w14:textId="31996F8D" w:rsidR="00CF74BC" w:rsidRPr="00CF74BC" w:rsidRDefault="169D7D8F" w:rsidP="006E5F91">
      <w:pPr>
        <w:spacing w:after="120"/>
        <w:rPr>
          <w:rFonts w:ascii="Calibri" w:eastAsia="Calibri" w:hAnsi="Calibri" w:cs="Calibri"/>
        </w:rPr>
      </w:pPr>
      <w:r w:rsidRPr="00CF74BC">
        <w:rPr>
          <w:rFonts w:ascii="Calibri" w:eastAsia="Calibri" w:hAnsi="Calibri" w:cs="Calibri"/>
        </w:rPr>
        <w:t>One of the Commonwealth’s primary goals for cost containment is to provide low-cost care without sacrificing high quality.</w:t>
      </w:r>
      <w:r w:rsidR="00CF74BC" w:rsidRPr="00CF74BC">
        <w:rPr>
          <w:rFonts w:ascii="Calibri" w:eastAsia="Calibri" w:hAnsi="Calibri" w:cs="Calibri"/>
          <w:vertAlign w:val="superscript"/>
        </w:rPr>
        <w:footnoteReference w:id="46"/>
      </w:r>
      <w:r w:rsidRPr="00CF74BC">
        <w:rPr>
          <w:rFonts w:ascii="Calibri" w:eastAsia="Calibri" w:hAnsi="Calibri" w:cs="Calibri"/>
        </w:rPr>
        <w:t xml:space="preserve">  As discussed in this Application, </w:t>
      </w:r>
      <w:r w:rsidR="003D6B22">
        <w:rPr>
          <w:rFonts w:ascii="Calibri" w:eastAsia="Calibri" w:hAnsi="Calibri" w:cs="Calibri"/>
        </w:rPr>
        <w:t xml:space="preserve">under Factor 1(f), </w:t>
      </w:r>
      <w:r w:rsidRPr="00CF74BC">
        <w:rPr>
          <w:rFonts w:ascii="Calibri" w:eastAsia="Calibri" w:hAnsi="Calibri" w:cs="Calibri"/>
        </w:rPr>
        <w:t>the Proposed Project will contribute directly and meaningfully to the Commonwealth’s cost containment goals by improving the availability and accessibility of lower cost surgical services as an alternative to higher cost, hospital-based services.</w:t>
      </w:r>
      <w:r w:rsidR="56A9DA98">
        <w:rPr>
          <w:rFonts w:ascii="Calibri" w:eastAsia="Calibri" w:hAnsi="Calibri" w:cs="Calibri"/>
        </w:rPr>
        <w:t xml:space="preserve"> </w:t>
      </w:r>
      <w:r w:rsidRPr="00CF74BC">
        <w:rPr>
          <w:rFonts w:ascii="Calibri" w:eastAsia="Calibri" w:hAnsi="Calibri" w:cs="Calibri"/>
        </w:rPr>
        <w:t xml:space="preserve">ASC reimbursement rates are </w:t>
      </w:r>
      <w:r w:rsidR="0CD5A83D">
        <w:rPr>
          <w:rFonts w:ascii="Calibri" w:eastAsia="Calibri" w:hAnsi="Calibri" w:cs="Calibri"/>
        </w:rPr>
        <w:t>~</w:t>
      </w:r>
      <w:r w:rsidRPr="00CF74BC">
        <w:rPr>
          <w:rFonts w:ascii="Calibri" w:eastAsia="Calibri" w:hAnsi="Calibri" w:cs="Calibri"/>
        </w:rPr>
        <w:t xml:space="preserve">48% of the amount paid to </w:t>
      </w:r>
      <w:r w:rsidR="13A935B3">
        <w:rPr>
          <w:rFonts w:ascii="Calibri" w:eastAsia="Calibri" w:hAnsi="Calibri" w:cs="Calibri"/>
        </w:rPr>
        <w:t>HOPDs</w:t>
      </w:r>
      <w:r w:rsidR="00CF74BC" w:rsidRPr="00CF74BC">
        <w:rPr>
          <w:rFonts w:ascii="Calibri" w:eastAsia="Calibri" w:hAnsi="Calibri" w:cs="Calibri"/>
          <w:vertAlign w:val="superscript"/>
        </w:rPr>
        <w:footnoteReference w:id="47"/>
      </w:r>
      <w:r w:rsidRPr="00CF74BC">
        <w:rPr>
          <w:rFonts w:ascii="Calibri" w:eastAsia="Calibri" w:hAnsi="Calibri" w:cs="Calibri"/>
        </w:rPr>
        <w:t xml:space="preserve"> suggest</w:t>
      </w:r>
      <w:r w:rsidR="003D6B22">
        <w:rPr>
          <w:rFonts w:ascii="Calibri" w:eastAsia="Calibri" w:hAnsi="Calibri" w:cs="Calibri"/>
        </w:rPr>
        <w:t>ing</w:t>
      </w:r>
      <w:r w:rsidRPr="00CF74BC">
        <w:rPr>
          <w:rFonts w:ascii="Calibri" w:eastAsia="Calibri" w:hAnsi="Calibri" w:cs="Calibri"/>
        </w:rPr>
        <w:t xml:space="preserve"> that if half of all eligible surgical procedures were shifted to the ASC from a HO</w:t>
      </w:r>
      <w:r w:rsidR="003D6B22">
        <w:rPr>
          <w:rFonts w:ascii="Calibri" w:eastAsia="Calibri" w:hAnsi="Calibri" w:cs="Calibri"/>
        </w:rPr>
        <w:t>PD</w:t>
      </w:r>
      <w:r w:rsidRPr="00CF74BC">
        <w:rPr>
          <w:rFonts w:ascii="Calibri" w:eastAsia="Calibri" w:hAnsi="Calibri" w:cs="Calibri"/>
        </w:rPr>
        <w:t>, Medicare would save $2.5 billion annually.</w:t>
      </w:r>
      <w:r w:rsidR="00CF74BC" w:rsidRPr="00CF74BC">
        <w:rPr>
          <w:rFonts w:ascii="Calibri" w:eastAsia="Calibri" w:hAnsi="Calibri" w:cs="Calibri"/>
          <w:vertAlign w:val="superscript"/>
        </w:rPr>
        <w:footnoteReference w:id="48"/>
      </w:r>
      <w:r w:rsidR="003D6B22">
        <w:rPr>
          <w:rFonts w:ascii="Calibri" w:eastAsia="Calibri" w:hAnsi="Calibri" w:cs="Calibri"/>
        </w:rPr>
        <w:t xml:space="preserve"> Other citations in Factor 1 show similar savings</w:t>
      </w:r>
      <w:r w:rsidR="002C4793">
        <w:rPr>
          <w:rFonts w:ascii="Calibri" w:eastAsia="Calibri" w:hAnsi="Calibri" w:cs="Calibri"/>
        </w:rPr>
        <w:t xml:space="preserve">, including </w:t>
      </w:r>
      <w:r w:rsidR="002C4793" w:rsidRPr="002C4793">
        <w:rPr>
          <w:rFonts w:ascii="Calibri" w:eastAsia="Calibri" w:hAnsi="Calibri" w:cs="Calibri"/>
        </w:rPr>
        <w:t>and a recent study from 2020 projects Medicare savings from 2019 to 2028 of $73.4 billion, with increases in projected annual savings from $4.3 billion in 2019 to $12.2 billion in 2028.</w:t>
      </w:r>
    </w:p>
    <w:p w14:paraId="377A10D8" w14:textId="3C44BDD9" w:rsidR="00CF74BC" w:rsidRPr="00CF74BC" w:rsidRDefault="003D6B22" w:rsidP="006E5F91">
      <w:pPr>
        <w:spacing w:after="120"/>
        <w:rPr>
          <w:rFonts w:ascii="Calibri" w:eastAsia="Calibri" w:hAnsi="Calibri" w:cs="Calibri"/>
        </w:rPr>
      </w:pPr>
      <w:r>
        <w:rPr>
          <w:rFonts w:ascii="Calibri" w:eastAsia="Calibri" w:hAnsi="Calibri" w:cs="Calibri"/>
        </w:rPr>
        <w:lastRenderedPageBreak/>
        <w:t>T</w:t>
      </w:r>
      <w:r w:rsidR="169D7D8F" w:rsidRPr="00CF74BC">
        <w:rPr>
          <w:rFonts w:ascii="Calibri" w:eastAsia="Calibri" w:hAnsi="Calibri" w:cs="Calibri"/>
        </w:rPr>
        <w:t xml:space="preserve">he Applicant </w:t>
      </w:r>
      <w:r w:rsidR="41520E7E">
        <w:rPr>
          <w:rFonts w:ascii="Calibri" w:eastAsia="Calibri" w:hAnsi="Calibri" w:cs="Calibri"/>
        </w:rPr>
        <w:t xml:space="preserve">is recognized for its </w:t>
      </w:r>
      <w:r w:rsidR="169D7D8F" w:rsidRPr="00CF74BC">
        <w:rPr>
          <w:rFonts w:ascii="Calibri" w:eastAsia="Calibri" w:hAnsi="Calibri" w:cs="Calibri"/>
        </w:rPr>
        <w:t>strength in managing TME and minimizing the use of low-value services.</w:t>
      </w:r>
      <w:r w:rsidR="00CF74BC" w:rsidRPr="00CF74BC">
        <w:rPr>
          <w:rFonts w:ascii="Calibri" w:eastAsia="Calibri" w:hAnsi="Calibri" w:cs="Calibri"/>
          <w:vertAlign w:val="superscript"/>
        </w:rPr>
        <w:footnoteReference w:id="49"/>
      </w:r>
      <w:r w:rsidR="169D7D8F" w:rsidRPr="00CF74BC">
        <w:rPr>
          <w:rFonts w:ascii="Calibri" w:eastAsia="Calibri" w:hAnsi="Calibri" w:cs="Calibri"/>
        </w:rPr>
        <w:t xml:space="preserve">  </w:t>
      </w:r>
      <w:r w:rsidR="41520E7E">
        <w:rPr>
          <w:rFonts w:ascii="Calibri" w:eastAsia="Calibri" w:hAnsi="Calibri" w:cs="Calibri"/>
        </w:rPr>
        <w:t>As such, t</w:t>
      </w:r>
      <w:r w:rsidR="169D7D8F" w:rsidRPr="00CF74BC">
        <w:rPr>
          <w:rFonts w:ascii="Calibri" w:eastAsia="Calibri" w:hAnsi="Calibri" w:cs="Calibri"/>
        </w:rPr>
        <w:t xml:space="preserve">he </w:t>
      </w:r>
      <w:r w:rsidR="41520E7E">
        <w:rPr>
          <w:rFonts w:ascii="Calibri" w:eastAsia="Calibri" w:hAnsi="Calibri" w:cs="Calibri"/>
        </w:rPr>
        <w:t xml:space="preserve">Applicant states the </w:t>
      </w:r>
      <w:r w:rsidR="169D7D8F" w:rsidRPr="00CF74BC">
        <w:rPr>
          <w:rFonts w:ascii="Calibri" w:eastAsia="Calibri" w:hAnsi="Calibri" w:cs="Calibri"/>
        </w:rPr>
        <w:t>Proposed Project will help ensure that as a non-hospital health care provider</w:t>
      </w:r>
      <w:r w:rsidR="557963A9">
        <w:rPr>
          <w:rFonts w:ascii="Calibri" w:eastAsia="Calibri" w:hAnsi="Calibri" w:cs="Calibri"/>
        </w:rPr>
        <w:t>, it</w:t>
      </w:r>
      <w:r w:rsidR="169D7D8F" w:rsidRPr="00CF74BC">
        <w:rPr>
          <w:rFonts w:ascii="Calibri" w:eastAsia="Calibri" w:hAnsi="Calibri" w:cs="Calibri"/>
        </w:rPr>
        <w:t xml:space="preserve"> continues to deliver timely, connected and coordinated care to its patients in a </w:t>
      </w:r>
      <w:r w:rsidR="56A9DA98" w:rsidRPr="00CF74BC">
        <w:rPr>
          <w:rFonts w:ascii="Calibri" w:eastAsia="Calibri" w:hAnsi="Calibri" w:cs="Calibri"/>
        </w:rPr>
        <w:t>low</w:t>
      </w:r>
      <w:r w:rsidR="557963A9">
        <w:rPr>
          <w:rFonts w:ascii="Calibri" w:eastAsia="Calibri" w:hAnsi="Calibri" w:cs="Calibri"/>
        </w:rPr>
        <w:t>er</w:t>
      </w:r>
      <w:r w:rsidR="56A9DA98" w:rsidRPr="00CF74BC">
        <w:rPr>
          <w:rFonts w:ascii="Calibri" w:eastAsia="Calibri" w:hAnsi="Calibri" w:cs="Calibri"/>
        </w:rPr>
        <w:t>-cost</w:t>
      </w:r>
      <w:r w:rsidR="169D7D8F" w:rsidRPr="00CF74BC">
        <w:rPr>
          <w:rFonts w:ascii="Calibri" w:eastAsia="Calibri" w:hAnsi="Calibri" w:cs="Calibri"/>
        </w:rPr>
        <w:t xml:space="preserve"> </w:t>
      </w:r>
      <w:r w:rsidR="557963A9">
        <w:rPr>
          <w:rFonts w:ascii="Calibri" w:eastAsia="Calibri" w:hAnsi="Calibri" w:cs="Calibri"/>
        </w:rPr>
        <w:t xml:space="preserve">community </w:t>
      </w:r>
      <w:r w:rsidR="169D7D8F" w:rsidRPr="00CF74BC">
        <w:rPr>
          <w:rFonts w:ascii="Calibri" w:eastAsia="Calibri" w:hAnsi="Calibri" w:cs="Calibri"/>
        </w:rPr>
        <w:t>setting.</w:t>
      </w:r>
    </w:p>
    <w:p w14:paraId="773D297A" w14:textId="77777777" w:rsidR="00CF74BC" w:rsidRPr="00CF74BC" w:rsidRDefault="00CF74BC" w:rsidP="00CF74BC">
      <w:pPr>
        <w:spacing w:after="120"/>
        <w:jc w:val="both"/>
        <w:rPr>
          <w:rFonts w:ascii="Calibri" w:eastAsia="Calibri" w:hAnsi="Calibri" w:cs="Calibri"/>
          <w:b/>
        </w:rPr>
      </w:pPr>
      <w:r w:rsidRPr="00CF74BC">
        <w:rPr>
          <w:rFonts w:ascii="Calibri" w:eastAsia="Calibri" w:hAnsi="Calibri" w:cs="Calibri"/>
          <w:b/>
        </w:rPr>
        <w:t>Public Health Outcomes</w:t>
      </w:r>
    </w:p>
    <w:p w14:paraId="52748788" w14:textId="53166A45" w:rsidR="00FC4A7C" w:rsidRPr="00FC4A7C" w:rsidRDefault="00FC4A7C" w:rsidP="00FC4A7C">
      <w:pPr>
        <w:spacing w:after="120"/>
        <w:rPr>
          <w:rFonts w:ascii="Calibri" w:eastAsia="Calibri" w:hAnsi="Calibri" w:cs="Calibri"/>
        </w:rPr>
      </w:pPr>
      <w:r w:rsidRPr="61DD6110">
        <w:rPr>
          <w:rFonts w:ascii="Calibri" w:eastAsia="Calibri" w:hAnsi="Calibri" w:cs="Calibri"/>
        </w:rPr>
        <w:t>As discussed in Factor 1(a)</w:t>
      </w:r>
      <w:r w:rsidR="00353967" w:rsidRPr="61DD6110">
        <w:rPr>
          <w:rFonts w:ascii="Calibri" w:eastAsia="Calibri" w:hAnsi="Calibri" w:cs="Calibri"/>
        </w:rPr>
        <w:t xml:space="preserve">, </w:t>
      </w:r>
      <w:r w:rsidRPr="61DD6110">
        <w:rPr>
          <w:rFonts w:ascii="Calibri" w:eastAsia="Calibri" w:hAnsi="Calibri" w:cs="Calibri"/>
        </w:rPr>
        <w:t xml:space="preserve">(b) and elsewhere in the Application, </w:t>
      </w:r>
      <w:r w:rsidR="00353967" w:rsidRPr="61DD6110">
        <w:rPr>
          <w:rFonts w:ascii="Calibri" w:eastAsia="Calibri" w:hAnsi="Calibri" w:cs="Calibri"/>
        </w:rPr>
        <w:t xml:space="preserve">with the additional ASC capacity leading to more </w:t>
      </w:r>
      <w:r w:rsidRPr="61DD6110">
        <w:rPr>
          <w:rFonts w:ascii="Calibri" w:eastAsia="Calibri" w:hAnsi="Calibri" w:cs="Calibri"/>
        </w:rPr>
        <w:t>timely access</w:t>
      </w:r>
      <w:r w:rsidR="00353967" w:rsidRPr="61DD6110">
        <w:rPr>
          <w:rFonts w:ascii="Calibri" w:eastAsia="Calibri" w:hAnsi="Calibri" w:cs="Calibri"/>
        </w:rPr>
        <w:t>,</w:t>
      </w:r>
      <w:r w:rsidR="00E846B0">
        <w:rPr>
          <w:rFonts w:ascii="Calibri" w:eastAsia="Calibri" w:hAnsi="Calibri" w:cs="Calibri"/>
        </w:rPr>
        <w:t xml:space="preserve"> and surgical options within the Atrius physician group,</w:t>
      </w:r>
      <w:r w:rsidR="004B4A1B" w:rsidRPr="61DD6110">
        <w:rPr>
          <w:rFonts w:ascii="Calibri" w:eastAsia="Calibri" w:hAnsi="Calibri" w:cs="Calibri"/>
        </w:rPr>
        <w:t xml:space="preserve"> </w:t>
      </w:r>
      <w:r w:rsidRPr="61DD6110">
        <w:rPr>
          <w:rFonts w:ascii="Calibri" w:eastAsia="Calibri" w:hAnsi="Calibri" w:cs="Calibri"/>
        </w:rPr>
        <w:t xml:space="preserve">treatment </w:t>
      </w:r>
      <w:r w:rsidR="004B4A1B" w:rsidRPr="61DD6110">
        <w:rPr>
          <w:rFonts w:ascii="Calibri" w:eastAsia="Calibri" w:hAnsi="Calibri" w:cs="Calibri"/>
        </w:rPr>
        <w:t xml:space="preserve">will be </w:t>
      </w:r>
      <w:r w:rsidR="00346497" w:rsidRPr="61DD6110">
        <w:rPr>
          <w:rFonts w:ascii="Calibri" w:eastAsia="Calibri" w:hAnsi="Calibri" w:cs="Calibri"/>
        </w:rPr>
        <w:t xml:space="preserve">better coordinated </w:t>
      </w:r>
      <w:r w:rsidRPr="61DD6110">
        <w:rPr>
          <w:rFonts w:ascii="Calibri" w:eastAsia="Calibri" w:hAnsi="Calibri" w:cs="Calibri"/>
        </w:rPr>
        <w:t xml:space="preserve">and result in improved patient experience and public health outcomes. </w:t>
      </w:r>
      <w:r w:rsidR="001C1865" w:rsidRPr="61DD6110">
        <w:rPr>
          <w:rFonts w:ascii="Calibri" w:eastAsia="Calibri" w:hAnsi="Calibri" w:cs="Calibri"/>
        </w:rPr>
        <w:t xml:space="preserve">This will </w:t>
      </w:r>
      <w:r w:rsidR="00F43B87" w:rsidRPr="61DD6110">
        <w:rPr>
          <w:rFonts w:ascii="Calibri" w:eastAsia="Calibri" w:hAnsi="Calibri" w:cs="Calibri"/>
        </w:rPr>
        <w:t xml:space="preserve">address the increasing </w:t>
      </w:r>
      <w:r w:rsidR="00DB256B" w:rsidRPr="61DD6110">
        <w:rPr>
          <w:rFonts w:ascii="Calibri" w:eastAsia="Calibri" w:hAnsi="Calibri" w:cs="Calibri"/>
        </w:rPr>
        <w:t xml:space="preserve">need </w:t>
      </w:r>
      <w:r w:rsidR="00F43B87" w:rsidRPr="61DD6110">
        <w:rPr>
          <w:rFonts w:ascii="Calibri" w:eastAsia="Calibri" w:hAnsi="Calibri" w:cs="Calibri"/>
        </w:rPr>
        <w:t xml:space="preserve">for ASC services as more procedures are deemed appropriate for the ASC setting and will </w:t>
      </w:r>
      <w:r w:rsidR="006E5F91" w:rsidRPr="61DD6110">
        <w:rPr>
          <w:rFonts w:ascii="Calibri" w:eastAsia="Calibri" w:hAnsi="Calibri" w:cs="Calibri"/>
        </w:rPr>
        <w:t>particularly benefit the aging population.</w:t>
      </w:r>
    </w:p>
    <w:p w14:paraId="28FA90BA" w14:textId="77777777" w:rsidR="00A259BD" w:rsidRPr="004F5131" w:rsidRDefault="00A259BD" w:rsidP="004F5131">
      <w:pPr>
        <w:tabs>
          <w:tab w:val="left" w:pos="9000"/>
        </w:tabs>
        <w:spacing w:before="1"/>
        <w:rPr>
          <w:rFonts w:ascii="Calibri" w:eastAsia="Calibri" w:hAnsi="Calibri" w:cs="Calibri"/>
        </w:rPr>
      </w:pPr>
    </w:p>
    <w:p w14:paraId="23B221D8" w14:textId="606BF396" w:rsidR="00794127" w:rsidRPr="0048789D" w:rsidRDefault="00794127" w:rsidP="004F5131">
      <w:pPr>
        <w:tabs>
          <w:tab w:val="left" w:pos="720"/>
        </w:tabs>
        <w:jc w:val="both"/>
        <w:rPr>
          <w:rFonts w:ascii="Calibri" w:eastAsia="Calibri" w:hAnsi="Calibri" w:cs="Calibri"/>
          <w:b/>
        </w:rPr>
      </w:pPr>
      <w:r w:rsidRPr="0048789D">
        <w:rPr>
          <w:rFonts w:ascii="Calibri" w:eastAsia="Calibri" w:hAnsi="Calibri" w:cs="Calibri"/>
          <w:b/>
        </w:rPr>
        <w:t>Delivery System Transformation</w:t>
      </w:r>
    </w:p>
    <w:p w14:paraId="48C36289" w14:textId="77777777" w:rsidR="00BA6C02" w:rsidRPr="004F5131" w:rsidRDefault="00BA6C02" w:rsidP="004F5131">
      <w:pPr>
        <w:tabs>
          <w:tab w:val="left" w:pos="720"/>
        </w:tabs>
        <w:jc w:val="both"/>
        <w:rPr>
          <w:rFonts w:ascii="Calibri" w:eastAsia="Calibri" w:hAnsi="Calibri" w:cs="Calibri"/>
          <w:b/>
          <w:u w:val="single"/>
        </w:rPr>
      </w:pPr>
    </w:p>
    <w:p w14:paraId="3FD529DA" w14:textId="76C4485A" w:rsidR="00CF74BC" w:rsidRDefault="00F26980" w:rsidP="00F26980">
      <w:pPr>
        <w:spacing w:after="120"/>
        <w:rPr>
          <w:rFonts w:ascii="Calibri" w:eastAsia="Calibri" w:hAnsi="Calibri" w:cs="Calibri"/>
        </w:rPr>
      </w:pPr>
      <w:bookmarkStart w:id="77" w:name="_Toc17731330"/>
      <w:bookmarkStart w:id="78" w:name="_Toc17748250"/>
      <w:bookmarkStart w:id="79" w:name="_Toc17748477"/>
      <w:bookmarkStart w:id="80" w:name="_Toc17748721"/>
      <w:bookmarkStart w:id="81" w:name="_Toc18420200"/>
      <w:bookmarkStart w:id="82" w:name="_Toc18922421"/>
      <w:r w:rsidRPr="61DD6110">
        <w:rPr>
          <w:rFonts w:ascii="Calibri" w:eastAsia="Calibri" w:hAnsi="Calibri" w:cs="Calibri"/>
        </w:rPr>
        <w:t xml:space="preserve">The Applicant states that </w:t>
      </w:r>
      <w:r w:rsidR="00CF74BC" w:rsidRPr="61DD6110">
        <w:rPr>
          <w:rFonts w:ascii="Calibri" w:eastAsia="Calibri" w:hAnsi="Calibri" w:cs="Calibri"/>
        </w:rPr>
        <w:t xml:space="preserve">Atrius Health aims to </w:t>
      </w:r>
      <w:r w:rsidRPr="61DD6110">
        <w:rPr>
          <w:rFonts w:ascii="Calibri" w:eastAsia="Calibri" w:hAnsi="Calibri" w:cs="Calibri"/>
        </w:rPr>
        <w:t xml:space="preserve">consistently </w:t>
      </w:r>
      <w:r w:rsidR="00CF74BC" w:rsidRPr="61DD6110">
        <w:rPr>
          <w:rFonts w:ascii="Calibri" w:eastAsia="Calibri" w:hAnsi="Calibri" w:cs="Calibri"/>
        </w:rPr>
        <w:t>provide</w:t>
      </w:r>
      <w:r w:rsidRPr="61DD6110">
        <w:rPr>
          <w:rFonts w:ascii="Calibri" w:eastAsia="Calibri" w:hAnsi="Calibri" w:cs="Calibri"/>
        </w:rPr>
        <w:t xml:space="preserve"> </w:t>
      </w:r>
      <w:r w:rsidR="00CF74BC" w:rsidRPr="61DD6110">
        <w:rPr>
          <w:rFonts w:ascii="Calibri" w:eastAsia="Calibri" w:hAnsi="Calibri" w:cs="Calibri"/>
        </w:rPr>
        <w:t>culturally competent care to its entire patient population</w:t>
      </w:r>
      <w:r w:rsidR="00F93058" w:rsidRPr="61DD6110">
        <w:rPr>
          <w:rFonts w:ascii="Calibri" w:eastAsia="Calibri" w:hAnsi="Calibri" w:cs="Calibri"/>
        </w:rPr>
        <w:t xml:space="preserve"> and that its </w:t>
      </w:r>
      <w:r w:rsidR="00CF74BC" w:rsidRPr="61DD6110">
        <w:rPr>
          <w:rFonts w:ascii="Calibri" w:eastAsia="Calibri" w:hAnsi="Calibri" w:cs="Calibri"/>
        </w:rPr>
        <w:t xml:space="preserve">emphasis on diversity, equity, and inclusion </w:t>
      </w:r>
      <w:r w:rsidR="230AE899" w:rsidRPr="61DD6110">
        <w:rPr>
          <w:rFonts w:ascii="Calibri" w:eastAsia="Calibri" w:hAnsi="Calibri" w:cs="Calibri"/>
        </w:rPr>
        <w:t xml:space="preserve">(DEI) </w:t>
      </w:r>
      <w:r w:rsidR="00CF74BC" w:rsidRPr="61DD6110">
        <w:rPr>
          <w:rFonts w:ascii="Calibri" w:eastAsia="Calibri" w:hAnsi="Calibri" w:cs="Calibri"/>
        </w:rPr>
        <w:t xml:space="preserve">guides major decisions made by the organization. Atrius Health patients speak dozens of languages; as noted above, interpreter services are available to make sure that patients fully understand procedures and other components of their care plans. </w:t>
      </w:r>
    </w:p>
    <w:p w14:paraId="61CBBA80" w14:textId="1BAB9940" w:rsidR="00E07ED7" w:rsidRPr="00E07ED7" w:rsidRDefault="00E07ED7" w:rsidP="00E07ED7">
      <w:pPr>
        <w:spacing w:after="120"/>
        <w:rPr>
          <w:rFonts w:ascii="Calibri" w:eastAsia="Calibri" w:hAnsi="Calibri" w:cs="Calibri"/>
        </w:rPr>
      </w:pPr>
      <w:r w:rsidRPr="61DD6110">
        <w:rPr>
          <w:rFonts w:ascii="Calibri" w:eastAsia="Calibri" w:hAnsi="Calibri" w:cs="Calibri"/>
        </w:rPr>
        <w:t>Atrius Health trains staff regularly to honor and respect patients of all cultural, racial, and ethnic backgrounds, seeking to improve</w:t>
      </w:r>
      <w:r w:rsidR="002E48E9" w:rsidRPr="61DD6110">
        <w:rPr>
          <w:rFonts w:ascii="Calibri" w:eastAsia="Calibri" w:hAnsi="Calibri" w:cs="Calibri"/>
        </w:rPr>
        <w:t xml:space="preserve"> their</w:t>
      </w:r>
      <w:r w:rsidRPr="61DD6110">
        <w:rPr>
          <w:rFonts w:ascii="Calibri" w:eastAsia="Calibri" w:hAnsi="Calibri" w:cs="Calibri"/>
        </w:rPr>
        <w:t xml:space="preserve"> cultural competence. For example, in 2023 all staff completed implicit bias training. In addition to trainings, Atrius Health offers DEI resources on its Intranet, available to all staff. </w:t>
      </w:r>
    </w:p>
    <w:p w14:paraId="6FB37858" w14:textId="7ABFCCD9" w:rsidR="00CF74BC" w:rsidRPr="00CF74BC" w:rsidRDefault="00EB238D" w:rsidP="00F26980">
      <w:pPr>
        <w:spacing w:after="120"/>
        <w:rPr>
          <w:rFonts w:ascii="Calibri" w:eastAsia="Calibri" w:hAnsi="Calibri" w:cs="Calibri"/>
        </w:rPr>
      </w:pPr>
      <w:r>
        <w:rPr>
          <w:rFonts w:ascii="Calibri" w:eastAsia="Calibri" w:hAnsi="Calibri" w:cs="Calibri"/>
        </w:rPr>
        <w:t xml:space="preserve">The Applicant asserts that it </w:t>
      </w:r>
      <w:r w:rsidR="00CF74BC" w:rsidRPr="00CF74BC">
        <w:rPr>
          <w:rFonts w:ascii="Calibri" w:eastAsia="Calibri" w:hAnsi="Calibri" w:cs="Calibri"/>
        </w:rPr>
        <w:t>routinely screens for health-related social needs in its pediatric and adult populations</w:t>
      </w:r>
      <w:r w:rsidR="00D45D64">
        <w:rPr>
          <w:rFonts w:ascii="Calibri" w:eastAsia="Calibri" w:hAnsi="Calibri" w:cs="Calibri"/>
        </w:rPr>
        <w:t>; w</w:t>
      </w:r>
      <w:r>
        <w:rPr>
          <w:rFonts w:ascii="Calibri" w:eastAsia="Calibri" w:hAnsi="Calibri" w:cs="Calibri"/>
        </w:rPr>
        <w:t>hen</w:t>
      </w:r>
      <w:r w:rsidR="00CF74BC" w:rsidRPr="00CF74BC">
        <w:rPr>
          <w:rFonts w:ascii="Calibri" w:eastAsia="Calibri" w:hAnsi="Calibri" w:cs="Calibri"/>
        </w:rPr>
        <w:t xml:space="preserve"> patients screen positive, </w:t>
      </w:r>
      <w:r w:rsidR="00DE2C0F">
        <w:rPr>
          <w:rFonts w:ascii="Calibri" w:eastAsia="Calibri" w:hAnsi="Calibri" w:cs="Calibri"/>
        </w:rPr>
        <w:t xml:space="preserve">they are connected to </w:t>
      </w:r>
      <w:r w:rsidR="00CF74BC" w:rsidRPr="00CF74BC">
        <w:rPr>
          <w:rFonts w:ascii="Calibri" w:eastAsia="Calibri" w:hAnsi="Calibri" w:cs="Calibri"/>
        </w:rPr>
        <w:t xml:space="preserve">internal and external resources (e.g., social work; community health worker; community services using the </w:t>
      </w:r>
      <w:proofErr w:type="spellStart"/>
      <w:r w:rsidR="00CF74BC" w:rsidRPr="00CF74BC">
        <w:rPr>
          <w:rFonts w:ascii="Calibri" w:eastAsia="Calibri" w:hAnsi="Calibri" w:cs="Calibri"/>
        </w:rPr>
        <w:t>FindHelp</w:t>
      </w:r>
      <w:proofErr w:type="spellEnd"/>
      <w:r w:rsidR="00CF74BC" w:rsidRPr="00CF74BC">
        <w:rPr>
          <w:rFonts w:ascii="Calibri" w:eastAsia="Calibri" w:hAnsi="Calibri" w:cs="Calibri"/>
        </w:rPr>
        <w:t xml:space="preserve"> community resource directory), including but not limited to those specific to an aging population. For its MassHealth ACO population, Atrius Health has established partnerships with social services organizations including Community Servings, Just Roots, and the Massachusetts Housing Coalition. The </w:t>
      </w:r>
      <w:r w:rsidR="008B566E">
        <w:rPr>
          <w:rFonts w:ascii="Calibri" w:eastAsia="Calibri" w:hAnsi="Calibri" w:cs="Calibri"/>
        </w:rPr>
        <w:t xml:space="preserve">screening and </w:t>
      </w:r>
      <w:r w:rsidR="00CE17E8">
        <w:rPr>
          <w:rFonts w:ascii="Calibri" w:eastAsia="Calibri" w:hAnsi="Calibri" w:cs="Calibri"/>
        </w:rPr>
        <w:t xml:space="preserve">care liaison </w:t>
      </w:r>
      <w:r>
        <w:rPr>
          <w:rFonts w:ascii="Calibri" w:eastAsia="Calibri" w:hAnsi="Calibri" w:cs="Calibri"/>
        </w:rPr>
        <w:t xml:space="preserve">practices </w:t>
      </w:r>
      <w:r w:rsidR="00CF74BC" w:rsidRPr="00CF74BC">
        <w:rPr>
          <w:rFonts w:ascii="Calibri" w:eastAsia="Calibri" w:hAnsi="Calibri" w:cs="Calibri"/>
        </w:rPr>
        <w:t>will be integrated into the Proposed Project and fully available to all eligible Atrius Health patients.</w:t>
      </w:r>
    </w:p>
    <w:p w14:paraId="531CB43D" w14:textId="77777777" w:rsidR="00CF74BC" w:rsidRPr="00CF74BC" w:rsidRDefault="00CF74BC" w:rsidP="00F26980">
      <w:pPr>
        <w:spacing w:after="120"/>
        <w:rPr>
          <w:rFonts w:ascii="Calibri" w:eastAsia="Calibri" w:hAnsi="Calibri" w:cs="Calibri"/>
        </w:rPr>
      </w:pPr>
      <w:r w:rsidRPr="00CF74BC">
        <w:rPr>
          <w:rFonts w:ascii="Calibri" w:eastAsia="Calibri" w:hAnsi="Calibri" w:cs="Calibri"/>
        </w:rPr>
        <w:t>In addition, Atrius Health has implemented EMR capabilities to capture patient-reported sexual orientation, gender identity, race, ethnicity, and language data more accurately and in greater detail to help better identify and reduce disparities.</w:t>
      </w:r>
    </w:p>
    <w:p w14:paraId="08B1F2AB" w14:textId="7882768C" w:rsidR="002D535F" w:rsidRPr="00235C1F" w:rsidRDefault="002D535F" w:rsidP="00B31381">
      <w:pPr>
        <w:contextualSpacing/>
        <w:rPr>
          <w:b/>
          <w:i/>
          <w:iCs/>
        </w:rPr>
      </w:pPr>
      <w:r w:rsidRPr="00235C1F">
        <w:rPr>
          <w:b/>
          <w:i/>
          <w:iCs/>
        </w:rPr>
        <w:t>Analysis</w:t>
      </w:r>
      <w:r w:rsidR="00661459" w:rsidRPr="00235C1F">
        <w:rPr>
          <w:b/>
          <w:i/>
          <w:iCs/>
        </w:rPr>
        <w:t xml:space="preserve"> </w:t>
      </w:r>
    </w:p>
    <w:p w14:paraId="131A8B75" w14:textId="77777777" w:rsidR="00155601" w:rsidRDefault="00155601" w:rsidP="00B31381">
      <w:pPr>
        <w:pStyle w:val="Heading1"/>
        <w:spacing w:before="0" w:line="240" w:lineRule="auto"/>
        <w:rPr>
          <w:rFonts w:ascii="Garamond" w:hAnsi="Garamond"/>
        </w:rPr>
      </w:pPr>
      <w:bookmarkStart w:id="83" w:name="_Toc17748725"/>
      <w:bookmarkStart w:id="84" w:name="_Toc17748726"/>
      <w:bookmarkEnd w:id="77"/>
      <w:bookmarkEnd w:id="78"/>
      <w:bookmarkEnd w:id="79"/>
      <w:bookmarkEnd w:id="80"/>
      <w:bookmarkEnd w:id="81"/>
      <w:bookmarkEnd w:id="82"/>
    </w:p>
    <w:p w14:paraId="44DC682D" w14:textId="16197B62" w:rsidR="004043AC" w:rsidRDefault="004043AC" w:rsidP="00B31381">
      <w:pPr>
        <w:tabs>
          <w:tab w:val="left" w:pos="3240"/>
        </w:tabs>
        <w:contextualSpacing/>
      </w:pPr>
      <w:r>
        <w:t>Staff notes that there are many cited studies documenting the cost savings in the ASC setting. The</w:t>
      </w:r>
      <w:r w:rsidRPr="004043AC">
        <w:t xml:space="preserve"> HPC looked at 8 procedures commonly performed in both HOPDs and ASCs</w:t>
      </w:r>
      <w:r>
        <w:t>;</w:t>
      </w:r>
      <w:r w:rsidRPr="004043AC">
        <w:t xml:space="preserve"> </w:t>
      </w:r>
      <w:r>
        <w:t>f</w:t>
      </w:r>
      <w:r w:rsidRPr="004043AC">
        <w:t>ive are</w:t>
      </w:r>
      <w:r>
        <w:t xml:space="preserve"> within </w:t>
      </w:r>
      <w:r w:rsidRPr="004043AC">
        <w:lastRenderedPageBreak/>
        <w:t>those</w:t>
      </w:r>
      <w:r w:rsidR="00AB207A">
        <w:t xml:space="preserve"> specialties</w:t>
      </w:r>
      <w:r w:rsidRPr="004043AC">
        <w:t xml:space="preserve"> at the Applicants Proposed </w:t>
      </w:r>
      <w:proofErr w:type="gramStart"/>
      <w:r w:rsidRPr="004043AC">
        <w:t>ASC</w:t>
      </w:r>
      <w:r>
        <w:t xml:space="preserve"> </w:t>
      </w:r>
      <w:r w:rsidRPr="004043AC">
        <w:t>.</w:t>
      </w:r>
      <w:proofErr w:type="gramEnd"/>
      <w:r>
        <w:rPr>
          <w:rStyle w:val="FootnoteReference"/>
        </w:rPr>
        <w:footnoteReference w:id="50"/>
      </w:r>
      <w:r w:rsidRPr="004043AC">
        <w:t xml:space="preserve"> Prices for commercially insured </w:t>
      </w:r>
      <w:proofErr w:type="gramStart"/>
      <w:r w:rsidRPr="004043AC">
        <w:t>patient</w:t>
      </w:r>
      <w:proofErr w:type="gramEnd"/>
      <w:r w:rsidRPr="004043AC">
        <w:t xml:space="preserve"> in the ASC setting were substantially less in the ASC than in the HOPD ranging from -57% to-27%. MassHealth prices for the same procedures were significantly lower in both settings but in the ASC setting savings ran</w:t>
      </w:r>
      <w:r w:rsidR="00A5427F">
        <w:t>g</w:t>
      </w:r>
      <w:r w:rsidRPr="004043AC">
        <w:t xml:space="preserve">ed from -67% to -26% depending on the procedure. </w:t>
      </w:r>
    </w:p>
    <w:p w14:paraId="3A3C12C2" w14:textId="77777777" w:rsidR="004043AC" w:rsidRDefault="004043AC" w:rsidP="00B31381">
      <w:pPr>
        <w:tabs>
          <w:tab w:val="left" w:pos="3240"/>
        </w:tabs>
        <w:contextualSpacing/>
      </w:pPr>
    </w:p>
    <w:p w14:paraId="40E20CBC" w14:textId="12E04FFA" w:rsidR="00C05378" w:rsidRPr="008E54FA" w:rsidRDefault="5E691AA1" w:rsidP="00B31381">
      <w:pPr>
        <w:tabs>
          <w:tab w:val="left" w:pos="3240"/>
        </w:tabs>
        <w:contextualSpacing/>
      </w:pPr>
      <w:r>
        <w:t>U</w:t>
      </w:r>
      <w:r w:rsidRPr="00FF07CC">
        <w:t>nder a risk-based reimbursement model</w:t>
      </w:r>
      <w:r>
        <w:t>,</w:t>
      </w:r>
      <w:r w:rsidRPr="00FF07CC">
        <w:t xml:space="preserve"> </w:t>
      </w:r>
      <w:r w:rsidR="7A6F7559" w:rsidRPr="00FF07CC">
        <w:t xml:space="preserve">Atrius Health strives to </w:t>
      </w:r>
      <w:r w:rsidR="281C5DD2">
        <w:t xml:space="preserve">provide </w:t>
      </w:r>
      <w:r w:rsidR="7A6F7559" w:rsidRPr="00FF07CC">
        <w:t xml:space="preserve">its </w:t>
      </w:r>
      <w:r w:rsidR="5C7BBD5F" w:rsidRPr="00FF07CC">
        <w:t>patients with</w:t>
      </w:r>
      <w:r w:rsidR="7A6F7559" w:rsidRPr="00FF07CC">
        <w:t xml:space="preserve"> </w:t>
      </w:r>
      <w:r w:rsidR="41C7E41B">
        <w:t xml:space="preserve">value-based </w:t>
      </w:r>
      <w:proofErr w:type="gramStart"/>
      <w:r w:rsidR="41C7E41B">
        <w:t>care</w:t>
      </w:r>
      <w:r w:rsidR="44B5E994">
        <w:t>,</w:t>
      </w:r>
      <w:r w:rsidR="41C7E41B">
        <w:t xml:space="preserve"> </w:t>
      </w:r>
      <w:r w:rsidR="7A6F7559" w:rsidRPr="00FF07CC">
        <w:t>and</w:t>
      </w:r>
      <w:proofErr w:type="gramEnd"/>
      <w:r w:rsidR="7A6F7559" w:rsidRPr="00FF07CC">
        <w:t xml:space="preserve"> has structured its model across payers and products to provide quality, cost-effective care while avoiding unnecessary or low-value care</w:t>
      </w:r>
      <w:r w:rsidR="2E39F27A">
        <w:t xml:space="preserve">; </w:t>
      </w:r>
      <w:r w:rsidR="00FF07CC" w:rsidRPr="00FF07CC">
        <w:rPr>
          <w:vertAlign w:val="superscript"/>
        </w:rPr>
        <w:footnoteReference w:id="51"/>
      </w:r>
      <w:r w:rsidR="26402C5F">
        <w:t xml:space="preserve"> </w:t>
      </w:r>
      <w:r w:rsidR="1EF9D250">
        <w:t xml:space="preserve"> </w:t>
      </w:r>
      <w:r w:rsidR="44B5E994">
        <w:t xml:space="preserve">and is </w:t>
      </w:r>
      <w:r w:rsidR="300045EC">
        <w:t xml:space="preserve">recognized </w:t>
      </w:r>
      <w:r w:rsidR="44B5E994">
        <w:t xml:space="preserve">for its achievements </w:t>
      </w:r>
      <w:r w:rsidR="48ABC3E5">
        <w:t>by the Health Policy Commission</w:t>
      </w:r>
      <w:r w:rsidR="64C64A5D">
        <w:t>.</w:t>
      </w:r>
      <w:r w:rsidR="48ABC3E5">
        <w:t xml:space="preserve"> Adding an ASC to its continuum of non-hospital-based services has the potential to </w:t>
      </w:r>
      <w:r w:rsidR="63F9CD42">
        <w:t xml:space="preserve">transform the delivery of services through </w:t>
      </w:r>
      <w:r w:rsidR="05C1FFDF">
        <w:t xml:space="preserve">maintaining patients within the network so as to better control cost </w:t>
      </w:r>
      <w:r w:rsidR="7A6F7559">
        <w:t>and service delivery</w:t>
      </w:r>
      <w:r w:rsidR="63F9CD42">
        <w:t xml:space="preserve">. </w:t>
      </w:r>
      <w:r w:rsidR="0A67E08F" w:rsidRPr="008E54FA">
        <w:t xml:space="preserve">As a result of information provided, </w:t>
      </w:r>
      <w:r w:rsidR="319042D3">
        <w:t xml:space="preserve">and additional analysis, </w:t>
      </w:r>
      <w:r w:rsidR="0A67E08F" w:rsidRPr="008E54FA">
        <w:t xml:space="preserve">staff finds that the Proposed </w:t>
      </w:r>
      <w:r w:rsidR="51895B1A">
        <w:t xml:space="preserve">Project </w:t>
      </w:r>
      <w:r w:rsidR="0A67E08F" w:rsidRPr="008E54FA">
        <w:t>has sufficiently met the requirements of Factor 2.</w:t>
      </w:r>
    </w:p>
    <w:p w14:paraId="0F6F08D8" w14:textId="77777777" w:rsidR="002D535F" w:rsidRPr="007A57C4" w:rsidRDefault="002D535F" w:rsidP="00B31381">
      <w:pPr>
        <w:contextualSpacing/>
        <w:rPr>
          <w:rFonts w:ascii="Garamond" w:eastAsia="Calibri" w:hAnsi="Garamond"/>
          <w:bCs/>
        </w:rPr>
      </w:pPr>
    </w:p>
    <w:p w14:paraId="31B30376" w14:textId="36C1EA82" w:rsidR="002D535F" w:rsidRDefault="002D535F" w:rsidP="00B31381">
      <w:pPr>
        <w:pStyle w:val="Heading1"/>
        <w:spacing w:before="0" w:line="240" w:lineRule="auto"/>
        <w:contextualSpacing/>
        <w:rPr>
          <w:rFonts w:asciiTheme="minorHAnsi" w:hAnsiTheme="minorHAnsi" w:cstheme="minorHAnsi"/>
        </w:rPr>
      </w:pPr>
      <w:bookmarkStart w:id="85" w:name="_Toc157428835"/>
      <w:bookmarkStart w:id="86" w:name="_Toc181356984"/>
      <w:r w:rsidRPr="008E54FA">
        <w:rPr>
          <w:rFonts w:asciiTheme="minorHAnsi" w:hAnsiTheme="minorHAnsi" w:cstheme="minorHAnsi"/>
        </w:rPr>
        <w:t>Factor 3: Relevant Licensure/Oversight Compliance</w:t>
      </w:r>
      <w:bookmarkEnd w:id="83"/>
      <w:bookmarkEnd w:id="85"/>
      <w:bookmarkEnd w:id="86"/>
    </w:p>
    <w:p w14:paraId="0FD849BB" w14:textId="16D59225" w:rsidR="00DE4CD3" w:rsidRPr="00DE4CD3" w:rsidRDefault="008F1B14" w:rsidP="00B31381">
      <w:r>
        <w:t xml:space="preserve"> </w:t>
      </w:r>
    </w:p>
    <w:p w14:paraId="685EFDFE" w14:textId="564693CA" w:rsidR="002D535F" w:rsidRPr="008E54FA" w:rsidRDefault="00414E8A" w:rsidP="00B31381">
      <w:pPr>
        <w:contextualSpacing/>
      </w:pPr>
      <w:r w:rsidRPr="008E54FA">
        <w:t xml:space="preserve">The Applicant has provided evidence of compliance and good standing with federal, state, and local laws and regulations and </w:t>
      </w:r>
      <w:r w:rsidR="001377D8" w:rsidRPr="008E54FA">
        <w:t xml:space="preserve">this Factor </w:t>
      </w:r>
      <w:r w:rsidRPr="008E54FA">
        <w:t>will not be addressed further in this report. As a result of information provided by the Applicant, staff finds the Applicant has reasonably met the standards of Factor 3.</w:t>
      </w:r>
    </w:p>
    <w:p w14:paraId="745D1D6C" w14:textId="77777777" w:rsidR="004E3B63" w:rsidRDefault="004E3B63" w:rsidP="00B31381">
      <w:pPr>
        <w:pStyle w:val="Heading1"/>
        <w:spacing w:before="0" w:line="240" w:lineRule="auto"/>
        <w:contextualSpacing/>
        <w:rPr>
          <w:rFonts w:ascii="Garamond" w:hAnsi="Garamond"/>
        </w:rPr>
      </w:pPr>
    </w:p>
    <w:p w14:paraId="1F42F715" w14:textId="7D193F41" w:rsidR="002D535F" w:rsidRPr="008E54FA" w:rsidRDefault="002D535F" w:rsidP="00B31381">
      <w:pPr>
        <w:pStyle w:val="Heading1"/>
        <w:spacing w:before="0" w:line="240" w:lineRule="auto"/>
        <w:contextualSpacing/>
        <w:rPr>
          <w:rFonts w:asciiTheme="minorHAnsi" w:hAnsiTheme="minorHAnsi" w:cstheme="minorHAnsi"/>
        </w:rPr>
      </w:pPr>
      <w:bookmarkStart w:id="87" w:name="_Toc157428836"/>
      <w:bookmarkStart w:id="88" w:name="_Toc181356985"/>
      <w:r w:rsidRPr="008E54FA">
        <w:rPr>
          <w:rFonts w:asciiTheme="minorHAnsi" w:hAnsiTheme="minorHAnsi" w:cstheme="minorHAnsi"/>
        </w:rPr>
        <w:t>Factor 4: Demonstration of Sufficient Funds Independent CPA Analysis</w:t>
      </w:r>
      <w:bookmarkEnd w:id="84"/>
      <w:bookmarkEnd w:id="87"/>
      <w:bookmarkEnd w:id="88"/>
    </w:p>
    <w:p w14:paraId="31057359" w14:textId="77777777" w:rsidR="002C19B8" w:rsidRDefault="002C19B8" w:rsidP="00940CC4">
      <w:pPr>
        <w:spacing w:after="160"/>
        <w:rPr>
          <w:rFonts w:eastAsia="Aptos"/>
        </w:rPr>
      </w:pPr>
    </w:p>
    <w:p w14:paraId="1D5553DD" w14:textId="00E30463" w:rsidR="00940CC4" w:rsidRPr="00940CC4" w:rsidRDefault="00940CC4" w:rsidP="00672DE0">
      <w:pPr>
        <w:spacing w:after="160"/>
        <w:rPr>
          <w:rFonts w:eastAsia="Aptos"/>
        </w:rPr>
      </w:pPr>
      <w:r w:rsidRPr="00940CC4">
        <w:rPr>
          <w:rFonts w:eastAsia="Aptos"/>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w:t>
      </w:r>
      <w:r w:rsidR="000F7404" w:rsidRPr="00940CC4">
        <w:rPr>
          <w:rFonts w:eastAsia="Aptos"/>
        </w:rPr>
        <w:t>findings</w:t>
      </w:r>
      <w:r w:rsidRPr="00940CC4">
        <w:rPr>
          <w:rFonts w:eastAsia="Aptos"/>
        </w:rPr>
        <w:t xml:space="preserve"> must be supported by an analysis by an independent CPA. </w:t>
      </w:r>
    </w:p>
    <w:p w14:paraId="1EB0D3F5" w14:textId="3F0C2994" w:rsidR="00FA75CF" w:rsidRDefault="00FA75CF" w:rsidP="00672DE0">
      <w:pPr>
        <w:rPr>
          <w:rFonts w:ascii="Calibri" w:hAnsi="Calibri" w:cs="Calibri"/>
        </w:rPr>
      </w:pPr>
      <w:r w:rsidRPr="00FA75CF">
        <w:rPr>
          <w:rFonts w:ascii="Calibri" w:hAnsi="Calibri" w:cs="Calibri"/>
          <w:bCs/>
        </w:rPr>
        <w:t>To arrive at its conclusions</w:t>
      </w:r>
      <w:r w:rsidRPr="004D0D73">
        <w:rPr>
          <w:rFonts w:ascii="Calibri" w:hAnsi="Calibri" w:cs="Calibri"/>
        </w:rPr>
        <w:t>, the CPA reviewed the following information:</w:t>
      </w:r>
    </w:p>
    <w:p w14:paraId="5477BF67" w14:textId="77777777" w:rsidR="00FA75CF" w:rsidRPr="004D0D73" w:rsidRDefault="00FA75CF" w:rsidP="00672DE0">
      <w:pPr>
        <w:rPr>
          <w:rFonts w:ascii="Calibri" w:hAnsi="Calibri" w:cs="Calibri"/>
        </w:rPr>
      </w:pPr>
    </w:p>
    <w:p w14:paraId="00C01D19" w14:textId="77777777" w:rsidR="00FA75CF" w:rsidRPr="00E14C2B" w:rsidRDefault="00FA75CF" w:rsidP="00672DE0">
      <w:pPr>
        <w:pStyle w:val="VlnList1"/>
        <w:numPr>
          <w:ilvl w:val="0"/>
          <w:numId w:val="15"/>
        </w:numPr>
        <w:spacing w:line="240" w:lineRule="auto"/>
        <w:rPr>
          <w:rFonts w:ascii="Calibri" w:hAnsi="Calibri" w:cs="Calibri"/>
        </w:rPr>
      </w:pPr>
      <w:r w:rsidRPr="00E14C2B">
        <w:rPr>
          <w:rFonts w:ascii="Calibri" w:hAnsi="Calibri" w:cs="Calibri"/>
        </w:rPr>
        <w:t xml:space="preserve">Atrius Waltham ten-year Prospective Financial Schedules, prepared by Management as of May 20, </w:t>
      </w:r>
      <w:proofErr w:type="gramStart"/>
      <w:r w:rsidRPr="00E14C2B">
        <w:rPr>
          <w:rFonts w:ascii="Calibri" w:hAnsi="Calibri" w:cs="Calibri"/>
        </w:rPr>
        <w:t>2024</w:t>
      </w:r>
      <w:proofErr w:type="gramEnd"/>
      <w:r w:rsidRPr="00E14C2B">
        <w:rPr>
          <w:rFonts w:ascii="Calibri" w:hAnsi="Calibri" w:cs="Calibri"/>
        </w:rPr>
        <w:t xml:space="preserve"> and associated revenue and expenditure assumptions;</w:t>
      </w:r>
    </w:p>
    <w:p w14:paraId="6528F94F" w14:textId="77777777" w:rsidR="00FA75CF" w:rsidRPr="00E14C2B" w:rsidRDefault="00FA75CF" w:rsidP="00672DE0">
      <w:pPr>
        <w:pStyle w:val="VlnList1"/>
        <w:numPr>
          <w:ilvl w:val="0"/>
          <w:numId w:val="15"/>
        </w:numPr>
        <w:spacing w:line="240" w:lineRule="auto"/>
        <w:rPr>
          <w:rFonts w:ascii="Calibri" w:hAnsi="Calibri" w:cs="Calibri"/>
        </w:rPr>
      </w:pPr>
      <w:r w:rsidRPr="00E14C2B">
        <w:rPr>
          <w:rFonts w:ascii="Calibri" w:hAnsi="Calibri" w:cs="Calibri"/>
        </w:rPr>
        <w:t xml:space="preserve">An overview of the Proposed Project and associated business case rationale provided by Atrius; </w:t>
      </w:r>
    </w:p>
    <w:p w14:paraId="6FF13280" w14:textId="77777777" w:rsidR="00FA75CF" w:rsidRPr="00E14C2B" w:rsidRDefault="00FA75CF" w:rsidP="00672DE0">
      <w:pPr>
        <w:pStyle w:val="VlnList1"/>
        <w:numPr>
          <w:ilvl w:val="0"/>
          <w:numId w:val="15"/>
        </w:numPr>
        <w:spacing w:line="240" w:lineRule="auto"/>
        <w:rPr>
          <w:rFonts w:ascii="Calibri" w:hAnsi="Calibri" w:cs="Calibri"/>
        </w:rPr>
      </w:pPr>
      <w:r w:rsidRPr="00E14C2B">
        <w:rPr>
          <w:rFonts w:ascii="Calibri" w:hAnsi="Calibri" w:cs="Calibri"/>
        </w:rPr>
        <w:t>CPA Report Guidelines from the Determination of Need Program, dated March 2021;</w:t>
      </w:r>
    </w:p>
    <w:p w14:paraId="06857F37" w14:textId="77777777" w:rsidR="00E14C2B" w:rsidRPr="00E14C2B" w:rsidRDefault="00FA75CF" w:rsidP="00672DE0">
      <w:pPr>
        <w:pStyle w:val="VlnList1"/>
        <w:numPr>
          <w:ilvl w:val="0"/>
          <w:numId w:val="15"/>
        </w:numPr>
        <w:spacing w:after="0" w:line="240" w:lineRule="auto"/>
        <w:rPr>
          <w:rFonts w:ascii="Calibri" w:hAnsi="Calibri" w:cs="Calibri"/>
        </w:rPr>
      </w:pPr>
      <w:r w:rsidRPr="00E14C2B">
        <w:rPr>
          <w:rFonts w:ascii="Calibri" w:hAnsi="Calibri" w:cs="Calibri"/>
        </w:rPr>
        <w:t>Documentation provided by Atrius related to the source of capital funding for the Proposed Project;</w:t>
      </w:r>
      <w:bookmarkStart w:id="89" w:name="_Hlk175045475"/>
    </w:p>
    <w:p w14:paraId="5F3B83FC" w14:textId="17CAD582" w:rsidR="00E14C2B" w:rsidRPr="00E14C2B" w:rsidRDefault="00E14C2B" w:rsidP="00672DE0">
      <w:pPr>
        <w:pStyle w:val="VlnList1"/>
        <w:numPr>
          <w:ilvl w:val="0"/>
          <w:numId w:val="15"/>
        </w:numPr>
        <w:spacing w:after="0" w:line="240" w:lineRule="auto"/>
        <w:rPr>
          <w:rFonts w:ascii="Calibri" w:hAnsi="Calibri" w:cs="Calibri"/>
        </w:rPr>
      </w:pPr>
      <w:r w:rsidRPr="00E14C2B">
        <w:rPr>
          <w:rFonts w:ascii="Calibri" w:hAnsi="Calibri" w:cs="Calibri"/>
        </w:rPr>
        <w:lastRenderedPageBreak/>
        <w:t xml:space="preserve">Historical financial statements, including the consolidated financial performance of all of United Health Group’s subsidiaries, including Atrius Health, Inc., for years </w:t>
      </w:r>
      <w:r w:rsidR="00672DE0" w:rsidRPr="00E14C2B">
        <w:rPr>
          <w:rFonts w:ascii="Calibri" w:hAnsi="Calibri" w:cs="Calibri"/>
        </w:rPr>
        <w:t>ending 2021</w:t>
      </w:r>
      <w:r w:rsidRPr="00E14C2B">
        <w:rPr>
          <w:rFonts w:ascii="Calibri" w:hAnsi="Calibri" w:cs="Calibri"/>
        </w:rPr>
        <w:t xml:space="preserve">, 2022, and 2023; </w:t>
      </w:r>
    </w:p>
    <w:bookmarkEnd w:id="89"/>
    <w:p w14:paraId="0C826C6C" w14:textId="6817D28F" w:rsidR="00FA75CF" w:rsidRPr="00E14C2B" w:rsidRDefault="00FA75CF" w:rsidP="00672DE0">
      <w:pPr>
        <w:pStyle w:val="VlnList1"/>
        <w:numPr>
          <w:ilvl w:val="0"/>
          <w:numId w:val="15"/>
        </w:numPr>
        <w:spacing w:line="240" w:lineRule="auto"/>
        <w:rPr>
          <w:rFonts w:ascii="Calibri" w:hAnsi="Calibri" w:cs="Calibri"/>
        </w:rPr>
      </w:pPr>
      <w:r w:rsidRPr="00E14C2B">
        <w:rPr>
          <w:rFonts w:ascii="Calibri" w:hAnsi="Calibri" w:cs="Calibri"/>
        </w:rPr>
        <w:t>Correspondence with Atrius Management</w:t>
      </w:r>
      <w:r w:rsidR="00E14C2B" w:rsidRPr="00E14C2B">
        <w:rPr>
          <w:rFonts w:ascii="Calibri" w:hAnsi="Calibri" w:cs="Calibri"/>
        </w:rPr>
        <w:t>; and</w:t>
      </w:r>
    </w:p>
    <w:p w14:paraId="7060CAA4" w14:textId="6E492ADD" w:rsidR="00FA75CF" w:rsidRPr="00E14C2B" w:rsidRDefault="24A6E42A" w:rsidP="391A23E5">
      <w:pPr>
        <w:pStyle w:val="VlnList1"/>
        <w:spacing w:line="240" w:lineRule="auto"/>
        <w:rPr>
          <w:rFonts w:ascii="Calibri" w:hAnsi="Calibri" w:cs="Calibri"/>
        </w:rPr>
      </w:pPr>
      <w:r w:rsidRPr="00E14C2B">
        <w:rPr>
          <w:rFonts w:ascii="Calibri" w:hAnsi="Calibri" w:cs="Calibri"/>
        </w:rPr>
        <w:t>Key Financial Metrics</w:t>
      </w:r>
      <w:r w:rsidRPr="00E14C2B">
        <w:rPr>
          <w:rFonts w:ascii="Calibri" w:eastAsia="Calibri" w:hAnsi="Calibri"/>
        </w:rPr>
        <w:t>.</w:t>
      </w:r>
      <w:r w:rsidR="00FA75CF" w:rsidRPr="00E14C2B">
        <w:rPr>
          <w:rFonts w:eastAsia="Calibri"/>
          <w:vertAlign w:val="superscript"/>
        </w:rPr>
        <w:footnoteReference w:id="52"/>
      </w:r>
      <w:r w:rsidRPr="00E14C2B">
        <w:rPr>
          <w:rFonts w:ascii="Calibri" w:eastAsia="Calibri" w:hAnsi="Calibri"/>
        </w:rPr>
        <w:t xml:space="preserve"> </w:t>
      </w:r>
    </w:p>
    <w:p w14:paraId="7CD1539F" w14:textId="07FE4A76" w:rsidR="00FA75CF" w:rsidRPr="00FA75CF" w:rsidRDefault="00FA75CF" w:rsidP="00672DE0">
      <w:pPr>
        <w:pStyle w:val="VlnList1"/>
        <w:numPr>
          <w:ilvl w:val="0"/>
          <w:numId w:val="0"/>
        </w:numPr>
        <w:spacing w:line="240" w:lineRule="auto"/>
        <w:ind w:left="1080"/>
        <w:rPr>
          <w:rFonts w:ascii="Calibri" w:hAnsi="Calibri" w:cs="Calibri"/>
          <w:b/>
          <w:bCs/>
        </w:rPr>
      </w:pPr>
    </w:p>
    <w:p w14:paraId="083ABBDA" w14:textId="0581EDA1" w:rsidR="00FA75CF" w:rsidRPr="00FA75CF" w:rsidRDefault="00FA75CF" w:rsidP="00672DE0">
      <w:pPr>
        <w:pStyle w:val="VlnList1"/>
        <w:numPr>
          <w:ilvl w:val="0"/>
          <w:numId w:val="0"/>
        </w:numPr>
        <w:spacing w:line="240" w:lineRule="auto"/>
        <w:rPr>
          <w:rFonts w:ascii="Calibri" w:hAnsi="Calibri" w:cs="Calibri"/>
          <w:b/>
          <w:bCs/>
        </w:rPr>
      </w:pPr>
      <w:r w:rsidRPr="00FA75CF">
        <w:rPr>
          <w:rFonts w:ascii="Calibri" w:hAnsi="Calibri" w:cs="Calibri"/>
          <w:b/>
          <w:bCs/>
        </w:rPr>
        <w:t xml:space="preserve">Revenues </w:t>
      </w:r>
    </w:p>
    <w:p w14:paraId="50455DC8" w14:textId="22EE8FA5" w:rsidR="00FA75CF" w:rsidRDefault="00FA75CF" w:rsidP="00672DE0">
      <w:pPr>
        <w:rPr>
          <w:rFonts w:ascii="Calibri" w:hAnsi="Calibri" w:cs="Calibri"/>
        </w:rPr>
      </w:pPr>
      <w:r>
        <w:rPr>
          <w:rFonts w:ascii="Calibri" w:hAnsi="Calibri" w:cs="Calibri"/>
        </w:rPr>
        <w:t>The CPA</w:t>
      </w:r>
      <w:r w:rsidRPr="00065814">
        <w:rPr>
          <w:rFonts w:ascii="Calibri" w:hAnsi="Calibri" w:cs="Calibri"/>
        </w:rPr>
        <w:t xml:space="preserve"> reviewed the underlying assumptions </w:t>
      </w:r>
      <w:r>
        <w:rPr>
          <w:rFonts w:ascii="Calibri" w:hAnsi="Calibri" w:cs="Calibri"/>
        </w:rPr>
        <w:t>of the Applicant</w:t>
      </w:r>
      <w:r w:rsidR="002C19B8">
        <w:rPr>
          <w:rFonts w:ascii="Calibri" w:hAnsi="Calibri" w:cs="Calibri"/>
        </w:rPr>
        <w:t xml:space="preserve"> including the payer-mix</w:t>
      </w:r>
      <w:r w:rsidR="00E5277F">
        <w:rPr>
          <w:rFonts w:ascii="Calibri" w:hAnsi="Calibri" w:cs="Calibri"/>
        </w:rPr>
        <w:t xml:space="preserve"> which </w:t>
      </w:r>
      <w:r w:rsidR="007814DF">
        <w:rPr>
          <w:rFonts w:ascii="Calibri" w:hAnsi="Calibri" w:cs="Calibri"/>
        </w:rPr>
        <w:t>it estimates will have a higher public payer percentage than its current patient mix</w:t>
      </w:r>
      <w:bookmarkStart w:id="90" w:name="_Hlk175048269"/>
      <w:r w:rsidR="005441A5">
        <w:rPr>
          <w:rFonts w:ascii="Calibri" w:hAnsi="Calibri" w:cs="Calibri"/>
        </w:rPr>
        <w:t xml:space="preserve">, </w:t>
      </w:r>
      <w:r w:rsidR="00EB045D">
        <w:rPr>
          <w:rFonts w:ascii="Calibri" w:hAnsi="Calibri" w:cs="Calibri"/>
        </w:rPr>
        <w:t xml:space="preserve">66% and 75% respectively. </w:t>
      </w:r>
      <w:r w:rsidRPr="007E460F">
        <w:rPr>
          <w:rFonts w:ascii="Calibri" w:hAnsi="Calibri" w:cs="Calibri"/>
        </w:rPr>
        <w:t xml:space="preserve">Atrius Management has taken into consideration case type when developing volume and revenue per case estimates. </w:t>
      </w:r>
    </w:p>
    <w:p w14:paraId="6D529851" w14:textId="77777777" w:rsidR="003F7799" w:rsidRPr="007E460F" w:rsidRDefault="003F7799" w:rsidP="00672DE0">
      <w:pPr>
        <w:rPr>
          <w:rFonts w:ascii="Calibri" w:hAnsi="Calibri" w:cs="Calibri"/>
        </w:rPr>
      </w:pPr>
    </w:p>
    <w:bookmarkEnd w:id="90"/>
    <w:p w14:paraId="102B955B" w14:textId="726E2DC0" w:rsidR="00FA75CF" w:rsidRDefault="00FA75CF" w:rsidP="00672DE0">
      <w:pPr>
        <w:rPr>
          <w:rFonts w:ascii="Calibri" w:hAnsi="Calibri" w:cs="Calibri"/>
        </w:rPr>
      </w:pPr>
      <w:r w:rsidRPr="0040038D">
        <w:rPr>
          <w:rFonts w:ascii="Calibri" w:hAnsi="Calibri" w:cs="Calibri"/>
        </w:rPr>
        <w:t>Net patient service revenue (“NPSR”) assumes approximately 4% annual growth and is based on 2% annual growth in both case volume and revenue per case once after year 2. Year one case volume is estimated to be 55 percent of stabilized year two case volume. Year two volumes assume an 83 percent utilization rate of six operating rooms.</w:t>
      </w:r>
      <w:r w:rsidR="0055085C">
        <w:rPr>
          <w:rFonts w:ascii="Calibri" w:hAnsi="Calibri" w:cs="Calibri"/>
        </w:rPr>
        <w:t xml:space="preserve"> </w:t>
      </w:r>
    </w:p>
    <w:p w14:paraId="1699D8FD" w14:textId="77777777" w:rsidR="0055085C" w:rsidRPr="00065814" w:rsidRDefault="0055085C" w:rsidP="00672DE0">
      <w:pPr>
        <w:rPr>
          <w:rFonts w:ascii="Calibri" w:hAnsi="Calibri" w:cs="Calibri"/>
        </w:rPr>
      </w:pPr>
    </w:p>
    <w:p w14:paraId="730D7369" w14:textId="77777777" w:rsidR="00FA75CF" w:rsidRDefault="00FA75CF" w:rsidP="00672DE0">
      <w:pPr>
        <w:rPr>
          <w:rFonts w:ascii="Calibri" w:hAnsi="Calibri" w:cs="Calibri"/>
        </w:rPr>
      </w:pPr>
      <w:r>
        <w:rPr>
          <w:rFonts w:ascii="Calibri" w:hAnsi="Calibri" w:cs="Calibri"/>
        </w:rPr>
        <w:t xml:space="preserve">The CPA concluded that </w:t>
      </w:r>
      <w:r w:rsidRPr="00065814">
        <w:rPr>
          <w:rFonts w:ascii="Calibri" w:hAnsi="Calibri" w:cs="Calibri"/>
        </w:rPr>
        <w:t xml:space="preserve">the </w:t>
      </w:r>
      <w:r>
        <w:rPr>
          <w:rFonts w:ascii="Calibri" w:hAnsi="Calibri" w:cs="Calibri"/>
        </w:rPr>
        <w:t xml:space="preserve">projected </w:t>
      </w:r>
      <w:r w:rsidRPr="00065814">
        <w:rPr>
          <w:rFonts w:ascii="Calibri" w:hAnsi="Calibri" w:cs="Calibri"/>
        </w:rPr>
        <w:t>revenue growth of Atrius Waltham reflects a reasonable estimate of future revenues of the Applicant.</w:t>
      </w:r>
    </w:p>
    <w:p w14:paraId="1618C126" w14:textId="77777777" w:rsidR="00FA75CF" w:rsidRPr="00065814" w:rsidRDefault="00FA75CF" w:rsidP="00672DE0">
      <w:pPr>
        <w:rPr>
          <w:rFonts w:ascii="Calibri" w:hAnsi="Calibri" w:cs="Calibri"/>
        </w:rPr>
      </w:pPr>
    </w:p>
    <w:p w14:paraId="66117B8D" w14:textId="77777777" w:rsidR="00FA75CF" w:rsidRDefault="00FA75CF" w:rsidP="00672DE0">
      <w:pPr>
        <w:rPr>
          <w:rFonts w:ascii="Calibri" w:hAnsi="Calibri" w:cs="Calibri"/>
          <w:b/>
          <w:bCs/>
        </w:rPr>
      </w:pPr>
      <w:r w:rsidRPr="0040038D">
        <w:rPr>
          <w:rFonts w:ascii="Calibri" w:hAnsi="Calibri" w:cs="Calibri"/>
          <w:b/>
          <w:bCs/>
        </w:rPr>
        <w:t xml:space="preserve">Expenses </w:t>
      </w:r>
    </w:p>
    <w:p w14:paraId="4DDB715C" w14:textId="77777777" w:rsidR="00FA75CF" w:rsidRPr="0040038D" w:rsidRDefault="00FA75CF" w:rsidP="00672DE0">
      <w:pPr>
        <w:rPr>
          <w:rFonts w:ascii="Calibri" w:hAnsi="Calibri" w:cs="Calibri"/>
          <w:b/>
          <w:bCs/>
        </w:rPr>
      </w:pPr>
    </w:p>
    <w:p w14:paraId="47BDCC87" w14:textId="77777777" w:rsidR="00FA75CF" w:rsidRPr="0040038D" w:rsidRDefault="00FA75CF" w:rsidP="00672DE0">
      <w:pPr>
        <w:rPr>
          <w:rFonts w:ascii="Calibri" w:hAnsi="Calibri" w:cs="Calibri"/>
        </w:rPr>
      </w:pPr>
      <w:r w:rsidRPr="0040038D">
        <w:rPr>
          <w:rFonts w:ascii="Calibri" w:hAnsi="Calibri" w:cs="Calibri"/>
        </w:rPr>
        <w:t>The operating expenses in the analysis include salaries and benefits, medical supplies, facility rent, management fees, other operating expenses, and depreciation and amortization.</w:t>
      </w:r>
    </w:p>
    <w:p w14:paraId="575C3DFE" w14:textId="4EEF2957" w:rsidR="00FA75CF" w:rsidRPr="009508C1" w:rsidRDefault="24A6E42A" w:rsidP="000B3003">
      <w:pPr>
        <w:pStyle w:val="VlnBullet1"/>
        <w:numPr>
          <w:ilvl w:val="0"/>
          <w:numId w:val="16"/>
        </w:numPr>
        <w:spacing w:line="240" w:lineRule="auto"/>
        <w:rPr>
          <w:rFonts w:ascii="Calibri" w:hAnsi="Calibri" w:cs="Calibri"/>
        </w:rPr>
      </w:pPr>
      <w:r>
        <w:rPr>
          <w:rFonts w:ascii="Calibri" w:hAnsi="Calibri" w:cs="Calibri"/>
        </w:rPr>
        <w:t xml:space="preserve">Non-Physician </w:t>
      </w:r>
      <w:r w:rsidRPr="0040038D">
        <w:rPr>
          <w:rFonts w:ascii="Calibri" w:hAnsi="Calibri" w:cs="Calibri"/>
        </w:rPr>
        <w:t>Salaries and benefits account for approximately 17 percent of total operating expenses and are assumed to grow at 3 percent annually.</w:t>
      </w:r>
      <w:r w:rsidR="00AE51D3">
        <w:rPr>
          <w:rStyle w:val="FootnoteReference"/>
          <w:rFonts w:ascii="Calibri" w:hAnsi="Calibri" w:cs="Calibri"/>
        </w:rPr>
        <w:footnoteReference w:id="53"/>
      </w:r>
      <w:r w:rsidRPr="0040038D">
        <w:rPr>
          <w:rFonts w:ascii="Calibri" w:hAnsi="Calibri" w:cs="Calibri"/>
        </w:rPr>
        <w:t xml:space="preserve"> </w:t>
      </w:r>
      <w:bookmarkStart w:id="91" w:name="_Hlk175045985"/>
    </w:p>
    <w:p w14:paraId="08C32925" w14:textId="77777777" w:rsidR="00FA75CF" w:rsidRPr="0040038D" w:rsidRDefault="00FA75CF" w:rsidP="00672DE0">
      <w:pPr>
        <w:pStyle w:val="VlnBullet1"/>
        <w:numPr>
          <w:ilvl w:val="0"/>
          <w:numId w:val="16"/>
        </w:numPr>
        <w:spacing w:after="0" w:line="240" w:lineRule="auto"/>
        <w:rPr>
          <w:rFonts w:ascii="Calibri" w:hAnsi="Calibri" w:cs="Calibri"/>
        </w:rPr>
      </w:pPr>
      <w:bookmarkStart w:id="92" w:name="_Hlk175046428"/>
      <w:bookmarkEnd w:id="91"/>
      <w:r w:rsidRPr="0040038D">
        <w:rPr>
          <w:rFonts w:ascii="Calibri" w:hAnsi="Calibri" w:cs="Calibri"/>
        </w:rPr>
        <w:t xml:space="preserve">Medical supplies account for approximately 48 to 53 percent of total operating expenses </w:t>
      </w:r>
      <w:bookmarkEnd w:id="92"/>
      <w:r w:rsidRPr="0040038D">
        <w:rPr>
          <w:rFonts w:ascii="Calibri" w:hAnsi="Calibri" w:cs="Calibri"/>
        </w:rPr>
        <w:t xml:space="preserve">throughout the Prospective Period and are assumed to grow at 4.5 percent annually. </w:t>
      </w:r>
    </w:p>
    <w:p w14:paraId="0B1EEADD" w14:textId="77777777" w:rsidR="00FA75CF" w:rsidRPr="009508C1" w:rsidRDefault="00FA75CF" w:rsidP="00672DE0">
      <w:pPr>
        <w:pStyle w:val="VlnBullet2"/>
        <w:numPr>
          <w:ilvl w:val="0"/>
          <w:numId w:val="16"/>
        </w:numPr>
        <w:spacing w:line="240" w:lineRule="auto"/>
        <w:rPr>
          <w:rFonts w:ascii="Calibri" w:hAnsi="Calibri" w:cs="Calibri"/>
        </w:rPr>
      </w:pPr>
      <w:bookmarkStart w:id="93" w:name="_Hlk175046775"/>
      <w:r w:rsidRPr="009508C1">
        <w:rPr>
          <w:rFonts w:ascii="Calibri" w:hAnsi="Calibri" w:cs="Calibri"/>
        </w:rPr>
        <w:t>Management fees assumed to be approximately 1.2 to 1.3 percent of NPSR;</w:t>
      </w:r>
    </w:p>
    <w:p w14:paraId="3C24C959" w14:textId="77777777" w:rsidR="00FA75CF" w:rsidRPr="009508C1" w:rsidRDefault="00FA75CF" w:rsidP="00672DE0">
      <w:pPr>
        <w:pStyle w:val="VlnBullet2"/>
        <w:numPr>
          <w:ilvl w:val="0"/>
          <w:numId w:val="16"/>
        </w:numPr>
        <w:spacing w:line="240" w:lineRule="auto"/>
        <w:rPr>
          <w:rFonts w:ascii="Calibri" w:hAnsi="Calibri" w:cs="Calibri"/>
        </w:rPr>
      </w:pPr>
      <w:r w:rsidRPr="0040038D">
        <w:rPr>
          <w:rFonts w:ascii="Calibri" w:hAnsi="Calibri" w:cs="Calibri"/>
        </w:rPr>
        <w:t xml:space="preserve">Annual OM fees (back-office systems and processes, </w:t>
      </w:r>
      <w:proofErr w:type="gramStart"/>
      <w:r w:rsidRPr="0040038D">
        <w:rPr>
          <w:rFonts w:ascii="Calibri" w:hAnsi="Calibri" w:cs="Calibri"/>
        </w:rPr>
        <w:t>including:</w:t>
      </w:r>
      <w:proofErr w:type="gramEnd"/>
      <w:r w:rsidRPr="0040038D">
        <w:rPr>
          <w:rFonts w:ascii="Calibri" w:hAnsi="Calibri" w:cs="Calibri"/>
        </w:rPr>
        <w:t xml:space="preserve"> patient accounting system cost, clinical reporting, risk management/insurance, information technology, and related functions) assumed to increase 3 percent annually;</w:t>
      </w:r>
    </w:p>
    <w:p w14:paraId="6A4D237C" w14:textId="77777777" w:rsidR="00FA75CF" w:rsidRPr="009508C1" w:rsidRDefault="00FA75CF" w:rsidP="00672DE0">
      <w:pPr>
        <w:pStyle w:val="VlnBullet2"/>
        <w:numPr>
          <w:ilvl w:val="0"/>
          <w:numId w:val="16"/>
        </w:numPr>
        <w:spacing w:line="240" w:lineRule="auto"/>
        <w:rPr>
          <w:rFonts w:ascii="Calibri" w:hAnsi="Calibri" w:cs="Calibri"/>
        </w:rPr>
      </w:pPr>
      <w:bookmarkStart w:id="94" w:name="_Hlk175052601"/>
      <w:r w:rsidRPr="0040038D">
        <w:rPr>
          <w:rFonts w:ascii="Calibri" w:hAnsi="Calibri" w:cs="Calibri"/>
        </w:rPr>
        <w:lastRenderedPageBreak/>
        <w:t xml:space="preserve">RBO fee (revenue cycle, billing, collections and coding) expense assumed to be approximately 1.3 percent of </w:t>
      </w:r>
      <w:bookmarkEnd w:id="94"/>
      <w:proofErr w:type="gramStart"/>
      <w:r>
        <w:rPr>
          <w:rFonts w:ascii="Calibri" w:hAnsi="Calibri" w:cs="Calibri"/>
        </w:rPr>
        <w:t>NPSR</w:t>
      </w:r>
      <w:r w:rsidRPr="0040038D">
        <w:rPr>
          <w:rFonts w:ascii="Calibri" w:hAnsi="Calibri" w:cs="Calibri"/>
        </w:rPr>
        <w:t>;</w:t>
      </w:r>
      <w:proofErr w:type="gramEnd"/>
    </w:p>
    <w:bookmarkEnd w:id="93"/>
    <w:p w14:paraId="2C57492E" w14:textId="77777777" w:rsidR="00FA75CF" w:rsidRDefault="00FA75CF" w:rsidP="00672DE0">
      <w:pPr>
        <w:pStyle w:val="VlnBullet2"/>
        <w:numPr>
          <w:ilvl w:val="0"/>
          <w:numId w:val="16"/>
        </w:numPr>
        <w:spacing w:line="240" w:lineRule="auto"/>
        <w:rPr>
          <w:rFonts w:ascii="Calibri" w:hAnsi="Calibri" w:cs="Calibri"/>
        </w:rPr>
      </w:pPr>
      <w:r w:rsidRPr="0040038D">
        <w:rPr>
          <w:rFonts w:ascii="Calibri" w:hAnsi="Calibri" w:cs="Calibri"/>
        </w:rPr>
        <w:t>Depreciation and amortization ranges from approximately $1.7M to $4.6M annually.</w:t>
      </w:r>
    </w:p>
    <w:p w14:paraId="65CEAC40" w14:textId="77777777" w:rsidR="00847C86" w:rsidRPr="0040038D" w:rsidRDefault="00847C86" w:rsidP="00672DE0">
      <w:pPr>
        <w:pStyle w:val="VlnBullet2"/>
        <w:numPr>
          <w:ilvl w:val="0"/>
          <w:numId w:val="16"/>
        </w:numPr>
        <w:spacing w:line="240" w:lineRule="auto"/>
        <w:rPr>
          <w:rFonts w:ascii="Calibri" w:hAnsi="Calibri" w:cs="Calibri"/>
        </w:rPr>
      </w:pPr>
      <w:r w:rsidRPr="0040038D">
        <w:rPr>
          <w:rFonts w:ascii="Calibri" w:hAnsi="Calibri" w:cs="Calibri"/>
        </w:rPr>
        <w:t>Facility rent assumed to increase approximately 3 percent annually;</w:t>
      </w:r>
    </w:p>
    <w:p w14:paraId="44B3091D" w14:textId="77777777" w:rsidR="00847C86" w:rsidRPr="009508C1" w:rsidRDefault="00847C86" w:rsidP="00672DE0">
      <w:pPr>
        <w:pStyle w:val="VlnBullet2"/>
        <w:numPr>
          <w:ilvl w:val="0"/>
          <w:numId w:val="16"/>
        </w:numPr>
        <w:spacing w:line="240" w:lineRule="auto"/>
        <w:rPr>
          <w:rFonts w:ascii="Calibri" w:hAnsi="Calibri" w:cs="Calibri"/>
        </w:rPr>
      </w:pPr>
      <w:r w:rsidRPr="0040038D">
        <w:rPr>
          <w:rFonts w:ascii="Calibri" w:hAnsi="Calibri" w:cs="Calibri"/>
        </w:rPr>
        <w:t>Insurance assumed to increase 2 percent annually;</w:t>
      </w:r>
    </w:p>
    <w:p w14:paraId="1423B59C" w14:textId="77777777" w:rsidR="00FA75CF" w:rsidRDefault="00FA75CF" w:rsidP="00672DE0">
      <w:pPr>
        <w:rPr>
          <w:rFonts w:ascii="Calibri" w:hAnsi="Calibri" w:cs="Calibri"/>
        </w:rPr>
      </w:pPr>
      <w:r>
        <w:rPr>
          <w:rFonts w:ascii="Calibri" w:hAnsi="Calibri" w:cs="Calibri"/>
        </w:rPr>
        <w:t xml:space="preserve">The CPA concluded </w:t>
      </w:r>
      <w:r w:rsidRPr="0040038D">
        <w:rPr>
          <w:rFonts w:ascii="Calibri" w:hAnsi="Calibri" w:cs="Calibri"/>
        </w:rPr>
        <w:t>that the</w:t>
      </w:r>
      <w:r>
        <w:rPr>
          <w:rFonts w:ascii="Calibri" w:hAnsi="Calibri" w:cs="Calibri"/>
        </w:rPr>
        <w:t xml:space="preserve"> forecasted </w:t>
      </w:r>
      <w:r w:rsidRPr="0040038D">
        <w:rPr>
          <w:rFonts w:ascii="Calibri" w:hAnsi="Calibri" w:cs="Calibri"/>
        </w:rPr>
        <w:t xml:space="preserve">operating expenses are based on reasonable assumptions and are feasible for the Applicant. </w:t>
      </w:r>
    </w:p>
    <w:p w14:paraId="1064244F" w14:textId="77777777" w:rsidR="00FA75CF" w:rsidRPr="0040038D" w:rsidRDefault="00FA75CF" w:rsidP="00672DE0">
      <w:pPr>
        <w:rPr>
          <w:rFonts w:ascii="Calibri" w:hAnsi="Calibri" w:cs="Calibri"/>
        </w:rPr>
      </w:pPr>
    </w:p>
    <w:p w14:paraId="38FAE08A" w14:textId="77777777" w:rsidR="00FA75CF" w:rsidRDefault="00FA75CF" w:rsidP="00672DE0">
      <w:pPr>
        <w:rPr>
          <w:rFonts w:ascii="Calibri" w:hAnsi="Calibri" w:cs="Calibri"/>
          <w:b/>
          <w:bCs/>
        </w:rPr>
      </w:pPr>
      <w:r w:rsidRPr="008B457A">
        <w:rPr>
          <w:rFonts w:ascii="Calibri" w:hAnsi="Calibri" w:cs="Calibri"/>
          <w:b/>
          <w:bCs/>
        </w:rPr>
        <w:t>Capital Expenditures and Cash Flows</w:t>
      </w:r>
    </w:p>
    <w:p w14:paraId="424343C9" w14:textId="77777777" w:rsidR="00FA75CF" w:rsidRPr="008B457A" w:rsidRDefault="00FA75CF" w:rsidP="00672DE0">
      <w:pPr>
        <w:rPr>
          <w:rFonts w:ascii="Calibri" w:hAnsi="Calibri" w:cs="Calibri"/>
          <w:b/>
          <w:bCs/>
        </w:rPr>
      </w:pPr>
    </w:p>
    <w:p w14:paraId="0B84D0D3" w14:textId="77777777" w:rsidR="00FA75CF" w:rsidRDefault="00FA75CF" w:rsidP="00672DE0">
      <w:pPr>
        <w:rPr>
          <w:rFonts w:ascii="Calibri" w:hAnsi="Calibri" w:cs="Calibri"/>
        </w:rPr>
      </w:pPr>
      <w:r>
        <w:rPr>
          <w:rFonts w:ascii="Calibri" w:hAnsi="Calibri" w:cs="Calibri"/>
        </w:rPr>
        <w:t>The CPA</w:t>
      </w:r>
      <w:r w:rsidRPr="009508C1">
        <w:rPr>
          <w:rFonts w:ascii="Calibri" w:hAnsi="Calibri" w:cs="Calibri"/>
        </w:rPr>
        <w:t xml:space="preserve"> reviewed documentation highlighting the availability of capital funds to support the Proposed Project and the future cash flows to determine whether sufficient funds would be available to sustain the operation of the Applicant. </w:t>
      </w:r>
      <w:r>
        <w:rPr>
          <w:rFonts w:ascii="Calibri" w:hAnsi="Calibri" w:cs="Calibri"/>
        </w:rPr>
        <w:t xml:space="preserve">With </w:t>
      </w:r>
      <w:r w:rsidRPr="009508C1">
        <w:rPr>
          <w:rFonts w:ascii="Calibri" w:hAnsi="Calibri" w:cs="Calibri"/>
        </w:rPr>
        <w:t xml:space="preserve">capital </w:t>
      </w:r>
      <w:proofErr w:type="gramStart"/>
      <w:r w:rsidRPr="009508C1">
        <w:rPr>
          <w:rFonts w:ascii="Calibri" w:hAnsi="Calibri" w:cs="Calibri"/>
        </w:rPr>
        <w:t>expenditures</w:t>
      </w:r>
      <w:proofErr w:type="gramEnd"/>
      <w:r w:rsidRPr="009508C1">
        <w:rPr>
          <w:rFonts w:ascii="Calibri" w:hAnsi="Calibri" w:cs="Calibri"/>
        </w:rPr>
        <w:t xml:space="preserve"> included in</w:t>
      </w:r>
      <w:r>
        <w:rPr>
          <w:rFonts w:ascii="Calibri" w:hAnsi="Calibri" w:cs="Calibri"/>
        </w:rPr>
        <w:t xml:space="preserve"> the projections</w:t>
      </w:r>
      <w:r w:rsidRPr="009508C1">
        <w:rPr>
          <w:rFonts w:ascii="Calibri" w:hAnsi="Calibri" w:cs="Calibri"/>
        </w:rPr>
        <w:t xml:space="preserve">, days cash on hand would 105 in year two of </w:t>
      </w:r>
      <w:proofErr w:type="gramStart"/>
      <w:r w:rsidRPr="009508C1">
        <w:rPr>
          <w:rFonts w:ascii="Calibri" w:hAnsi="Calibri" w:cs="Calibri"/>
        </w:rPr>
        <w:t>operations, and</w:t>
      </w:r>
      <w:proofErr w:type="gramEnd"/>
      <w:r w:rsidRPr="009508C1">
        <w:rPr>
          <w:rFonts w:ascii="Calibri" w:hAnsi="Calibri" w:cs="Calibri"/>
        </w:rPr>
        <w:t xml:space="preserve"> increase in subsequent years.</w:t>
      </w:r>
    </w:p>
    <w:p w14:paraId="05FA86F2" w14:textId="77777777" w:rsidR="00FA75CF" w:rsidRPr="009508C1" w:rsidRDefault="00FA75CF" w:rsidP="00672DE0">
      <w:pPr>
        <w:rPr>
          <w:rFonts w:ascii="Calibri" w:hAnsi="Calibri" w:cs="Calibri"/>
        </w:rPr>
      </w:pPr>
    </w:p>
    <w:p w14:paraId="014BD518" w14:textId="773FB7C9" w:rsidR="00FA75CF" w:rsidRDefault="00FA75CF" w:rsidP="00672DE0">
      <w:pPr>
        <w:rPr>
          <w:rFonts w:ascii="Calibri" w:hAnsi="Calibri" w:cs="Calibri"/>
        </w:rPr>
      </w:pPr>
      <w:r>
        <w:rPr>
          <w:rFonts w:ascii="Calibri" w:hAnsi="Calibri" w:cs="Calibri"/>
        </w:rPr>
        <w:t xml:space="preserve">The CPA </w:t>
      </w:r>
      <w:r w:rsidRPr="009508C1">
        <w:rPr>
          <w:rFonts w:ascii="Calibri" w:hAnsi="Calibri" w:cs="Calibri"/>
        </w:rPr>
        <w:t xml:space="preserve">determined that the prospective capital requirements and resulting impact on the cash flows are reasonable. </w:t>
      </w:r>
    </w:p>
    <w:p w14:paraId="12398887" w14:textId="77777777" w:rsidR="00FA75CF" w:rsidRPr="009508C1" w:rsidRDefault="00FA75CF" w:rsidP="00672DE0">
      <w:pPr>
        <w:rPr>
          <w:rFonts w:ascii="Calibri" w:hAnsi="Calibri" w:cs="Calibri"/>
        </w:rPr>
      </w:pPr>
    </w:p>
    <w:p w14:paraId="553AB429" w14:textId="77777777" w:rsidR="00FA75CF" w:rsidRPr="008B457A" w:rsidRDefault="00FA75CF" w:rsidP="00672DE0">
      <w:pPr>
        <w:rPr>
          <w:rFonts w:ascii="Calibri" w:hAnsi="Calibri" w:cs="Calibri"/>
          <w:b/>
          <w:bCs/>
        </w:rPr>
      </w:pPr>
      <w:r w:rsidRPr="008B457A">
        <w:rPr>
          <w:rFonts w:ascii="Calibri" w:hAnsi="Calibri" w:cs="Calibri"/>
          <w:b/>
          <w:bCs/>
        </w:rPr>
        <w:t>Conclusion</w:t>
      </w:r>
    </w:p>
    <w:p w14:paraId="4F6E07DE" w14:textId="7B1F3396" w:rsidR="00FA75CF" w:rsidRDefault="00FA75CF" w:rsidP="00672DE0">
      <w:pPr>
        <w:spacing w:before="240" w:after="160"/>
        <w:rPr>
          <w:rFonts w:ascii="Calibri" w:hAnsi="Calibri" w:cs="Calibri"/>
        </w:rPr>
      </w:pPr>
      <w:r w:rsidRPr="008B457A">
        <w:rPr>
          <w:rFonts w:ascii="Calibri" w:hAnsi="Calibri" w:cs="Calibri"/>
        </w:rPr>
        <w:t>The Applicant</w:t>
      </w:r>
      <w:r w:rsidR="008807B4">
        <w:rPr>
          <w:rFonts w:ascii="Calibri" w:hAnsi="Calibri" w:cs="Calibri"/>
        </w:rPr>
        <w:t xml:space="preserve">’s financial projections show </w:t>
      </w:r>
      <w:r w:rsidR="00240B65">
        <w:rPr>
          <w:rFonts w:ascii="Calibri" w:hAnsi="Calibri" w:cs="Calibri"/>
        </w:rPr>
        <w:t>a positive trajectory of all key</w:t>
      </w:r>
      <w:r w:rsidR="00E001B5">
        <w:rPr>
          <w:rFonts w:ascii="Calibri" w:hAnsi="Calibri" w:cs="Calibri"/>
        </w:rPr>
        <w:t xml:space="preserve"> financial</w:t>
      </w:r>
      <w:r w:rsidR="00240B65">
        <w:rPr>
          <w:rFonts w:ascii="Calibri" w:hAnsi="Calibri" w:cs="Calibri"/>
        </w:rPr>
        <w:t xml:space="preserve"> metrics. C</w:t>
      </w:r>
      <w:r w:rsidRPr="008B457A">
        <w:rPr>
          <w:rFonts w:ascii="Calibri" w:hAnsi="Calibri" w:cs="Calibri"/>
        </w:rPr>
        <w:t>ash surpluses from operations (defined as EBIDA) in each of ten prospective years.</w:t>
      </w:r>
      <w:r w:rsidRPr="008B457A">
        <w:t xml:space="preserve"> </w:t>
      </w:r>
      <w:r w:rsidRPr="008B457A">
        <w:rPr>
          <w:rFonts w:ascii="Calibri" w:hAnsi="Calibri" w:cs="Calibri"/>
        </w:rPr>
        <w:t xml:space="preserve">Days cash on hand grows throughout the </w:t>
      </w:r>
      <w:r>
        <w:rPr>
          <w:rFonts w:ascii="Calibri" w:hAnsi="Calibri" w:cs="Calibri"/>
        </w:rPr>
        <w:t xml:space="preserve">10-year period </w:t>
      </w:r>
      <w:r w:rsidRPr="008B457A">
        <w:rPr>
          <w:rFonts w:ascii="Calibri" w:hAnsi="Calibri" w:cs="Calibri"/>
        </w:rPr>
        <w:t>with a low cash point of 109 days after year 1 of operations</w:t>
      </w:r>
      <w:r>
        <w:rPr>
          <w:rFonts w:ascii="Calibri" w:hAnsi="Calibri" w:cs="Calibri"/>
        </w:rPr>
        <w:t xml:space="preserve"> a</w:t>
      </w:r>
      <w:r w:rsidRPr="008B457A">
        <w:rPr>
          <w:rFonts w:ascii="Calibri" w:hAnsi="Calibri" w:cs="Calibri"/>
        </w:rPr>
        <w:t xml:space="preserve">nd </w:t>
      </w:r>
      <w:r>
        <w:rPr>
          <w:rFonts w:ascii="Calibri" w:hAnsi="Calibri" w:cs="Calibri"/>
        </w:rPr>
        <w:t xml:space="preserve">the </w:t>
      </w:r>
      <w:r w:rsidRPr="008B457A">
        <w:rPr>
          <w:rFonts w:ascii="Calibri" w:hAnsi="Calibri" w:cs="Calibri"/>
        </w:rPr>
        <w:t xml:space="preserve">cumulative 10-year EBIDA surplus </w:t>
      </w:r>
      <w:r>
        <w:rPr>
          <w:rFonts w:ascii="Calibri" w:hAnsi="Calibri" w:cs="Calibri"/>
        </w:rPr>
        <w:t>is</w:t>
      </w:r>
      <w:r w:rsidRPr="008B457A">
        <w:rPr>
          <w:rFonts w:ascii="Calibri" w:hAnsi="Calibri" w:cs="Calibri"/>
        </w:rPr>
        <w:t xml:space="preserve"> approximately 21%. Accordingly, the CPA </w:t>
      </w:r>
      <w:r>
        <w:rPr>
          <w:rFonts w:ascii="Calibri" w:hAnsi="Calibri" w:cs="Calibri"/>
        </w:rPr>
        <w:t>concluded that</w:t>
      </w:r>
      <w:r w:rsidRPr="008B457A">
        <w:rPr>
          <w:rFonts w:ascii="Calibri" w:hAnsi="Calibri" w:cs="Calibri"/>
        </w:rPr>
        <w:t xml:space="preserve"> the projections are based upon reasonable and feasible assumptions</w:t>
      </w:r>
      <w:r>
        <w:rPr>
          <w:rFonts w:ascii="Calibri" w:hAnsi="Calibri" w:cs="Calibri"/>
        </w:rPr>
        <w:t xml:space="preserve">, </w:t>
      </w:r>
      <w:r w:rsidRPr="008B457A">
        <w:rPr>
          <w:rFonts w:ascii="Calibri" w:hAnsi="Calibri" w:cs="Calibri"/>
        </w:rPr>
        <w:t>that the</w:t>
      </w:r>
      <w:r>
        <w:rPr>
          <w:rFonts w:ascii="Calibri" w:hAnsi="Calibri" w:cs="Calibri"/>
        </w:rPr>
        <w:t>y</w:t>
      </w:r>
      <w:r w:rsidRPr="008B457A">
        <w:rPr>
          <w:rFonts w:ascii="Calibri" w:hAnsi="Calibri" w:cs="Calibri"/>
        </w:rPr>
        <w:t xml:space="preserve"> are feasible and sustainable </w:t>
      </w:r>
      <w:r>
        <w:rPr>
          <w:rFonts w:ascii="Calibri" w:hAnsi="Calibri" w:cs="Calibri"/>
        </w:rPr>
        <w:t xml:space="preserve">and </w:t>
      </w:r>
      <w:r w:rsidRPr="008B457A">
        <w:rPr>
          <w:rFonts w:ascii="Calibri" w:hAnsi="Calibri" w:cs="Calibri"/>
        </w:rPr>
        <w:t>are not likely to have a negative impact on the Atrius patient panel or result in a liquidation of assets of the Applicant.</w:t>
      </w:r>
    </w:p>
    <w:p w14:paraId="19ABA1BE" w14:textId="41B0D96D" w:rsidR="00FA75CF" w:rsidRPr="00FA75CF" w:rsidRDefault="00FA75CF" w:rsidP="00672DE0">
      <w:pPr>
        <w:spacing w:before="240"/>
        <w:rPr>
          <w:rFonts w:ascii="Calibri" w:eastAsia="Calibri" w:hAnsi="Calibri"/>
          <w:b/>
          <w:bCs/>
          <w:i/>
          <w:iCs/>
        </w:rPr>
      </w:pPr>
      <w:r w:rsidRPr="00FA75CF">
        <w:rPr>
          <w:rFonts w:ascii="Calibri" w:hAnsi="Calibri" w:cs="Calibri"/>
          <w:b/>
          <w:bCs/>
          <w:i/>
          <w:iCs/>
        </w:rPr>
        <w:t>Analysis</w:t>
      </w:r>
    </w:p>
    <w:p w14:paraId="4430EF26" w14:textId="15A3B11B" w:rsidR="001F2A30" w:rsidRPr="00112582" w:rsidRDefault="000A59C8" w:rsidP="00672DE0">
      <w:pPr>
        <w:spacing w:before="240" w:after="160"/>
        <w:rPr>
          <w:rFonts w:ascii="Calibri" w:eastAsia="Calibri" w:hAnsi="Calibri"/>
        </w:rPr>
      </w:pPr>
      <w:r w:rsidRPr="000A59C8">
        <w:rPr>
          <w:rFonts w:ascii="Calibri" w:eastAsia="Calibri" w:hAnsi="Calibri"/>
        </w:rPr>
        <w:t>Staff is satisfied with the CPA’s analysis of the Proposed Project’s projections. As a result of information provided by the Applicant and additional analysis, staff finds that the Applicant has demonstrated that the Proposed Project has met Factor 4.</w:t>
      </w:r>
    </w:p>
    <w:p w14:paraId="21EFEEA8" w14:textId="2F342AB6" w:rsidR="002D535F" w:rsidRDefault="002D535F" w:rsidP="00B31381">
      <w:pPr>
        <w:pStyle w:val="Heading1"/>
        <w:spacing w:before="0" w:line="240" w:lineRule="auto"/>
        <w:contextualSpacing/>
        <w:rPr>
          <w:rFonts w:asciiTheme="minorHAnsi" w:hAnsiTheme="minorHAnsi" w:cstheme="minorBidi"/>
        </w:rPr>
      </w:pPr>
      <w:bookmarkStart w:id="95" w:name="_Toc157428837"/>
      <w:bookmarkStart w:id="96" w:name="_Toc181356986"/>
      <w:r w:rsidRPr="4F519356">
        <w:rPr>
          <w:rFonts w:asciiTheme="minorHAnsi" w:hAnsiTheme="minorHAnsi" w:cstheme="minorBidi"/>
        </w:rPr>
        <w:t>Factor 5: Relative Merit</w:t>
      </w:r>
      <w:bookmarkEnd w:id="95"/>
      <w:bookmarkEnd w:id="96"/>
    </w:p>
    <w:p w14:paraId="33F2B716" w14:textId="77777777" w:rsidR="007B3EF0" w:rsidRDefault="007B3EF0" w:rsidP="007B3EF0"/>
    <w:p w14:paraId="7F6C0CF7" w14:textId="77777777" w:rsidR="007B3EF0" w:rsidRDefault="007B3EF0" w:rsidP="007B3EF0">
      <w:pPr>
        <w:rPr>
          <w:bCs/>
        </w:rPr>
      </w:pPr>
      <w:r w:rsidRPr="007B3EF0">
        <w:rPr>
          <w:bCs/>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97" w:name="_Int_BedYxzXG"/>
      <w:proofErr w:type="gramStart"/>
      <w:r w:rsidRPr="007B3EF0">
        <w:rPr>
          <w:bCs/>
        </w:rPr>
        <w:t>take into account</w:t>
      </w:r>
      <w:bookmarkEnd w:id="97"/>
      <w:proofErr w:type="gramEnd"/>
      <w:r w:rsidRPr="007B3EF0">
        <w:rPr>
          <w:bCs/>
        </w:rPr>
        <w:t>, at a minimum, the quality, efficiency, and capital and operating costs of the Proposed Project relative to potential alternatives or substitutes, including alternative evidence-based strategies and public health interventions.</w:t>
      </w:r>
    </w:p>
    <w:p w14:paraId="5290DA12" w14:textId="77777777" w:rsidR="007B3EF0" w:rsidRPr="007B3EF0" w:rsidRDefault="007B3EF0" w:rsidP="007B3EF0">
      <w:pPr>
        <w:rPr>
          <w:bCs/>
        </w:rPr>
      </w:pPr>
    </w:p>
    <w:p w14:paraId="6F3A6420" w14:textId="77777777" w:rsidR="007B3EF0" w:rsidRPr="007B3EF0" w:rsidRDefault="007B3EF0" w:rsidP="007B3EF0">
      <w:pPr>
        <w:rPr>
          <w:bCs/>
        </w:rPr>
      </w:pPr>
      <w:r w:rsidRPr="007B3EF0">
        <w:rPr>
          <w:bCs/>
        </w:rPr>
        <w:lastRenderedPageBreak/>
        <w:t xml:space="preserve">The Applicant considered two alternatives to the Proposed Project- Maintain Status Quo and explore alternative sites. </w:t>
      </w:r>
    </w:p>
    <w:p w14:paraId="27EBCFC9" w14:textId="77777777" w:rsidR="007B3EF0" w:rsidRPr="007B3EF0" w:rsidRDefault="007B3EF0" w:rsidP="007B3EF0">
      <w:pPr>
        <w:rPr>
          <w:b/>
        </w:rPr>
      </w:pPr>
    </w:p>
    <w:p w14:paraId="2E201E55" w14:textId="770B0523" w:rsidR="007B3EF0" w:rsidRDefault="007B3EF0" w:rsidP="007B3EF0">
      <w:pPr>
        <w:rPr>
          <w:bCs/>
        </w:rPr>
      </w:pPr>
      <w:r w:rsidRPr="007B3EF0">
        <w:rPr>
          <w:b/>
        </w:rPr>
        <w:t xml:space="preserve">Alternative Proposal 1: </w:t>
      </w:r>
      <w:r w:rsidRPr="007B3EF0">
        <w:t xml:space="preserve">Maintain the status quo and continue providing outpatient surgeries at local hospitals and/or other ASCs. </w:t>
      </w:r>
      <w:r w:rsidRPr="007B3EF0">
        <w:rPr>
          <w:bCs/>
        </w:rPr>
        <w:t>The Applicant dismissed this alternative because it would not allow the Applicant to meet Patient Panel need for low-cost and high-quality outpatient surgical services in the community.</w:t>
      </w:r>
    </w:p>
    <w:p w14:paraId="37C9B42D" w14:textId="77777777" w:rsidR="007B3EF0" w:rsidRPr="007B3EF0" w:rsidRDefault="007B3EF0" w:rsidP="007B3EF0"/>
    <w:p w14:paraId="21385C5A" w14:textId="77777777" w:rsidR="007B3EF0" w:rsidRDefault="007B3EF0" w:rsidP="007B3EF0">
      <w:r w:rsidRPr="007B3EF0">
        <w:rPr>
          <w:b/>
        </w:rPr>
        <w:t xml:space="preserve">Quality: </w:t>
      </w:r>
      <w:r w:rsidRPr="007B3EF0">
        <w:t>Under this alternative, the quality achieved would not change. Atrius physicians would continue to have limitations on securing surgical slots at the local hospitals and other ASC’s; and patients would continue to experience wait times and potential more burdensome travel to alternative sites potentially delaying care and impacting quality of life.</w:t>
      </w:r>
    </w:p>
    <w:p w14:paraId="5E1B6290" w14:textId="77777777" w:rsidR="007B3EF0" w:rsidRPr="007B3EF0" w:rsidRDefault="007B3EF0" w:rsidP="007B3EF0"/>
    <w:p w14:paraId="4F070C35" w14:textId="77777777" w:rsidR="007B3EF0" w:rsidRDefault="007B3EF0" w:rsidP="007B3EF0">
      <w:r w:rsidRPr="007B3EF0">
        <w:rPr>
          <w:b/>
        </w:rPr>
        <w:t xml:space="preserve">Efficiency: </w:t>
      </w:r>
      <w:r w:rsidRPr="007B3EF0">
        <w:rPr>
          <w:bCs/>
        </w:rPr>
        <w:t xml:space="preserve">This alternative would not result in integration of medical records and therefore, </w:t>
      </w:r>
      <w:r w:rsidRPr="007B3EF0">
        <w:t>clinical and operational inefficiencies would persist. This option is unfavorable for care coordination, timely scheduling and post-surgical monitoring among the clinical team.</w:t>
      </w:r>
    </w:p>
    <w:p w14:paraId="0A3BA863" w14:textId="5BA11DF4" w:rsidR="007B3EF0" w:rsidRPr="007B3EF0" w:rsidRDefault="007B3EF0" w:rsidP="007B3EF0">
      <w:r w:rsidRPr="007B3EF0">
        <w:t xml:space="preserve">  </w:t>
      </w:r>
    </w:p>
    <w:p w14:paraId="3A95075E" w14:textId="77777777" w:rsidR="007B3EF0" w:rsidRDefault="007B3EF0" w:rsidP="007B3EF0">
      <w:pPr>
        <w:rPr>
          <w:bCs/>
        </w:rPr>
      </w:pPr>
      <w:r w:rsidRPr="007B3EF0">
        <w:rPr>
          <w:b/>
        </w:rPr>
        <w:t xml:space="preserve">Capital and Operating Expenses:  </w:t>
      </w:r>
      <w:r w:rsidRPr="007B3EF0">
        <w:rPr>
          <w:bCs/>
        </w:rPr>
        <w:t>With maintaining the current status quo, t</w:t>
      </w:r>
      <w:r w:rsidRPr="007B3EF0">
        <w:t xml:space="preserve">here are no capital expenses; </w:t>
      </w:r>
      <w:r w:rsidRPr="007B3EF0">
        <w:rPr>
          <w:bCs/>
        </w:rPr>
        <w:t xml:space="preserve">however, under this alternative the challenge with ensuring its Patient Panel can obtain the outpatient surgical procedures in a lower-cost ASC setting would persist. </w:t>
      </w:r>
    </w:p>
    <w:p w14:paraId="2DB7A094" w14:textId="5C6C1CAD" w:rsidR="007B3EF0" w:rsidRPr="007B3EF0" w:rsidRDefault="007B3EF0" w:rsidP="007B3EF0">
      <w:r w:rsidRPr="007B3EF0">
        <w:rPr>
          <w:bCs/>
        </w:rPr>
        <w:t xml:space="preserve">  </w:t>
      </w:r>
    </w:p>
    <w:p w14:paraId="78981398" w14:textId="57FFEE8F" w:rsidR="007B3EF0" w:rsidRDefault="007B3EF0" w:rsidP="007B3EF0">
      <w:r w:rsidRPr="007B3EF0">
        <w:rPr>
          <w:b/>
          <w:bCs/>
        </w:rPr>
        <w:t xml:space="preserve">Alternative Proposal 2:  </w:t>
      </w:r>
      <w:r w:rsidRPr="000B3003">
        <w:t>Alternative sites evaluation</w:t>
      </w:r>
      <w:r w:rsidR="000B3003">
        <w:t>-</w:t>
      </w:r>
      <w:r w:rsidRPr="007B3EF0">
        <w:rPr>
          <w:b/>
          <w:bCs/>
        </w:rPr>
        <w:t xml:space="preserve"> </w:t>
      </w:r>
      <w:r w:rsidRPr="0054274D">
        <w:t>T</w:t>
      </w:r>
      <w:r w:rsidRPr="007B3EF0">
        <w:t xml:space="preserve">he Applicant identified and evaluated a number of properties for the </w:t>
      </w:r>
      <w:r w:rsidR="00647452">
        <w:t>proposed ASC</w:t>
      </w:r>
      <w:r w:rsidR="00647452" w:rsidRPr="007B3EF0">
        <w:t xml:space="preserve"> </w:t>
      </w:r>
      <w:r w:rsidRPr="007B3EF0">
        <w:t>in its service area and ruled out properties that were either not ideally located for the Patient Population, or were not appropriately sized for 6 operating rooms, or were more costly to implement. Had another site been appropriate, the quality and efficiency criteria would have been similar to the proposed project with timely access to surgery for patients within a fully integrated system which can improve both efficiency and quality, as discussed under Factor 1(c) and (d). Based on the various properties that the Applicant was able to evaluate, neither the cost nor the size, in terms of allowing for six ORs and associated support space, were appropriate for the Proposed Project</w:t>
      </w:r>
      <w:r>
        <w:t>.</w:t>
      </w:r>
    </w:p>
    <w:p w14:paraId="34FB893B" w14:textId="77777777" w:rsidR="007B3EF0" w:rsidRPr="007B3EF0" w:rsidRDefault="007B3EF0" w:rsidP="007B3EF0"/>
    <w:p w14:paraId="7D34B982" w14:textId="77777777" w:rsidR="007B3EF0" w:rsidRPr="007B3EF0" w:rsidRDefault="007B3EF0" w:rsidP="007B3EF0">
      <w:pPr>
        <w:rPr>
          <w:b/>
          <w:bCs/>
          <w:i/>
          <w:iCs/>
        </w:rPr>
      </w:pPr>
      <w:r w:rsidRPr="007B3EF0">
        <w:rPr>
          <w:b/>
          <w:bCs/>
          <w:i/>
          <w:iCs/>
        </w:rPr>
        <w:t xml:space="preserve">Analysis </w:t>
      </w:r>
    </w:p>
    <w:p w14:paraId="6ABDA3D7" w14:textId="77777777" w:rsidR="007B3EF0" w:rsidRPr="007B3EF0" w:rsidRDefault="007B3EF0" w:rsidP="007B3EF0">
      <w:pPr>
        <w:rPr>
          <w:bCs/>
        </w:rPr>
      </w:pPr>
      <w:r w:rsidRPr="007B3EF0">
        <w:rPr>
          <w:bCs/>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98" w:name="_Toc17151192"/>
      <w:bookmarkStart w:id="99" w:name="_Toc17322410"/>
    </w:p>
    <w:p w14:paraId="28431165" w14:textId="7FFB8260" w:rsidR="00E255D1" w:rsidRPr="00E255D1" w:rsidRDefault="00FF3353" w:rsidP="00E255D1">
      <w:pPr>
        <w:pStyle w:val="Heading1"/>
        <w:spacing w:before="0" w:line="240" w:lineRule="auto"/>
        <w:rPr>
          <w:rFonts w:asciiTheme="minorHAnsi" w:eastAsia="Times New Roman" w:hAnsiTheme="minorHAnsi" w:cstheme="minorHAnsi"/>
        </w:rPr>
      </w:pPr>
      <w:bookmarkStart w:id="100" w:name="_Toc150336177"/>
      <w:bookmarkStart w:id="101" w:name="_Toc157428838"/>
      <w:bookmarkStart w:id="102" w:name="_Toc181356987"/>
      <w:r w:rsidRPr="00AB7675">
        <w:rPr>
          <w:rFonts w:asciiTheme="minorHAnsi" w:eastAsia="Times New Roman" w:hAnsiTheme="minorHAnsi" w:cstheme="minorHAnsi"/>
        </w:rPr>
        <w:t>Factor 6: Community-based Health Initiatives</w:t>
      </w:r>
      <w:bookmarkEnd w:id="100"/>
      <w:bookmarkEnd w:id="101"/>
      <w:bookmarkEnd w:id="102"/>
    </w:p>
    <w:p w14:paraId="2C27FC87" w14:textId="77777777" w:rsidR="00D70836" w:rsidRDefault="00D70836" w:rsidP="00D70836"/>
    <w:p w14:paraId="03C59E3B" w14:textId="03283DC0" w:rsidR="00D70836" w:rsidRDefault="00D70836" w:rsidP="00D70836">
      <w:pPr>
        <w:textAlignment w:val="baseline"/>
        <w:rPr>
          <w:rFonts w:ascii="Calibri" w:eastAsia="Times New Roman" w:hAnsi="Calibri" w:cs="Calibri"/>
          <w:b/>
          <w:bCs/>
          <w:color w:val="000000"/>
        </w:rPr>
      </w:pPr>
      <w:r w:rsidRPr="00D70836">
        <w:rPr>
          <w:rFonts w:ascii="Calibri" w:eastAsia="Times New Roman" w:hAnsi="Calibri" w:cs="Calibri"/>
          <w:b/>
          <w:bCs/>
          <w:color w:val="000000"/>
        </w:rPr>
        <w:t>Overall Summary and relevant background and context for this application: </w:t>
      </w:r>
    </w:p>
    <w:p w14:paraId="192BD7AB" w14:textId="26541C12" w:rsidR="00D70836" w:rsidRPr="00D70836" w:rsidRDefault="00D70836" w:rsidP="00D70836">
      <w:pPr>
        <w:textAlignment w:val="baseline"/>
        <w:rPr>
          <w:rFonts w:ascii="Calibri" w:eastAsia="Times New Roman" w:hAnsi="Calibri" w:cs="Calibri"/>
        </w:rPr>
      </w:pPr>
      <w:r w:rsidRPr="00D70836">
        <w:rPr>
          <w:rFonts w:ascii="Calibri" w:eastAsia="Times New Roman" w:hAnsi="Calibri" w:cs="Calibri"/>
          <w:color w:val="000000"/>
        </w:rPr>
        <w:t> </w:t>
      </w:r>
    </w:p>
    <w:p w14:paraId="41FD891F" w14:textId="24437DA3" w:rsidR="00D70836" w:rsidRDefault="00D70836" w:rsidP="00D70836">
      <w:pPr>
        <w:textAlignment w:val="baseline"/>
        <w:rPr>
          <w:rFonts w:ascii="Calibri" w:eastAsia="Times New Roman" w:hAnsi="Calibri" w:cs="Calibri"/>
          <w:color w:val="000000"/>
        </w:rPr>
      </w:pPr>
      <w:r w:rsidRPr="00D70836">
        <w:rPr>
          <w:rFonts w:ascii="Calibri" w:eastAsia="Times New Roman" w:hAnsi="Calibri" w:cs="Calibri"/>
          <w:color w:val="000000"/>
        </w:rPr>
        <w:t>This is a DoN project for a freestanding ASC that is not affiliated with a hospital</w:t>
      </w:r>
      <w:r w:rsidR="00C117D7">
        <w:rPr>
          <w:rFonts w:ascii="Calibri" w:eastAsia="Times New Roman" w:hAnsi="Calibri" w:cs="Calibri"/>
          <w:color w:val="000000"/>
        </w:rPr>
        <w:t xml:space="preserve">, and therefore </w:t>
      </w:r>
      <w:r w:rsidRPr="00D70836">
        <w:rPr>
          <w:rFonts w:ascii="Calibri" w:eastAsia="Times New Roman" w:hAnsi="Calibri" w:cs="Calibri"/>
          <w:color w:val="000000"/>
        </w:rPr>
        <w:t xml:space="preserve">does not require the submission of CHI forms. Atrius Health, Inc. will fulfill Factor 6 </w:t>
      </w:r>
      <w:r w:rsidRPr="00D70836">
        <w:rPr>
          <w:rFonts w:ascii="Calibri" w:eastAsia="Times New Roman" w:hAnsi="Calibri" w:cs="Calibri"/>
          <w:color w:val="000000"/>
        </w:rPr>
        <w:lastRenderedPageBreak/>
        <w:t>requirements by directing their full CHI contribution to the Statewide Community Health and Healthy Aging Funds (CHHAF). </w:t>
      </w:r>
    </w:p>
    <w:p w14:paraId="2EE8716D" w14:textId="77777777" w:rsidR="00D70836" w:rsidRPr="00D70836" w:rsidRDefault="00D70836" w:rsidP="00D70836">
      <w:pPr>
        <w:textAlignment w:val="baseline"/>
        <w:rPr>
          <w:rFonts w:ascii="Calibri" w:eastAsia="Times New Roman" w:hAnsi="Calibri" w:cs="Calibri"/>
        </w:rPr>
      </w:pPr>
    </w:p>
    <w:p w14:paraId="64929231" w14:textId="77777777" w:rsidR="00D70836" w:rsidRDefault="00D70836" w:rsidP="00D70836">
      <w:pPr>
        <w:textAlignment w:val="baseline"/>
        <w:rPr>
          <w:rFonts w:ascii="Calibri" w:eastAsia="Times New Roman" w:hAnsi="Calibri" w:cs="Calibri"/>
          <w:color w:val="000000"/>
        </w:rPr>
      </w:pPr>
      <w:r w:rsidRPr="00D70836">
        <w:rPr>
          <w:rFonts w:ascii="Calibri" w:eastAsia="Times New Roman" w:hAnsi="Calibri" w:cs="Calibri"/>
          <w:color w:val="000000"/>
        </w:rPr>
        <w:t>With fulfillment of the below conditions, the Applicant will have demonstrated that the Proposed Project has met Factor 6. </w:t>
      </w:r>
    </w:p>
    <w:p w14:paraId="19D64639" w14:textId="28836B6B" w:rsidR="00D70836" w:rsidRPr="00D70836" w:rsidRDefault="00D70836" w:rsidP="008E2026">
      <w:pPr>
        <w:textAlignment w:val="baseline"/>
      </w:pPr>
      <w:r w:rsidRPr="00D70836">
        <w:rPr>
          <w:rFonts w:ascii="Calibri" w:eastAsia="Times New Roman" w:hAnsi="Calibri" w:cs="Calibri"/>
          <w:color w:val="000000"/>
          <w:sz w:val="22"/>
          <w:szCs w:val="22"/>
        </w:rPr>
        <w:t> </w:t>
      </w:r>
    </w:p>
    <w:p w14:paraId="7C159929" w14:textId="4660C094" w:rsidR="00BB40B4" w:rsidRPr="001E489E" w:rsidRDefault="00BB40B4" w:rsidP="00944366">
      <w:pPr>
        <w:pStyle w:val="Heading1"/>
        <w:spacing w:before="0"/>
        <w:rPr>
          <w:rFonts w:asciiTheme="minorHAnsi" w:hAnsiTheme="minorHAnsi" w:cstheme="minorHAnsi"/>
          <w:sz w:val="24"/>
          <w:szCs w:val="24"/>
        </w:rPr>
      </w:pPr>
      <w:bookmarkStart w:id="103" w:name="_Toc157428840"/>
      <w:bookmarkStart w:id="104" w:name="_Toc181356988"/>
      <w:bookmarkEnd w:id="98"/>
      <w:bookmarkEnd w:id="99"/>
      <w:r w:rsidRPr="001E489E">
        <w:rPr>
          <w:rFonts w:asciiTheme="minorHAnsi" w:hAnsiTheme="minorHAnsi" w:cstheme="minorHAnsi"/>
        </w:rPr>
        <w:t>Findings and Recommendations</w:t>
      </w:r>
      <w:bookmarkEnd w:id="103"/>
      <w:bookmarkEnd w:id="104"/>
    </w:p>
    <w:p w14:paraId="08F9C49A" w14:textId="77777777" w:rsidR="00D20EF6" w:rsidRDefault="00D20EF6" w:rsidP="00B35EBE"/>
    <w:p w14:paraId="7BCDD187" w14:textId="0933EB8B" w:rsidR="006B46D1" w:rsidRDefault="006B46D1" w:rsidP="006B46D1">
      <w:r w:rsidRPr="006B46D1">
        <w:t>Based upon a review of the materials submitted, Staff finds that the Applicant has met each DoN Factor for the Proposed Project and recommends that the Department approve this Determination of Need, subject to all applicable Standard and Other Conditions.</w:t>
      </w:r>
    </w:p>
    <w:p w14:paraId="08DD22A9" w14:textId="77777777" w:rsidR="006B46D1" w:rsidRDefault="006B46D1" w:rsidP="006B46D1">
      <w:pPr>
        <w:pStyle w:val="Heading1"/>
        <w:rPr>
          <w:rStyle w:val="normaltextrun"/>
          <w:rFonts w:ascii="Calibri" w:hAnsi="Calibri" w:cs="Calibri"/>
          <w:color w:val="auto"/>
        </w:rPr>
      </w:pPr>
      <w:bookmarkStart w:id="105" w:name="_Toc157428841"/>
      <w:bookmarkStart w:id="106" w:name="_Toc181356989"/>
      <w:r w:rsidRPr="00FD68CA">
        <w:rPr>
          <w:rStyle w:val="normaltextrun"/>
          <w:rFonts w:ascii="Calibri" w:hAnsi="Calibri" w:cs="Calibri"/>
          <w:color w:val="auto"/>
        </w:rPr>
        <w:t>Conditions</w:t>
      </w:r>
      <w:bookmarkStart w:id="107" w:name="_Toc150336180"/>
      <w:bookmarkEnd w:id="105"/>
      <w:bookmarkEnd w:id="106"/>
      <w:r w:rsidRPr="00FD68CA">
        <w:rPr>
          <w:rStyle w:val="normaltextrun"/>
          <w:rFonts w:ascii="Calibri" w:hAnsi="Calibri" w:cs="Calibri"/>
          <w:color w:val="auto"/>
        </w:rPr>
        <w:t xml:space="preserve"> </w:t>
      </w:r>
      <w:bookmarkEnd w:id="107"/>
    </w:p>
    <w:p w14:paraId="026F30BD" w14:textId="77777777" w:rsidR="00D70836" w:rsidRDefault="00D70836" w:rsidP="00D70836"/>
    <w:p w14:paraId="0495F0C0" w14:textId="77777777" w:rsidR="00D70836" w:rsidRPr="00D70836" w:rsidRDefault="00D70836" w:rsidP="00D70836">
      <w:pPr>
        <w:pStyle w:val="ListParagraph"/>
        <w:numPr>
          <w:ilvl w:val="0"/>
          <w:numId w:val="27"/>
        </w:numPr>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The total required CHI contribution of $1,038,886.05 will be directed to the Massachusetts Statewide Healthy Aging Fund. </w:t>
      </w:r>
    </w:p>
    <w:p w14:paraId="6A79B2EE" w14:textId="074F344C" w:rsidR="00D70836" w:rsidRPr="00D70836" w:rsidRDefault="00D70836" w:rsidP="00D70836">
      <w:pPr>
        <w:pStyle w:val="ListParagraph"/>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 </w:t>
      </w:r>
    </w:p>
    <w:p w14:paraId="59D23D22" w14:textId="77777777" w:rsidR="00D70836" w:rsidRPr="00D70836" w:rsidRDefault="00D70836" w:rsidP="00D70836">
      <w:pPr>
        <w:pStyle w:val="ListParagraph"/>
        <w:numPr>
          <w:ilvl w:val="0"/>
          <w:numId w:val="27"/>
        </w:numPr>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To comply with the Holder’s obligation to contribute to the Massachusetts Statewide Community Health Funds, the Holder must submit payment to Health Resources in Action (HRiA), the fiscal agent for the CHI Statewide Initiative, in</w:t>
      </w:r>
      <w:r w:rsidRPr="00D70836">
        <w:rPr>
          <w:rFonts w:ascii="Calibri" w:eastAsia="Times New Roman" w:hAnsi="Calibri" w:cs="Calibri"/>
          <w:b/>
          <w:bCs/>
          <w:color w:val="000000"/>
          <w:sz w:val="24"/>
          <w:szCs w:val="24"/>
        </w:rPr>
        <w:t xml:space="preserve"> two installments</w:t>
      </w:r>
      <w:r w:rsidRPr="00D70836">
        <w:rPr>
          <w:rFonts w:ascii="Calibri" w:eastAsia="Times New Roman" w:hAnsi="Calibri" w:cs="Calibri"/>
          <w:color w:val="000000"/>
          <w:sz w:val="24"/>
          <w:szCs w:val="24"/>
        </w:rPr>
        <w:t>. </w:t>
      </w:r>
    </w:p>
    <w:p w14:paraId="71803809" w14:textId="77777777" w:rsidR="00D70836" w:rsidRPr="00D70836" w:rsidRDefault="00D70836" w:rsidP="00D70836">
      <w:pPr>
        <w:pStyle w:val="ListParagraph"/>
        <w:numPr>
          <w:ilvl w:val="1"/>
          <w:numId w:val="27"/>
        </w:numPr>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 xml:space="preserve">The Holder must submit the first installment of $519,443.03 to HRiA </w:t>
      </w:r>
      <w:r w:rsidRPr="00D70836">
        <w:rPr>
          <w:rFonts w:ascii="Calibri" w:eastAsia="Times New Roman" w:hAnsi="Calibri" w:cs="Calibri"/>
          <w:b/>
          <w:bCs/>
          <w:color w:val="000000"/>
          <w:sz w:val="24"/>
          <w:szCs w:val="24"/>
        </w:rPr>
        <w:t>within 30 days</w:t>
      </w:r>
      <w:r w:rsidRPr="00D70836">
        <w:rPr>
          <w:rFonts w:ascii="Calibri" w:eastAsia="Times New Roman" w:hAnsi="Calibri" w:cs="Calibri"/>
          <w:color w:val="000000"/>
          <w:sz w:val="24"/>
          <w:szCs w:val="24"/>
        </w:rPr>
        <w:t xml:space="preserve"> from the date of the Notice of Approval. </w:t>
      </w:r>
    </w:p>
    <w:p w14:paraId="5EF2A6AE" w14:textId="77777777" w:rsidR="00D70836" w:rsidRPr="00D70836" w:rsidRDefault="00D70836" w:rsidP="00D70836">
      <w:pPr>
        <w:pStyle w:val="ListParagraph"/>
        <w:numPr>
          <w:ilvl w:val="1"/>
          <w:numId w:val="27"/>
        </w:numPr>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 xml:space="preserve">The Holder must submit the second installment of $519,443.02 to HRiA </w:t>
      </w:r>
      <w:r w:rsidRPr="00D70836">
        <w:rPr>
          <w:rFonts w:ascii="Calibri" w:eastAsia="Times New Roman" w:hAnsi="Calibri" w:cs="Calibri"/>
          <w:b/>
          <w:bCs/>
          <w:color w:val="000000"/>
          <w:sz w:val="24"/>
          <w:szCs w:val="24"/>
        </w:rPr>
        <w:t>within 12 months</w:t>
      </w:r>
      <w:r w:rsidRPr="00D70836">
        <w:rPr>
          <w:rFonts w:ascii="Calibri" w:eastAsia="Times New Roman" w:hAnsi="Calibri" w:cs="Calibri"/>
          <w:color w:val="000000"/>
          <w:sz w:val="24"/>
          <w:szCs w:val="24"/>
        </w:rPr>
        <w:t xml:space="preserve"> from the date of the Notice of Approval.  </w:t>
      </w:r>
    </w:p>
    <w:p w14:paraId="03CA69F3" w14:textId="77777777" w:rsidR="00D70836" w:rsidRPr="00D70836" w:rsidRDefault="00D70836" w:rsidP="00D70836">
      <w:pPr>
        <w:pStyle w:val="ListParagraph"/>
        <w:spacing w:line="240" w:lineRule="auto"/>
        <w:ind w:left="1440"/>
        <w:textAlignment w:val="baseline"/>
        <w:rPr>
          <w:rFonts w:ascii="Calibri" w:eastAsia="Times New Roman" w:hAnsi="Calibri" w:cs="Calibri"/>
          <w:sz w:val="24"/>
          <w:szCs w:val="24"/>
        </w:rPr>
      </w:pPr>
    </w:p>
    <w:p w14:paraId="4E16897E" w14:textId="77777777" w:rsidR="00D70836" w:rsidRPr="00D70836" w:rsidRDefault="00D70836" w:rsidP="00D70836">
      <w:pPr>
        <w:pStyle w:val="ListParagraph"/>
        <w:numPr>
          <w:ilvl w:val="0"/>
          <w:numId w:val="27"/>
        </w:numPr>
        <w:spacing w:line="240" w:lineRule="auto"/>
        <w:textAlignment w:val="baseline"/>
        <w:rPr>
          <w:rFonts w:ascii="Calibri" w:eastAsia="Times New Roman" w:hAnsi="Calibri" w:cs="Calibri"/>
          <w:sz w:val="24"/>
          <w:szCs w:val="24"/>
        </w:rPr>
      </w:pPr>
      <w:r w:rsidRPr="00D70836">
        <w:rPr>
          <w:rFonts w:ascii="Calibri" w:eastAsia="Times New Roman" w:hAnsi="Calibri" w:cs="Calibri"/>
          <w:color w:val="000000"/>
          <w:sz w:val="24"/>
          <w:szCs w:val="24"/>
        </w:rPr>
        <w:t>Payments should be made out to: </w:t>
      </w:r>
    </w:p>
    <w:p w14:paraId="51A587A8" w14:textId="77777777" w:rsidR="00D70836" w:rsidRPr="00D70836" w:rsidRDefault="00D70836" w:rsidP="00D70836">
      <w:pPr>
        <w:ind w:left="1080"/>
        <w:textAlignment w:val="baseline"/>
        <w:rPr>
          <w:rFonts w:ascii="Calibri" w:eastAsia="Times New Roman" w:hAnsi="Calibri" w:cs="Calibri"/>
        </w:rPr>
      </w:pPr>
      <w:r w:rsidRPr="00D70836">
        <w:rPr>
          <w:rFonts w:ascii="Calibri" w:eastAsia="Times New Roman" w:hAnsi="Calibri" w:cs="Calibri"/>
          <w:color w:val="000000"/>
        </w:rPr>
        <w:t>Health Resources in Action, Inc. (HRiA)  </w:t>
      </w:r>
    </w:p>
    <w:p w14:paraId="56520C8D" w14:textId="77777777" w:rsidR="00D70836" w:rsidRPr="00D70836" w:rsidRDefault="00D70836" w:rsidP="00D70836">
      <w:pPr>
        <w:ind w:left="1080"/>
        <w:textAlignment w:val="baseline"/>
        <w:rPr>
          <w:rFonts w:ascii="Calibri" w:eastAsia="Times New Roman" w:hAnsi="Calibri" w:cs="Calibri"/>
        </w:rPr>
      </w:pPr>
      <w:r w:rsidRPr="00D70836">
        <w:rPr>
          <w:rFonts w:ascii="Calibri" w:eastAsia="Times New Roman" w:hAnsi="Calibri" w:cs="Calibri"/>
          <w:color w:val="000000"/>
        </w:rPr>
        <w:t>2 Boylston Street, 4th Floor  </w:t>
      </w:r>
    </w:p>
    <w:p w14:paraId="24B852DE" w14:textId="77777777" w:rsidR="00D70836" w:rsidRPr="00D70836" w:rsidRDefault="00D70836" w:rsidP="00D70836">
      <w:pPr>
        <w:ind w:left="1080"/>
        <w:textAlignment w:val="baseline"/>
        <w:rPr>
          <w:rFonts w:ascii="Calibri" w:eastAsia="Times New Roman" w:hAnsi="Calibri" w:cs="Calibri"/>
        </w:rPr>
      </w:pPr>
      <w:r w:rsidRPr="00D70836">
        <w:rPr>
          <w:rFonts w:ascii="Calibri" w:eastAsia="Times New Roman" w:hAnsi="Calibri" w:cs="Calibri"/>
          <w:color w:val="000000"/>
        </w:rPr>
        <w:t>Boston, MA 02116  </w:t>
      </w:r>
    </w:p>
    <w:p w14:paraId="4E4FD9BA" w14:textId="77777777" w:rsidR="00D70836" w:rsidRPr="00D70836" w:rsidRDefault="00D70836" w:rsidP="00D70836">
      <w:pPr>
        <w:ind w:left="1080"/>
        <w:textAlignment w:val="baseline"/>
        <w:rPr>
          <w:rFonts w:ascii="Calibri" w:eastAsia="Times New Roman" w:hAnsi="Calibri" w:cs="Calibri"/>
        </w:rPr>
      </w:pPr>
      <w:r w:rsidRPr="00D70836">
        <w:rPr>
          <w:rFonts w:ascii="Calibri" w:eastAsia="Times New Roman" w:hAnsi="Calibri" w:cs="Calibri"/>
          <w:color w:val="000000"/>
        </w:rPr>
        <w:t>Attn: MACHHAF c/o Bora Toro  </w:t>
      </w:r>
    </w:p>
    <w:p w14:paraId="68608E8F" w14:textId="390E2513" w:rsidR="00D70836" w:rsidRPr="00D70836" w:rsidRDefault="00D70836" w:rsidP="00D70836">
      <w:pPr>
        <w:ind w:left="1080"/>
        <w:textAlignment w:val="baseline"/>
        <w:rPr>
          <w:rFonts w:ascii="Calibri" w:eastAsia="Times New Roman" w:hAnsi="Calibri" w:cs="Calibri"/>
        </w:rPr>
      </w:pPr>
      <w:r w:rsidRPr="00D70836">
        <w:rPr>
          <w:rFonts w:ascii="Calibri" w:eastAsia="Times New Roman" w:hAnsi="Calibri" w:cs="Calibri"/>
          <w:color w:val="000000"/>
        </w:rPr>
        <w:t>DoN project #</w:t>
      </w:r>
      <w:r w:rsidR="00DE3C0E">
        <w:rPr>
          <w:rFonts w:ascii="Calibri" w:eastAsia="Times New Roman" w:hAnsi="Calibri" w:cs="Calibri"/>
          <w:color w:val="000000"/>
        </w:rPr>
        <w:t xml:space="preserve"> </w:t>
      </w:r>
      <w:r w:rsidR="00DE3C0E" w:rsidRPr="00DE3C0E">
        <w:rPr>
          <w:rFonts w:ascii="Calibri" w:eastAsia="Times New Roman" w:hAnsi="Calibri" w:cs="Calibri"/>
          <w:color w:val="000000"/>
        </w:rPr>
        <w:t>24053113-AS</w:t>
      </w:r>
    </w:p>
    <w:p w14:paraId="5B49E38E" w14:textId="43023CC0" w:rsidR="00D70836" w:rsidRPr="00D70836" w:rsidRDefault="00D70836" w:rsidP="00D70836">
      <w:pPr>
        <w:ind w:left="1080" w:firstLine="50"/>
        <w:textAlignment w:val="baseline"/>
        <w:rPr>
          <w:rFonts w:ascii="Calibri" w:eastAsia="Times New Roman" w:hAnsi="Calibri" w:cs="Calibri"/>
        </w:rPr>
      </w:pPr>
    </w:p>
    <w:p w14:paraId="71DBE742" w14:textId="3D96658C" w:rsidR="00D70836" w:rsidRPr="00B50E4B" w:rsidRDefault="00D70836" w:rsidP="0095108D">
      <w:pPr>
        <w:pStyle w:val="ListParagraph"/>
        <w:numPr>
          <w:ilvl w:val="0"/>
          <w:numId w:val="27"/>
        </w:numPr>
        <w:spacing w:line="240" w:lineRule="auto"/>
        <w:textAlignment w:val="baseline"/>
        <w:rPr>
          <w:rFonts w:ascii="Calibri" w:eastAsia="Times New Roman" w:hAnsi="Calibri" w:cs="Calibri"/>
          <w:strike/>
          <w:sz w:val="24"/>
          <w:szCs w:val="24"/>
        </w:rPr>
      </w:pPr>
      <w:r w:rsidRPr="00B50E4B">
        <w:rPr>
          <w:rFonts w:ascii="Calibri" w:eastAsia="Times New Roman" w:hAnsi="Calibri" w:cs="Calibri"/>
          <w:color w:val="000000"/>
          <w:sz w:val="24"/>
          <w:szCs w:val="24"/>
        </w:rPr>
        <w:t xml:space="preserve">The </w:t>
      </w:r>
      <w:r w:rsidRPr="00B50E4B">
        <w:rPr>
          <w:rFonts w:ascii="Calibri" w:eastAsia="Times New Roman" w:hAnsi="Calibri" w:cs="Calibri"/>
          <w:b/>
          <w:bCs/>
          <w:color w:val="000000"/>
          <w:sz w:val="24"/>
          <w:szCs w:val="24"/>
        </w:rPr>
        <w:t>Holder must promptly notify DPH</w:t>
      </w:r>
      <w:r w:rsidRPr="00B50E4B">
        <w:rPr>
          <w:rFonts w:ascii="Calibri" w:eastAsia="Times New Roman" w:hAnsi="Calibri" w:cs="Calibri"/>
          <w:color w:val="000000"/>
          <w:sz w:val="24"/>
          <w:szCs w:val="24"/>
        </w:rPr>
        <w:t xml:space="preserve"> (CHI contact staff) when each payment has been made. Please send a PDF image of the check or</w:t>
      </w:r>
      <w:r w:rsidRPr="00B50E4B">
        <w:rPr>
          <w:rFonts w:ascii="Calibri" w:eastAsia="Times New Roman" w:hAnsi="Calibri" w:cs="Calibri"/>
          <w:b/>
          <w:bCs/>
          <w:color w:val="000000"/>
          <w:sz w:val="24"/>
          <w:szCs w:val="24"/>
        </w:rPr>
        <w:t xml:space="preserve"> confirmation of payment</w:t>
      </w:r>
      <w:r w:rsidRPr="00B50E4B">
        <w:rPr>
          <w:rFonts w:ascii="Calibri" w:eastAsia="Times New Roman" w:hAnsi="Calibri" w:cs="Calibri"/>
          <w:color w:val="000000"/>
          <w:sz w:val="24"/>
          <w:szCs w:val="24"/>
        </w:rPr>
        <w:t xml:space="preserve"> to </w:t>
      </w:r>
      <w:hyperlink r:id="rId11" w:tgtFrame="_blank" w:history="1">
        <w:r w:rsidRPr="00B50E4B">
          <w:rPr>
            <w:rFonts w:ascii="Calibri" w:eastAsia="Times New Roman" w:hAnsi="Calibri" w:cs="Calibri"/>
            <w:color w:val="0563C1"/>
            <w:sz w:val="24"/>
            <w:szCs w:val="24"/>
            <w:u w:val="single"/>
          </w:rPr>
          <w:t>DONCHI@Mass.gov</w:t>
        </w:r>
      </w:hyperlink>
      <w:r w:rsidRPr="00B50E4B">
        <w:rPr>
          <w:rFonts w:ascii="Calibri" w:eastAsia="Times New Roman" w:hAnsi="Calibri" w:cs="Calibri"/>
          <w:color w:val="000000"/>
          <w:sz w:val="24"/>
          <w:szCs w:val="24"/>
        </w:rPr>
        <w:t xml:space="preserve"> and </w:t>
      </w:r>
      <w:hyperlink r:id="rId12" w:tgtFrame="_blank" w:history="1">
        <w:r w:rsidRPr="00B50E4B">
          <w:rPr>
            <w:rFonts w:ascii="Calibri" w:eastAsia="Times New Roman" w:hAnsi="Calibri" w:cs="Calibri"/>
            <w:color w:val="0563C1"/>
            <w:sz w:val="24"/>
            <w:szCs w:val="24"/>
            <w:u w:val="single"/>
            <w:lang w:val="fr-FR"/>
          </w:rPr>
          <w:t>dongrants@hria.org</w:t>
        </w:r>
      </w:hyperlink>
      <w:r w:rsidRPr="00B50E4B">
        <w:rPr>
          <w:rFonts w:ascii="Calibri" w:eastAsia="Times New Roman" w:hAnsi="Calibri" w:cs="Calibri"/>
          <w:strike/>
          <w:color w:val="000000"/>
          <w:sz w:val="24"/>
          <w:szCs w:val="24"/>
        </w:rPr>
        <w:t> </w:t>
      </w:r>
      <w:r w:rsidRPr="00B50E4B">
        <w:rPr>
          <w:rFonts w:ascii="Calibri" w:eastAsia="Times New Roman" w:hAnsi="Calibri" w:cs="Calibri"/>
          <w:color w:val="000000"/>
          <w:sz w:val="24"/>
          <w:szCs w:val="24"/>
        </w:rPr>
        <w:t xml:space="preserve"> </w:t>
      </w:r>
    </w:p>
    <w:p w14:paraId="101AB34E" w14:textId="42B0EFA6" w:rsidR="00ED115A" w:rsidRPr="00D70836" w:rsidRDefault="00060E5A" w:rsidP="00D70836">
      <w:pPr>
        <w:pStyle w:val="RNNum"/>
        <w:numPr>
          <w:ilvl w:val="0"/>
          <w:numId w:val="27"/>
        </w:numPr>
        <w:rPr>
          <w:rFonts w:eastAsia="Times New Roman"/>
          <w:szCs w:val="24"/>
        </w:rPr>
      </w:pPr>
      <w:r w:rsidRPr="00D70836">
        <w:rPr>
          <w:szCs w:val="24"/>
        </w:rPr>
        <w:t xml:space="preserve">In addition to the measures provided in Appendix 1, commencing with the approval of this DoN, and continuing for a period of five years after the Proposed Project is complete, the </w:t>
      </w:r>
      <w:r w:rsidR="00ED115A" w:rsidRPr="00D70836">
        <w:rPr>
          <w:rFonts w:eastAsia="Times New Roman"/>
          <w:szCs w:val="24"/>
        </w:rPr>
        <w:t xml:space="preserve">Holder shall provide the following information as part of the annual report required by 105 CMR 100.310(A)(12): </w:t>
      </w:r>
    </w:p>
    <w:p w14:paraId="5A486BD9" w14:textId="6312B21B" w:rsidR="003941B6" w:rsidRPr="00D70836" w:rsidRDefault="00C65F22" w:rsidP="00D70836">
      <w:pPr>
        <w:pStyle w:val="RN2Num"/>
        <w:numPr>
          <w:ilvl w:val="1"/>
          <w:numId w:val="4"/>
        </w:numPr>
        <w:spacing w:after="0"/>
        <w:rPr>
          <w:rFonts w:eastAsia="Times New Roman"/>
          <w:szCs w:val="24"/>
        </w:rPr>
      </w:pPr>
      <w:r w:rsidRPr="00D70836">
        <w:rPr>
          <w:rFonts w:eastAsia="Times New Roman"/>
          <w:szCs w:val="24"/>
        </w:rPr>
        <w:t xml:space="preserve">Surgical </w:t>
      </w:r>
      <w:r w:rsidR="008026EE" w:rsidRPr="00D70836">
        <w:rPr>
          <w:rFonts w:eastAsia="Times New Roman"/>
          <w:szCs w:val="24"/>
        </w:rPr>
        <w:t xml:space="preserve">procedure </w:t>
      </w:r>
      <w:r w:rsidRPr="00D70836">
        <w:rPr>
          <w:rFonts w:eastAsia="Times New Roman"/>
          <w:szCs w:val="24"/>
        </w:rPr>
        <w:t xml:space="preserve">volume by Specialty </w:t>
      </w:r>
    </w:p>
    <w:p w14:paraId="64AAEC73" w14:textId="5F47B1D0" w:rsidR="00C65F22" w:rsidRPr="00D70836" w:rsidRDefault="003941B6" w:rsidP="00D70836">
      <w:pPr>
        <w:pStyle w:val="RN2Num"/>
        <w:numPr>
          <w:ilvl w:val="1"/>
          <w:numId w:val="4"/>
        </w:numPr>
        <w:rPr>
          <w:rFonts w:eastAsia="Times New Roman"/>
          <w:szCs w:val="24"/>
        </w:rPr>
      </w:pPr>
      <w:r w:rsidRPr="00D70836">
        <w:rPr>
          <w:rFonts w:eastAsia="Times New Roman"/>
          <w:szCs w:val="24"/>
        </w:rPr>
        <w:lastRenderedPageBreak/>
        <w:t>P</w:t>
      </w:r>
      <w:r w:rsidR="00C65F22" w:rsidRPr="00D70836">
        <w:rPr>
          <w:rFonts w:eastAsia="Times New Roman"/>
          <w:szCs w:val="24"/>
        </w:rPr>
        <w:t>ayer</w:t>
      </w:r>
      <w:r w:rsidR="008578E7" w:rsidRPr="00D70836">
        <w:rPr>
          <w:rFonts w:eastAsia="Times New Roman"/>
          <w:szCs w:val="24"/>
        </w:rPr>
        <w:t>-</w:t>
      </w:r>
      <w:r w:rsidR="00C65F22" w:rsidRPr="00D70836">
        <w:rPr>
          <w:rFonts w:eastAsia="Times New Roman"/>
          <w:szCs w:val="24"/>
        </w:rPr>
        <w:t>mix by specialty</w:t>
      </w:r>
      <w:r w:rsidRPr="00D70836">
        <w:rPr>
          <w:rFonts w:eastAsia="Times New Roman"/>
          <w:szCs w:val="24"/>
        </w:rPr>
        <w:t xml:space="preserve"> for surgical cases.</w:t>
      </w:r>
      <w:r w:rsidR="00164B00" w:rsidRPr="00D70836">
        <w:rPr>
          <w:rFonts w:eastAsia="Times New Roman"/>
          <w:szCs w:val="24"/>
        </w:rPr>
        <w:t xml:space="preserve"> </w:t>
      </w:r>
    </w:p>
    <w:p w14:paraId="224CD080" w14:textId="45CBBF99" w:rsidR="004B7CA1" w:rsidRPr="00571391" w:rsidRDefault="004B7CA1" w:rsidP="00571391">
      <w:pPr>
        <w:pStyle w:val="Heading1"/>
        <w:rPr>
          <w:rFonts w:ascii="Segoe UI" w:hAnsi="Segoe UI" w:cs="Segoe UI"/>
        </w:rPr>
      </w:pPr>
      <w:bookmarkStart w:id="108" w:name="_Toc181356990"/>
      <w:bookmarkStart w:id="109" w:name="_Toc157428842"/>
      <w:r w:rsidRPr="00671913">
        <w:rPr>
          <w:rFonts w:asciiTheme="minorHAnsi" w:hAnsiTheme="minorHAnsi" w:cstheme="minorHAnsi"/>
        </w:rPr>
        <w:t>Appendix 1</w:t>
      </w:r>
      <w:bookmarkEnd w:id="108"/>
      <w:r w:rsidR="00D20EF6" w:rsidRPr="00671913">
        <w:rPr>
          <w:rFonts w:asciiTheme="minorHAnsi" w:hAnsiTheme="minorHAnsi" w:cstheme="minorHAnsi"/>
        </w:rPr>
        <w:t xml:space="preserve"> </w:t>
      </w:r>
      <w:bookmarkEnd w:id="109"/>
    </w:p>
    <w:p w14:paraId="785BEE86" w14:textId="79DA93CC" w:rsidR="004B7CA1" w:rsidRPr="00671913" w:rsidRDefault="004B7CA1" w:rsidP="00671913"/>
    <w:p w14:paraId="109E685D" w14:textId="5B66273E" w:rsidR="00053725" w:rsidRDefault="004B7CA1" w:rsidP="00A17541">
      <w:pPr>
        <w:rPr>
          <w:rFonts w:ascii="Calibri" w:eastAsia="Calibri" w:hAnsi="Calibri" w:cs="Calibri"/>
        </w:rPr>
      </w:pPr>
      <w:r w:rsidRPr="00671913">
        <w:t xml:space="preserve">The Holder shall provide, in its annual report to the Department the following outcome measures. These metrics will become part of the annual reporting on the approved DoN, required pursuant to 105 CMR 100.310(A)(12). </w:t>
      </w:r>
      <w:r w:rsidR="00053725" w:rsidRPr="00671913">
        <w:rPr>
          <w:rFonts w:ascii="Calibri" w:eastAsia="Calibri" w:hAnsi="Calibri" w:cs="Calibri"/>
        </w:rPr>
        <w:t xml:space="preserve">To assess the impact of the Proposed Project, </w:t>
      </w:r>
      <w:r w:rsidR="00ED115A" w:rsidRPr="00671913">
        <w:rPr>
          <w:rFonts w:ascii="Calibri" w:eastAsia="Calibri" w:hAnsi="Calibri" w:cs="Calibri"/>
        </w:rPr>
        <w:t xml:space="preserve">annually </w:t>
      </w:r>
      <w:r w:rsidR="00053725" w:rsidRPr="00671913">
        <w:rPr>
          <w:rFonts w:ascii="Calibri" w:eastAsia="Calibri" w:hAnsi="Calibri" w:cs="Calibri"/>
        </w:rPr>
        <w:t xml:space="preserve">the Applicant will evaluate </w:t>
      </w:r>
      <w:r w:rsidR="00ED115A" w:rsidRPr="00671913">
        <w:rPr>
          <w:rFonts w:ascii="Calibri" w:eastAsia="Calibri" w:hAnsi="Calibri" w:cs="Calibri"/>
        </w:rPr>
        <w:t xml:space="preserve">and report </w:t>
      </w:r>
      <w:r w:rsidR="00053725" w:rsidRPr="00671913">
        <w:rPr>
          <w:rFonts w:ascii="Calibri" w:eastAsia="Calibri" w:hAnsi="Calibri" w:cs="Calibri"/>
        </w:rPr>
        <w:t>the following measures</w:t>
      </w:r>
      <w:r w:rsidR="00ED115A" w:rsidRPr="00671913">
        <w:rPr>
          <w:rFonts w:ascii="Calibri" w:eastAsia="Calibri" w:hAnsi="Calibri" w:cs="Calibri"/>
        </w:rPr>
        <w:t xml:space="preserve"> by quarter</w:t>
      </w:r>
      <w:r w:rsidR="00053725" w:rsidRPr="00671913">
        <w:rPr>
          <w:rFonts w:ascii="Calibri" w:eastAsia="Calibri" w:hAnsi="Calibri" w:cs="Calibri"/>
        </w:rPr>
        <w:t>:</w:t>
      </w:r>
    </w:p>
    <w:p w14:paraId="0CD87D60" w14:textId="77777777" w:rsidR="00CF74BC" w:rsidRDefault="00CF74BC" w:rsidP="00A17541">
      <w:pPr>
        <w:rPr>
          <w:rFonts w:ascii="Calibri" w:eastAsia="Calibri" w:hAnsi="Calibri" w:cs="Calibri"/>
        </w:rPr>
      </w:pPr>
    </w:p>
    <w:p w14:paraId="3618FA25" w14:textId="066D073E" w:rsidR="00CF74BC" w:rsidRPr="00CF74BC" w:rsidRDefault="00CF74BC" w:rsidP="00CF74BC">
      <w:pPr>
        <w:rPr>
          <w:rFonts w:ascii="Calibri" w:eastAsia="Calibri" w:hAnsi="Calibri" w:cs="Calibri"/>
        </w:rPr>
      </w:pPr>
      <w:r w:rsidRPr="00CF74BC">
        <w:rPr>
          <w:rFonts w:ascii="Calibri" w:eastAsia="Calibri" w:hAnsi="Calibri" w:cs="Calibri"/>
        </w:rPr>
        <w:t xml:space="preserve">All measures will be reported on an annual basis following the first year of the Proposed Project’s implementation. The measures are discussed below: </w:t>
      </w:r>
    </w:p>
    <w:p w14:paraId="774120B9" w14:textId="77777777" w:rsidR="00CF74BC" w:rsidRPr="00CF74BC" w:rsidRDefault="00CF74BC" w:rsidP="00CF74BC">
      <w:pPr>
        <w:rPr>
          <w:rFonts w:ascii="Calibri" w:eastAsia="Calibri" w:hAnsi="Calibri" w:cs="Calibri"/>
        </w:rPr>
      </w:pPr>
    </w:p>
    <w:p w14:paraId="18915DC2" w14:textId="3426310E" w:rsidR="00CF74BC" w:rsidRPr="00CF74BC" w:rsidRDefault="00CF74BC" w:rsidP="00D57D83">
      <w:pPr>
        <w:numPr>
          <w:ilvl w:val="0"/>
          <w:numId w:val="6"/>
        </w:numPr>
        <w:rPr>
          <w:rFonts w:ascii="Calibri" w:eastAsia="Calibri" w:hAnsi="Calibri" w:cs="Calibri"/>
        </w:rPr>
      </w:pPr>
      <w:r w:rsidRPr="00CF74BC">
        <w:rPr>
          <w:rFonts w:ascii="Calibri" w:eastAsia="Calibri" w:hAnsi="Calibri" w:cs="Calibri"/>
          <w:b/>
        </w:rPr>
        <w:t>Clinical Quality – Surgical Site Infection Rate</w:t>
      </w:r>
      <w:r w:rsidR="0023727C">
        <w:rPr>
          <w:rFonts w:ascii="Calibri" w:eastAsia="Calibri" w:hAnsi="Calibri" w:cs="Calibri"/>
          <w:b/>
        </w:rPr>
        <w:t xml:space="preserve">: </w:t>
      </w:r>
      <w:r w:rsidRPr="00CF74BC">
        <w:rPr>
          <w:rFonts w:ascii="Calibri" w:eastAsia="Calibri" w:hAnsi="Calibri" w:cs="Calibri"/>
        </w:rPr>
        <w:t xml:space="preserve">Surgical site infections can be a significant setback to a patient’s recovery.  Effective surgical infection prevention encompasses systems and processes to reduce risk factors and optimize evidence-based processes of care. </w:t>
      </w:r>
    </w:p>
    <w:p w14:paraId="1BC69B65" w14:textId="3834BA75" w:rsidR="00CF74BC" w:rsidRPr="00CF74BC" w:rsidRDefault="00CF74BC" w:rsidP="00D57D83">
      <w:pPr>
        <w:numPr>
          <w:ilvl w:val="0"/>
          <w:numId w:val="8"/>
        </w:numPr>
        <w:rPr>
          <w:rFonts w:ascii="Calibri" w:eastAsia="Calibri" w:hAnsi="Calibri" w:cs="Calibri"/>
        </w:rPr>
      </w:pPr>
      <w:r w:rsidRPr="00CF74BC">
        <w:rPr>
          <w:rFonts w:ascii="Calibri" w:eastAsia="Calibri" w:hAnsi="Calibri" w:cs="Calibri"/>
          <w:i/>
        </w:rPr>
        <w:t>Measure</w:t>
      </w:r>
      <w:r w:rsidRPr="00CF74BC">
        <w:rPr>
          <w:rFonts w:ascii="Calibri" w:eastAsia="Calibri" w:hAnsi="Calibri" w:cs="Calibri"/>
        </w:rPr>
        <w:t xml:space="preserve">:  The Applicant will review Outpatient Procedure Component Surgical Site Infection (OPC-SSI) Ratios, as defined by the CDC’s National Healthcare Safety Network (NHSN). OPC-SSI Ratios will be benchmarked against national data on an annual basis. </w:t>
      </w:r>
    </w:p>
    <w:p w14:paraId="2D4422D9" w14:textId="77777777" w:rsidR="00CF74BC" w:rsidRPr="00CF74BC" w:rsidRDefault="00CF74BC" w:rsidP="00D57D83">
      <w:pPr>
        <w:numPr>
          <w:ilvl w:val="0"/>
          <w:numId w:val="8"/>
        </w:numPr>
        <w:rPr>
          <w:rFonts w:ascii="Calibri" w:eastAsia="Calibri" w:hAnsi="Calibri" w:cs="Calibri"/>
        </w:rPr>
      </w:pPr>
      <w:r w:rsidRPr="00CF74BC">
        <w:rPr>
          <w:rFonts w:ascii="Calibri" w:eastAsia="Calibri" w:hAnsi="Calibri" w:cs="Calibri"/>
          <w:i/>
        </w:rPr>
        <w:t xml:space="preserve">Projections: </w:t>
      </w:r>
      <w:r w:rsidRPr="00CF74BC">
        <w:rPr>
          <w:rFonts w:ascii="Calibri" w:eastAsia="Calibri" w:hAnsi="Calibri" w:cs="Calibri"/>
        </w:rPr>
        <w:t>The Applicant will provide baseline measures and three years of projections one year following implementation of the Proposed Project.</w:t>
      </w:r>
    </w:p>
    <w:p w14:paraId="29F9984E" w14:textId="5B6276F8" w:rsidR="00CF74BC" w:rsidRPr="00CF74BC" w:rsidRDefault="00CF74BC" w:rsidP="00D57D83">
      <w:pPr>
        <w:numPr>
          <w:ilvl w:val="0"/>
          <w:numId w:val="6"/>
        </w:numPr>
        <w:rPr>
          <w:rFonts w:ascii="Calibri" w:eastAsia="Calibri" w:hAnsi="Calibri" w:cs="Calibri"/>
        </w:rPr>
      </w:pPr>
      <w:r w:rsidRPr="00CF74BC">
        <w:rPr>
          <w:rFonts w:ascii="Calibri" w:eastAsia="Calibri" w:hAnsi="Calibri" w:cs="Calibri"/>
          <w:b/>
          <w:bCs/>
        </w:rPr>
        <w:t>Clinical Quality – On-Time Starts</w:t>
      </w:r>
      <w:r w:rsidR="0023727C">
        <w:rPr>
          <w:rFonts w:ascii="Calibri" w:eastAsia="Calibri" w:hAnsi="Calibri" w:cs="Calibri"/>
          <w:b/>
          <w:bCs/>
        </w:rPr>
        <w:t xml:space="preserve">: </w:t>
      </w:r>
      <w:r w:rsidRPr="00CF74BC">
        <w:rPr>
          <w:rFonts w:ascii="Calibri" w:eastAsia="Calibri" w:hAnsi="Calibri" w:cs="Calibri"/>
          <w:bCs/>
        </w:rPr>
        <w:t xml:space="preserve">Ensuring that procedures start on-time is not only important to ensure that a provider is achieving efficiencies, but it also positively contributes to patient satisfaction and outcomes. </w:t>
      </w:r>
    </w:p>
    <w:p w14:paraId="6754A806" w14:textId="6459FE12" w:rsidR="00CF74BC" w:rsidRPr="00CF74BC" w:rsidRDefault="00CF74BC" w:rsidP="00D57D83">
      <w:pPr>
        <w:numPr>
          <w:ilvl w:val="0"/>
          <w:numId w:val="9"/>
        </w:numPr>
        <w:rPr>
          <w:rFonts w:ascii="Calibri" w:eastAsia="Calibri" w:hAnsi="Calibri" w:cs="Calibri"/>
        </w:rPr>
      </w:pPr>
      <w:r w:rsidRPr="00CF74BC">
        <w:rPr>
          <w:rFonts w:ascii="Calibri" w:eastAsia="Calibri" w:hAnsi="Calibri" w:cs="Calibri"/>
          <w:i/>
        </w:rPr>
        <w:t>Measure</w:t>
      </w:r>
      <w:r w:rsidRPr="00CF74BC">
        <w:rPr>
          <w:rFonts w:ascii="Calibri" w:eastAsia="Calibri" w:hAnsi="Calibri" w:cs="Calibri"/>
        </w:rPr>
        <w:t>:  The Applicant will review its percent of On-Time Starts.</w:t>
      </w:r>
    </w:p>
    <w:p w14:paraId="35BED728" w14:textId="77777777" w:rsidR="00CF74BC" w:rsidRPr="00CF74BC" w:rsidRDefault="00CF74BC" w:rsidP="00D57D83">
      <w:pPr>
        <w:numPr>
          <w:ilvl w:val="0"/>
          <w:numId w:val="9"/>
        </w:numPr>
        <w:rPr>
          <w:rFonts w:ascii="Calibri" w:eastAsia="Calibri" w:hAnsi="Calibri" w:cs="Calibri"/>
        </w:rPr>
      </w:pPr>
      <w:r w:rsidRPr="00CF74BC">
        <w:rPr>
          <w:rFonts w:ascii="Calibri" w:eastAsia="Calibri" w:hAnsi="Calibri" w:cs="Calibri"/>
          <w:i/>
        </w:rPr>
        <w:t xml:space="preserve">Projections: </w:t>
      </w:r>
      <w:r w:rsidRPr="00CF74BC">
        <w:rPr>
          <w:rFonts w:ascii="Calibri" w:eastAsia="Calibri" w:hAnsi="Calibri" w:cs="Calibri"/>
        </w:rPr>
        <w:t>The Applicant will provide baseline measures and three years of projections one year following implementation of the Proposed Project.</w:t>
      </w:r>
    </w:p>
    <w:p w14:paraId="7550DF5D" w14:textId="7B2DD370" w:rsidR="00CF74BC" w:rsidRPr="00CF74BC" w:rsidRDefault="00CF74BC" w:rsidP="00D57D83">
      <w:pPr>
        <w:numPr>
          <w:ilvl w:val="0"/>
          <w:numId w:val="6"/>
        </w:numPr>
        <w:rPr>
          <w:rFonts w:ascii="Calibri" w:eastAsia="Calibri" w:hAnsi="Calibri" w:cs="Calibri"/>
        </w:rPr>
      </w:pPr>
      <w:r w:rsidRPr="00CF74BC">
        <w:rPr>
          <w:rFonts w:ascii="Calibri" w:eastAsia="Calibri" w:hAnsi="Calibri" w:cs="Calibri"/>
          <w:b/>
          <w:bCs/>
        </w:rPr>
        <w:t>Clinical Quality – Hospital Transfer Rate</w:t>
      </w:r>
      <w:r w:rsidR="0023727C">
        <w:rPr>
          <w:rFonts w:ascii="Calibri" w:eastAsia="Calibri" w:hAnsi="Calibri" w:cs="Calibri"/>
          <w:b/>
          <w:bCs/>
        </w:rPr>
        <w:t>:</w:t>
      </w:r>
      <w:r w:rsidRPr="00CF74BC">
        <w:rPr>
          <w:rFonts w:ascii="Calibri" w:eastAsia="Calibri" w:hAnsi="Calibri" w:cs="Calibri"/>
          <w:b/>
          <w:bCs/>
        </w:rPr>
        <w:t xml:space="preserve"> </w:t>
      </w:r>
    </w:p>
    <w:p w14:paraId="3A95D7B7" w14:textId="58E762DA" w:rsidR="00CF74BC" w:rsidRPr="00CF74BC" w:rsidRDefault="00CF74BC" w:rsidP="00D57D83">
      <w:pPr>
        <w:numPr>
          <w:ilvl w:val="0"/>
          <w:numId w:val="10"/>
        </w:numPr>
        <w:rPr>
          <w:rFonts w:ascii="Calibri" w:eastAsia="Calibri" w:hAnsi="Calibri" w:cs="Calibri"/>
        </w:rPr>
      </w:pPr>
      <w:r w:rsidRPr="00CF74BC">
        <w:rPr>
          <w:rFonts w:ascii="Calibri" w:eastAsia="Calibri" w:hAnsi="Calibri" w:cs="Calibri"/>
          <w:i/>
        </w:rPr>
        <w:t>Measure</w:t>
      </w:r>
      <w:r w:rsidRPr="00CF74BC">
        <w:rPr>
          <w:rFonts w:ascii="Calibri" w:eastAsia="Calibri" w:hAnsi="Calibri" w:cs="Calibri"/>
        </w:rPr>
        <w:t xml:space="preserve">:    The Applicant will review the number of hospital admission transfers per 1,000 ASC admissions, defined and reported by the ASC Quality Collaboration (ASCQC). </w:t>
      </w:r>
    </w:p>
    <w:p w14:paraId="218154BC" w14:textId="77777777" w:rsidR="00CF74BC" w:rsidRPr="00CF74BC" w:rsidRDefault="00CF74BC" w:rsidP="00D57D83">
      <w:pPr>
        <w:numPr>
          <w:ilvl w:val="0"/>
          <w:numId w:val="10"/>
        </w:numPr>
        <w:rPr>
          <w:rFonts w:ascii="Calibri" w:eastAsia="Calibri" w:hAnsi="Calibri" w:cs="Calibri"/>
        </w:rPr>
      </w:pPr>
      <w:r w:rsidRPr="00CF74BC">
        <w:rPr>
          <w:rFonts w:ascii="Calibri" w:eastAsia="Calibri" w:hAnsi="Calibri" w:cs="Calibri"/>
          <w:i/>
        </w:rPr>
        <w:t xml:space="preserve">Projections: </w:t>
      </w:r>
      <w:r w:rsidRPr="00CF74BC">
        <w:rPr>
          <w:rFonts w:ascii="Calibri" w:eastAsia="Calibri" w:hAnsi="Calibri" w:cs="Calibri"/>
        </w:rPr>
        <w:t>The Applicant will provide baseline measures and three years of projections one year following implementation of the Proposed Project.</w:t>
      </w:r>
    </w:p>
    <w:p w14:paraId="799C6E2F" w14:textId="3E9CD2B4" w:rsidR="00CF74BC" w:rsidRPr="00CF74BC" w:rsidRDefault="00CF74BC" w:rsidP="00D57D83">
      <w:pPr>
        <w:numPr>
          <w:ilvl w:val="0"/>
          <w:numId w:val="6"/>
        </w:numPr>
        <w:rPr>
          <w:rFonts w:ascii="Calibri" w:eastAsia="Calibri" w:hAnsi="Calibri" w:cs="Calibri"/>
          <w:b/>
        </w:rPr>
      </w:pPr>
      <w:r w:rsidRPr="00CF74BC">
        <w:rPr>
          <w:rFonts w:ascii="Calibri" w:eastAsia="Calibri" w:hAnsi="Calibri" w:cs="Calibri"/>
          <w:b/>
        </w:rPr>
        <w:t>Patient Satisfaction</w:t>
      </w:r>
      <w:r w:rsidR="0023727C">
        <w:rPr>
          <w:rFonts w:ascii="Calibri" w:eastAsia="Calibri" w:hAnsi="Calibri" w:cs="Calibri"/>
          <w:b/>
        </w:rPr>
        <w:t>:</w:t>
      </w:r>
      <w:r w:rsidRPr="00CF74BC">
        <w:rPr>
          <w:rFonts w:ascii="Calibri" w:eastAsia="Calibri" w:hAnsi="Calibri" w:cs="Calibri"/>
          <w:b/>
        </w:rPr>
        <w:t xml:space="preserve"> </w:t>
      </w:r>
      <w:r w:rsidRPr="00CF74BC">
        <w:rPr>
          <w:rFonts w:ascii="Calibri" w:eastAsia="Calibri" w:hAnsi="Calibri" w:cs="Calibri"/>
        </w:rPr>
        <w:t xml:space="preserve">The Outpatient &amp; Ambulatory Surgery Community Assessment of Healthcare Providers and Systems (OAS-CAHPS) survey is designed to measure the experience of care for patients who have visited Medicare-certified HOPDs or ASCs for surgery or procedures to inform quality improvement and comparative consumer information about the facility. </w:t>
      </w:r>
    </w:p>
    <w:p w14:paraId="013C02A1" w14:textId="214C18A9" w:rsidR="00CF74BC" w:rsidRPr="00CF74BC" w:rsidRDefault="00CF74BC" w:rsidP="00D57D83">
      <w:pPr>
        <w:numPr>
          <w:ilvl w:val="0"/>
          <w:numId w:val="7"/>
        </w:numPr>
        <w:rPr>
          <w:rFonts w:ascii="Calibri" w:eastAsia="Calibri" w:hAnsi="Calibri" w:cs="Calibri"/>
        </w:rPr>
      </w:pPr>
      <w:r w:rsidRPr="00CF74BC">
        <w:rPr>
          <w:rFonts w:ascii="Calibri" w:eastAsia="Calibri" w:hAnsi="Calibri" w:cs="Calibri"/>
          <w:i/>
        </w:rPr>
        <w:t>Measure</w:t>
      </w:r>
      <w:r w:rsidRPr="00CF74BC">
        <w:rPr>
          <w:rFonts w:ascii="Calibri" w:eastAsia="Calibri" w:hAnsi="Calibri" w:cs="Calibri"/>
        </w:rPr>
        <w:t xml:space="preserve">:   The Center will use the OAS-CAHPS survey to assess patient satisfaction with the Project. The survey will be provided to all eligible patients on an annual basis. </w:t>
      </w:r>
    </w:p>
    <w:p w14:paraId="29978D6B" w14:textId="763D9035" w:rsidR="00CF74BC" w:rsidRDefault="00CF74BC" w:rsidP="00CF74BC">
      <w:pPr>
        <w:rPr>
          <w:rFonts w:ascii="Calibri" w:eastAsia="Calibri" w:hAnsi="Calibri" w:cs="Calibri"/>
        </w:rPr>
      </w:pPr>
      <w:r w:rsidRPr="00CF74BC">
        <w:rPr>
          <w:rFonts w:ascii="Calibri" w:eastAsia="Calibri" w:hAnsi="Calibri" w:cs="Calibri"/>
          <w:i/>
        </w:rPr>
        <w:lastRenderedPageBreak/>
        <w:t xml:space="preserve">Projections: </w:t>
      </w:r>
      <w:r w:rsidRPr="00CF74BC">
        <w:rPr>
          <w:rFonts w:ascii="Calibri" w:eastAsia="Calibri" w:hAnsi="Calibri" w:cs="Calibri"/>
        </w:rPr>
        <w:t>The Applicant will provide baseline measures and three years of projections one year following implementation of the Proposed Project.</w:t>
      </w:r>
    </w:p>
    <w:p w14:paraId="7BBE5A67" w14:textId="77777777" w:rsidR="00EB1C1F" w:rsidRDefault="00EB1C1F" w:rsidP="00671913">
      <w:pPr>
        <w:jc w:val="both"/>
        <w:rPr>
          <w:rFonts w:ascii="Calibri" w:eastAsia="Calibri" w:hAnsi="Calibri" w:cs="Calibri"/>
        </w:rPr>
      </w:pPr>
    </w:p>
    <w:p w14:paraId="0248112C" w14:textId="47A4AE4B" w:rsidR="00F14924" w:rsidRDefault="00F14924" w:rsidP="00F14924">
      <w:pPr>
        <w:spacing w:after="200" w:line="276" w:lineRule="auto"/>
        <w:sectPr w:rsidR="00F14924" w:rsidSect="00A5446E">
          <w:footerReference w:type="default" r:id="rId13"/>
          <w:type w:val="continuous"/>
          <w:pgSz w:w="12240" w:h="15840"/>
          <w:pgMar w:top="1440" w:right="1440" w:bottom="1440" w:left="1440" w:header="720" w:footer="432" w:gutter="0"/>
          <w:cols w:space="720"/>
          <w:titlePg/>
          <w:docGrid w:linePitch="360"/>
        </w:sectPr>
      </w:pPr>
    </w:p>
    <w:p w14:paraId="5C88A18A" w14:textId="3A305B6A" w:rsidR="00F61BC0" w:rsidRPr="001E489E" w:rsidRDefault="00F61BC0" w:rsidP="001B10BB"/>
    <w:sectPr w:rsidR="00F61BC0" w:rsidRPr="001E489E" w:rsidSect="00A5446E">
      <w:headerReference w:type="even" r:id="rId14"/>
      <w:headerReference w:type="default" r:id="rId15"/>
      <w:footerReference w:type="even" r:id="rId16"/>
      <w:footerReference w:type="default" r:id="rId17"/>
      <w:headerReference w:type="first" r:id="rId18"/>
      <w:footerReference w:type="first" r:id="rId19"/>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25F9" w14:textId="77777777" w:rsidR="00B96B22" w:rsidRDefault="00B96B22" w:rsidP="008C0709">
      <w:r>
        <w:separator/>
      </w:r>
    </w:p>
  </w:endnote>
  <w:endnote w:type="continuationSeparator" w:id="0">
    <w:p w14:paraId="6F7C93CC" w14:textId="77777777" w:rsidR="00B96B22" w:rsidRDefault="00B96B22" w:rsidP="008C0709">
      <w:r>
        <w:continuationSeparator/>
      </w:r>
    </w:p>
  </w:endnote>
  <w:endnote w:type="continuationNotice" w:id="1">
    <w:p w14:paraId="1F3D0BD4" w14:textId="77777777" w:rsidR="00B96B22" w:rsidRDefault="00B96B22"/>
  </w:endnote>
  <w:endnote w:id="2">
    <w:p w14:paraId="440D56F6" w14:textId="1C953C1E" w:rsidR="00F91EC1" w:rsidRDefault="00F91EC1">
      <w:pPr>
        <w:pStyle w:val="EndnoteText"/>
      </w:pPr>
      <w:r>
        <w:rPr>
          <w:rStyle w:val="EndnoteReference"/>
        </w:rPr>
        <w:endnoteRef/>
      </w:r>
      <w:r>
        <w:t xml:space="preserve"> </w:t>
      </w:r>
      <w:r w:rsidRPr="00BC4B71">
        <w:rPr>
          <w:smallCaps/>
        </w:rPr>
        <w:t xml:space="preserve">Elizabeth Dugan, PhD, et al., </w:t>
      </w:r>
      <w:hyperlink r:id="rId1" w:history="1">
        <w:r w:rsidRPr="00832B42">
          <w:rPr>
            <w:rStyle w:val="Hyperlink"/>
            <w:smallCaps/>
            <w:color w:val="000000" w:themeColor="text1"/>
            <w:u w:val="none"/>
          </w:rPr>
          <w:t>Highlights From The Massachusetts Healthy Aging Data Report: Community Profiles 2014</w:t>
        </w:r>
      </w:hyperlink>
      <w:r w:rsidRPr="00832B42">
        <w:rPr>
          <w:color w:val="000000" w:themeColor="text1"/>
        </w:rPr>
        <w:t xml:space="preserve"> (2014</w:t>
      </w:r>
      <w:r w:rsidRPr="00BC4B71">
        <w:t xml:space="preserve">) (available at </w:t>
      </w:r>
      <w:hyperlink r:id="rId2" w:history="1">
        <w:r w:rsidRPr="00F738DA">
          <w:rPr>
            <w:rStyle w:val="Hyperlink"/>
            <w:color w:val="004E9A"/>
          </w:rPr>
          <w:t>https://www.mass.gov/files/documents/2016/07/wb/healthy-aging-data-report.pdf</w:t>
        </w:r>
      </w:hyperlink>
      <w:r w:rsidRPr="00BC4B71">
        <w:t>).</w:t>
      </w:r>
    </w:p>
  </w:endnote>
  <w:endnote w:id="3">
    <w:p w14:paraId="679AEC4E" w14:textId="4211BC5B" w:rsidR="004A3E79" w:rsidRDefault="004A3E79">
      <w:pPr>
        <w:pStyle w:val="EndnoteText"/>
      </w:pPr>
      <w:r w:rsidRPr="00353792">
        <w:rPr>
          <w:rStyle w:val="EndnoteReference"/>
          <w:rFonts w:cstheme="minorHAnsi"/>
        </w:rPr>
        <w:endnoteRef/>
      </w:r>
      <w:r w:rsidRPr="00353792">
        <w:rPr>
          <w:rFonts w:cstheme="minorHAnsi"/>
        </w:rPr>
        <w:t xml:space="preserve"> </w:t>
      </w:r>
      <w:r w:rsidRPr="00353792">
        <w:rPr>
          <w:rFonts w:eastAsia="Aptos" w:cstheme="minorHAnsi"/>
        </w:rPr>
        <w:t>See Becker’s ASC Review “Defining ‘Full Utilization’ of an Ambulatory Surgery Center: Q&amp;A With Jim Scarsellla of Anesthesia Staffing Consultants” (February 2011).</w:t>
      </w:r>
    </w:p>
  </w:endnote>
  <w:endnote w:id="4">
    <w:p w14:paraId="3F53F4EE" w14:textId="77777777" w:rsidR="009E44FF" w:rsidRPr="00DF2901" w:rsidRDefault="009E44FF" w:rsidP="009E44FF">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iCs/>
          <w:sz w:val="20"/>
          <w:szCs w:val="20"/>
        </w:rPr>
        <w:t>Id.</w:t>
      </w:r>
    </w:p>
  </w:endnote>
  <w:endnote w:id="5">
    <w:p w14:paraId="3E3C38F4" w14:textId="00C5CC24" w:rsidR="004A3E79" w:rsidRPr="00DF2901" w:rsidRDefault="004A3E79" w:rsidP="00DF2901">
      <w:pPr>
        <w:pStyle w:val="BodyText"/>
        <w:spacing w:after="0" w:line="240" w:lineRule="auto"/>
        <w:rPr>
          <w:sz w:val="20"/>
          <w:szCs w:val="20"/>
        </w:rPr>
      </w:pPr>
      <w:r w:rsidRPr="00DF2901">
        <w:rPr>
          <w:rStyle w:val="EndnoteReference"/>
          <w:sz w:val="20"/>
          <w:szCs w:val="20"/>
        </w:rPr>
        <w:endnoteRef/>
      </w:r>
      <w:r w:rsidRPr="00DF2901">
        <w:rPr>
          <w:sz w:val="20"/>
          <w:szCs w:val="20"/>
        </w:rPr>
        <w:t xml:space="preserve"> Mark Warner, M.D., et al., </w:t>
      </w:r>
      <w:hyperlink r:id="rId3" w:history="1">
        <w:r w:rsidRPr="009300B5">
          <w:rPr>
            <w:rStyle w:val="Hyperlink"/>
            <w:i/>
            <w:color w:val="000000" w:themeColor="text1"/>
            <w:sz w:val="20"/>
            <w:szCs w:val="20"/>
            <w:u w:val="none"/>
          </w:rPr>
          <w:t>Major Morbidity and Mortality Within 1 Month of Ambulatory Surgery and Anesthesia</w:t>
        </w:r>
      </w:hyperlink>
      <w:r w:rsidRPr="009300B5">
        <w:rPr>
          <w:color w:val="000000" w:themeColor="text1"/>
          <w:sz w:val="20"/>
          <w:szCs w:val="20"/>
        </w:rPr>
        <w:t xml:space="preserve">, </w:t>
      </w:r>
      <w:r w:rsidRPr="00DF2901">
        <w:rPr>
          <w:sz w:val="20"/>
          <w:szCs w:val="20"/>
        </w:rPr>
        <w:t>JAMA. 1993;270(12):1437-1441 (Sep. 22, 1993) (</w:t>
      </w:r>
      <w:hyperlink r:id="rId4" w:history="1">
        <w:r w:rsidRPr="00F738DA">
          <w:rPr>
            <w:rStyle w:val="Hyperlink"/>
            <w:color w:val="004E9A"/>
            <w:sz w:val="20"/>
            <w:szCs w:val="20"/>
          </w:rPr>
          <w:t>https://jamanetwork.com/journals/jama/article-abstract/408575</w:t>
        </w:r>
      </w:hyperlink>
      <w:r w:rsidRPr="00DF2901">
        <w:rPr>
          <w:sz w:val="20"/>
          <w:szCs w:val="20"/>
        </w:rPr>
        <w:t xml:space="preserve">). </w:t>
      </w:r>
      <w:hyperlink r:id="rId5" w:history="1">
        <w:r w:rsidRPr="00F738DA">
          <w:rPr>
            <w:rStyle w:val="Hyperlink"/>
            <w:color w:val="004E9A"/>
            <w:sz w:val="20"/>
            <w:szCs w:val="20"/>
          </w:rPr>
          <w:t>Major Morbidity and Mortality Within 1 Month of Ambulatory Surgery and Anesthesia | JAMA | JAMA Network</w:t>
        </w:r>
      </w:hyperlink>
    </w:p>
  </w:endnote>
  <w:endnote w:id="6">
    <w:p w14:paraId="2761B31F" w14:textId="77777777" w:rsidR="004A3E79" w:rsidRPr="00DF2901" w:rsidRDefault="004A3E79" w:rsidP="00DF2901">
      <w:pPr>
        <w:pStyle w:val="BodyText"/>
        <w:spacing w:after="0" w:line="240" w:lineRule="auto"/>
        <w:rPr>
          <w:rFonts w:cstheme="minorHAnsi"/>
          <w:i/>
          <w:iCs/>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iCs/>
          <w:sz w:val="20"/>
          <w:szCs w:val="20"/>
        </w:rPr>
        <w:t>Id.</w:t>
      </w:r>
    </w:p>
  </w:endnote>
  <w:endnote w:id="7">
    <w:p w14:paraId="6A2174DD" w14:textId="41303DFF" w:rsidR="004A3E79" w:rsidRPr="00DF2901" w:rsidRDefault="004A3E79" w:rsidP="00DF2901">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Jeffrey Silber, et al., </w:t>
      </w:r>
      <w:hyperlink r:id="rId6" w:history="1">
        <w:r w:rsidRPr="00850FA3">
          <w:rPr>
            <w:rStyle w:val="Hyperlink"/>
            <w:rFonts w:cstheme="minorHAnsi"/>
            <w:i/>
            <w:color w:val="000000" w:themeColor="text1"/>
            <w:sz w:val="20"/>
            <w:szCs w:val="20"/>
            <w:u w:val="none"/>
          </w:rPr>
          <w:t>The Safety of Performing Surgery at Ambulatory Surgery Centers Versus Hospital Outpatient Departments in Older Patients With or Without Multimorbidity</w:t>
        </w:r>
      </w:hyperlink>
      <w:r w:rsidRPr="00850FA3">
        <w:rPr>
          <w:rFonts w:cstheme="minorHAnsi"/>
          <w:color w:val="000000" w:themeColor="text1"/>
          <w:sz w:val="20"/>
          <w:szCs w:val="20"/>
        </w:rPr>
        <w:t xml:space="preserve">, 61 </w:t>
      </w:r>
      <w:r w:rsidRPr="00DF2901">
        <w:rPr>
          <w:rFonts w:cstheme="minorHAnsi"/>
          <w:sz w:val="20"/>
          <w:szCs w:val="20"/>
        </w:rPr>
        <w:t>Med. Care 5 (May 17, 2023) (</w:t>
      </w:r>
      <w:hyperlink r:id="rId7" w:history="1">
        <w:r w:rsidRPr="00F738DA">
          <w:rPr>
            <w:rStyle w:val="Hyperlink"/>
            <w:rFonts w:cstheme="minorHAnsi"/>
            <w:color w:val="004E9A"/>
            <w:sz w:val="20"/>
            <w:szCs w:val="20"/>
          </w:rPr>
          <w:t>https://www.ingentaconnect.com/content/wk/mcar/2023/00000061/00000005/art00010</w:t>
        </w:r>
      </w:hyperlink>
      <w:r w:rsidRPr="00DF2901">
        <w:rPr>
          <w:rFonts w:cstheme="minorHAnsi"/>
          <w:sz w:val="20"/>
          <w:szCs w:val="20"/>
        </w:rPr>
        <w:t xml:space="preserve">). </w:t>
      </w:r>
    </w:p>
  </w:endnote>
  <w:endnote w:id="8">
    <w:p w14:paraId="160A8A71" w14:textId="6C5AC3F2" w:rsidR="004A3E79" w:rsidRPr="00DF2901" w:rsidRDefault="004A3E79" w:rsidP="00A3035E">
      <w:pPr>
        <w:pStyle w:val="BodyText"/>
        <w:spacing w:after="0" w:line="240" w:lineRule="auto"/>
        <w:rPr>
          <w:sz w:val="20"/>
          <w:szCs w:val="20"/>
        </w:rPr>
      </w:pPr>
      <w:r w:rsidRPr="00DF2901">
        <w:rPr>
          <w:rStyle w:val="EndnoteReference"/>
          <w:sz w:val="20"/>
          <w:szCs w:val="20"/>
        </w:rPr>
        <w:endnoteRef/>
      </w:r>
      <w:r w:rsidRPr="00DF2901">
        <w:rPr>
          <w:sz w:val="20"/>
          <w:szCs w:val="20"/>
        </w:rPr>
        <w:t xml:space="preserve"> </w:t>
      </w:r>
      <w:hyperlink r:id="rId8" w:history="1">
        <w:r w:rsidRPr="00EB1A08">
          <w:rPr>
            <w:rStyle w:val="Hyperlink"/>
            <w:i/>
            <w:color w:val="000000" w:themeColor="text1"/>
            <w:sz w:val="20"/>
            <w:szCs w:val="20"/>
            <w:u w:val="none"/>
          </w:rPr>
          <w:t>The Benefits of Outpatient Surgical Centers</w:t>
        </w:r>
      </w:hyperlink>
      <w:r w:rsidRPr="00EB1A08">
        <w:rPr>
          <w:color w:val="000000" w:themeColor="text1"/>
          <w:sz w:val="20"/>
          <w:szCs w:val="20"/>
        </w:rPr>
        <w:t xml:space="preserve">, </w:t>
      </w:r>
      <w:r w:rsidRPr="00DF2901">
        <w:rPr>
          <w:smallCaps/>
          <w:sz w:val="20"/>
          <w:szCs w:val="20"/>
        </w:rPr>
        <w:t>The Centers for Advanced Orthopaedics</w:t>
      </w:r>
      <w:r w:rsidRPr="00DF2901">
        <w:rPr>
          <w:sz w:val="20"/>
          <w:szCs w:val="20"/>
        </w:rPr>
        <w:t xml:space="preserve"> (Jun. 15, 2017) (</w:t>
      </w:r>
      <w:hyperlink r:id="rId9" w:history="1">
        <w:r w:rsidRPr="00F738DA">
          <w:rPr>
            <w:rStyle w:val="Hyperlink"/>
            <w:color w:val="004E9A"/>
            <w:sz w:val="20"/>
            <w:szCs w:val="20"/>
          </w:rPr>
          <w:t>https://www.cfaortho.com/media/news/2017/06/the-benefits-of-outpatient-surgical-centers</w:t>
        </w:r>
      </w:hyperlink>
      <w:r w:rsidRPr="00DF2901">
        <w:rPr>
          <w:sz w:val="20"/>
          <w:szCs w:val="20"/>
        </w:rPr>
        <w:t xml:space="preserve">). </w:t>
      </w:r>
    </w:p>
  </w:endnote>
  <w:endnote w:id="9">
    <w:p w14:paraId="57DC7525" w14:textId="7D2FE7A9" w:rsidR="004A3E79" w:rsidRPr="00DF2901" w:rsidRDefault="004A3E79" w:rsidP="00DF2901">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Elizabeth Munnich and Stephen T. Parente</w:t>
      </w:r>
      <w:r w:rsidRPr="00D462F1">
        <w:rPr>
          <w:rFonts w:cstheme="minorHAnsi"/>
          <w:color w:val="000000" w:themeColor="text1"/>
          <w:sz w:val="20"/>
          <w:szCs w:val="20"/>
        </w:rPr>
        <w:t xml:space="preserve">, </w:t>
      </w:r>
      <w:hyperlink r:id="rId10" w:history="1">
        <w:r w:rsidRPr="00D462F1">
          <w:rPr>
            <w:rStyle w:val="Hyperlink"/>
            <w:rFonts w:cstheme="minorHAnsi"/>
            <w:i/>
            <w:color w:val="000000" w:themeColor="text1"/>
            <w:sz w:val="20"/>
            <w:szCs w:val="20"/>
            <w:u w:val="none"/>
          </w:rPr>
          <w:t>Procedures Take Less Time At Ambulatory Surgery Centers, Keeping Costs Down And Ability To Meet Demand Up</w:t>
        </w:r>
        <w:r w:rsidRPr="00D462F1">
          <w:rPr>
            <w:rStyle w:val="Hyperlink"/>
            <w:rFonts w:cstheme="minorHAnsi"/>
            <w:color w:val="000000" w:themeColor="text1"/>
            <w:sz w:val="20"/>
            <w:szCs w:val="20"/>
            <w:u w:val="none"/>
          </w:rPr>
          <w:t>,</w:t>
        </w:r>
      </w:hyperlink>
      <w:r w:rsidRPr="00D462F1">
        <w:rPr>
          <w:rFonts w:cstheme="minorHAnsi"/>
          <w:color w:val="000000" w:themeColor="text1"/>
          <w:sz w:val="20"/>
          <w:szCs w:val="20"/>
        </w:rPr>
        <w:t xml:space="preserve"> 33 Health </w:t>
      </w:r>
      <w:r w:rsidRPr="00DF2901">
        <w:rPr>
          <w:rFonts w:cstheme="minorHAnsi"/>
          <w:sz w:val="20"/>
          <w:szCs w:val="20"/>
        </w:rPr>
        <w:t xml:space="preserve">Affairs 5 (May 2014) (available at </w:t>
      </w:r>
      <w:hyperlink r:id="rId11" w:history="1">
        <w:r w:rsidRPr="00F738DA">
          <w:rPr>
            <w:rStyle w:val="Hyperlink"/>
            <w:rFonts w:cstheme="minorHAnsi"/>
            <w:color w:val="004E9A"/>
            <w:sz w:val="20"/>
            <w:szCs w:val="20"/>
          </w:rPr>
          <w:t>https://www.healthaffairs.org/doi/full/10.1377/hlthaff.2013.1281</w:t>
        </w:r>
      </w:hyperlink>
      <w:r w:rsidRPr="00DF2901">
        <w:rPr>
          <w:rFonts w:cstheme="minorHAnsi"/>
          <w:sz w:val="20"/>
          <w:szCs w:val="20"/>
        </w:rPr>
        <w:t xml:space="preserve">). </w:t>
      </w:r>
    </w:p>
  </w:endnote>
  <w:endnote w:id="10">
    <w:p w14:paraId="46AF6F0A" w14:textId="02CC5C09" w:rsidR="00B50E4B" w:rsidRPr="005B6C0D" w:rsidRDefault="00B50E4B" w:rsidP="00B63D79">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David Pace, M.D., et al., </w:t>
      </w:r>
      <w:hyperlink r:id="rId12" w:history="1">
        <w:r w:rsidRPr="00D462F1">
          <w:rPr>
            <w:rStyle w:val="Hyperlink"/>
            <w:rFonts w:cstheme="minorHAnsi"/>
            <w:i/>
            <w:color w:val="000000" w:themeColor="text1"/>
            <w:sz w:val="20"/>
            <w:szCs w:val="20"/>
            <w:u w:val="none"/>
          </w:rPr>
          <w:t>Ambulatory surgery centres: a potential solution to a chronic problem</w:t>
        </w:r>
      </w:hyperlink>
      <w:r w:rsidRPr="00D462F1">
        <w:rPr>
          <w:rFonts w:cstheme="minorHAnsi"/>
          <w:color w:val="000000" w:themeColor="text1"/>
          <w:sz w:val="20"/>
          <w:szCs w:val="20"/>
        </w:rPr>
        <w:t>, Can</w:t>
      </w:r>
      <w:r w:rsidRPr="00DF2901">
        <w:rPr>
          <w:rFonts w:cstheme="minorHAnsi"/>
          <w:sz w:val="20"/>
          <w:szCs w:val="20"/>
        </w:rPr>
        <w:t xml:space="preserve">. J. of Surgery E111 – E113 (Mar. 07, 2023) (available at </w:t>
      </w:r>
      <w:hyperlink r:id="rId13" w:history="1">
        <w:r w:rsidRPr="00F738DA">
          <w:rPr>
            <w:rStyle w:val="Hyperlink"/>
            <w:rFonts w:cstheme="minorHAnsi"/>
            <w:color w:val="004E9A"/>
            <w:sz w:val="20"/>
            <w:szCs w:val="20"/>
          </w:rPr>
          <w:t>https://www.ncbi.nlm.nih.gov/pmc/articles/PMC9998099/</w:t>
        </w:r>
      </w:hyperlink>
      <w:r w:rsidRPr="005B6C0D">
        <w:rPr>
          <w:rFonts w:cstheme="minorHAnsi"/>
          <w:sz w:val="20"/>
          <w:szCs w:val="20"/>
        </w:rPr>
        <w:t xml:space="preserve">). </w:t>
      </w:r>
    </w:p>
  </w:endnote>
  <w:endnote w:id="11">
    <w:p w14:paraId="18C6E42D" w14:textId="5BA97E4B" w:rsidR="00617CF2" w:rsidRPr="00DF2901" w:rsidRDefault="00617CF2" w:rsidP="00617CF2">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See</w:t>
      </w:r>
      <w:r w:rsidRPr="00DF2901">
        <w:rPr>
          <w:rFonts w:cstheme="minorHAnsi"/>
          <w:sz w:val="20"/>
          <w:szCs w:val="20"/>
        </w:rPr>
        <w:t>,</w:t>
      </w:r>
      <w:r w:rsidRPr="00DF2901">
        <w:rPr>
          <w:rFonts w:cstheme="minorHAnsi"/>
          <w:i/>
          <w:sz w:val="20"/>
          <w:szCs w:val="20"/>
        </w:rPr>
        <w:t xml:space="preserve"> </w:t>
      </w:r>
      <w:r w:rsidRPr="00DF2901">
        <w:rPr>
          <w:rFonts w:cstheme="minorHAnsi"/>
          <w:sz w:val="20"/>
          <w:szCs w:val="20"/>
        </w:rPr>
        <w:t xml:space="preserve">CH Chiu, et al., </w:t>
      </w:r>
      <w:hyperlink r:id="rId14" w:history="1">
        <w:r w:rsidRPr="00980CFF">
          <w:rPr>
            <w:rStyle w:val="Hyperlink"/>
            <w:rFonts w:cstheme="minorHAnsi"/>
            <w:i/>
            <w:color w:val="000000" w:themeColor="text1"/>
            <w:sz w:val="20"/>
            <w:szCs w:val="20"/>
            <w:u w:val="none"/>
          </w:rPr>
          <w:t>Cancellation of elective operations on the day of intended surgery in a Hong Kong hospital: point prevalence and reasons</w:t>
        </w:r>
      </w:hyperlink>
      <w:r w:rsidRPr="00980CFF">
        <w:rPr>
          <w:rFonts w:cstheme="minorHAnsi"/>
          <w:color w:val="000000" w:themeColor="text1"/>
          <w:sz w:val="20"/>
          <w:szCs w:val="20"/>
        </w:rPr>
        <w:t xml:space="preserve">, </w:t>
      </w:r>
      <w:r w:rsidRPr="00DF2901">
        <w:rPr>
          <w:rFonts w:cstheme="minorHAnsi"/>
          <w:sz w:val="20"/>
          <w:szCs w:val="20"/>
        </w:rPr>
        <w:t xml:space="preserve">18 Hong Kong Med. J. 5 (Feb 2012) (available at </w:t>
      </w:r>
      <w:hyperlink r:id="rId15" w:history="1">
        <w:r w:rsidRPr="00F738DA">
          <w:rPr>
            <w:rStyle w:val="Hyperlink"/>
            <w:rFonts w:cstheme="minorHAnsi"/>
            <w:color w:val="004E9A"/>
            <w:sz w:val="20"/>
            <w:szCs w:val="20"/>
          </w:rPr>
          <w:t>https://www.hkmj.org/system/files/hkm1202p5.pdf</w:t>
        </w:r>
      </w:hyperlink>
      <w:r w:rsidRPr="00DF2901">
        <w:rPr>
          <w:rFonts w:cstheme="minorHAnsi"/>
          <w:sz w:val="20"/>
          <w:szCs w:val="20"/>
        </w:rPr>
        <w:t xml:space="preserve">). </w:t>
      </w:r>
    </w:p>
  </w:endnote>
  <w:endnote w:id="12">
    <w:p w14:paraId="212C3EC8" w14:textId="2F4F9CF7" w:rsidR="00617CF2" w:rsidRPr="00DF2901" w:rsidRDefault="00617CF2" w:rsidP="00617CF2">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See</w:t>
      </w:r>
      <w:r w:rsidRPr="00DF2901">
        <w:rPr>
          <w:rFonts w:cstheme="minorHAnsi"/>
          <w:sz w:val="20"/>
          <w:szCs w:val="20"/>
        </w:rPr>
        <w:t xml:space="preserve">, Wei Xue, et al., </w:t>
      </w:r>
      <w:hyperlink r:id="rId16" w:history="1">
        <w:r w:rsidRPr="00DF0B07">
          <w:rPr>
            <w:rStyle w:val="Hyperlink"/>
            <w:rFonts w:cstheme="minorHAnsi"/>
            <w:i/>
            <w:color w:val="000000" w:themeColor="text1"/>
            <w:sz w:val="20"/>
            <w:szCs w:val="20"/>
            <w:u w:val="none"/>
          </w:rPr>
          <w:t>Dynamics of Elective Case Cancellation for Inpatient and Outpatient in an Academic Center</w:t>
        </w:r>
      </w:hyperlink>
      <w:r w:rsidRPr="00DF0B07">
        <w:rPr>
          <w:rFonts w:cstheme="minorHAnsi"/>
          <w:color w:val="000000" w:themeColor="text1"/>
          <w:sz w:val="20"/>
          <w:szCs w:val="20"/>
        </w:rPr>
        <w:t xml:space="preserve">, 4 </w:t>
      </w:r>
      <w:r w:rsidRPr="00DF2901">
        <w:rPr>
          <w:rFonts w:cstheme="minorHAnsi"/>
          <w:sz w:val="20"/>
          <w:szCs w:val="20"/>
        </w:rPr>
        <w:t xml:space="preserve">J Anesth. Clin. Res. 314 (May 13, 2013) (available at </w:t>
      </w:r>
      <w:hyperlink r:id="rId17" w:history="1">
        <w:r w:rsidRPr="00F738DA">
          <w:rPr>
            <w:rStyle w:val="Hyperlink"/>
            <w:rFonts w:cstheme="minorHAnsi"/>
            <w:color w:val="004E9A"/>
            <w:sz w:val="20"/>
            <w:szCs w:val="20"/>
          </w:rPr>
          <w:t>https://www.ncbi.nlm.nih.gov/pmc/articles/PMC3839960/</w:t>
        </w:r>
      </w:hyperlink>
      <w:r w:rsidRPr="00DF2901">
        <w:rPr>
          <w:rFonts w:cstheme="minorHAnsi"/>
          <w:sz w:val="20"/>
          <w:szCs w:val="20"/>
        </w:rPr>
        <w:t>).</w:t>
      </w:r>
    </w:p>
  </w:endnote>
  <w:endnote w:id="13">
    <w:p w14:paraId="39714D7B" w14:textId="30D750DA" w:rsidR="00617CF2" w:rsidRPr="00DE2866" w:rsidRDefault="00617CF2" w:rsidP="00617CF2">
      <w:pPr>
        <w:pStyle w:val="BodyText"/>
        <w:spacing w:after="0" w:line="240" w:lineRule="auto"/>
        <w:rPr>
          <w:rStyle w:val="Hyperlink"/>
          <w:rFonts w:cstheme="minorHAnsi"/>
          <w:i/>
          <w:color w:val="000000" w:themeColor="text1"/>
          <w:sz w:val="20"/>
          <w:szCs w:val="20"/>
          <w:u w:val="none"/>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 xml:space="preserve">See, </w:t>
      </w:r>
      <w:r w:rsidRPr="00DF2901">
        <w:rPr>
          <w:rFonts w:cstheme="minorHAnsi"/>
          <w:sz w:val="20"/>
          <w:szCs w:val="20"/>
        </w:rPr>
        <w:t>Jedidiah Grisel, M.D., and Ellis Arjmand, M.D.,</w:t>
      </w:r>
      <w:r w:rsidRPr="00DE2866">
        <w:rPr>
          <w:rFonts w:cstheme="minorHAnsi"/>
          <w:color w:val="000000" w:themeColor="text1"/>
          <w:sz w:val="20"/>
          <w:szCs w:val="20"/>
        </w:rPr>
        <w:t xml:space="preserve"> </w:t>
      </w:r>
      <w:r w:rsidR="00D63484" w:rsidRPr="00DE2866">
        <w:rPr>
          <w:rFonts w:cstheme="minorHAnsi"/>
          <w:i/>
          <w:color w:val="000000" w:themeColor="text1"/>
          <w:sz w:val="20"/>
          <w:szCs w:val="20"/>
        </w:rPr>
        <w:fldChar w:fldCharType="begin"/>
      </w:r>
      <w:r w:rsidR="00D63484" w:rsidRPr="00DE2866">
        <w:rPr>
          <w:rFonts w:cstheme="minorHAnsi"/>
          <w:i/>
          <w:color w:val="000000" w:themeColor="text1"/>
          <w:sz w:val="20"/>
          <w:szCs w:val="20"/>
        </w:rPr>
        <w:instrText>HYPERLINK "https://bcpsc.yitech.in/wp-content/uploads/2021/01/Grisel_2009.pdf"</w:instrText>
      </w:r>
      <w:r w:rsidR="00D63484" w:rsidRPr="00DE2866">
        <w:rPr>
          <w:rFonts w:cstheme="minorHAnsi"/>
          <w:i/>
          <w:color w:val="000000" w:themeColor="text1"/>
          <w:sz w:val="20"/>
          <w:szCs w:val="20"/>
        </w:rPr>
      </w:r>
      <w:r w:rsidR="00D63484" w:rsidRPr="00DE2866">
        <w:rPr>
          <w:rFonts w:cstheme="minorHAnsi"/>
          <w:i/>
          <w:color w:val="000000" w:themeColor="text1"/>
          <w:sz w:val="20"/>
          <w:szCs w:val="20"/>
        </w:rPr>
        <w:fldChar w:fldCharType="separate"/>
      </w:r>
      <w:r w:rsidRPr="00DE2866">
        <w:rPr>
          <w:rStyle w:val="Hyperlink"/>
          <w:rFonts w:cstheme="minorHAnsi"/>
          <w:i/>
          <w:color w:val="000000" w:themeColor="text1"/>
          <w:sz w:val="20"/>
          <w:szCs w:val="20"/>
          <w:u w:val="none"/>
        </w:rPr>
        <w:t>Comparing quality at an ambulatory surgery center</w:t>
      </w:r>
    </w:p>
    <w:p w14:paraId="4AB644D2" w14:textId="32982A83" w:rsidR="00617CF2" w:rsidRPr="00DF2901" w:rsidRDefault="00617CF2" w:rsidP="00617CF2">
      <w:pPr>
        <w:pStyle w:val="BodyText"/>
        <w:spacing w:after="0" w:line="240" w:lineRule="auto"/>
        <w:rPr>
          <w:rFonts w:cstheme="minorHAnsi"/>
          <w:sz w:val="20"/>
          <w:szCs w:val="20"/>
        </w:rPr>
      </w:pPr>
      <w:r w:rsidRPr="00DE2866">
        <w:rPr>
          <w:rStyle w:val="Hyperlink"/>
          <w:rFonts w:cstheme="minorHAnsi"/>
          <w:i/>
          <w:color w:val="000000" w:themeColor="text1"/>
          <w:sz w:val="20"/>
          <w:szCs w:val="20"/>
          <w:u w:val="none"/>
        </w:rPr>
        <w:t>and a hospital-based facility: Preliminary findings</w:t>
      </w:r>
      <w:r w:rsidRPr="00DE2866">
        <w:rPr>
          <w:rStyle w:val="Hyperlink"/>
          <w:rFonts w:cstheme="minorHAnsi"/>
          <w:color w:val="000000" w:themeColor="text1"/>
          <w:sz w:val="20"/>
          <w:szCs w:val="20"/>
          <w:u w:val="none"/>
        </w:rPr>
        <w:t>,</w:t>
      </w:r>
      <w:r w:rsidR="00D63484" w:rsidRPr="00DE2866">
        <w:rPr>
          <w:rFonts w:cstheme="minorHAnsi"/>
          <w:i/>
          <w:color w:val="000000" w:themeColor="text1"/>
          <w:sz w:val="20"/>
          <w:szCs w:val="20"/>
        </w:rPr>
        <w:fldChar w:fldCharType="end"/>
      </w:r>
      <w:r w:rsidRPr="00DE2866">
        <w:rPr>
          <w:rFonts w:cstheme="minorHAnsi"/>
          <w:color w:val="000000" w:themeColor="text1"/>
          <w:sz w:val="20"/>
          <w:szCs w:val="20"/>
        </w:rPr>
        <w:t xml:space="preserve"> 141 </w:t>
      </w:r>
      <w:r w:rsidRPr="00DF2901">
        <w:rPr>
          <w:rFonts w:cstheme="minorHAnsi"/>
          <w:sz w:val="20"/>
          <w:szCs w:val="20"/>
        </w:rPr>
        <w:t xml:space="preserve">Am. Acad. Of Otolaryngology – Head &amp; Neck Surgery Found. 701 (Sep. 09, 2009) (available at </w:t>
      </w:r>
      <w:hyperlink r:id="rId18" w:history="1">
        <w:r w:rsidRPr="00F738DA">
          <w:rPr>
            <w:rStyle w:val="Hyperlink"/>
            <w:rFonts w:cstheme="minorHAnsi"/>
            <w:color w:val="004E9A"/>
            <w:sz w:val="20"/>
            <w:szCs w:val="20"/>
          </w:rPr>
          <w:t>https://bcpsc.yitech.in/wp-content/uploads/2021/01/Grisel_2009.pdf</w:t>
        </w:r>
      </w:hyperlink>
      <w:r w:rsidRPr="00DF2901">
        <w:rPr>
          <w:rFonts w:cstheme="minorHAnsi"/>
          <w:sz w:val="20"/>
          <w:szCs w:val="20"/>
        </w:rPr>
        <w:t xml:space="preserve">). </w:t>
      </w:r>
    </w:p>
  </w:endnote>
  <w:endnote w:id="14">
    <w:p w14:paraId="6A143A08" w14:textId="77777777" w:rsidR="008E7DC1" w:rsidRPr="007B203A" w:rsidRDefault="008E7DC1" w:rsidP="008E7DC1">
      <w:pPr>
        <w:pStyle w:val="EndnoteText"/>
        <w:contextualSpacing/>
        <w:rPr>
          <w:rFonts w:cstheme="minorHAnsi"/>
        </w:rPr>
      </w:pPr>
      <w:r w:rsidRPr="007B203A">
        <w:rPr>
          <w:rStyle w:val="EndnoteReference"/>
          <w:rFonts w:cstheme="minorHAnsi"/>
        </w:rPr>
        <w:endnoteRef/>
      </w:r>
      <w:r w:rsidRPr="007B203A">
        <w:rPr>
          <w:rFonts w:cstheme="minorHAnsi"/>
        </w:rPr>
        <w:t xml:space="preserve"> </w:t>
      </w:r>
      <w:r w:rsidRPr="007B203A">
        <w:rPr>
          <w:rFonts w:eastAsia="Times New Roman" w:cstheme="minorHAnsi"/>
        </w:rPr>
        <w:t>Community Engagement Standards for Community Health Planning Guideline. https://www.mass.gov/doc/community-engagement-guidelines-for-community-health-planning-pdf/download.</w:t>
      </w:r>
      <w:r w:rsidRPr="007B203A">
        <w:rPr>
          <w:rFonts w:cstheme="minorHAnsi"/>
        </w:rPr>
        <w:t xml:space="preserve"> </w:t>
      </w:r>
    </w:p>
  </w:endnote>
  <w:endnote w:id="15">
    <w:p w14:paraId="2503475C" w14:textId="1A7393A0" w:rsidR="008E7DC1" w:rsidRPr="007B203A" w:rsidRDefault="008E7DC1" w:rsidP="008E7DC1">
      <w:pPr>
        <w:pStyle w:val="EndnoteText"/>
        <w:rPr>
          <w:rFonts w:cstheme="minorHAnsi"/>
        </w:rPr>
      </w:pPr>
      <w:r w:rsidRPr="007B203A">
        <w:rPr>
          <w:rStyle w:val="EndnoteReference"/>
          <w:rFonts w:cstheme="minorHAnsi"/>
        </w:rPr>
        <w:endnoteRef/>
      </w:r>
      <w:r w:rsidRPr="007B203A">
        <w:rPr>
          <w:rFonts w:cstheme="minorHAnsi"/>
        </w:rPr>
        <w:t xml:space="preserve"> </w:t>
      </w:r>
      <w:hyperlink r:id="rId19" w:history="1">
        <w:r w:rsidRPr="00F738DA">
          <w:rPr>
            <w:rStyle w:val="Hyperlink"/>
            <w:rFonts w:cstheme="minorHAnsi"/>
            <w:color w:val="004E9A"/>
            <w:u w:val="none"/>
          </w:rPr>
          <w:t>DoN Regulation 100.210 (A)(1)(e)</w:t>
        </w:r>
        <w:r w:rsidRPr="00F738DA">
          <w:rPr>
            <w:rStyle w:val="Hyperlink"/>
            <w:rFonts w:cstheme="minorHAnsi"/>
            <w:color w:val="004E9A"/>
          </w:rPr>
          <w:t>.</w:t>
        </w:r>
      </w:hyperlink>
      <w:r w:rsidRPr="007B203A">
        <w:rPr>
          <w:rFonts w:cstheme="minorHAnsi"/>
        </w:rPr>
        <w:t xml:space="preserve"> </w:t>
      </w:r>
      <w:hyperlink r:id="rId20" w:history="1">
        <w:r w:rsidRPr="007B203A">
          <w:rPr>
            <w:rStyle w:val="Hyperlink"/>
            <w:rFonts w:cstheme="minorHAnsi"/>
            <w:color w:val="auto"/>
          </w:rPr>
          <w:t>at https://www.mass.gov/files/documents/2018/12/31/jud-lib-105cmr100.pdf</w:t>
        </w:r>
      </w:hyperlink>
      <w:r w:rsidRPr="007B203A">
        <w:rPr>
          <w:rStyle w:val="Hyperlink"/>
          <w:rFonts w:cstheme="minorHAnsi"/>
          <w:color w:val="auto"/>
          <w:u w:val="none"/>
        </w:rPr>
        <w:t>.</w:t>
      </w:r>
    </w:p>
  </w:endnote>
  <w:endnote w:id="16">
    <w:p w14:paraId="1E265AFB" w14:textId="77777777" w:rsidR="00B50E4B" w:rsidRPr="00DF2901" w:rsidRDefault="00B50E4B" w:rsidP="00A34B7E">
      <w:pPr>
        <w:textAlignment w:val="baseline"/>
        <w:rPr>
          <w:i/>
          <w:iCs/>
          <w:color w:val="0000FF"/>
          <w:sz w:val="20"/>
          <w:szCs w:val="20"/>
          <w:u w:val="single"/>
        </w:rPr>
      </w:pPr>
      <w:r w:rsidRPr="00DF2901">
        <w:rPr>
          <w:rStyle w:val="EndnoteReference"/>
          <w:sz w:val="20"/>
          <w:szCs w:val="20"/>
        </w:rPr>
        <w:endnoteRef/>
      </w:r>
      <w:r w:rsidRPr="00DF2901">
        <w:rPr>
          <w:sz w:val="20"/>
          <w:szCs w:val="20"/>
        </w:rPr>
        <w:t xml:space="preserve"> </w:t>
      </w:r>
      <w:r w:rsidRPr="00DF2901">
        <w:rPr>
          <w:i/>
          <w:iCs/>
          <w:sz w:val="20"/>
          <w:szCs w:val="20"/>
        </w:rPr>
        <w:t>See</w:t>
      </w:r>
      <w:r w:rsidRPr="00DF2901">
        <w:rPr>
          <w:sz w:val="20"/>
          <w:szCs w:val="20"/>
        </w:rPr>
        <w:t xml:space="preserve"> MedPac ASC Report, supra note 2 at p. 298; Ambulatory Surgery Center Association,</w:t>
      </w:r>
      <w:r w:rsidRPr="00DF2901">
        <w:rPr>
          <w:i/>
          <w:iCs/>
          <w:sz w:val="20"/>
          <w:szCs w:val="20"/>
        </w:rPr>
        <w:t xml:space="preserve"> </w:t>
      </w:r>
      <w:hyperlink r:id="rId21" w:history="1">
        <w:r w:rsidRPr="00F738DA">
          <w:rPr>
            <w:rStyle w:val="Hyperlink"/>
            <w:i/>
            <w:iCs/>
            <w:color w:val="004E9A"/>
            <w:sz w:val="20"/>
            <w:szCs w:val="20"/>
          </w:rPr>
          <w:t>Reducing Medicare Costs</w:t>
        </w:r>
      </w:hyperlink>
      <w:r w:rsidRPr="00DF2901">
        <w:rPr>
          <w:i/>
          <w:iCs/>
          <w:sz w:val="20"/>
          <w:szCs w:val="20"/>
        </w:rPr>
        <w:t xml:space="preserve"> </w:t>
      </w:r>
      <w:r w:rsidRPr="00DF2901">
        <w:rPr>
          <w:sz w:val="20"/>
          <w:szCs w:val="20"/>
        </w:rPr>
        <w:t>(October 2020), [hereinafter “ASCA Medicare Costs Report”],</w:t>
      </w:r>
      <w:r w:rsidRPr="00DF2901">
        <w:rPr>
          <w:i/>
          <w:iCs/>
          <w:sz w:val="20"/>
          <w:szCs w:val="20"/>
        </w:rPr>
        <w:t xml:space="preserve"> </w:t>
      </w:r>
      <w:hyperlink r:id="rId22" w:history="1">
        <w:r w:rsidRPr="00F738DA">
          <w:rPr>
            <w:rStyle w:val="Hyperlink"/>
            <w:i/>
            <w:iCs/>
            <w:color w:val="004E9A"/>
            <w:sz w:val="20"/>
            <w:szCs w:val="20"/>
          </w:rPr>
          <w:t>https://www.ascassociation.org/asca/about-ascs/savings/medicare-cost-savings/reducing-medicare-costs?_gl=1*1uyzq16*_ga*MTYxMjE1MzMyMy4xNzExNTQ5NTgw*_ga_5DE4L5HXFY*MTcxMTYzNTM1Ny41LjEuMTcxMTYzNjU2NS40MC4wLjA</w:t>
        </w:r>
      </w:hyperlink>
      <w:r w:rsidRPr="00DF2901">
        <w:rPr>
          <w:i/>
          <w:iCs/>
          <w:sz w:val="20"/>
          <w:szCs w:val="20"/>
        </w:rPr>
        <w:t xml:space="preserve"> (“</w:t>
      </w:r>
      <w:r w:rsidRPr="00DF2901">
        <w:rPr>
          <w:color w:val="333333"/>
          <w:sz w:val="20"/>
          <w:szCs w:val="20"/>
          <w:shd w:val="clear" w:color="auto" w:fill="FFFFFF"/>
        </w:rPr>
        <w:t>ASCs continue to offer substantial savings to the Medicare program.”);</w:t>
      </w:r>
      <w:r w:rsidRPr="00DF2901">
        <w:rPr>
          <w:sz w:val="20"/>
          <w:szCs w:val="20"/>
        </w:rPr>
        <w:t xml:space="preserve"> </w:t>
      </w:r>
      <w:r w:rsidRPr="00DF2901">
        <w:rPr>
          <w:i/>
          <w:iCs/>
          <w:sz w:val="20"/>
          <w:szCs w:val="20"/>
        </w:rPr>
        <w:t>see also</w:t>
      </w:r>
      <w:r w:rsidRPr="00DF2901">
        <w:rPr>
          <w:sz w:val="20"/>
          <w:szCs w:val="20"/>
        </w:rPr>
        <w:t xml:space="preserve">, </w:t>
      </w:r>
      <w:r w:rsidRPr="00DF2901">
        <w:rPr>
          <w:rFonts w:eastAsia="Arial"/>
          <w:i/>
          <w:color w:val="000000"/>
          <w:sz w:val="20"/>
          <w:szCs w:val="20"/>
        </w:rPr>
        <w:t>The ASC Cost Differential</w:t>
      </w:r>
      <w:r w:rsidRPr="00DF2901">
        <w:rPr>
          <w:rFonts w:eastAsia="Arial"/>
          <w:color w:val="000000"/>
          <w:sz w:val="20"/>
          <w:szCs w:val="20"/>
        </w:rPr>
        <w:t xml:space="preserve">, supra note 39. </w:t>
      </w:r>
    </w:p>
  </w:endnote>
  <w:endnote w:id="17">
    <w:p w14:paraId="260BAA3B" w14:textId="77777777" w:rsidR="00B50E4B" w:rsidRPr="00DF2901" w:rsidRDefault="00B50E4B" w:rsidP="00A34B7E">
      <w:pPr>
        <w:textAlignment w:val="baseline"/>
        <w:rPr>
          <w:rFonts w:eastAsia="Arial"/>
          <w:color w:val="000000"/>
          <w:sz w:val="20"/>
          <w:szCs w:val="20"/>
        </w:rPr>
      </w:pPr>
      <w:r w:rsidRPr="00DF2901">
        <w:rPr>
          <w:rStyle w:val="EndnoteReference"/>
          <w:sz w:val="20"/>
          <w:szCs w:val="20"/>
        </w:rPr>
        <w:endnoteRef/>
      </w:r>
      <w:r w:rsidRPr="00DF2901">
        <w:rPr>
          <w:sz w:val="20"/>
          <w:szCs w:val="20"/>
        </w:rPr>
        <w:t xml:space="preserve"> </w:t>
      </w:r>
      <w:r w:rsidRPr="00DF2901">
        <w:rPr>
          <w:color w:val="212121"/>
          <w:sz w:val="20"/>
          <w:szCs w:val="20"/>
          <w:shd w:val="clear" w:color="auto" w:fill="FFFFFF"/>
        </w:rPr>
        <w:t>Munnich EL, Parente ST, </w:t>
      </w:r>
      <w:r w:rsidRPr="00DF2901">
        <w:rPr>
          <w:i/>
          <w:iCs/>
          <w:color w:val="212121"/>
          <w:sz w:val="20"/>
          <w:szCs w:val="20"/>
          <w:shd w:val="clear" w:color="auto" w:fill="FFFFFF"/>
        </w:rPr>
        <w:t>Procedures take less time at ambulatory surgery centers, keeping costs down and ability to meet demand up</w:t>
      </w:r>
      <w:r w:rsidRPr="00DF2901">
        <w:rPr>
          <w:color w:val="212121"/>
          <w:sz w:val="20"/>
          <w:szCs w:val="20"/>
          <w:shd w:val="clear" w:color="auto" w:fill="FFFFFF"/>
        </w:rPr>
        <w:t xml:space="preserve">, </w:t>
      </w:r>
      <w:r w:rsidRPr="00DF2901">
        <w:rPr>
          <w:i/>
          <w:iCs/>
          <w:color w:val="212121"/>
          <w:sz w:val="20"/>
          <w:szCs w:val="20"/>
          <w:shd w:val="clear" w:color="auto" w:fill="FFFFFF"/>
        </w:rPr>
        <w:t>Health Aff (Millwood)</w:t>
      </w:r>
      <w:r w:rsidRPr="00DF2901">
        <w:rPr>
          <w:color w:val="212121"/>
          <w:sz w:val="20"/>
          <w:szCs w:val="20"/>
          <w:shd w:val="clear" w:color="auto" w:fill="FFFFFF"/>
        </w:rPr>
        <w:t> 2014;33:764-9. 10.1377/hlthaff.2013.1281.</w:t>
      </w:r>
    </w:p>
  </w:endnote>
  <w:endnote w:id="18">
    <w:p w14:paraId="77DE44A8" w14:textId="1502B237" w:rsidR="00B50E4B" w:rsidRPr="004D27C2" w:rsidRDefault="00B50E4B" w:rsidP="002B4B94">
      <w:pPr>
        <w:adjustRightInd w:val="0"/>
        <w:snapToGrid w:val="0"/>
        <w:rPr>
          <w:rFonts w:eastAsia="Times New Roman"/>
          <w:color w:val="231F20"/>
          <w:sz w:val="20"/>
          <w:szCs w:val="20"/>
        </w:rPr>
      </w:pPr>
      <w:r w:rsidRPr="004D27C2">
        <w:rPr>
          <w:rStyle w:val="EndnoteReference"/>
          <w:sz w:val="20"/>
          <w:szCs w:val="20"/>
        </w:rPr>
        <w:endnoteRef/>
      </w:r>
      <w:r w:rsidRPr="004D27C2">
        <w:rPr>
          <w:sz w:val="20"/>
          <w:szCs w:val="20"/>
        </w:rPr>
        <w:t xml:space="preserve"> </w:t>
      </w:r>
      <w:r w:rsidRPr="004D27C2">
        <w:rPr>
          <w:rFonts w:eastAsia="Arial"/>
          <w:i/>
          <w:color w:val="000000"/>
          <w:sz w:val="20"/>
          <w:szCs w:val="20"/>
        </w:rPr>
        <w:t>Id.</w:t>
      </w:r>
      <w:r w:rsidRPr="004D27C2">
        <w:rPr>
          <w:rFonts w:eastAsia="Times New Roman"/>
          <w:color w:val="231F20"/>
          <w:sz w:val="20"/>
          <w:szCs w:val="20"/>
        </w:rPr>
        <w:t>.</w:t>
      </w:r>
    </w:p>
  </w:endnote>
  <w:endnote w:id="19">
    <w:p w14:paraId="24FCD433" w14:textId="77777777" w:rsidR="00B50E4B" w:rsidRPr="004D27C2" w:rsidRDefault="00B50E4B" w:rsidP="00A34B7E">
      <w:pPr>
        <w:textAlignment w:val="baseline"/>
        <w:rPr>
          <w:rFonts w:eastAsia="Arial"/>
          <w:color w:val="000000"/>
          <w:sz w:val="20"/>
          <w:szCs w:val="20"/>
        </w:rPr>
      </w:pPr>
      <w:r w:rsidRPr="004D27C2">
        <w:rPr>
          <w:rStyle w:val="EndnoteReference"/>
          <w:sz w:val="20"/>
          <w:szCs w:val="20"/>
        </w:rPr>
        <w:endnoteRef/>
      </w:r>
      <w:r w:rsidRPr="004D27C2">
        <w:rPr>
          <w:sz w:val="20"/>
          <w:szCs w:val="20"/>
        </w:rPr>
        <w:t xml:space="preserve"> </w:t>
      </w:r>
      <w:r w:rsidRPr="004D27C2">
        <w:rPr>
          <w:rFonts w:eastAsia="Arial"/>
          <w:i/>
          <w:color w:val="000000"/>
          <w:sz w:val="20"/>
          <w:szCs w:val="20"/>
        </w:rPr>
        <w:t>Id.</w:t>
      </w:r>
    </w:p>
  </w:endnote>
  <w:endnote w:id="20">
    <w:p w14:paraId="1265630D" w14:textId="77777777" w:rsidR="00B50E4B" w:rsidRPr="004D27C2" w:rsidRDefault="00B50E4B" w:rsidP="00A34B7E">
      <w:pPr>
        <w:textAlignment w:val="baseline"/>
        <w:rPr>
          <w:rFonts w:eastAsia="Arial"/>
          <w:color w:val="000000"/>
          <w:sz w:val="20"/>
          <w:szCs w:val="20"/>
        </w:rPr>
      </w:pPr>
      <w:r w:rsidRPr="004D27C2">
        <w:rPr>
          <w:rStyle w:val="EndnoteReference"/>
          <w:sz w:val="20"/>
          <w:szCs w:val="20"/>
        </w:rPr>
        <w:endnoteRef/>
      </w:r>
      <w:r w:rsidRPr="004D27C2">
        <w:rPr>
          <w:sz w:val="20"/>
          <w:szCs w:val="20"/>
        </w:rPr>
        <w:t xml:space="preserve"> </w:t>
      </w:r>
      <w:r w:rsidRPr="004D27C2">
        <w:rPr>
          <w:rFonts w:eastAsia="Arial"/>
          <w:i/>
          <w:color w:val="000000"/>
          <w:sz w:val="20"/>
          <w:szCs w:val="20"/>
        </w:rPr>
        <w:t>Id.</w:t>
      </w:r>
    </w:p>
  </w:endnote>
  <w:endnote w:id="21">
    <w:p w14:paraId="569597E1" w14:textId="77777777" w:rsidR="00B50E4B" w:rsidRPr="004D27C2" w:rsidRDefault="00B50E4B" w:rsidP="00A34B7E">
      <w:pPr>
        <w:pStyle w:val="EndnoteText"/>
        <w:rPr>
          <w:rFonts w:eastAsia="Calibri" w:cstheme="minorHAnsi"/>
        </w:rPr>
      </w:pPr>
      <w:r w:rsidRPr="004D27C2">
        <w:rPr>
          <w:rStyle w:val="EndnoteReference"/>
          <w:rFonts w:cstheme="minorHAnsi"/>
        </w:rPr>
        <w:endnoteRef/>
      </w:r>
      <w:r w:rsidRPr="004D27C2">
        <w:rPr>
          <w:rFonts w:cstheme="minorHAnsi"/>
        </w:rPr>
        <w:t xml:space="preserve"> Id. </w:t>
      </w:r>
    </w:p>
  </w:endnote>
  <w:endnote w:id="22">
    <w:p w14:paraId="7B150BC9" w14:textId="77777777" w:rsidR="00C137CF" w:rsidRDefault="00C137CF" w:rsidP="00C137CF">
      <w:pPr>
        <w:pStyle w:val="EndnoteText"/>
      </w:pPr>
      <w:r>
        <w:rPr>
          <w:rStyle w:val="EndnoteReference"/>
        </w:rPr>
        <w:endnoteRef/>
      </w:r>
      <w:r>
        <w:t xml:space="preserve"> </w:t>
      </w:r>
      <w:r w:rsidRPr="007345E8">
        <w:t>https://masshpc.gov/publications/datapoints-series/issue-26-trends-ambulatory-surgical-centers-massachusetts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511052"/>
      <w:docPartObj>
        <w:docPartGallery w:val="Page Numbers (Bottom of Page)"/>
        <w:docPartUnique/>
      </w:docPartObj>
    </w:sdtPr>
    <w:sdtEndPr>
      <w:rPr>
        <w:noProof/>
      </w:rPr>
    </w:sdtEndPr>
    <w:sdtContent>
      <w:p w14:paraId="521232CB" w14:textId="160CDF7B" w:rsidR="00685C18" w:rsidRDefault="00685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90F82" w14:textId="77777777" w:rsidR="00685C18" w:rsidRDefault="00685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FB998" w14:textId="77777777" w:rsidR="00E92504" w:rsidRDefault="00E92504">
    <w:pPr>
      <w:pStyle w:val="Footer"/>
    </w:pPr>
  </w:p>
  <w:p w14:paraId="71FEF4A2" w14:textId="77777777" w:rsidR="00E92504" w:rsidRDefault="00E925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15</w:t>
        </w:r>
        <w:r w:rsidRPr="003E6FCA">
          <w:rPr>
            <w:rFonts w:ascii="Garamond" w:hAnsi="Garamond"/>
            <w:noProof/>
            <w:sz w:val="24"/>
            <w:szCs w:val="24"/>
          </w:rPr>
          <w:fldChar w:fldCharType="end"/>
        </w:r>
      </w:p>
    </w:sdtContent>
  </w:sdt>
  <w:p w14:paraId="2B84946D" w14:textId="77777777" w:rsidR="00E92504" w:rsidRDefault="00E92504">
    <w:pPr>
      <w:pStyle w:val="Footer"/>
    </w:pPr>
  </w:p>
  <w:p w14:paraId="6A56BD2D" w14:textId="77777777" w:rsidR="00E92504" w:rsidRDefault="00E9250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CF6D3" w14:textId="77777777" w:rsidR="00B96B22" w:rsidRDefault="00B96B22" w:rsidP="008C0709">
      <w:r>
        <w:separator/>
      </w:r>
    </w:p>
  </w:footnote>
  <w:footnote w:type="continuationSeparator" w:id="0">
    <w:p w14:paraId="0C5D42E4" w14:textId="77777777" w:rsidR="00B96B22" w:rsidRDefault="00B96B22" w:rsidP="008C0709">
      <w:r>
        <w:continuationSeparator/>
      </w:r>
    </w:p>
  </w:footnote>
  <w:footnote w:type="continuationNotice" w:id="1">
    <w:p w14:paraId="3ED7A50F" w14:textId="77777777" w:rsidR="00B96B22" w:rsidRDefault="00B96B22"/>
  </w:footnote>
  <w:footnote w:id="2">
    <w:p w14:paraId="70ADF559" w14:textId="312D357B" w:rsidR="0066528C" w:rsidRPr="009A4C77" w:rsidRDefault="0066528C" w:rsidP="009A4C77">
      <w:pPr>
        <w:pStyle w:val="BodyText"/>
        <w:spacing w:line="240" w:lineRule="auto"/>
        <w:rPr>
          <w:sz w:val="20"/>
          <w:szCs w:val="20"/>
        </w:rPr>
      </w:pPr>
      <w:r w:rsidRPr="009A4C77">
        <w:rPr>
          <w:rStyle w:val="FootnoteReference"/>
          <w:sz w:val="20"/>
          <w:szCs w:val="20"/>
        </w:rPr>
        <w:footnoteRef/>
      </w:r>
      <w:r w:rsidRPr="009A4C77">
        <w:rPr>
          <w:sz w:val="20"/>
          <w:szCs w:val="20"/>
        </w:rPr>
        <w:t xml:space="preserve"> To be certified as a Medicare</w:t>
      </w:r>
      <w:r w:rsidR="009A4C77">
        <w:rPr>
          <w:sz w:val="20"/>
          <w:szCs w:val="20"/>
        </w:rPr>
        <w:t xml:space="preserve"> ASC</w:t>
      </w:r>
      <w:r w:rsidRPr="009A4C77">
        <w:rPr>
          <w:sz w:val="20"/>
          <w:szCs w:val="20"/>
        </w:rPr>
        <w:t>, the Center must be operated by a legal entity that is not</w:t>
      </w:r>
      <w:r w:rsidR="009A4C77" w:rsidRPr="009A4C77">
        <w:rPr>
          <w:sz w:val="20"/>
          <w:szCs w:val="20"/>
        </w:rPr>
        <w:t xml:space="preserve"> </w:t>
      </w:r>
      <w:r w:rsidRPr="009A4C77">
        <w:rPr>
          <w:sz w:val="20"/>
          <w:szCs w:val="20"/>
        </w:rPr>
        <w:t>certified to participate in the Medicare program under any other provider category. See 42 CFR 416.2.</w:t>
      </w:r>
    </w:p>
  </w:footnote>
  <w:footnote w:id="3">
    <w:p w14:paraId="4FB226C6" w14:textId="7F5AD9FE" w:rsidR="00790B34" w:rsidRPr="00DD4AD8" w:rsidRDefault="00790B34" w:rsidP="00DD4AD8">
      <w:pPr>
        <w:pStyle w:val="FootnoteText"/>
      </w:pPr>
      <w:r w:rsidRPr="00DD4AD8">
        <w:rPr>
          <w:rStyle w:val="FootnoteReference"/>
        </w:rPr>
        <w:footnoteRef/>
      </w:r>
      <w:r w:rsidRPr="00DD4AD8">
        <w:t xml:space="preserve"> Atrius Health, Inc. (“Atrius”) is a Massachusetts Ch. 180 non-profit corporation. </w:t>
      </w:r>
      <w:r w:rsidR="00315639" w:rsidRPr="00DD4AD8">
        <w:t>The sole member is Dr. Chris Andreoli, the CEO of Atrius Health.</w:t>
      </w:r>
    </w:p>
  </w:footnote>
  <w:footnote w:id="4">
    <w:p w14:paraId="602D5E29" w14:textId="623B2E47" w:rsidR="00DD4AD8" w:rsidRPr="00DD4AD8" w:rsidRDefault="00DD4AD8" w:rsidP="00DD4AD8">
      <w:pPr>
        <w:pStyle w:val="FootnoteText"/>
      </w:pPr>
      <w:r w:rsidRPr="00DD4AD8">
        <w:rPr>
          <w:rStyle w:val="FootnoteReference"/>
        </w:rPr>
        <w:footnoteRef/>
      </w:r>
      <w:r w:rsidRPr="00DD4AD8">
        <w:t xml:space="preserve"> Atrius MSO is owned by Collaborative Care Holdings, LLC (“Optum Care”), a subsidiary of Optum, Inc., which in turn is a subsidiary of UnitedHealth Group, Incorporated. </w:t>
      </w:r>
    </w:p>
  </w:footnote>
  <w:footnote w:id="5">
    <w:p w14:paraId="6CDB5E92" w14:textId="12004604" w:rsidR="00CB0381" w:rsidRPr="00DD4AD8" w:rsidRDefault="00CB0381" w:rsidP="00DD7A91">
      <w:pPr>
        <w:pStyle w:val="BodyText"/>
        <w:spacing w:after="0" w:line="240" w:lineRule="auto"/>
        <w:rPr>
          <w:sz w:val="20"/>
          <w:szCs w:val="20"/>
        </w:rPr>
      </w:pPr>
      <w:r w:rsidRPr="00DD4AD8">
        <w:rPr>
          <w:rStyle w:val="FootnoteReference"/>
          <w:sz w:val="20"/>
          <w:szCs w:val="20"/>
        </w:rPr>
        <w:footnoteRef/>
      </w:r>
      <w:r w:rsidRPr="00DD4AD8">
        <w:rPr>
          <w:sz w:val="20"/>
          <w:szCs w:val="20"/>
        </w:rPr>
        <w:t xml:space="preserve"> To be certified as a Medicare ambulatory surgery center, the</w:t>
      </w:r>
      <w:r w:rsidR="006D0216">
        <w:rPr>
          <w:sz w:val="20"/>
          <w:szCs w:val="20"/>
        </w:rPr>
        <w:t xml:space="preserve"> ASC </w:t>
      </w:r>
      <w:r w:rsidRPr="00DD4AD8">
        <w:rPr>
          <w:sz w:val="20"/>
          <w:szCs w:val="20"/>
        </w:rPr>
        <w:t>must be operated by a legal entity that is not</w:t>
      </w:r>
      <w:r w:rsidR="00DD4AD8" w:rsidRPr="00DD4AD8">
        <w:rPr>
          <w:sz w:val="20"/>
          <w:szCs w:val="20"/>
        </w:rPr>
        <w:t xml:space="preserve"> </w:t>
      </w:r>
      <w:r w:rsidRPr="00DD4AD8">
        <w:rPr>
          <w:sz w:val="20"/>
          <w:szCs w:val="20"/>
        </w:rPr>
        <w:t>certified to participate in the Medicare program under any other provider category. See 42 CFR 416.2.</w:t>
      </w:r>
    </w:p>
  </w:footnote>
  <w:footnote w:id="6">
    <w:p w14:paraId="39084FC6" w14:textId="7A8DB2F9" w:rsidR="00152C9B" w:rsidRDefault="00152C9B">
      <w:pPr>
        <w:pStyle w:val="FootnoteText"/>
      </w:pPr>
      <w:r>
        <w:rPr>
          <w:rStyle w:val="FootnoteReference"/>
        </w:rPr>
        <w:footnoteRef/>
      </w:r>
      <w:r>
        <w:t xml:space="preserve"> The provision of </w:t>
      </w:r>
      <w:r w:rsidRPr="00152C9B">
        <w:t>high quality, low-cost</w:t>
      </w:r>
      <w:r>
        <w:t xml:space="preserve"> care in the right setting</w:t>
      </w:r>
      <w:r w:rsidR="006D0216">
        <w:t>.</w:t>
      </w:r>
    </w:p>
  </w:footnote>
  <w:footnote w:id="7">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8">
    <w:p w14:paraId="52C9171D" w14:textId="54AD0A35" w:rsidR="00485788" w:rsidRPr="008E2026" w:rsidRDefault="00485788" w:rsidP="00E34358">
      <w:pPr>
        <w:pStyle w:val="FootnoteText"/>
        <w:rPr>
          <w:rFonts w:ascii="Calibri" w:hAnsi="Calibri" w:cs="Calibri"/>
        </w:rPr>
      </w:pPr>
      <w:r w:rsidRPr="008E2026">
        <w:rPr>
          <w:rStyle w:val="FootnoteReference"/>
          <w:rFonts w:ascii="Calibri" w:hAnsi="Calibri" w:cs="Calibri"/>
        </w:rPr>
        <w:footnoteRef/>
      </w:r>
      <w:r w:rsidR="00AF1114" w:rsidRPr="008E2026">
        <w:rPr>
          <w:rFonts w:ascii="Calibri" w:hAnsi="Calibri" w:cs="Calibri"/>
        </w:rPr>
        <w:t xml:space="preserve"> The Applicant states</w:t>
      </w:r>
      <w:r w:rsidRPr="008E2026">
        <w:rPr>
          <w:rFonts w:ascii="Calibri" w:hAnsi="Calibri" w:cs="Calibri"/>
        </w:rPr>
        <w:t xml:space="preserve"> “</w:t>
      </w:r>
      <w:r w:rsidRPr="008E2026">
        <w:rPr>
          <w:rFonts w:ascii="Calibri" w:eastAsia="Calibri" w:hAnsi="Calibri" w:cs="Calibri"/>
        </w:rPr>
        <w:t>Based on the Applicant’s claims data, the Applicant is only able to provide data for the Surgical Patients under its risk contracts for whom the Applicant receives paid claims information from payers.” DoN Narrative p. 6.</w:t>
      </w:r>
    </w:p>
  </w:footnote>
  <w:footnote w:id="9">
    <w:p w14:paraId="6FC2F5FD" w14:textId="6F62C118" w:rsidR="0091102E" w:rsidRPr="005B6C0D" w:rsidRDefault="0091102E" w:rsidP="00E34358">
      <w:pPr>
        <w:pStyle w:val="BodyText"/>
        <w:spacing w:after="0" w:line="240" w:lineRule="auto"/>
        <w:rPr>
          <w:sz w:val="20"/>
          <w:szCs w:val="20"/>
        </w:rPr>
      </w:pPr>
      <w:r w:rsidRPr="005B6C0D">
        <w:rPr>
          <w:rStyle w:val="FootnoteReference"/>
          <w:sz w:val="20"/>
          <w:szCs w:val="20"/>
        </w:rPr>
        <w:footnoteRef/>
      </w:r>
      <w:r w:rsidRPr="005B6C0D">
        <w:rPr>
          <w:sz w:val="20"/>
          <w:szCs w:val="20"/>
        </w:rPr>
        <w:t xml:space="preserve"> </w:t>
      </w:r>
      <w:r w:rsidRPr="005B6C0D">
        <w:rPr>
          <w:i/>
          <w:sz w:val="20"/>
          <w:szCs w:val="20"/>
        </w:rPr>
        <w:t xml:space="preserve">HPC </w:t>
      </w:r>
      <w:proofErr w:type="spellStart"/>
      <w:r w:rsidRPr="005B6C0D">
        <w:rPr>
          <w:i/>
          <w:sz w:val="20"/>
          <w:szCs w:val="20"/>
        </w:rPr>
        <w:t>DataPoints</w:t>
      </w:r>
      <w:proofErr w:type="spellEnd"/>
      <w:r w:rsidRPr="005B6C0D">
        <w:rPr>
          <w:i/>
          <w:sz w:val="20"/>
          <w:szCs w:val="20"/>
        </w:rPr>
        <w:t xml:space="preserve">, </w:t>
      </w:r>
      <w:hyperlink r:id="rId1" w:history="1">
        <w:r w:rsidRPr="00DA1F53">
          <w:rPr>
            <w:rStyle w:val="Hyperlink"/>
            <w:i/>
            <w:color w:val="000000" w:themeColor="text1"/>
            <w:sz w:val="20"/>
            <w:szCs w:val="20"/>
            <w:u w:val="none"/>
          </w:rPr>
          <w:t>Issue 26: Trends in Ambulatory Surgical Centers in Massachusetts</w:t>
        </w:r>
      </w:hyperlink>
      <w:r w:rsidRPr="00DA1F53">
        <w:rPr>
          <w:color w:val="000000" w:themeColor="text1"/>
          <w:sz w:val="20"/>
          <w:szCs w:val="20"/>
        </w:rPr>
        <w:t xml:space="preserve">, </w:t>
      </w:r>
      <w:r w:rsidRPr="005B6C0D">
        <w:rPr>
          <w:smallCaps/>
          <w:sz w:val="20"/>
          <w:szCs w:val="20"/>
        </w:rPr>
        <w:t>Mass. Health Policy Comm. (</w:t>
      </w:r>
      <w:r w:rsidRPr="005B6C0D">
        <w:rPr>
          <w:sz w:val="20"/>
          <w:szCs w:val="20"/>
        </w:rPr>
        <w:t>Hereafter</w:t>
      </w:r>
      <w:r w:rsidRPr="005B6C0D">
        <w:rPr>
          <w:smallCaps/>
          <w:sz w:val="20"/>
          <w:szCs w:val="20"/>
        </w:rPr>
        <w:t xml:space="preserve"> “HPC”)</w:t>
      </w:r>
      <w:r w:rsidRPr="005B6C0D">
        <w:rPr>
          <w:sz w:val="20"/>
          <w:szCs w:val="20"/>
        </w:rPr>
        <w:t xml:space="preserve"> (Feb. 15, 2024) (</w:t>
      </w:r>
      <w:hyperlink r:id="rId2" w:history="1">
        <w:r w:rsidRPr="00F738DA">
          <w:rPr>
            <w:rStyle w:val="Hyperlink"/>
            <w:color w:val="004E9A"/>
            <w:sz w:val="20"/>
            <w:szCs w:val="20"/>
          </w:rPr>
          <w:t>https://www.mass.gov/info-details/hpc-datapoints-issue-26</w:t>
        </w:r>
      </w:hyperlink>
      <w:r w:rsidRPr="00F738DA">
        <w:rPr>
          <w:rStyle w:val="Hyperlink"/>
          <w:color w:val="004E9A"/>
          <w:sz w:val="20"/>
          <w:szCs w:val="20"/>
        </w:rPr>
        <w:t>)</w:t>
      </w:r>
      <w:r w:rsidRPr="005B6C0D">
        <w:rPr>
          <w:sz w:val="20"/>
          <w:szCs w:val="20"/>
        </w:rPr>
        <w:t xml:space="preserve"> (updating the June 2023 findings that Massachusetts has the six fewest ASCs per capita among all states), and </w:t>
      </w:r>
      <w:hyperlink r:id="rId3" w:history="1">
        <w:r w:rsidRPr="00F81D86">
          <w:rPr>
            <w:rStyle w:val="Hyperlink"/>
            <w:i/>
            <w:color w:val="000000" w:themeColor="text1"/>
            <w:sz w:val="20"/>
            <w:szCs w:val="20"/>
            <w:u w:val="none"/>
          </w:rPr>
          <w:t>HPC Board Meeting</w:t>
        </w:r>
      </w:hyperlink>
      <w:r w:rsidRPr="00F81D86">
        <w:rPr>
          <w:i/>
          <w:color w:val="000000" w:themeColor="text1"/>
          <w:sz w:val="20"/>
          <w:szCs w:val="20"/>
        </w:rPr>
        <w:t xml:space="preserve"> </w:t>
      </w:r>
      <w:r w:rsidRPr="00F81D86">
        <w:rPr>
          <w:color w:val="000000" w:themeColor="text1"/>
          <w:sz w:val="20"/>
          <w:szCs w:val="20"/>
        </w:rPr>
        <w:t>27</w:t>
      </w:r>
      <w:r w:rsidRPr="005B6C0D">
        <w:rPr>
          <w:sz w:val="20"/>
          <w:szCs w:val="20"/>
        </w:rPr>
        <w:t xml:space="preserve">, </w:t>
      </w:r>
      <w:r w:rsidRPr="005B6C0D">
        <w:rPr>
          <w:smallCaps/>
          <w:sz w:val="20"/>
          <w:szCs w:val="20"/>
        </w:rPr>
        <w:t>HPC</w:t>
      </w:r>
      <w:r w:rsidRPr="005B6C0D">
        <w:rPr>
          <w:sz w:val="20"/>
          <w:szCs w:val="20"/>
        </w:rPr>
        <w:t xml:space="preserve"> (June 07, 2023) (</w:t>
      </w:r>
      <w:hyperlink r:id="rId4" w:history="1">
        <w:r w:rsidRPr="00F738DA">
          <w:rPr>
            <w:rStyle w:val="Hyperlink"/>
            <w:color w:val="004E9A"/>
            <w:sz w:val="20"/>
            <w:szCs w:val="20"/>
          </w:rPr>
          <w:t>https://www.mass.gov/doc/presentation-board-meeting-june-7-2023/download</w:t>
        </w:r>
      </w:hyperlink>
      <w:r w:rsidRPr="005B6C0D">
        <w:rPr>
          <w:sz w:val="20"/>
          <w:szCs w:val="20"/>
        </w:rPr>
        <w:t>).</w:t>
      </w:r>
    </w:p>
  </w:footnote>
  <w:footnote w:id="10">
    <w:p w14:paraId="2563D4A3" w14:textId="5E39FAEE" w:rsidR="0091102E" w:rsidRPr="005B6C0D" w:rsidRDefault="0091102E" w:rsidP="0091102E">
      <w:pPr>
        <w:pStyle w:val="BodyText"/>
        <w:spacing w:after="0" w:line="240" w:lineRule="auto"/>
        <w:rPr>
          <w:sz w:val="20"/>
          <w:szCs w:val="20"/>
        </w:rPr>
      </w:pPr>
      <w:r w:rsidRPr="000C7105">
        <w:rPr>
          <w:rStyle w:val="FootnoteReference"/>
          <w:sz w:val="20"/>
          <w:szCs w:val="20"/>
        </w:rPr>
        <w:footnoteRef/>
      </w:r>
      <w:r w:rsidRPr="000C7105">
        <w:rPr>
          <w:sz w:val="20"/>
          <w:szCs w:val="20"/>
        </w:rPr>
        <w:t xml:space="preserve"> </w:t>
      </w:r>
      <w:r w:rsidRPr="000C7105">
        <w:rPr>
          <w:i/>
          <w:sz w:val="20"/>
          <w:szCs w:val="20"/>
        </w:rPr>
        <w:t>Supra</w:t>
      </w:r>
      <w:r w:rsidRPr="000C7105">
        <w:rPr>
          <w:sz w:val="20"/>
          <w:szCs w:val="20"/>
        </w:rPr>
        <w:t xml:space="preserve">, note </w:t>
      </w:r>
      <w:r w:rsidR="008E2026">
        <w:rPr>
          <w:sz w:val="20"/>
          <w:szCs w:val="20"/>
        </w:rPr>
        <w:t>8</w:t>
      </w:r>
      <w:r w:rsidRPr="000C7105">
        <w:rPr>
          <w:sz w:val="20"/>
          <w:szCs w:val="20"/>
        </w:rPr>
        <w:t xml:space="preserve"> HPC</w:t>
      </w:r>
      <w:r w:rsidRPr="005B6C0D">
        <w:rPr>
          <w:sz w:val="20"/>
          <w:szCs w:val="20"/>
        </w:rPr>
        <w:t xml:space="preserve"> Board Meeting; </w:t>
      </w:r>
      <w:r w:rsidRPr="005B6C0D">
        <w:rPr>
          <w:i/>
          <w:sz w:val="20"/>
          <w:szCs w:val="20"/>
        </w:rPr>
        <w:t>S</w:t>
      </w:r>
      <w:r w:rsidRPr="003832C4">
        <w:rPr>
          <w:i/>
          <w:color w:val="000000" w:themeColor="text1"/>
          <w:sz w:val="20"/>
          <w:szCs w:val="20"/>
        </w:rPr>
        <w:t>ee also</w:t>
      </w:r>
      <w:r w:rsidRPr="003832C4">
        <w:rPr>
          <w:color w:val="000000" w:themeColor="text1"/>
          <w:sz w:val="20"/>
          <w:szCs w:val="20"/>
        </w:rPr>
        <w:t xml:space="preserve">, </w:t>
      </w:r>
      <w:hyperlink r:id="rId5" w:history="1">
        <w:r w:rsidRPr="003832C4">
          <w:rPr>
            <w:rStyle w:val="Hyperlink"/>
            <w:i/>
            <w:color w:val="000000" w:themeColor="text1"/>
            <w:sz w:val="20"/>
            <w:szCs w:val="20"/>
            <w:u w:val="none"/>
          </w:rPr>
          <w:t>Proposed Revisions of the Determination of Need Regulations 105 CMR 100.100</w:t>
        </w:r>
        <w:r w:rsidRPr="003832C4">
          <w:rPr>
            <w:rStyle w:val="Hyperlink"/>
            <w:color w:val="000000" w:themeColor="text1"/>
            <w:sz w:val="20"/>
            <w:szCs w:val="20"/>
            <w:u w:val="none"/>
          </w:rPr>
          <w:t>,</w:t>
        </w:r>
      </w:hyperlink>
      <w:r w:rsidRPr="003832C4">
        <w:rPr>
          <w:color w:val="000000" w:themeColor="text1"/>
          <w:sz w:val="20"/>
          <w:szCs w:val="20"/>
        </w:rPr>
        <w:t xml:space="preserve"> </w:t>
      </w:r>
      <w:r w:rsidRPr="003832C4">
        <w:rPr>
          <w:smallCaps/>
          <w:color w:val="000000" w:themeColor="text1"/>
          <w:sz w:val="20"/>
          <w:szCs w:val="20"/>
        </w:rPr>
        <w:t>Mass</w:t>
      </w:r>
      <w:r w:rsidRPr="005B6C0D">
        <w:rPr>
          <w:smallCaps/>
          <w:sz w:val="20"/>
          <w:szCs w:val="20"/>
        </w:rPr>
        <w:t>. DPH</w:t>
      </w:r>
      <w:r w:rsidRPr="005B6C0D">
        <w:rPr>
          <w:sz w:val="20"/>
          <w:szCs w:val="20"/>
        </w:rPr>
        <w:t xml:space="preserve"> (Aug. 23, 2016) (available at </w:t>
      </w:r>
      <w:hyperlink r:id="rId6" w:history="1">
        <w:r w:rsidRPr="00F738DA">
          <w:rPr>
            <w:rStyle w:val="Hyperlink"/>
            <w:color w:val="004E9A"/>
            <w:sz w:val="20"/>
            <w:szCs w:val="20"/>
          </w:rPr>
          <w:t>https://www.mintz.com/sites/default/files/viewpoints/orig/8/2016/08/Proposed-Revision-Presentation-8.23.16.pdf</w:t>
        </w:r>
      </w:hyperlink>
      <w:r w:rsidRPr="005B6C0D">
        <w:rPr>
          <w:sz w:val="20"/>
          <w:szCs w:val="20"/>
        </w:rPr>
        <w:t xml:space="preserve">); </w:t>
      </w:r>
      <w:r w:rsidRPr="005B6C0D">
        <w:rPr>
          <w:i/>
          <w:sz w:val="20"/>
          <w:szCs w:val="20"/>
        </w:rPr>
        <w:t>See also</w:t>
      </w:r>
      <w:r w:rsidRPr="005B6C0D">
        <w:rPr>
          <w:sz w:val="20"/>
          <w:szCs w:val="20"/>
        </w:rPr>
        <w:t xml:space="preserve">, </w:t>
      </w:r>
      <w:r w:rsidRPr="005B6C0D">
        <w:rPr>
          <w:smallCaps/>
          <w:sz w:val="20"/>
          <w:szCs w:val="20"/>
        </w:rPr>
        <w:t>Jay Youmans, et a</w:t>
      </w:r>
      <w:r w:rsidRPr="004014F0">
        <w:rPr>
          <w:smallCaps/>
          <w:color w:val="000000" w:themeColor="text1"/>
          <w:sz w:val="20"/>
          <w:szCs w:val="20"/>
        </w:rPr>
        <w:t xml:space="preserve">l., </w:t>
      </w:r>
      <w:hyperlink r:id="rId7" w:history="1">
        <w:r w:rsidRPr="004014F0">
          <w:rPr>
            <w:rStyle w:val="Hyperlink"/>
            <w:smallCaps/>
            <w:color w:val="000000" w:themeColor="text1"/>
            <w:sz w:val="20"/>
            <w:szCs w:val="20"/>
            <w:u w:val="none"/>
          </w:rPr>
          <w:t>Final Proposed Revisions of 105 CMR 100.00:  Determination of Need Memorandum</w:t>
        </w:r>
      </w:hyperlink>
      <w:r w:rsidRPr="004014F0">
        <w:rPr>
          <w:color w:val="000000" w:themeColor="text1"/>
          <w:sz w:val="20"/>
          <w:szCs w:val="20"/>
        </w:rPr>
        <w:t xml:space="preserve"> (Jan. 11, 2017) (available </w:t>
      </w:r>
      <w:r w:rsidRPr="005B6C0D">
        <w:rPr>
          <w:sz w:val="20"/>
          <w:szCs w:val="20"/>
        </w:rPr>
        <w:t xml:space="preserve">at </w:t>
      </w:r>
      <w:hyperlink r:id="rId8" w:history="1">
        <w:r w:rsidRPr="00F738DA">
          <w:rPr>
            <w:rStyle w:val="Hyperlink"/>
            <w:color w:val="004E9A"/>
            <w:sz w:val="20"/>
            <w:szCs w:val="20"/>
          </w:rPr>
          <w:t>https://www.mintz.com/sites/default/files/viewpoints/orig/8/2017/01/DPH-Final-PHC-Memo-Determination-of-Need-105-CMR-100.000-FINAL-1-11-17.pdf</w:t>
        </w:r>
      </w:hyperlink>
      <w:r w:rsidRPr="005B6C0D">
        <w:rPr>
          <w:sz w:val="20"/>
          <w:szCs w:val="20"/>
        </w:rPr>
        <w:t>).</w:t>
      </w:r>
    </w:p>
  </w:footnote>
  <w:footnote w:id="11">
    <w:p w14:paraId="01E13015" w14:textId="42ADF336" w:rsidR="0091102E" w:rsidRPr="000C7105" w:rsidRDefault="0091102E" w:rsidP="0091102E">
      <w:pPr>
        <w:pStyle w:val="BodyText"/>
        <w:spacing w:after="0" w:line="240" w:lineRule="auto"/>
        <w:rPr>
          <w:sz w:val="20"/>
          <w:szCs w:val="20"/>
        </w:rPr>
      </w:pPr>
      <w:r w:rsidRPr="005B6C0D">
        <w:rPr>
          <w:rStyle w:val="FootnoteReference"/>
          <w:sz w:val="20"/>
          <w:szCs w:val="20"/>
        </w:rPr>
        <w:footnoteRef/>
      </w:r>
      <w:r w:rsidRPr="005B6C0D">
        <w:rPr>
          <w:sz w:val="20"/>
          <w:szCs w:val="20"/>
        </w:rPr>
        <w:t xml:space="preserve"> </w:t>
      </w:r>
      <w:r w:rsidRPr="000C7105">
        <w:rPr>
          <w:i/>
          <w:sz w:val="20"/>
          <w:szCs w:val="20"/>
        </w:rPr>
        <w:t>Supra</w:t>
      </w:r>
      <w:r w:rsidRPr="000C7105">
        <w:rPr>
          <w:sz w:val="20"/>
          <w:szCs w:val="20"/>
        </w:rPr>
        <w:t>, note</w:t>
      </w:r>
      <w:r w:rsidR="008E2026">
        <w:rPr>
          <w:sz w:val="20"/>
          <w:szCs w:val="20"/>
        </w:rPr>
        <w:t xml:space="preserve"> 8</w:t>
      </w:r>
      <w:r w:rsidRPr="000C7105">
        <w:rPr>
          <w:sz w:val="20"/>
          <w:szCs w:val="20"/>
        </w:rPr>
        <w:t xml:space="preserve"> HPC Board Meeting.</w:t>
      </w:r>
    </w:p>
  </w:footnote>
  <w:footnote w:id="12">
    <w:p w14:paraId="36FE5851" w14:textId="0AA6B993" w:rsidR="0091102E" w:rsidRDefault="0091102E" w:rsidP="0091102E">
      <w:pPr>
        <w:pStyle w:val="FootnoteText"/>
      </w:pPr>
      <w:r w:rsidRPr="000C7105">
        <w:rPr>
          <w:rStyle w:val="FootnoteReference"/>
        </w:rPr>
        <w:footnoteRef/>
      </w:r>
      <w:r w:rsidRPr="000C7105">
        <w:t xml:space="preserve"> </w:t>
      </w:r>
      <w:r w:rsidRPr="000C7105">
        <w:rPr>
          <w:i/>
        </w:rPr>
        <w:t>Supra</w:t>
      </w:r>
      <w:r w:rsidRPr="000C7105">
        <w:t xml:space="preserve">, note </w:t>
      </w:r>
      <w:r w:rsidR="008E2026">
        <w:t>9</w:t>
      </w:r>
      <w:r>
        <w:t xml:space="preserve"> </w:t>
      </w:r>
      <w:r w:rsidRPr="005B6C0D">
        <w:rPr>
          <w:smallCaps/>
        </w:rPr>
        <w:t>Final Proposed Revisions of 105 CMR 100.00</w:t>
      </w:r>
    </w:p>
  </w:footnote>
  <w:footnote w:id="13">
    <w:p w14:paraId="1E3B936E" w14:textId="12745C44" w:rsidR="00484BF7" w:rsidRDefault="00484BF7" w:rsidP="00484BF7">
      <w:pPr>
        <w:rPr>
          <w:rFonts w:ascii="Calibri" w:eastAsia="Calibri" w:hAnsi="Calibri" w:cs="Calibri"/>
        </w:rPr>
      </w:pPr>
      <w:r w:rsidRPr="391A23E5">
        <w:rPr>
          <w:rStyle w:val="FootnoteReference"/>
        </w:rPr>
        <w:footnoteRef/>
      </w:r>
      <w:r>
        <w:t xml:space="preserve"> </w:t>
      </w:r>
      <w:r w:rsidRPr="0041795C">
        <w:rPr>
          <w:sz w:val="20"/>
          <w:szCs w:val="20"/>
        </w:rPr>
        <w:t xml:space="preserve">The Department does not have a need-based methodology for ASCs that is </w:t>
      </w:r>
      <w:proofErr w:type="gramStart"/>
      <w:r w:rsidRPr="0041795C">
        <w:rPr>
          <w:sz w:val="20"/>
          <w:szCs w:val="20"/>
        </w:rPr>
        <w:t>regionally</w:t>
      </w:r>
      <w:proofErr w:type="gramEnd"/>
      <w:r w:rsidRPr="0041795C">
        <w:rPr>
          <w:sz w:val="20"/>
          <w:szCs w:val="20"/>
        </w:rPr>
        <w:t xml:space="preserve"> or population based.</w:t>
      </w:r>
    </w:p>
  </w:footnote>
  <w:footnote w:id="14">
    <w:p w14:paraId="7F4FE68E" w14:textId="24EF2454" w:rsidR="008D6AED" w:rsidRDefault="008D6AED">
      <w:pPr>
        <w:pStyle w:val="FootnoteText"/>
      </w:pPr>
      <w:r>
        <w:rPr>
          <w:rStyle w:val="FootnoteReference"/>
        </w:rPr>
        <w:footnoteRef/>
      </w:r>
      <w:r>
        <w:t xml:space="preserve"> </w:t>
      </w:r>
      <w:r w:rsidRPr="008D6AED">
        <w:t>On March 13</w:t>
      </w:r>
      <w:proofErr w:type="gramStart"/>
      <w:r w:rsidRPr="008D6AED">
        <w:t xml:space="preserve"> 2024</w:t>
      </w:r>
      <w:proofErr w:type="gramEnd"/>
      <w:r w:rsidRPr="008D6AED">
        <w:t>, the Department approved project number MGB-23120412-AM for the addition of three ORs at Mass General Waltham (52 Second Ave, Waltham) which will result in a total of 13 OR’s at that multi-specialty Hospital Outpatient Department (HOPD). In June 2024 the Department approved the expansion of Boston Outpatient Surgical Suites; it provides orthopedic, spine, podiatry, and general surgery and pain management procedures, and is expanding from 3 to 8 ORs.</w:t>
      </w:r>
    </w:p>
  </w:footnote>
  <w:footnote w:id="15">
    <w:p w14:paraId="62705DC4" w14:textId="77777777" w:rsidR="00936705" w:rsidRDefault="00936705" w:rsidP="00936705">
      <w:pPr>
        <w:pStyle w:val="FootnoteText"/>
      </w:pPr>
      <w:r>
        <w:rPr>
          <w:rStyle w:val="FootnoteReference"/>
        </w:rPr>
        <w:footnoteRef/>
      </w:r>
      <w:r>
        <w:t xml:space="preserve"> The Surgical Case data only includes Atrius Health risk patients. </w:t>
      </w:r>
    </w:p>
  </w:footnote>
  <w:footnote w:id="16">
    <w:p w14:paraId="73AE964E" w14:textId="4B5674FF" w:rsidR="006A4C79" w:rsidRDefault="006A4C79">
      <w:pPr>
        <w:pStyle w:val="FootnoteText"/>
      </w:pPr>
      <w:r>
        <w:rPr>
          <w:rStyle w:val="FootnoteReference"/>
        </w:rPr>
        <w:footnoteRef/>
      </w:r>
      <w:r>
        <w:t xml:space="preserve"> </w:t>
      </w:r>
      <w:r w:rsidRPr="006A4C79">
        <w:t xml:space="preserve">“Other” represents surgical procedures that did not have a facility claim associated with them. </w:t>
      </w:r>
    </w:p>
  </w:footnote>
  <w:footnote w:id="17">
    <w:p w14:paraId="5C8AB3C5" w14:textId="3AD5EC68" w:rsidR="000E0A51" w:rsidRDefault="000E0A51">
      <w:pPr>
        <w:pStyle w:val="FootnoteText"/>
      </w:pPr>
      <w:r>
        <w:rPr>
          <w:rStyle w:val="FootnoteReference"/>
        </w:rPr>
        <w:footnoteRef/>
      </w:r>
      <w:r>
        <w:t xml:space="preserve"> The Surgical </w:t>
      </w:r>
      <w:r w:rsidR="00795FF0">
        <w:t>Case data only includes Atrius Health risk patients.</w:t>
      </w:r>
      <w:r w:rsidR="006A0642">
        <w:t xml:space="preserve"> </w:t>
      </w:r>
    </w:p>
  </w:footnote>
  <w:footnote w:id="18">
    <w:p w14:paraId="3704A242" w14:textId="77777777" w:rsidR="00A65CE5" w:rsidRDefault="00A65CE5" w:rsidP="005B6C0D">
      <w:pPr>
        <w:pStyle w:val="BodyText"/>
        <w:spacing w:after="0" w:line="240" w:lineRule="auto"/>
      </w:pPr>
      <w:r>
        <w:rPr>
          <w:rStyle w:val="FootnoteReference"/>
        </w:rPr>
        <w:footnoteRef/>
      </w:r>
      <w:r>
        <w:t xml:space="preserve"> Essex, Middlesex, Norfolk, Plymouth, and Suffolk Counties</w:t>
      </w:r>
    </w:p>
  </w:footnote>
  <w:footnote w:id="19">
    <w:p w14:paraId="770BD4CF" w14:textId="2AFCDB4F" w:rsidR="163A5443" w:rsidRDefault="163A5443" w:rsidP="00D738AB">
      <w:pPr>
        <w:pStyle w:val="FootnoteText"/>
      </w:pPr>
      <w:r w:rsidRPr="163A5443">
        <w:rPr>
          <w:rStyle w:val="FootnoteReference"/>
        </w:rPr>
        <w:footnoteRef/>
      </w:r>
      <w:r w:rsidR="16055E49">
        <w:t xml:space="preserve"> ASC’s not owned by Atrius.</w:t>
      </w:r>
      <w:r w:rsidR="0041795C">
        <w:t xml:space="preserve"> Atrius does not own any ASCs.</w:t>
      </w:r>
    </w:p>
    <w:p w14:paraId="198ED23B" w14:textId="45B31460" w:rsidR="2555C065" w:rsidRDefault="2555C065" w:rsidP="2555C065">
      <w:pPr>
        <w:pStyle w:val="FootnoteText"/>
      </w:pPr>
    </w:p>
  </w:footnote>
  <w:footnote w:id="20">
    <w:p w14:paraId="019DEF0A" w14:textId="77777777" w:rsidR="00246A82" w:rsidRPr="004A3E79" w:rsidRDefault="00246A82" w:rsidP="00246A82">
      <w:pPr>
        <w:autoSpaceDE w:val="0"/>
        <w:autoSpaceDN w:val="0"/>
        <w:adjustRightInd w:val="0"/>
        <w:jc w:val="both"/>
        <w:rPr>
          <w:sz w:val="20"/>
          <w:szCs w:val="20"/>
        </w:rPr>
      </w:pPr>
      <w:r w:rsidRPr="004A3E79">
        <w:rPr>
          <w:rStyle w:val="FootnoteReference"/>
          <w:sz w:val="20"/>
          <w:szCs w:val="20"/>
        </w:rPr>
        <w:footnoteRef/>
      </w:r>
      <w:r w:rsidRPr="004A3E79">
        <w:rPr>
          <w:sz w:val="20"/>
          <w:szCs w:val="20"/>
        </w:rPr>
        <w:t xml:space="preserve"> The timeline is best on current projections. It is expected that AHASC will be opening in the beginning of 2026 and will not be open for the entire calendar. The timeline for opening is dependent on regulatory and permitting being completed within projected timeline. </w:t>
      </w:r>
    </w:p>
  </w:footnote>
  <w:footnote w:id="21">
    <w:p w14:paraId="6C04D2F1" w14:textId="5B020B45" w:rsidR="00BC0224" w:rsidRDefault="00BC0224">
      <w:pPr>
        <w:pStyle w:val="FootnoteText"/>
      </w:pPr>
      <w:r>
        <w:rPr>
          <w:rStyle w:val="FootnoteReference"/>
        </w:rPr>
        <w:footnoteRef/>
      </w:r>
      <w:r>
        <w:t xml:space="preserve"> Table 8 Projected hours needed /total projected cases. </w:t>
      </w:r>
    </w:p>
  </w:footnote>
  <w:footnote w:id="22">
    <w:p w14:paraId="51A30A70" w14:textId="77777777" w:rsidR="002E6ED9" w:rsidRDefault="002E6ED9" w:rsidP="002E6ED9">
      <w:pPr>
        <w:pStyle w:val="FootnoteText"/>
      </w:pPr>
      <w:r>
        <w:rPr>
          <w:rStyle w:val="FootnoteReference"/>
        </w:rPr>
        <w:footnoteRef/>
      </w:r>
      <w:r>
        <w:t xml:space="preserve"> Cases multiplied by the average hours per case.</w:t>
      </w:r>
    </w:p>
  </w:footnote>
  <w:footnote w:id="23">
    <w:p w14:paraId="496708DF" w14:textId="0D898D7E" w:rsidR="007201AE" w:rsidRDefault="007201AE">
      <w:pPr>
        <w:pStyle w:val="FootnoteText"/>
      </w:pPr>
      <w:r>
        <w:rPr>
          <w:rStyle w:val="FootnoteReference"/>
        </w:rPr>
        <w:footnoteRef/>
      </w:r>
      <w:r>
        <w:t xml:space="preserve"> See Beckers ASC review</w:t>
      </w:r>
    </w:p>
  </w:footnote>
  <w:footnote w:id="24">
    <w:p w14:paraId="3E20B497" w14:textId="77777777" w:rsidR="00C00E95" w:rsidRPr="00DC1EA1" w:rsidRDefault="00C00E95" w:rsidP="00C00E95">
      <w:pPr>
        <w:pStyle w:val="FootnoteText1"/>
        <w:rPr>
          <w:rFonts w:asciiTheme="minorHAnsi" w:hAnsiTheme="minorHAnsi"/>
        </w:rPr>
      </w:pPr>
      <w:r w:rsidRPr="00DC1EA1">
        <w:rPr>
          <w:rStyle w:val="FootnoteReference"/>
          <w:rFonts w:asciiTheme="minorHAnsi" w:hAnsiTheme="minorHAnsi"/>
        </w:rPr>
        <w:footnoteRef/>
      </w:r>
      <w:r w:rsidRPr="00DC1EA1">
        <w:rPr>
          <w:rFonts w:asciiTheme="minorHAnsi" w:hAnsiTheme="minorHAnsi"/>
        </w:rPr>
        <w:t xml:space="preserve"> Atrius Health MassHealth Monthly Membership Roster, February 2028 - April 2023</w:t>
      </w:r>
    </w:p>
  </w:footnote>
  <w:footnote w:id="25">
    <w:p w14:paraId="07BCCBD1" w14:textId="77777777" w:rsidR="00C00E95" w:rsidRPr="00DC1EA1" w:rsidRDefault="00C00E95" w:rsidP="00C00E95">
      <w:pPr>
        <w:pStyle w:val="FootnoteText1"/>
        <w:rPr>
          <w:rFonts w:asciiTheme="minorHAnsi" w:hAnsiTheme="minorHAnsi"/>
        </w:rPr>
      </w:pPr>
      <w:r w:rsidRPr="00DC1EA1">
        <w:rPr>
          <w:rStyle w:val="FootnoteReference"/>
          <w:rFonts w:asciiTheme="minorHAnsi" w:hAnsiTheme="minorHAnsi"/>
        </w:rPr>
        <w:footnoteRef/>
      </w:r>
      <w:r w:rsidRPr="00DC1EA1">
        <w:rPr>
          <w:rFonts w:asciiTheme="minorHAnsi" w:hAnsiTheme="minorHAnsi"/>
        </w:rPr>
        <w:t xml:space="preserve"> Atrius Health MassHealth Monthly Membership Roster, April 2023 - May 2024</w:t>
      </w:r>
    </w:p>
  </w:footnote>
  <w:footnote w:id="26">
    <w:p w14:paraId="70E3C4EC" w14:textId="7854BA32" w:rsidR="00C00E95" w:rsidRPr="00DC1EA1" w:rsidRDefault="00C00E95" w:rsidP="00C00E95">
      <w:pPr>
        <w:pStyle w:val="FootnoteText1"/>
        <w:rPr>
          <w:rFonts w:asciiTheme="minorHAnsi" w:hAnsiTheme="minorHAnsi"/>
        </w:rPr>
      </w:pPr>
      <w:r w:rsidRPr="00DC1EA1">
        <w:rPr>
          <w:rStyle w:val="FootnoteReference"/>
          <w:rFonts w:asciiTheme="minorHAnsi" w:hAnsiTheme="minorHAnsi"/>
        </w:rPr>
        <w:footnoteRef/>
      </w:r>
      <w:r w:rsidRPr="00DC1EA1">
        <w:rPr>
          <w:rFonts w:asciiTheme="minorHAnsi" w:hAnsiTheme="minorHAnsi"/>
        </w:rPr>
        <w:t xml:space="preserve"> </w:t>
      </w:r>
      <w:hyperlink r:id="rId9" w:history="1">
        <w:r w:rsidRPr="00AB533A">
          <w:rPr>
            <w:rStyle w:val="Hyperlink"/>
            <w:rFonts w:asciiTheme="minorHAnsi" w:hAnsiTheme="minorHAnsi"/>
            <w:i/>
            <w:iCs/>
            <w:color w:val="000000" w:themeColor="text1"/>
            <w:u w:val="none"/>
          </w:rPr>
          <w:t>MassHealth Redetermination Dashboard</w:t>
        </w:r>
      </w:hyperlink>
      <w:r w:rsidRPr="00AB533A">
        <w:rPr>
          <w:rFonts w:asciiTheme="minorHAnsi" w:hAnsiTheme="minorHAnsi"/>
          <w:i/>
          <w:iCs/>
          <w:color w:val="000000" w:themeColor="text1"/>
        </w:rPr>
        <w:t xml:space="preserve"> </w:t>
      </w:r>
      <w:r w:rsidRPr="00AB533A">
        <w:rPr>
          <w:rFonts w:asciiTheme="minorHAnsi" w:hAnsiTheme="minorHAnsi"/>
          <w:color w:val="000000" w:themeColor="text1"/>
        </w:rPr>
        <w:t>(</w:t>
      </w:r>
      <w:r w:rsidRPr="00DC1EA1">
        <w:rPr>
          <w:rFonts w:asciiTheme="minorHAnsi" w:hAnsiTheme="minorHAnsi"/>
        </w:rPr>
        <w:t xml:space="preserve">May 2024) </w:t>
      </w:r>
      <w:hyperlink r:id="rId10" w:history="1">
        <w:r w:rsidR="00AB533A" w:rsidRPr="00AB533A">
          <w:rPr>
            <w:rStyle w:val="Hyperlink"/>
            <w:rFonts w:asciiTheme="minorHAnsi" w:hAnsiTheme="minorHAnsi"/>
            <w:color w:val="000000" w:themeColor="text1"/>
            <w:u w:val="none"/>
          </w:rPr>
          <w:t>https://www.mass.gov/info-details/masshealth-redetermination-dashboard</w:t>
        </w:r>
      </w:hyperlink>
      <w:r w:rsidR="00AB533A" w:rsidRPr="00AB533A">
        <w:rPr>
          <w:rFonts w:asciiTheme="minorHAnsi" w:hAnsiTheme="minorHAnsi"/>
          <w:color w:val="000000" w:themeColor="text1"/>
        </w:rPr>
        <w:t xml:space="preserve"> </w:t>
      </w:r>
    </w:p>
  </w:footnote>
  <w:footnote w:id="27">
    <w:p w14:paraId="6D06942F" w14:textId="7C166B23" w:rsidR="00C00E95" w:rsidRPr="00B50E4B" w:rsidRDefault="00C00E95" w:rsidP="00B50E4B">
      <w:pPr>
        <w:pStyle w:val="BodyText"/>
        <w:spacing w:after="0" w:line="240" w:lineRule="auto"/>
        <w:rPr>
          <w:sz w:val="20"/>
          <w:szCs w:val="20"/>
        </w:rPr>
      </w:pPr>
      <w:r w:rsidRPr="00DC1EA1">
        <w:rPr>
          <w:rStyle w:val="FootnoteReference"/>
          <w:rFonts w:cstheme="minorHAnsi"/>
          <w:sz w:val="20"/>
          <w:szCs w:val="20"/>
        </w:rPr>
        <w:footnoteRef/>
      </w:r>
      <w:r w:rsidRPr="00DC1EA1">
        <w:rPr>
          <w:rFonts w:cstheme="minorHAnsi"/>
          <w:sz w:val="20"/>
          <w:szCs w:val="20"/>
        </w:rPr>
        <w:t xml:space="preserve"> </w:t>
      </w:r>
      <w:hyperlink r:id="rId11" w:history="1">
        <w:r w:rsidRPr="00C3517E">
          <w:rPr>
            <w:rStyle w:val="Hyperlink"/>
            <w:rFonts w:cstheme="minorHAnsi"/>
            <w:i/>
            <w:color w:val="000000" w:themeColor="text1"/>
            <w:sz w:val="20"/>
            <w:szCs w:val="20"/>
            <w:u w:val="none"/>
          </w:rPr>
          <w:t>2021 Annual Health Care Cost Trends Report</w:t>
        </w:r>
      </w:hyperlink>
      <w:r w:rsidRPr="00C3517E">
        <w:rPr>
          <w:rFonts w:cstheme="minorHAnsi"/>
          <w:color w:val="000000" w:themeColor="text1"/>
          <w:sz w:val="20"/>
          <w:szCs w:val="20"/>
        </w:rPr>
        <w:t xml:space="preserve">, </w:t>
      </w:r>
      <w:r w:rsidRPr="00DC1EA1">
        <w:rPr>
          <w:rFonts w:cstheme="minorHAnsi"/>
          <w:sz w:val="20"/>
          <w:szCs w:val="20"/>
        </w:rPr>
        <w:t>HPC (Sep. 2021) (</w:t>
      </w:r>
      <w:hyperlink r:id="rId12" w:history="1">
        <w:r w:rsidRPr="00DC1EA1">
          <w:rPr>
            <w:rStyle w:val="Hyperlink1"/>
            <w:rFonts w:cstheme="minorHAnsi"/>
            <w:sz w:val="20"/>
            <w:szCs w:val="20"/>
          </w:rPr>
          <w:t>https://www.mass.gov/doc/2021-health-care-cost-trends-report/download</w:t>
        </w:r>
      </w:hyperlink>
      <w:r w:rsidRPr="00B50E4B">
        <w:rPr>
          <w:sz w:val="20"/>
          <w:szCs w:val="20"/>
        </w:rPr>
        <w:t xml:space="preserve">). </w:t>
      </w:r>
    </w:p>
  </w:footnote>
  <w:footnote w:id="28">
    <w:p w14:paraId="12A9CA82" w14:textId="165955ED" w:rsidR="00921132" w:rsidRDefault="00921132" w:rsidP="00921132">
      <w:pPr>
        <w:pStyle w:val="FootnoteText"/>
      </w:pPr>
      <w:r>
        <w:rPr>
          <w:rStyle w:val="FootnoteReference"/>
        </w:rPr>
        <w:footnoteRef/>
      </w:r>
      <w:r>
        <w:t xml:space="preserve"> </w:t>
      </w:r>
      <w:r w:rsidR="008E2026">
        <w:t>I</w:t>
      </w:r>
      <w:r w:rsidRPr="007E463D">
        <w:t xml:space="preserve">t is </w:t>
      </w:r>
      <w:r w:rsidRPr="00CE7AB6">
        <w:t>offer</w:t>
      </w:r>
      <w:r w:rsidRPr="007E463D">
        <w:t>ed</w:t>
      </w:r>
      <w:r w:rsidRPr="00CE7AB6">
        <w:t xml:space="preserve"> </w:t>
      </w:r>
      <w:r>
        <w:t xml:space="preserve">at all sites via </w:t>
      </w:r>
      <w:r w:rsidRPr="00CE7AB6">
        <w:t>free telephonic, video, or in-person interpreter services through a third-party vendor. </w:t>
      </w:r>
    </w:p>
  </w:footnote>
  <w:footnote w:id="29">
    <w:p w14:paraId="40E5B076" w14:textId="5FA26A09" w:rsidR="00B63D79" w:rsidRPr="00DF2901" w:rsidRDefault="00B63D79" w:rsidP="00B63D79">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See, supra</w:t>
      </w:r>
      <w:r w:rsidRPr="00DF2901">
        <w:rPr>
          <w:rFonts w:cstheme="minorHAnsi"/>
          <w:sz w:val="20"/>
          <w:szCs w:val="20"/>
        </w:rPr>
        <w:t xml:space="preserve"> note </w:t>
      </w:r>
      <w:r w:rsidR="008E2026">
        <w:rPr>
          <w:rFonts w:cstheme="minorHAnsi"/>
          <w:sz w:val="20"/>
          <w:szCs w:val="20"/>
        </w:rPr>
        <w:t>8</w:t>
      </w:r>
      <w:r w:rsidRPr="00DF2901">
        <w:rPr>
          <w:rFonts w:cstheme="minorHAnsi"/>
          <w:sz w:val="20"/>
          <w:szCs w:val="20"/>
        </w:rPr>
        <w:t xml:space="preserve"> Board Meeting (ASCs provide comparable care to patients than an HOPD but at a lower price for patients, there is not a variation in quality as there is a variation in price.)</w:t>
      </w:r>
    </w:p>
  </w:footnote>
  <w:footnote w:id="30">
    <w:p w14:paraId="2121625A" w14:textId="6813A6D6" w:rsidR="00617CF2" w:rsidRPr="00DF2901" w:rsidRDefault="00617CF2" w:rsidP="00617CF2">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hyperlink r:id="rId13" w:history="1">
        <w:r w:rsidRPr="00EC2494">
          <w:rPr>
            <w:rStyle w:val="Hyperlink"/>
            <w:rFonts w:cstheme="minorHAnsi"/>
            <w:i/>
            <w:color w:val="000000" w:themeColor="text1"/>
            <w:sz w:val="20"/>
            <w:szCs w:val="20"/>
            <w:u w:val="none"/>
          </w:rPr>
          <w:t>Minutes of the Health Policy Commission</w:t>
        </w:r>
      </w:hyperlink>
      <w:r w:rsidRPr="00EC2494">
        <w:rPr>
          <w:rFonts w:cstheme="minorHAnsi"/>
          <w:color w:val="000000" w:themeColor="text1"/>
          <w:sz w:val="20"/>
          <w:szCs w:val="20"/>
        </w:rPr>
        <w:t xml:space="preserve"> 3 </w:t>
      </w:r>
      <w:r w:rsidRPr="00DF2901">
        <w:rPr>
          <w:rFonts w:cstheme="minorHAnsi"/>
          <w:sz w:val="20"/>
          <w:szCs w:val="20"/>
        </w:rPr>
        <w:t>– 7, HPC (Jun. 07, 2023) (</w:t>
      </w:r>
      <w:hyperlink r:id="rId14" w:history="1">
        <w:r w:rsidRPr="00F738DA">
          <w:rPr>
            <w:rStyle w:val="Hyperlink"/>
            <w:rFonts w:cstheme="minorHAnsi"/>
            <w:color w:val="004E9A"/>
            <w:sz w:val="20"/>
            <w:szCs w:val="20"/>
          </w:rPr>
          <w:t>https://www.mass.gov/doc/minutes-from-june-7-2023-board-meeting/download</w:t>
        </w:r>
      </w:hyperlink>
      <w:r w:rsidRPr="00DF2901">
        <w:rPr>
          <w:rFonts w:cstheme="minorHAnsi"/>
          <w:sz w:val="20"/>
          <w:szCs w:val="20"/>
        </w:rPr>
        <w:t>) (there is a need for more ASCs</w:t>
      </w:r>
      <w:r>
        <w:rPr>
          <w:rFonts w:cstheme="minorHAnsi"/>
          <w:sz w:val="20"/>
          <w:szCs w:val="20"/>
        </w:rPr>
        <w:t xml:space="preserve"> </w:t>
      </w:r>
      <w:r w:rsidRPr="00DF2901">
        <w:rPr>
          <w:rFonts w:cstheme="minorHAnsi"/>
          <w:sz w:val="20"/>
          <w:szCs w:val="20"/>
        </w:rPr>
        <w:t>to provide better access to hospital-based care without having to wait for openings at a hospital).</w:t>
      </w:r>
    </w:p>
  </w:footnote>
  <w:footnote w:id="31">
    <w:p w14:paraId="02608483" w14:textId="7C9074AE" w:rsidR="00E64DCD" w:rsidRPr="00EF37C5" w:rsidRDefault="00E64DCD" w:rsidP="0060313F">
      <w:pPr>
        <w:pStyle w:val="FootnoteText"/>
        <w:rPr>
          <w:rFonts w:ascii="Calibri" w:eastAsia="Times New Roman" w:hAnsi="Calibri" w:cs="Calibri"/>
          <w:color w:val="292929"/>
        </w:rPr>
      </w:pPr>
      <w:r w:rsidRPr="00EF37C5">
        <w:rPr>
          <w:rStyle w:val="FootnoteReference"/>
          <w:rFonts w:ascii="Calibri" w:hAnsi="Calibri" w:cs="Calibri"/>
        </w:rPr>
        <w:footnoteRef/>
      </w:r>
      <w:r w:rsidRPr="00EF37C5">
        <w:rPr>
          <w:rFonts w:ascii="Calibri" w:hAnsi="Calibri" w:cs="Calibri"/>
        </w:rPr>
        <w:t xml:space="preserve"> </w:t>
      </w:r>
      <w:r w:rsidRPr="00EF37C5">
        <w:rPr>
          <w:rFonts w:ascii="Calibri" w:eastAsia="Times New Roman" w:hAnsi="Calibri" w:cs="Calibri"/>
          <w:color w:val="292929"/>
        </w:rPr>
        <w:t>SCA was acquired by Optum in 2017 for $2.3B; SCA Health has </w:t>
      </w:r>
      <w:hyperlink r:id="rId15" w:history="1">
        <w:r w:rsidRPr="00EF37C5">
          <w:rPr>
            <w:rFonts w:ascii="Calibri" w:eastAsia="Times New Roman" w:hAnsi="Calibri" w:cs="Calibri"/>
            <w:color w:val="003974"/>
            <w:u w:val="single"/>
          </w:rPr>
          <w:t>grown</w:t>
        </w:r>
      </w:hyperlink>
      <w:r w:rsidRPr="00EF37C5">
        <w:rPr>
          <w:rFonts w:ascii="Calibri" w:eastAsia="Times New Roman" w:hAnsi="Calibri" w:cs="Calibri"/>
          <w:color w:val="292929"/>
        </w:rPr>
        <w:t> from owning 186 ASCs in 2019 to 320 in 2023. </w:t>
      </w:r>
      <w:hyperlink r:id="rId16" w:history="1">
        <w:r w:rsidR="0023727C" w:rsidRPr="00F738DA">
          <w:rPr>
            <w:rStyle w:val="Hyperlink"/>
            <w:rFonts w:ascii="Calibri" w:eastAsia="Times New Roman" w:hAnsi="Calibri" w:cs="Calibri"/>
            <w:color w:val="004E9A"/>
          </w:rPr>
          <w:t>https://www.beckersasc.com/asc-news/optum-vs-tenet-comparison-of-asc-networks.html?utm_campaign=asc&amp;utm_source=website&amp;utm_content=most-read</w:t>
        </w:r>
      </w:hyperlink>
    </w:p>
    <w:p w14:paraId="4BC8592D" w14:textId="77777777" w:rsidR="00E64DCD" w:rsidRPr="00EF37C5" w:rsidRDefault="00E64DCD" w:rsidP="00E64DCD">
      <w:pPr>
        <w:pStyle w:val="NormalWeb"/>
        <w:shd w:val="clear" w:color="auto" w:fill="FFFFFF"/>
        <w:spacing w:before="240" w:after="240"/>
        <w:rPr>
          <w:rFonts w:ascii="Helvetica" w:eastAsia="Times New Roman" w:hAnsi="Helvetica" w:cs="Times New Roman"/>
          <w:color w:val="292929"/>
          <w:sz w:val="26"/>
          <w:szCs w:val="26"/>
        </w:rPr>
      </w:pPr>
    </w:p>
    <w:p w14:paraId="6011E70B" w14:textId="77777777" w:rsidR="00E64DCD" w:rsidRDefault="00E64DCD" w:rsidP="00E64DCD">
      <w:pPr>
        <w:pStyle w:val="FootnoteText"/>
      </w:pPr>
    </w:p>
  </w:footnote>
  <w:footnote w:id="32">
    <w:p w14:paraId="2C5A85CA" w14:textId="77777777"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8 HPC </w:t>
      </w:r>
      <w:proofErr w:type="spellStart"/>
      <w:r w:rsidRPr="00DF2901">
        <w:rPr>
          <w:rFonts w:cstheme="minorHAnsi"/>
          <w:sz w:val="20"/>
          <w:szCs w:val="20"/>
        </w:rPr>
        <w:t>DataPoints</w:t>
      </w:r>
      <w:proofErr w:type="spellEnd"/>
      <w:r w:rsidRPr="00DF2901">
        <w:rPr>
          <w:rFonts w:cstheme="minorHAnsi"/>
          <w:sz w:val="20"/>
          <w:szCs w:val="20"/>
        </w:rPr>
        <w:t>.</w:t>
      </w:r>
    </w:p>
  </w:footnote>
  <w:footnote w:id="33">
    <w:p w14:paraId="27CB5DA4" w14:textId="6E91428A" w:rsidR="001F10CC" w:rsidRPr="00DF2901" w:rsidRDefault="001F10CC" w:rsidP="00DF2901">
      <w:pPr>
        <w:pStyle w:val="BodyText"/>
        <w:spacing w:after="0" w:line="240" w:lineRule="auto"/>
        <w:rPr>
          <w:rFonts w:cstheme="minorHAnsi"/>
          <w:spacing w:val="-2"/>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 xml:space="preserve">See, </w:t>
      </w:r>
      <w:hyperlink r:id="rId17" w:history="1">
        <w:r w:rsidRPr="00496DF1">
          <w:rPr>
            <w:rStyle w:val="Hyperlink"/>
            <w:rFonts w:cstheme="minorHAnsi"/>
            <w:i/>
            <w:color w:val="000000" w:themeColor="text1"/>
            <w:sz w:val="20"/>
            <w:szCs w:val="20"/>
            <w:u w:val="none"/>
          </w:rPr>
          <w:t>2023 Annual Health Care Cost Trends Report and Policy Recommendations</w:t>
        </w:r>
      </w:hyperlink>
      <w:r w:rsidRPr="00496DF1">
        <w:rPr>
          <w:rFonts w:cstheme="minorHAnsi"/>
          <w:color w:val="000000" w:themeColor="text1"/>
          <w:sz w:val="20"/>
          <w:szCs w:val="20"/>
        </w:rPr>
        <w:t xml:space="preserve"> 28, </w:t>
      </w:r>
      <w:r w:rsidRPr="00496DF1">
        <w:rPr>
          <w:rFonts w:cstheme="minorHAnsi"/>
          <w:smallCaps/>
          <w:color w:val="000000" w:themeColor="text1"/>
          <w:sz w:val="20"/>
          <w:szCs w:val="20"/>
        </w:rPr>
        <w:t>HPC</w:t>
      </w:r>
      <w:r w:rsidRPr="00496DF1">
        <w:rPr>
          <w:rFonts w:cstheme="minorHAnsi"/>
          <w:color w:val="000000" w:themeColor="text1"/>
          <w:sz w:val="20"/>
          <w:szCs w:val="20"/>
        </w:rPr>
        <w:t xml:space="preserve"> </w:t>
      </w:r>
      <w:r w:rsidRPr="00DF2901">
        <w:rPr>
          <w:rFonts w:cstheme="minorHAnsi"/>
          <w:sz w:val="20"/>
          <w:szCs w:val="20"/>
        </w:rPr>
        <w:t>(Sep. 2023) (</w:t>
      </w:r>
      <w:hyperlink r:id="rId18" w:history="1">
        <w:r w:rsidRPr="00F738DA">
          <w:rPr>
            <w:rStyle w:val="Hyperlink"/>
            <w:rFonts w:cstheme="minorHAnsi"/>
            <w:color w:val="004E9A"/>
            <w:sz w:val="20"/>
            <w:szCs w:val="20"/>
          </w:rPr>
          <w:t>https://www.mass.gov/doc/2023-health-care-cost-trends-report/download</w:t>
        </w:r>
      </w:hyperlink>
      <w:r w:rsidRPr="00DF2901">
        <w:rPr>
          <w:rFonts w:cstheme="minorHAnsi"/>
          <w:sz w:val="20"/>
          <w:szCs w:val="20"/>
        </w:rPr>
        <w:t xml:space="preserve">) (finding that most prices for most ambulatory services provided in HOPDs typically exceeded the Medicare-based benchmark, most care delivered in HOPDs can be safely provided in ASCs, and that </w:t>
      </w:r>
      <w:bookmarkStart w:id="67" w:name="Exhibit_4.1._Percentage_of_Original_Medi"/>
      <w:bookmarkStart w:id="68" w:name="_bookmark0"/>
      <w:bookmarkEnd w:id="67"/>
      <w:bookmarkEnd w:id="68"/>
      <w:r w:rsidRPr="00DF2901">
        <w:rPr>
          <w:rFonts w:cstheme="minorHAnsi"/>
          <w:sz w:val="20"/>
          <w:szCs w:val="20"/>
        </w:rPr>
        <w:t>payments for ASCs are typically lower than for hospitals for the same procedure</w:t>
      </w:r>
      <w:r w:rsidRPr="00DF2901">
        <w:rPr>
          <w:rFonts w:cstheme="minorHAnsi"/>
          <w:spacing w:val="-2"/>
          <w:sz w:val="20"/>
          <w:szCs w:val="20"/>
        </w:rPr>
        <w:t xml:space="preserve">). </w:t>
      </w:r>
    </w:p>
  </w:footnote>
  <w:footnote w:id="34">
    <w:p w14:paraId="3FD42C74" w14:textId="2155BE9F"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See</w:t>
      </w:r>
      <w:r w:rsidRPr="00DF2901">
        <w:rPr>
          <w:rFonts w:cstheme="minorHAnsi"/>
          <w:sz w:val="20"/>
          <w:szCs w:val="20"/>
        </w:rPr>
        <w:t>,</w:t>
      </w:r>
      <w:r w:rsidRPr="00DF2901">
        <w:rPr>
          <w:rFonts w:cstheme="minorHAnsi"/>
          <w:i/>
          <w:sz w:val="20"/>
          <w:szCs w:val="20"/>
        </w:rPr>
        <w:t xml:space="preserve"> supra</w:t>
      </w:r>
      <w:r w:rsidRPr="00DF2901">
        <w:rPr>
          <w:rFonts w:cstheme="minorHAnsi"/>
          <w:sz w:val="20"/>
          <w:szCs w:val="20"/>
        </w:rPr>
        <w:t xml:space="preserve"> note </w:t>
      </w:r>
      <w:r w:rsidR="00E243D1">
        <w:rPr>
          <w:rFonts w:cstheme="minorHAnsi"/>
          <w:sz w:val="20"/>
          <w:szCs w:val="20"/>
        </w:rPr>
        <w:t>9</w:t>
      </w:r>
      <w:r w:rsidRPr="00DF2901">
        <w:rPr>
          <w:rFonts w:cstheme="minorHAnsi"/>
          <w:sz w:val="20"/>
          <w:szCs w:val="20"/>
        </w:rPr>
        <w:t xml:space="preserve"> Youmans; </w:t>
      </w:r>
      <w:r w:rsidRPr="00DF2901">
        <w:rPr>
          <w:rFonts w:cstheme="minorHAnsi"/>
          <w:i/>
          <w:sz w:val="20"/>
          <w:szCs w:val="20"/>
        </w:rPr>
        <w:t>See also</w:t>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8 HPC </w:t>
      </w:r>
      <w:proofErr w:type="spellStart"/>
      <w:r w:rsidRPr="00DF2901">
        <w:rPr>
          <w:rFonts w:cstheme="minorHAnsi"/>
          <w:sz w:val="20"/>
          <w:szCs w:val="20"/>
        </w:rPr>
        <w:t>DataPoints</w:t>
      </w:r>
      <w:proofErr w:type="spellEnd"/>
      <w:r w:rsidRPr="00DF2901">
        <w:rPr>
          <w:rFonts w:cstheme="minorHAnsi"/>
          <w:sz w:val="20"/>
          <w:szCs w:val="20"/>
        </w:rPr>
        <w:t>, at “Regulatory environment.”</w:t>
      </w:r>
    </w:p>
  </w:footnote>
  <w:footnote w:id="35">
    <w:p w14:paraId="49BA29BE" w14:textId="0F2CFA24"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smallCaps/>
          <w:sz w:val="20"/>
          <w:szCs w:val="20"/>
        </w:rPr>
        <w:t xml:space="preserve">The </w:t>
      </w:r>
      <w:hyperlink r:id="rId19" w:history="1">
        <w:r w:rsidRPr="00900F89">
          <w:rPr>
            <w:rStyle w:val="Hyperlink"/>
            <w:rFonts w:cstheme="minorHAnsi"/>
            <w:smallCaps/>
            <w:color w:val="000000" w:themeColor="text1"/>
            <w:sz w:val="20"/>
            <w:szCs w:val="20"/>
            <w:u w:val="none"/>
          </w:rPr>
          <w:t>Medicare Payment Advisory Commission, March 2022 Report to the Congress: Medicare Payment Policy,</w:t>
        </w:r>
      </w:hyperlink>
      <w:r w:rsidRPr="00900F89">
        <w:rPr>
          <w:rFonts w:cstheme="minorHAnsi"/>
          <w:smallCaps/>
          <w:color w:val="000000" w:themeColor="text1"/>
          <w:sz w:val="20"/>
          <w:szCs w:val="20"/>
        </w:rPr>
        <w:t xml:space="preserve"> Chapter </w:t>
      </w:r>
      <w:r w:rsidRPr="00DF2901">
        <w:rPr>
          <w:rFonts w:cstheme="minorHAnsi"/>
          <w:smallCaps/>
          <w:sz w:val="20"/>
          <w:szCs w:val="20"/>
        </w:rPr>
        <w:t>5: Ambulatory Surgical Center Service 168</w:t>
      </w:r>
      <w:r w:rsidRPr="00DF2901">
        <w:rPr>
          <w:rFonts w:cstheme="minorHAnsi"/>
          <w:sz w:val="20"/>
          <w:szCs w:val="20"/>
        </w:rPr>
        <w:t xml:space="preserve"> (Mar. 15, 2022) (available at </w:t>
      </w:r>
      <w:hyperlink r:id="rId20" w:history="1">
        <w:r w:rsidRPr="00F738DA">
          <w:rPr>
            <w:rStyle w:val="Hyperlink"/>
            <w:rFonts w:cstheme="minorHAnsi"/>
            <w:color w:val="004E9A"/>
            <w:sz w:val="20"/>
            <w:szCs w:val="20"/>
          </w:rPr>
          <w:t>https://www.medpac.gov/document/march-2022-report-to-the-congress-medicare-payment-policy/</w:t>
        </w:r>
      </w:hyperlink>
      <w:r w:rsidRPr="00DF2901">
        <w:rPr>
          <w:rFonts w:cstheme="minorHAnsi"/>
          <w:sz w:val="20"/>
          <w:szCs w:val="20"/>
        </w:rPr>
        <w:t xml:space="preserve">) (“evidence suggests that ASCs are a lower-cost setting than HOPDs. Studies that used data from the National Survey of Ambulatory Surgery found that the average length of time for ambulatory surgical visits for Medicare patients was 25 percent to 39 percent shorter in ASCs than in HOPDs, which likely contributes to lower costs in ASCs” (citing Hair et al. 2012, Munnich and Parente 2014)); </w:t>
      </w:r>
      <w:r w:rsidRPr="00DF2901">
        <w:rPr>
          <w:rFonts w:cstheme="minorHAnsi"/>
          <w:i/>
          <w:sz w:val="20"/>
          <w:szCs w:val="20"/>
        </w:rPr>
        <w:t>See also</w:t>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8 HPC </w:t>
      </w:r>
      <w:proofErr w:type="spellStart"/>
      <w:r w:rsidRPr="00DF2901">
        <w:rPr>
          <w:rFonts w:cstheme="minorHAnsi"/>
          <w:sz w:val="20"/>
          <w:szCs w:val="20"/>
        </w:rPr>
        <w:t>DataPoints</w:t>
      </w:r>
      <w:proofErr w:type="spellEnd"/>
      <w:r w:rsidRPr="00DF2901">
        <w:rPr>
          <w:rFonts w:cstheme="minorHAnsi"/>
          <w:sz w:val="20"/>
          <w:szCs w:val="20"/>
        </w:rPr>
        <w:t xml:space="preserve">; </w:t>
      </w:r>
      <w:r w:rsidRPr="00DF2901">
        <w:rPr>
          <w:rFonts w:cstheme="minorHAnsi"/>
          <w:i/>
          <w:sz w:val="20"/>
          <w:szCs w:val="20"/>
        </w:rPr>
        <w:t>See also</w:t>
      </w:r>
      <w:r w:rsidRPr="00DF2901">
        <w:rPr>
          <w:rFonts w:cstheme="minorHAnsi"/>
          <w:sz w:val="20"/>
          <w:szCs w:val="20"/>
        </w:rPr>
        <w:t xml:space="preserve">, </w:t>
      </w:r>
      <w:r w:rsidRPr="00DF2901">
        <w:rPr>
          <w:rFonts w:cstheme="minorHAnsi"/>
          <w:i/>
          <w:sz w:val="20"/>
          <w:szCs w:val="20"/>
        </w:rPr>
        <w:t xml:space="preserve">infra </w:t>
      </w:r>
      <w:r w:rsidRPr="00DF2901">
        <w:rPr>
          <w:rFonts w:cstheme="minorHAnsi"/>
          <w:sz w:val="20"/>
          <w:szCs w:val="20"/>
        </w:rPr>
        <w:t>note 16.</w:t>
      </w:r>
    </w:p>
  </w:footnote>
  <w:footnote w:id="36">
    <w:p w14:paraId="05E0426E" w14:textId="4B6FBCA1"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 xml:space="preserve">Id. </w:t>
      </w:r>
      <w:r w:rsidR="008E2026">
        <w:rPr>
          <w:rFonts w:cstheme="minorHAnsi"/>
          <w:i/>
          <w:sz w:val="20"/>
          <w:szCs w:val="20"/>
        </w:rPr>
        <w:t>At 64</w:t>
      </w:r>
      <w:r w:rsidRPr="00DF2901">
        <w:rPr>
          <w:rFonts w:cstheme="minorHAnsi"/>
          <w:sz w:val="20"/>
          <w:szCs w:val="20"/>
        </w:rPr>
        <w:t xml:space="preserve"> (“</w:t>
      </w:r>
      <w:r w:rsidRPr="00DF2901">
        <w:rPr>
          <w:rFonts w:cstheme="minorHAnsi"/>
          <w:color w:val="211D1E"/>
          <w:sz w:val="20"/>
          <w:szCs w:val="20"/>
        </w:rPr>
        <w:t>Low value care (LVC) refers to medical services recognized by clinicians as not based on evidence and typ</w:t>
      </w:r>
      <w:r w:rsidRPr="00DF2901">
        <w:rPr>
          <w:rFonts w:cstheme="minorHAnsi"/>
          <w:color w:val="211D1E"/>
          <w:sz w:val="20"/>
          <w:szCs w:val="20"/>
        </w:rPr>
        <w:softHyphen/>
        <w:t>ically unnecessary for any patient, based on research compiled in the Choosing Wisely® recommendations</w:t>
      </w:r>
      <w:r w:rsidRPr="00DF2901">
        <w:rPr>
          <w:rFonts w:cstheme="minorHAnsi"/>
          <w:sz w:val="20"/>
          <w:szCs w:val="20"/>
        </w:rPr>
        <w:t xml:space="preserve">”), and </w:t>
      </w:r>
      <w:r w:rsidRPr="00DF2901">
        <w:rPr>
          <w:rFonts w:cstheme="minorHAnsi"/>
          <w:smallCaps/>
          <w:sz w:val="20"/>
          <w:szCs w:val="20"/>
        </w:rPr>
        <w:t xml:space="preserve">The </w:t>
      </w:r>
      <w:hyperlink r:id="rId21" w:history="1">
        <w:r w:rsidRPr="00900F89">
          <w:rPr>
            <w:rStyle w:val="Hyperlink"/>
            <w:rFonts w:cstheme="minorHAnsi"/>
            <w:smallCaps/>
            <w:color w:val="000000" w:themeColor="text1"/>
            <w:sz w:val="20"/>
            <w:szCs w:val="20"/>
            <w:u w:val="none"/>
          </w:rPr>
          <w:t>Medicare Payment Advisory Commission, March 2021 Report to the Congress: Medicare Payment Policy</w:t>
        </w:r>
      </w:hyperlink>
      <w:r w:rsidRPr="00900F89">
        <w:rPr>
          <w:rFonts w:cstheme="minorHAnsi"/>
          <w:smallCaps/>
          <w:color w:val="000000" w:themeColor="text1"/>
          <w:sz w:val="20"/>
          <w:szCs w:val="20"/>
        </w:rPr>
        <w:t xml:space="preserve">, </w:t>
      </w:r>
      <w:r w:rsidRPr="00DF2901">
        <w:rPr>
          <w:rFonts w:cstheme="minorHAnsi"/>
          <w:smallCaps/>
          <w:sz w:val="20"/>
          <w:szCs w:val="20"/>
        </w:rPr>
        <w:t>Chapter 3 Hospital inpatient and outpatient services</w:t>
      </w:r>
      <w:r w:rsidRPr="00DF2901">
        <w:rPr>
          <w:rFonts w:cstheme="minorHAnsi"/>
          <w:sz w:val="20"/>
          <w:szCs w:val="20"/>
        </w:rPr>
        <w:t xml:space="preserve"> 55 (Mar. 15, 2021) (available at </w:t>
      </w:r>
      <w:hyperlink r:id="rId22" w:history="1">
        <w:r w:rsidRPr="00F738DA">
          <w:rPr>
            <w:rStyle w:val="Hyperlink"/>
            <w:rFonts w:cstheme="minorHAnsi"/>
            <w:color w:val="004E9A"/>
            <w:sz w:val="20"/>
            <w:szCs w:val="20"/>
          </w:rPr>
          <w:t>https://www.medpac.gov/document/march-2021-report-to-the-congress-medicare-payment-policy/</w:t>
        </w:r>
      </w:hyperlink>
      <w:r w:rsidRPr="00DF2901">
        <w:rPr>
          <w:rFonts w:cstheme="minorHAnsi"/>
          <w:sz w:val="20"/>
          <w:szCs w:val="20"/>
        </w:rPr>
        <w:t xml:space="preserve">). </w:t>
      </w:r>
    </w:p>
  </w:footnote>
  <w:footnote w:id="37">
    <w:p w14:paraId="076138BA" w14:textId="29E1FDF0"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hyperlink r:id="rId23" w:history="1">
        <w:r w:rsidRPr="006C5F42">
          <w:rPr>
            <w:rStyle w:val="Hyperlink"/>
            <w:rFonts w:cstheme="minorHAnsi"/>
            <w:i/>
            <w:color w:val="000000" w:themeColor="text1"/>
            <w:sz w:val="20"/>
            <w:szCs w:val="20"/>
            <w:u w:val="none"/>
          </w:rPr>
          <w:t>2021 Annual Health Care Cost Trends Report Chartpack</w:t>
        </w:r>
      </w:hyperlink>
      <w:r w:rsidRPr="006C5F42">
        <w:rPr>
          <w:rFonts w:cstheme="minorHAnsi"/>
          <w:color w:val="000000" w:themeColor="text1"/>
          <w:sz w:val="20"/>
          <w:szCs w:val="20"/>
        </w:rPr>
        <w:t xml:space="preserve"> </w:t>
      </w:r>
      <w:r w:rsidRPr="00DF2901">
        <w:rPr>
          <w:rFonts w:cstheme="minorHAnsi"/>
          <w:sz w:val="20"/>
          <w:szCs w:val="20"/>
        </w:rPr>
        <w:t xml:space="preserve">59, </w:t>
      </w:r>
      <w:r w:rsidRPr="00DF2901">
        <w:rPr>
          <w:rFonts w:cstheme="minorHAnsi"/>
          <w:smallCaps/>
          <w:sz w:val="20"/>
          <w:szCs w:val="20"/>
        </w:rPr>
        <w:t>HPC</w:t>
      </w:r>
      <w:r w:rsidRPr="00DF2901">
        <w:rPr>
          <w:rFonts w:cstheme="minorHAnsi"/>
          <w:sz w:val="20"/>
          <w:szCs w:val="20"/>
        </w:rPr>
        <w:t xml:space="preserve"> (Sep. 2021) (</w:t>
      </w:r>
      <w:hyperlink r:id="rId24" w:history="1">
        <w:r w:rsidRPr="00F738DA">
          <w:rPr>
            <w:rStyle w:val="Hyperlink"/>
            <w:rFonts w:cstheme="minorHAnsi"/>
            <w:color w:val="004E9A"/>
            <w:sz w:val="20"/>
            <w:szCs w:val="20"/>
          </w:rPr>
          <w:t>https://www.mass.gov/doc/2021-cost-trends-report-chartpack/download</w:t>
        </w:r>
      </w:hyperlink>
      <w:r w:rsidRPr="00DF2901">
        <w:rPr>
          <w:rFonts w:cstheme="minorHAnsi"/>
          <w:sz w:val="20"/>
          <w:szCs w:val="20"/>
        </w:rPr>
        <w:t>).</w:t>
      </w:r>
    </w:p>
  </w:footnote>
  <w:footnote w:id="38">
    <w:p w14:paraId="37C9E4FA" w14:textId="58E2DE9E"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i/>
          <w:sz w:val="20"/>
          <w:szCs w:val="20"/>
        </w:rPr>
        <w:footnoteRef/>
      </w:r>
      <w:r w:rsidRPr="00DF2901">
        <w:rPr>
          <w:rFonts w:cstheme="minorHAnsi"/>
          <w:i/>
          <w:sz w:val="20"/>
          <w:szCs w:val="20"/>
        </w:rPr>
        <w:t xml:space="preserve"> </w:t>
      </w:r>
      <w:hyperlink r:id="rId25" w:history="1">
        <w:r w:rsidRPr="00122A11">
          <w:rPr>
            <w:rStyle w:val="Hyperlink"/>
            <w:rFonts w:cstheme="minorHAnsi"/>
            <w:i/>
            <w:color w:val="000000" w:themeColor="text1"/>
            <w:sz w:val="20"/>
            <w:szCs w:val="20"/>
            <w:u w:val="none"/>
          </w:rPr>
          <w:t>2022 Health Care Cost Trends Report and Policy Recommendations</w:t>
        </w:r>
      </w:hyperlink>
      <w:r w:rsidRPr="00122A11">
        <w:rPr>
          <w:rFonts w:cstheme="minorHAnsi"/>
          <w:color w:val="000000" w:themeColor="text1"/>
          <w:sz w:val="20"/>
          <w:szCs w:val="20"/>
        </w:rPr>
        <w:t xml:space="preserve"> 69</w:t>
      </w:r>
      <w:r w:rsidRPr="00DF2901">
        <w:rPr>
          <w:rFonts w:cstheme="minorHAnsi"/>
          <w:sz w:val="20"/>
          <w:szCs w:val="20"/>
        </w:rPr>
        <w:t>, HPC (Sep. 2022) (</w:t>
      </w:r>
      <w:hyperlink r:id="rId26" w:history="1">
        <w:r w:rsidRPr="00F738DA">
          <w:rPr>
            <w:rStyle w:val="Hyperlink"/>
            <w:rFonts w:cstheme="minorHAnsi"/>
            <w:color w:val="004E9A"/>
            <w:sz w:val="20"/>
            <w:szCs w:val="20"/>
          </w:rPr>
          <w:t>https://www.mass.gov/doc/2022-cost-trends-report-chartpack/download</w:t>
        </w:r>
      </w:hyperlink>
      <w:r w:rsidRPr="00DF2901">
        <w:rPr>
          <w:rFonts w:cstheme="minorHAnsi"/>
          <w:sz w:val="20"/>
          <w:szCs w:val="20"/>
        </w:rPr>
        <w:t>).</w:t>
      </w:r>
    </w:p>
  </w:footnote>
  <w:footnote w:id="39">
    <w:p w14:paraId="57622781" w14:textId="77777777" w:rsidR="001F10CC" w:rsidRPr="00DF2901" w:rsidRDefault="001F10C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8 Board Meeting at 56-57. </w:t>
      </w:r>
    </w:p>
  </w:footnote>
  <w:footnote w:id="40">
    <w:p w14:paraId="0B704E13" w14:textId="03FFF720" w:rsidR="00366528" w:rsidRDefault="00366528">
      <w:pPr>
        <w:pStyle w:val="FootnoteText"/>
      </w:pPr>
      <w:r>
        <w:rPr>
          <w:rStyle w:val="FootnoteReference"/>
        </w:rPr>
        <w:footnoteRef/>
      </w:r>
      <w:r>
        <w:t xml:space="preserve"> As demonstrated by the cited HPC reports.</w:t>
      </w:r>
    </w:p>
  </w:footnote>
  <w:footnote w:id="41">
    <w:p w14:paraId="407D0C66" w14:textId="356C7B33" w:rsidR="00A34B7E" w:rsidRPr="00DF2901" w:rsidRDefault="00A34B7E" w:rsidP="00A34B7E">
      <w:pPr>
        <w:pStyle w:val="FootnoteText"/>
        <w:rPr>
          <w:rFonts w:cstheme="minorHAnsi"/>
        </w:rPr>
      </w:pPr>
      <w:r w:rsidRPr="00DF2901">
        <w:rPr>
          <w:rStyle w:val="FootnoteReference"/>
          <w:rFonts w:cstheme="minorHAnsi"/>
        </w:rPr>
        <w:footnoteRef/>
      </w:r>
      <w:r w:rsidRPr="00DF2901">
        <w:rPr>
          <w:rFonts w:cstheme="minorHAnsi"/>
        </w:rPr>
        <w:t xml:space="preserve"> HPC Datapoints, </w:t>
      </w:r>
      <w:r w:rsidRPr="00DF2901">
        <w:rPr>
          <w:rFonts w:cstheme="minorHAnsi"/>
          <w:i/>
          <w:iCs/>
        </w:rPr>
        <w:t>supra</w:t>
      </w:r>
      <w:r w:rsidRPr="00DF2901">
        <w:rPr>
          <w:rFonts w:cstheme="minorHAnsi"/>
        </w:rPr>
        <w:t xml:space="preserve"> note </w:t>
      </w:r>
      <w:r w:rsidR="008E2026">
        <w:rPr>
          <w:rFonts w:cstheme="minorHAnsi"/>
        </w:rPr>
        <w:t>8</w:t>
      </w:r>
      <w:r w:rsidRPr="00DF2901">
        <w:rPr>
          <w:rFonts w:cstheme="minorHAnsi"/>
        </w:rPr>
        <w:t xml:space="preserve">. </w:t>
      </w:r>
    </w:p>
  </w:footnote>
  <w:footnote w:id="42">
    <w:p w14:paraId="18518E42" w14:textId="77777777" w:rsidR="00A34B7E" w:rsidRPr="00DF2901" w:rsidRDefault="00A34B7E" w:rsidP="00A34B7E">
      <w:pPr>
        <w:pStyle w:val="FootnoteText"/>
        <w:rPr>
          <w:rFonts w:cstheme="minorHAnsi"/>
        </w:rPr>
      </w:pPr>
      <w:r w:rsidRPr="00DF2901">
        <w:rPr>
          <w:rStyle w:val="FootnoteReference"/>
          <w:rFonts w:cstheme="minorHAnsi"/>
        </w:rPr>
        <w:footnoteRef/>
      </w:r>
      <w:r w:rsidRPr="00DF2901">
        <w:rPr>
          <w:rFonts w:cstheme="minorHAnsi"/>
        </w:rPr>
        <w:t xml:space="preserve"> </w:t>
      </w:r>
      <w:r w:rsidRPr="00DF2901">
        <w:rPr>
          <w:rFonts w:cstheme="minorHAnsi"/>
          <w:i/>
          <w:iCs/>
        </w:rPr>
        <w:t>Id.</w:t>
      </w:r>
      <w:r w:rsidRPr="00DF2901">
        <w:rPr>
          <w:rFonts w:cstheme="minorHAnsi"/>
        </w:rPr>
        <w:t xml:space="preserve"> </w:t>
      </w:r>
    </w:p>
  </w:footnote>
  <w:footnote w:id="43">
    <w:p w14:paraId="4FACBA3C" w14:textId="77777777" w:rsidR="009F349A" w:rsidRPr="00DF2901" w:rsidRDefault="009F349A" w:rsidP="009F349A">
      <w:pPr>
        <w:textAlignment w:val="baseline"/>
        <w:rPr>
          <w:rFonts w:eastAsia="Arial"/>
          <w:sz w:val="20"/>
          <w:szCs w:val="20"/>
        </w:rPr>
      </w:pPr>
      <w:r w:rsidRPr="00DF2901">
        <w:rPr>
          <w:rStyle w:val="FootnoteReference"/>
          <w:sz w:val="20"/>
          <w:szCs w:val="20"/>
        </w:rPr>
        <w:footnoteRef/>
      </w:r>
      <w:r w:rsidRPr="00DF2901">
        <w:rPr>
          <w:sz w:val="20"/>
          <w:szCs w:val="20"/>
        </w:rPr>
        <w:t xml:space="preserve"> ASCA Medicare Costs Report</w:t>
      </w:r>
      <w:r w:rsidRPr="00DF2901">
        <w:rPr>
          <w:i/>
          <w:iCs/>
          <w:sz w:val="20"/>
          <w:szCs w:val="20"/>
        </w:rPr>
        <w:t xml:space="preserve">, supra </w:t>
      </w:r>
      <w:r w:rsidRPr="00DF2901">
        <w:rPr>
          <w:sz w:val="20"/>
          <w:szCs w:val="20"/>
        </w:rPr>
        <w:t xml:space="preserve">note </w:t>
      </w:r>
      <w:r w:rsidRPr="00DF2901">
        <w:rPr>
          <w:rFonts w:eastAsia="Arial"/>
          <w:color w:val="000000"/>
          <w:sz w:val="20"/>
          <w:szCs w:val="20"/>
        </w:rPr>
        <w:t>42, section on Past Savings (Appendix B – Table 1) (“</w:t>
      </w:r>
      <w:r w:rsidRPr="00DF2901">
        <w:rPr>
          <w:color w:val="333333"/>
          <w:sz w:val="20"/>
          <w:szCs w:val="20"/>
          <w:shd w:val="clear" w:color="auto" w:fill="FFFFFF"/>
        </w:rPr>
        <w:t>During the eight-year period from 2011 to 2018, the total FFS Medicare savings generated by ASCs was $28.7 billion. The savings per year increased from $3.1 billion in 2011 to $4.2 billion in 2018.”</w:t>
      </w:r>
      <w:proofErr w:type="gramStart"/>
      <w:r w:rsidRPr="00DF2901">
        <w:rPr>
          <w:color w:val="333333"/>
          <w:sz w:val="20"/>
          <w:szCs w:val="20"/>
          <w:shd w:val="clear" w:color="auto" w:fill="FFFFFF"/>
        </w:rPr>
        <w:t>)</w:t>
      </w:r>
      <w:r w:rsidRPr="00DF2901">
        <w:rPr>
          <w:i/>
          <w:iCs/>
          <w:sz w:val="20"/>
          <w:szCs w:val="20"/>
        </w:rPr>
        <w:t>;  see</w:t>
      </w:r>
      <w:proofErr w:type="gramEnd"/>
      <w:r w:rsidRPr="00DF2901">
        <w:rPr>
          <w:i/>
          <w:iCs/>
          <w:sz w:val="20"/>
          <w:szCs w:val="20"/>
        </w:rPr>
        <w:t xml:space="preserve"> also,</w:t>
      </w:r>
      <w:r w:rsidRPr="00DF2901">
        <w:rPr>
          <w:sz w:val="20"/>
          <w:szCs w:val="20"/>
        </w:rPr>
        <w:t xml:space="preserve"> </w:t>
      </w:r>
      <w:r w:rsidRPr="00DF2901">
        <w:rPr>
          <w:rFonts w:eastAsia="Arial"/>
          <w:color w:val="000000"/>
          <w:sz w:val="20"/>
          <w:szCs w:val="20"/>
        </w:rPr>
        <w:t xml:space="preserve">ASCA Report, </w:t>
      </w:r>
      <w:r w:rsidRPr="00DF2901">
        <w:rPr>
          <w:rFonts w:eastAsia="Arial"/>
          <w:i/>
          <w:color w:val="000000"/>
          <w:sz w:val="20"/>
          <w:szCs w:val="20"/>
        </w:rPr>
        <w:t xml:space="preserve">supra </w:t>
      </w:r>
      <w:r w:rsidRPr="00DF2901">
        <w:rPr>
          <w:rFonts w:eastAsia="Arial"/>
          <w:color w:val="000000"/>
          <w:sz w:val="20"/>
          <w:szCs w:val="20"/>
        </w:rPr>
        <w:t xml:space="preserve">note 1 (noting average annual increases of $2.6 billion per year prior to 2011); </w:t>
      </w:r>
      <w:r w:rsidRPr="00DF2901">
        <w:rPr>
          <w:rFonts w:eastAsia="Arial"/>
          <w:i/>
          <w:color w:val="000000"/>
          <w:sz w:val="20"/>
          <w:szCs w:val="20"/>
        </w:rPr>
        <w:t xml:space="preserve">The ASC </w:t>
      </w:r>
      <w:r w:rsidRPr="00DF2901">
        <w:rPr>
          <w:rFonts w:eastAsia="Arial"/>
          <w:i/>
          <w:sz w:val="20"/>
          <w:szCs w:val="20"/>
        </w:rPr>
        <w:t xml:space="preserve">Cost Differential, supra </w:t>
      </w:r>
      <w:r w:rsidRPr="00DF2901">
        <w:rPr>
          <w:rFonts w:eastAsia="Arial"/>
          <w:sz w:val="20"/>
          <w:szCs w:val="20"/>
        </w:rPr>
        <w:t>note 39.</w:t>
      </w:r>
    </w:p>
  </w:footnote>
  <w:footnote w:id="44">
    <w:p w14:paraId="307172EE" w14:textId="77777777" w:rsidR="009F349A" w:rsidRPr="00DF2901" w:rsidRDefault="009F349A" w:rsidP="009F349A">
      <w:pPr>
        <w:pStyle w:val="FootnoteText"/>
        <w:rPr>
          <w:rFonts w:eastAsia="Calibri" w:cstheme="minorHAnsi"/>
        </w:rPr>
      </w:pPr>
      <w:r w:rsidRPr="00DF2901">
        <w:rPr>
          <w:rStyle w:val="FootnoteReference"/>
          <w:rFonts w:cstheme="minorHAnsi"/>
        </w:rPr>
        <w:footnoteRef/>
      </w:r>
      <w:r w:rsidRPr="00DF2901">
        <w:rPr>
          <w:rFonts w:cstheme="minorHAnsi"/>
        </w:rPr>
        <w:t xml:space="preserve"> ASCA Medicare Costs Report,</w:t>
      </w:r>
      <w:r w:rsidRPr="00DF2901">
        <w:rPr>
          <w:rFonts w:cstheme="minorHAnsi"/>
          <w:i/>
          <w:iCs/>
        </w:rPr>
        <w:t xml:space="preserve"> supra </w:t>
      </w:r>
      <w:r w:rsidRPr="00DF2901">
        <w:rPr>
          <w:rFonts w:cstheme="minorHAnsi"/>
        </w:rPr>
        <w:t xml:space="preserve">note </w:t>
      </w:r>
      <w:r w:rsidRPr="00DF2901">
        <w:rPr>
          <w:rFonts w:eastAsia="Arial" w:cstheme="minorHAnsi"/>
          <w:color w:val="000000"/>
        </w:rPr>
        <w:t xml:space="preserve">42, section on Future Savings (Appendix B – Table 2). </w:t>
      </w:r>
    </w:p>
  </w:footnote>
  <w:footnote w:id="45">
    <w:p w14:paraId="72A052C7" w14:textId="63D17A89" w:rsidR="001C057A" w:rsidRDefault="001C057A">
      <w:pPr>
        <w:pStyle w:val="FootnoteText"/>
      </w:pPr>
      <w:r>
        <w:rPr>
          <w:rStyle w:val="FootnoteReference"/>
        </w:rPr>
        <w:footnoteRef/>
      </w:r>
      <w:r>
        <w:t xml:space="preserve"> </w:t>
      </w:r>
      <w:r w:rsidRPr="001C057A">
        <w:t>https://www.mass.gov/info-details/health-care-capacity-interactive-dashboard</w:t>
      </w:r>
    </w:p>
  </w:footnote>
  <w:footnote w:id="46">
    <w:p w14:paraId="1B38EA29" w14:textId="797E9A3C" w:rsidR="00CF74BC" w:rsidRPr="00DF2901" w:rsidRDefault="00CF74B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hyperlink r:id="rId27" w:history="1">
        <w:r w:rsidRPr="00B76AEC">
          <w:rPr>
            <w:rStyle w:val="Hyperlink"/>
            <w:rFonts w:cstheme="minorHAnsi"/>
            <w:color w:val="000000" w:themeColor="text1"/>
            <w:sz w:val="20"/>
            <w:szCs w:val="20"/>
            <w:u w:val="none"/>
          </w:rPr>
          <w:t xml:space="preserve">2023 </w:t>
        </w:r>
        <w:r w:rsidRPr="00B76AEC">
          <w:rPr>
            <w:rStyle w:val="Hyperlink"/>
            <w:rFonts w:cstheme="minorHAnsi"/>
            <w:i/>
            <w:color w:val="000000" w:themeColor="text1"/>
            <w:sz w:val="20"/>
            <w:szCs w:val="20"/>
            <w:u w:val="none"/>
          </w:rPr>
          <w:t>Annual Health Care Cost Trends Report and Policy Recommendations</w:t>
        </w:r>
      </w:hyperlink>
      <w:r w:rsidRPr="00B76AEC">
        <w:rPr>
          <w:rFonts w:cstheme="minorHAnsi"/>
          <w:color w:val="000000" w:themeColor="text1"/>
          <w:sz w:val="20"/>
          <w:szCs w:val="20"/>
        </w:rPr>
        <w:t xml:space="preserve"> 2, </w:t>
      </w:r>
      <w:r w:rsidRPr="00DF2901">
        <w:rPr>
          <w:rFonts w:cstheme="minorHAnsi"/>
          <w:sz w:val="20"/>
          <w:szCs w:val="20"/>
        </w:rPr>
        <w:t>HPC (Sep. 2023) (</w:t>
      </w:r>
      <w:hyperlink r:id="rId28" w:history="1">
        <w:r w:rsidRPr="00F738DA">
          <w:rPr>
            <w:rStyle w:val="Hyperlink"/>
            <w:rFonts w:cstheme="minorHAnsi"/>
            <w:color w:val="004E9A"/>
            <w:sz w:val="20"/>
            <w:szCs w:val="20"/>
          </w:rPr>
          <w:t>https://www.mass.gov/doc/2023-health-care-cost-trends-report/download</w:t>
        </w:r>
      </w:hyperlink>
      <w:r w:rsidRPr="00DF2901">
        <w:rPr>
          <w:rFonts w:cstheme="minorHAnsi"/>
          <w:sz w:val="20"/>
          <w:szCs w:val="20"/>
        </w:rPr>
        <w:t>) (“Policymakers should not settle for a false choice between a high-quality health care system and an affordable one”).</w:t>
      </w:r>
    </w:p>
  </w:footnote>
  <w:footnote w:id="47">
    <w:p w14:paraId="717BD8A5" w14:textId="6109FA9A" w:rsidR="00CF74BC" w:rsidRPr="00DF2901" w:rsidRDefault="00CF74B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sz w:val="20"/>
          <w:szCs w:val="20"/>
        </w:rPr>
        <w:t>See</w:t>
      </w:r>
      <w:r w:rsidRPr="00DF2901">
        <w:rPr>
          <w:rFonts w:cstheme="minorHAnsi"/>
          <w:sz w:val="20"/>
          <w:szCs w:val="20"/>
        </w:rPr>
        <w:t xml:space="preserve">, </w:t>
      </w:r>
      <w:hyperlink r:id="rId29" w:history="1">
        <w:r w:rsidRPr="00B76AEC">
          <w:rPr>
            <w:rStyle w:val="Hyperlink"/>
            <w:rFonts w:cstheme="minorHAnsi"/>
            <w:i/>
            <w:color w:val="000000" w:themeColor="text1"/>
            <w:sz w:val="20"/>
            <w:szCs w:val="20"/>
            <w:u w:val="none"/>
          </w:rPr>
          <w:t>Medicare CY 2018 Outpatient Prospective Payment System (OPPS) Final Rule Claims</w:t>
        </w:r>
        <w:r w:rsidRPr="00B76AEC">
          <w:rPr>
            <w:rStyle w:val="Hyperlink"/>
            <w:rFonts w:cstheme="minorHAnsi"/>
            <w:color w:val="000000" w:themeColor="text1"/>
            <w:sz w:val="20"/>
            <w:szCs w:val="20"/>
            <w:u w:val="none"/>
          </w:rPr>
          <w:t xml:space="preserve"> </w:t>
        </w:r>
        <w:r w:rsidRPr="00B76AEC">
          <w:rPr>
            <w:rStyle w:val="Hyperlink"/>
            <w:rFonts w:cstheme="minorHAnsi"/>
            <w:i/>
            <w:color w:val="000000" w:themeColor="text1"/>
            <w:sz w:val="20"/>
            <w:szCs w:val="20"/>
            <w:u w:val="none"/>
          </w:rPr>
          <w:t>Accounting</w:t>
        </w:r>
      </w:hyperlink>
      <w:r w:rsidRPr="00B76AEC">
        <w:rPr>
          <w:rFonts w:cstheme="minorHAnsi"/>
          <w:color w:val="000000" w:themeColor="text1"/>
          <w:sz w:val="20"/>
          <w:szCs w:val="20"/>
        </w:rPr>
        <w:t xml:space="preserve">, CMS </w:t>
      </w:r>
      <w:r w:rsidRPr="00DF2901">
        <w:rPr>
          <w:rFonts w:cstheme="minorHAnsi"/>
          <w:sz w:val="20"/>
          <w:szCs w:val="20"/>
        </w:rPr>
        <w:t>(2017) (</w:t>
      </w:r>
      <w:hyperlink r:id="rId30" w:history="1">
        <w:r w:rsidRPr="00F738DA">
          <w:rPr>
            <w:rStyle w:val="Hyperlink"/>
            <w:rFonts w:cstheme="minorHAnsi"/>
            <w:color w:val="004E9A"/>
            <w:sz w:val="20"/>
            <w:szCs w:val="20"/>
          </w:rPr>
          <w:t>https://www.cms.gov/Medicare/Medicare-Fee-for-Service-Payment/HospitalOutpatientPPS/Downloads/CMS-1678-FC-2018-OPPS-FR-Claims-Accounting.pdf</w:t>
        </w:r>
      </w:hyperlink>
      <w:r w:rsidRPr="00DF2901">
        <w:rPr>
          <w:rFonts w:cstheme="minorHAnsi"/>
          <w:sz w:val="20"/>
          <w:szCs w:val="20"/>
        </w:rPr>
        <w:t xml:space="preserve">). </w:t>
      </w:r>
    </w:p>
  </w:footnote>
  <w:footnote w:id="48">
    <w:p w14:paraId="37332329" w14:textId="77777777" w:rsidR="00CF74BC" w:rsidRPr="00DF2901" w:rsidRDefault="00CF74BC" w:rsidP="00DF2901">
      <w:pPr>
        <w:pStyle w:val="BodyText"/>
        <w:spacing w:after="0" w:line="240" w:lineRule="auto"/>
        <w:rPr>
          <w:rFonts w:cstheme="minorHAnsi"/>
          <w:i/>
          <w:iCs/>
          <w:sz w:val="20"/>
          <w:szCs w:val="20"/>
        </w:rPr>
      </w:pPr>
      <w:r w:rsidRPr="00DF2901">
        <w:rPr>
          <w:rStyle w:val="FootnoteReference"/>
          <w:rFonts w:cstheme="minorHAnsi"/>
          <w:sz w:val="20"/>
          <w:szCs w:val="20"/>
        </w:rPr>
        <w:footnoteRef/>
      </w:r>
      <w:r w:rsidRPr="00DF2901">
        <w:rPr>
          <w:rFonts w:cstheme="minorHAnsi"/>
          <w:sz w:val="20"/>
          <w:szCs w:val="20"/>
        </w:rPr>
        <w:t xml:space="preserve"> </w:t>
      </w:r>
      <w:r w:rsidRPr="00DF2901">
        <w:rPr>
          <w:rFonts w:cstheme="minorHAnsi"/>
          <w:i/>
          <w:iCs/>
          <w:sz w:val="20"/>
          <w:szCs w:val="20"/>
        </w:rPr>
        <w:t>Id.</w:t>
      </w:r>
    </w:p>
  </w:footnote>
  <w:footnote w:id="49">
    <w:p w14:paraId="3FD8A10E" w14:textId="3BE1EB11" w:rsidR="00CF74BC" w:rsidRPr="00DF2901" w:rsidRDefault="00CF74BC" w:rsidP="00DF2901">
      <w:pPr>
        <w:pStyle w:val="BodyText"/>
        <w:spacing w:after="0" w:line="240" w:lineRule="auto"/>
        <w:rPr>
          <w:rFonts w:cstheme="minorHAnsi"/>
          <w:sz w:val="20"/>
          <w:szCs w:val="20"/>
        </w:rPr>
      </w:pPr>
      <w:r w:rsidRPr="00DF2901">
        <w:rPr>
          <w:rStyle w:val="FootnoteReference"/>
          <w:rFonts w:cstheme="minorHAnsi"/>
          <w:sz w:val="20"/>
          <w:szCs w:val="20"/>
        </w:rPr>
        <w:footnoteRef/>
      </w:r>
      <w:r w:rsidRPr="00DF2901">
        <w:rPr>
          <w:rFonts w:cstheme="minorHAnsi"/>
          <w:sz w:val="20"/>
          <w:szCs w:val="20"/>
        </w:rPr>
        <w:t xml:space="preserve"> </w:t>
      </w:r>
      <w:hyperlink r:id="rId31" w:history="1">
        <w:r w:rsidRPr="00510BD3">
          <w:rPr>
            <w:rStyle w:val="Hyperlink"/>
            <w:rFonts w:cstheme="minorHAnsi"/>
            <w:color w:val="000000" w:themeColor="text1"/>
            <w:sz w:val="20"/>
            <w:szCs w:val="20"/>
            <w:u w:val="none"/>
          </w:rPr>
          <w:t>HPC Board Meeting</w:t>
        </w:r>
      </w:hyperlink>
      <w:r w:rsidRPr="00510BD3">
        <w:rPr>
          <w:rFonts w:cstheme="minorHAnsi"/>
          <w:color w:val="000000" w:themeColor="text1"/>
          <w:sz w:val="20"/>
          <w:szCs w:val="20"/>
        </w:rPr>
        <w:t xml:space="preserve"> </w:t>
      </w:r>
      <w:r w:rsidRPr="00DF2901">
        <w:rPr>
          <w:rFonts w:cstheme="minorHAnsi"/>
          <w:sz w:val="20"/>
          <w:szCs w:val="20"/>
        </w:rPr>
        <w:t>27, HPC (June 08, 2022) (</w:t>
      </w:r>
      <w:hyperlink r:id="rId32" w:history="1">
        <w:r w:rsidRPr="00F738DA">
          <w:rPr>
            <w:rStyle w:val="Hyperlink"/>
            <w:rFonts w:cstheme="minorHAnsi"/>
            <w:color w:val="004E9A"/>
            <w:sz w:val="20"/>
            <w:szCs w:val="20"/>
          </w:rPr>
          <w:t>https://www.mass.gov/doc/presentation-board-meeting-june-8-2022/download</w:t>
        </w:r>
      </w:hyperlink>
      <w:r w:rsidRPr="00DF2901">
        <w:rPr>
          <w:rFonts w:cstheme="minorHAnsi"/>
          <w:sz w:val="20"/>
          <w:szCs w:val="20"/>
        </w:rPr>
        <w:t xml:space="preserve">). </w:t>
      </w:r>
    </w:p>
    <w:p w14:paraId="74A762A9" w14:textId="77777777" w:rsidR="00CF74BC" w:rsidRPr="004D27C2" w:rsidRDefault="00CF74BC" w:rsidP="004D27C2">
      <w:pPr>
        <w:pStyle w:val="BodyText"/>
        <w:spacing w:after="0"/>
        <w:rPr>
          <w:rFonts w:cstheme="minorHAnsi"/>
          <w:sz w:val="20"/>
          <w:szCs w:val="20"/>
        </w:rPr>
      </w:pPr>
    </w:p>
  </w:footnote>
  <w:footnote w:id="50">
    <w:p w14:paraId="47F316C9" w14:textId="451DF5C0" w:rsidR="004043AC" w:rsidRDefault="004043AC">
      <w:pPr>
        <w:pStyle w:val="FootnoteText"/>
      </w:pPr>
      <w:r>
        <w:rPr>
          <w:rStyle w:val="FootnoteReference"/>
        </w:rPr>
        <w:footnoteRef/>
      </w:r>
      <w:r>
        <w:t xml:space="preserve"> </w:t>
      </w:r>
      <w:r w:rsidRPr="004043AC">
        <w:rPr>
          <w:i/>
          <w:iCs/>
        </w:rPr>
        <w:t>Supra Note</w:t>
      </w:r>
      <w:r>
        <w:rPr>
          <w:i/>
          <w:iCs/>
        </w:rPr>
        <w:t xml:space="preserve"> </w:t>
      </w:r>
      <w:r w:rsidRPr="004043AC">
        <w:rPr>
          <w:i/>
          <w:iCs/>
        </w:rPr>
        <w:t>8</w:t>
      </w:r>
    </w:p>
  </w:footnote>
  <w:footnote w:id="51">
    <w:p w14:paraId="4F66116A" w14:textId="4248D453" w:rsidR="00FF07CC" w:rsidRPr="005B6C0D" w:rsidRDefault="00FF07CC" w:rsidP="00FF07CC">
      <w:pPr>
        <w:pStyle w:val="BodyText"/>
        <w:spacing w:after="0" w:line="240" w:lineRule="auto"/>
        <w:rPr>
          <w:rFonts w:ascii="Book Antiqua" w:hAnsi="Book Antiqua" w:cs="Book Antiqua"/>
          <w:sz w:val="20"/>
          <w:szCs w:val="20"/>
        </w:rPr>
      </w:pPr>
      <w:r>
        <w:rPr>
          <w:rStyle w:val="FootnoteReference"/>
        </w:rPr>
        <w:footnoteRef/>
      </w:r>
      <w:r>
        <w:t xml:space="preserve">  </w:t>
      </w:r>
      <w:hyperlink r:id="rId33" w:history="1">
        <w:r w:rsidRPr="00510BD3">
          <w:rPr>
            <w:rStyle w:val="Hyperlink"/>
            <w:i/>
            <w:color w:val="000000" w:themeColor="text1"/>
            <w:sz w:val="20"/>
            <w:szCs w:val="20"/>
            <w:u w:val="none"/>
          </w:rPr>
          <w:t>2021 Annual Health Care Cost Trends Report Chartpack</w:t>
        </w:r>
      </w:hyperlink>
      <w:r w:rsidRPr="00510BD3">
        <w:rPr>
          <w:color w:val="000000" w:themeColor="text1"/>
          <w:sz w:val="20"/>
          <w:szCs w:val="20"/>
        </w:rPr>
        <w:t xml:space="preserve"> 59</w:t>
      </w:r>
      <w:r w:rsidRPr="005B6C0D">
        <w:rPr>
          <w:sz w:val="20"/>
          <w:szCs w:val="20"/>
        </w:rPr>
        <w:t xml:space="preserve">, </w:t>
      </w:r>
      <w:r w:rsidRPr="005B6C0D">
        <w:rPr>
          <w:smallCaps/>
          <w:sz w:val="20"/>
          <w:szCs w:val="20"/>
        </w:rPr>
        <w:t>HPC</w:t>
      </w:r>
      <w:r w:rsidRPr="005B6C0D">
        <w:rPr>
          <w:sz w:val="20"/>
          <w:szCs w:val="20"/>
        </w:rPr>
        <w:t xml:space="preserve"> (Sep. 2021) (</w:t>
      </w:r>
      <w:hyperlink r:id="rId34" w:history="1">
        <w:r w:rsidRPr="00F738DA">
          <w:rPr>
            <w:rStyle w:val="Hyperlink"/>
            <w:rFonts w:cs="Calibri"/>
            <w:color w:val="004E9A"/>
            <w:sz w:val="20"/>
            <w:szCs w:val="20"/>
          </w:rPr>
          <w:t>https://www.mass.gov/doc/2021-cost-trends-report-chartpack/download</w:t>
        </w:r>
      </w:hyperlink>
      <w:r w:rsidRPr="005B6C0D">
        <w:rPr>
          <w:sz w:val="20"/>
          <w:szCs w:val="20"/>
        </w:rPr>
        <w:t xml:space="preserve">); </w:t>
      </w:r>
      <w:r w:rsidRPr="005B6C0D">
        <w:rPr>
          <w:rStyle w:val="FootnoteReference"/>
          <w:rFonts w:cs="Calibri"/>
          <w:i/>
          <w:sz w:val="20"/>
          <w:szCs w:val="20"/>
        </w:rPr>
        <w:footnoteRef/>
      </w:r>
      <w:r w:rsidRPr="005B6C0D">
        <w:rPr>
          <w:i/>
          <w:sz w:val="20"/>
          <w:szCs w:val="20"/>
        </w:rPr>
        <w:t xml:space="preserve"> </w:t>
      </w:r>
      <w:hyperlink r:id="rId35" w:history="1">
        <w:r w:rsidRPr="00587C42">
          <w:rPr>
            <w:rStyle w:val="Hyperlink"/>
            <w:i/>
            <w:color w:val="000000" w:themeColor="text1"/>
            <w:sz w:val="20"/>
            <w:szCs w:val="20"/>
            <w:u w:val="none"/>
          </w:rPr>
          <w:t>2022 Health Care Cost Trends Report and Policy Recommendations</w:t>
        </w:r>
      </w:hyperlink>
      <w:r w:rsidRPr="00587C42">
        <w:rPr>
          <w:color w:val="000000" w:themeColor="text1"/>
          <w:sz w:val="20"/>
          <w:szCs w:val="20"/>
        </w:rPr>
        <w:t xml:space="preserve"> </w:t>
      </w:r>
      <w:r w:rsidRPr="005B6C0D">
        <w:rPr>
          <w:sz w:val="20"/>
          <w:szCs w:val="20"/>
        </w:rPr>
        <w:t>69, HPC (Sep. 2022) (</w:t>
      </w:r>
      <w:hyperlink r:id="rId36" w:history="1">
        <w:r w:rsidRPr="00F738DA">
          <w:rPr>
            <w:rStyle w:val="Hyperlink"/>
            <w:rFonts w:cs="Calibri"/>
            <w:color w:val="004E9A"/>
            <w:sz w:val="20"/>
            <w:szCs w:val="20"/>
          </w:rPr>
          <w:t>https://www.mass.gov/doc/2022-cost-trends-report-chartpack/download</w:t>
        </w:r>
      </w:hyperlink>
      <w:r w:rsidRPr="005B6C0D">
        <w:rPr>
          <w:sz w:val="20"/>
          <w:szCs w:val="20"/>
        </w:rPr>
        <w:t>).</w:t>
      </w:r>
    </w:p>
  </w:footnote>
  <w:footnote w:id="52">
    <w:p w14:paraId="066392CF" w14:textId="0062C850" w:rsidR="00FA75CF" w:rsidRPr="002C4793" w:rsidRDefault="00FA75CF" w:rsidP="00FA75CF">
      <w:pPr>
        <w:pStyle w:val="FootnoteText"/>
        <w:rPr>
          <w:rFonts w:eastAsia="Times New Roman" w:cstheme="minorHAnsi"/>
        </w:rPr>
      </w:pPr>
      <w:r w:rsidRPr="004D27C2">
        <w:rPr>
          <w:rStyle w:val="FootnoteReference"/>
          <w:rFonts w:cstheme="minorHAnsi"/>
        </w:rPr>
        <w:footnoteRef/>
      </w:r>
      <w:r w:rsidRPr="004D27C2">
        <w:rPr>
          <w:rFonts w:cstheme="minorHAnsi"/>
        </w:rPr>
        <w:t xml:space="preserve"> </w:t>
      </w:r>
      <w:r w:rsidRPr="004D27C2">
        <w:rPr>
          <w:rFonts w:eastAsia="Times New Roman" w:cstheme="minorHAnsi"/>
        </w:rPr>
        <w:t xml:space="preserve">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w:t>
      </w:r>
    </w:p>
  </w:footnote>
  <w:footnote w:id="53">
    <w:p w14:paraId="02C66DA3" w14:textId="3CCB30AE" w:rsidR="00AE51D3" w:rsidRPr="00AE51D3" w:rsidRDefault="00AE51D3" w:rsidP="00AE51D3">
      <w:pPr>
        <w:pStyle w:val="FootnoteText"/>
      </w:pPr>
      <w:r>
        <w:rPr>
          <w:rStyle w:val="FootnoteReference"/>
        </w:rPr>
        <w:footnoteRef/>
      </w:r>
      <w:r>
        <w:t xml:space="preserve"> </w:t>
      </w:r>
      <w:r w:rsidRPr="00AE51D3">
        <w:t>The ASC bills the third-party payors for facility services, which includes costs associated with the operations of the ASC including, but not limited to, nursing, recovery care, drugs, staffing, equipment, and overhead. Surgeons and anesthesiologists, who perform procedures at the ASC, bill separately for their professional services under the physician fee schedule.</w:t>
      </w:r>
      <w:r w:rsidR="00A5719B">
        <w:t xml:space="preserve"> </w:t>
      </w:r>
      <w:r w:rsidRPr="00AE51D3">
        <w:t>The surgeons are employed by the Applicant, Atrius Health, Inc. who is responsible for the physician expenses.</w:t>
      </w:r>
    </w:p>
    <w:p w14:paraId="4811CEF7" w14:textId="1168AADC" w:rsidR="00AE51D3" w:rsidRDefault="00AE51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951F" w14:textId="65F1F322" w:rsidR="00E92504" w:rsidRDefault="00E92504">
    <w:pPr>
      <w:pStyle w:val="Header"/>
    </w:pPr>
  </w:p>
  <w:p w14:paraId="688BA6DB" w14:textId="77777777" w:rsidR="00E92504" w:rsidRDefault="00E92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C9540" w14:textId="0E093D3D" w:rsidR="00E92504" w:rsidRDefault="00E92504">
    <w:pPr>
      <w:pStyle w:val="Header"/>
    </w:pPr>
  </w:p>
  <w:p w14:paraId="7D3BF8DA" w14:textId="77777777" w:rsidR="00E92504" w:rsidRDefault="00E92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7C0D" w14:textId="63B65BF0" w:rsidR="00E92504" w:rsidRDefault="00E9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1E0F"/>
    <w:multiLevelType w:val="multilevel"/>
    <w:tmpl w:val="DD440DEE"/>
    <w:lvl w:ilvl="0">
      <w:start w:val="1"/>
      <w:numFmt w:val="lowerLetter"/>
      <w:lvlText w:val="%1."/>
      <w:lvlJc w:val="left"/>
      <w:pPr>
        <w:tabs>
          <w:tab w:val="num" w:pos="540"/>
        </w:tabs>
        <w:ind w:left="540" w:hanging="360"/>
      </w:pPr>
    </w:lvl>
    <w:lvl w:ilvl="1" w:tentative="1">
      <w:start w:val="1"/>
      <w:numFmt w:val="lowerLetter"/>
      <w:lvlText w:val="%2."/>
      <w:lvlJc w:val="left"/>
      <w:pPr>
        <w:tabs>
          <w:tab w:val="num" w:pos="1260"/>
        </w:tabs>
        <w:ind w:left="1260" w:hanging="360"/>
      </w:pPr>
    </w:lvl>
    <w:lvl w:ilvl="2" w:tentative="1">
      <w:start w:val="1"/>
      <w:numFmt w:val="lowerLetter"/>
      <w:lvlText w:val="%3."/>
      <w:lvlJc w:val="left"/>
      <w:pPr>
        <w:tabs>
          <w:tab w:val="num" w:pos="1980"/>
        </w:tabs>
        <w:ind w:left="1980" w:hanging="360"/>
      </w:pPr>
    </w:lvl>
    <w:lvl w:ilvl="3" w:tentative="1">
      <w:start w:val="1"/>
      <w:numFmt w:val="lowerLetter"/>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Letter"/>
      <w:lvlText w:val="%6."/>
      <w:lvlJc w:val="left"/>
      <w:pPr>
        <w:tabs>
          <w:tab w:val="num" w:pos="4140"/>
        </w:tabs>
        <w:ind w:left="4140" w:hanging="360"/>
      </w:pPr>
    </w:lvl>
    <w:lvl w:ilvl="6" w:tentative="1">
      <w:start w:val="1"/>
      <w:numFmt w:val="lowerLetter"/>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Letter"/>
      <w:lvlText w:val="%9."/>
      <w:lvlJc w:val="left"/>
      <w:pPr>
        <w:tabs>
          <w:tab w:val="num" w:pos="6300"/>
        </w:tabs>
        <w:ind w:left="6300" w:hanging="360"/>
      </w:pPr>
    </w:lvl>
  </w:abstractNum>
  <w:abstractNum w:abstractNumId="1" w15:restartNumberingAfterBreak="0">
    <w:nsid w:val="09AF33F2"/>
    <w:multiLevelType w:val="multilevel"/>
    <w:tmpl w:val="30407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036DC"/>
    <w:multiLevelType w:val="hybridMultilevel"/>
    <w:tmpl w:val="C284BEE4"/>
    <w:lvl w:ilvl="0" w:tplc="EF0E86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0568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5"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63891F" w:themeColor="accent5"/>
        <w:sz w:val="20"/>
        <w:szCs w:val="20"/>
      </w:rPr>
    </w:lvl>
    <w:lvl w:ilvl="1">
      <w:start w:val="1"/>
      <w:numFmt w:val="lowerLetter"/>
      <w:pStyle w:val="VlnList2"/>
      <w:lvlText w:val="%2."/>
      <w:lvlJc w:val="left"/>
      <w:pPr>
        <w:ind w:left="1080" w:hanging="360"/>
      </w:pPr>
      <w:rPr>
        <w:rFonts w:hint="default"/>
        <w:color w:val="63891F" w:themeColor="accent5"/>
      </w:rPr>
    </w:lvl>
    <w:lvl w:ilvl="2">
      <w:start w:val="1"/>
      <w:numFmt w:val="lowerRoman"/>
      <w:pStyle w:val="VlnList3"/>
      <w:lvlText w:val="%3."/>
      <w:lvlJc w:val="left"/>
      <w:pPr>
        <w:ind w:left="1440" w:hanging="360"/>
      </w:pPr>
      <w:rPr>
        <w:rFonts w:hint="default"/>
        <w:color w:val="63891F" w:themeColor="accent5"/>
      </w:rPr>
    </w:lvl>
    <w:lvl w:ilvl="3">
      <w:start w:val="1"/>
      <w:numFmt w:val="decimal"/>
      <w:pStyle w:val="VlnList4"/>
      <w:lvlText w:val="%4)"/>
      <w:lvlJc w:val="left"/>
      <w:pPr>
        <w:tabs>
          <w:tab w:val="num" w:pos="2160"/>
        </w:tabs>
        <w:ind w:left="1800" w:hanging="360"/>
      </w:pPr>
      <w:rPr>
        <w:rFonts w:hint="default"/>
        <w:color w:val="63891F" w:themeColor="accent5"/>
      </w:rPr>
    </w:lvl>
    <w:lvl w:ilvl="4">
      <w:start w:val="1"/>
      <w:numFmt w:val="lowerLetter"/>
      <w:pStyle w:val="VlnList5"/>
      <w:lvlText w:val="%5)"/>
      <w:lvlJc w:val="left"/>
      <w:pPr>
        <w:tabs>
          <w:tab w:val="num" w:pos="2160"/>
        </w:tabs>
        <w:ind w:left="2160" w:hanging="360"/>
      </w:pPr>
      <w:rPr>
        <w:rFonts w:hint="default"/>
        <w:color w:val="63891F"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6" w15:restartNumberingAfterBreak="0">
    <w:nsid w:val="18C32F46"/>
    <w:multiLevelType w:val="hybridMultilevel"/>
    <w:tmpl w:val="D176220E"/>
    <w:lvl w:ilvl="0" w:tplc="0409000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6935D2"/>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E5C617E"/>
    <w:multiLevelType w:val="hybridMultilevel"/>
    <w:tmpl w:val="95A68750"/>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84DF4"/>
    <w:multiLevelType w:val="multilevel"/>
    <w:tmpl w:val="A7EC7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86430"/>
    <w:multiLevelType w:val="hybridMultilevel"/>
    <w:tmpl w:val="0352AC14"/>
    <w:lvl w:ilvl="0" w:tplc="BE28B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0275D"/>
    <w:multiLevelType w:val="hybridMultilevel"/>
    <w:tmpl w:val="CF2EC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EE004B"/>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58608F"/>
    <w:multiLevelType w:val="hybridMultilevel"/>
    <w:tmpl w:val="92680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56432D"/>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B4F12"/>
    <w:multiLevelType w:val="hybridMultilevel"/>
    <w:tmpl w:val="799E0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195D2F"/>
    <w:multiLevelType w:val="hybridMultilevel"/>
    <w:tmpl w:val="4B9CF270"/>
    <w:lvl w:ilvl="0" w:tplc="13A860F8">
      <w:start w:val="3"/>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FC46D8"/>
    <w:multiLevelType w:val="multilevel"/>
    <w:tmpl w:val="44F031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1E9128C"/>
    <w:multiLevelType w:val="hybridMultilevel"/>
    <w:tmpl w:val="8EC23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151F49"/>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B73CB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2" w15:restartNumberingAfterBreak="0">
    <w:nsid w:val="6E934C69"/>
    <w:multiLevelType w:val="multilevel"/>
    <w:tmpl w:val="06D4416A"/>
    <w:styleLink w:val="VlnBullets"/>
    <w:lvl w:ilvl="0">
      <w:start w:val="1"/>
      <w:numFmt w:val="bullet"/>
      <w:pStyle w:val="VlnBullet1"/>
      <w:lvlText w:val=""/>
      <w:lvlJc w:val="left"/>
      <w:pPr>
        <w:ind w:left="360" w:hanging="360"/>
      </w:pPr>
      <w:rPr>
        <w:rFonts w:ascii="Symbol" w:hAnsi="Symbol" w:hint="default"/>
        <w:color w:val="2DCCD3"/>
        <w:sz w:val="31"/>
      </w:rPr>
    </w:lvl>
    <w:lvl w:ilvl="1">
      <w:start w:val="1"/>
      <w:numFmt w:val="bullet"/>
      <w:pStyle w:val="VlnBullet2"/>
      <w:lvlText w:val="○"/>
      <w:lvlJc w:val="left"/>
      <w:pPr>
        <w:ind w:left="720" w:hanging="360"/>
      </w:pPr>
      <w:rPr>
        <w:rFonts w:ascii="Times New Roman" w:hAnsi="Times New Roman" w:cs="Times New Roman" w:hint="default"/>
        <w:color w:val="2DCCD3"/>
        <w:sz w:val="26"/>
      </w:rPr>
    </w:lvl>
    <w:lvl w:ilvl="2">
      <w:start w:val="1"/>
      <w:numFmt w:val="bullet"/>
      <w:pStyle w:val="VlnBullet3"/>
      <w:lvlText w:val="-"/>
      <w:lvlJc w:val="left"/>
      <w:pPr>
        <w:ind w:left="1080" w:hanging="360"/>
      </w:pPr>
      <w:rPr>
        <w:rFonts w:ascii="Courier New" w:hAnsi="Courier New" w:hint="default"/>
        <w:color w:val="2DCCD3"/>
        <w:sz w:val="26"/>
      </w:rPr>
    </w:lvl>
    <w:lvl w:ilvl="3">
      <w:start w:val="1"/>
      <w:numFmt w:val="bullet"/>
      <w:pStyle w:val="VlnBullet4"/>
      <w:lvlText w:val=""/>
      <w:lvlJc w:val="left"/>
      <w:pPr>
        <w:ind w:left="1440" w:hanging="360"/>
      </w:pPr>
      <w:rPr>
        <w:rFonts w:ascii="Symbol" w:hAnsi="Symbol" w:hint="default"/>
        <w:color w:val="2DCCD3"/>
        <w:sz w:val="24"/>
      </w:rPr>
    </w:lvl>
    <w:lvl w:ilvl="4">
      <w:start w:val="1"/>
      <w:numFmt w:val="bullet"/>
      <w:pStyle w:val="VlnBullet5"/>
      <w:lvlText w:val="○"/>
      <w:lvlJc w:val="left"/>
      <w:pPr>
        <w:ind w:left="1800" w:hanging="360"/>
      </w:pPr>
      <w:rPr>
        <w:rFonts w:ascii="Times New Roman" w:hAnsi="Times New Roman" w:cs="Times New Roman" w:hint="default"/>
        <w:color w:val="2DCCD3"/>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176D4F"/>
    <w:multiLevelType w:val="multilevel"/>
    <w:tmpl w:val="715A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219BF"/>
    <w:multiLevelType w:val="hybridMultilevel"/>
    <w:tmpl w:val="69BCDC44"/>
    <w:lvl w:ilvl="0" w:tplc="48904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2724B"/>
    <w:multiLevelType w:val="hybridMultilevel"/>
    <w:tmpl w:val="F70AF4B0"/>
    <w:lvl w:ilvl="0" w:tplc="13A860F8">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13FFB"/>
    <w:multiLevelType w:val="multilevel"/>
    <w:tmpl w:val="683AD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842630">
    <w:abstractNumId w:val="21"/>
  </w:num>
  <w:num w:numId="2" w16cid:durableId="341590028">
    <w:abstractNumId w:val="4"/>
  </w:num>
  <w:num w:numId="3" w16cid:durableId="55247014">
    <w:abstractNumId w:val="8"/>
  </w:num>
  <w:num w:numId="4" w16cid:durableId="522137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5037">
    <w:abstractNumId w:val="6"/>
  </w:num>
  <w:num w:numId="6" w16cid:durableId="254411071">
    <w:abstractNumId w:val="10"/>
  </w:num>
  <w:num w:numId="7" w16cid:durableId="1597707134">
    <w:abstractNumId w:val="20"/>
  </w:num>
  <w:num w:numId="8" w16cid:durableId="556940076">
    <w:abstractNumId w:val="3"/>
  </w:num>
  <w:num w:numId="9" w16cid:durableId="1913276925">
    <w:abstractNumId w:val="14"/>
  </w:num>
  <w:num w:numId="10" w16cid:durableId="1335762990">
    <w:abstractNumId w:val="19"/>
  </w:num>
  <w:num w:numId="11" w16cid:durableId="414939030">
    <w:abstractNumId w:val="2"/>
  </w:num>
  <w:num w:numId="12" w16cid:durableId="1182089457">
    <w:abstractNumId w:val="5"/>
  </w:num>
  <w:num w:numId="13" w16cid:durableId="1142424080">
    <w:abstractNumId w:val="22"/>
  </w:num>
  <w:num w:numId="14" w16cid:durableId="3445517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466159">
    <w:abstractNumId w:val="11"/>
  </w:num>
  <w:num w:numId="16" w16cid:durableId="1401636332">
    <w:abstractNumId w:val="13"/>
  </w:num>
  <w:num w:numId="17" w16cid:durableId="68158119">
    <w:abstractNumId w:val="7"/>
  </w:num>
  <w:num w:numId="18" w16cid:durableId="2096048877">
    <w:abstractNumId w:val="12"/>
  </w:num>
  <w:num w:numId="19" w16cid:durableId="1292713629">
    <w:abstractNumId w:val="16"/>
  </w:num>
  <w:num w:numId="20" w16cid:durableId="1341926525">
    <w:abstractNumId w:val="26"/>
  </w:num>
  <w:num w:numId="21" w16cid:durableId="1173959286">
    <w:abstractNumId w:val="23"/>
  </w:num>
  <w:num w:numId="22" w16cid:durableId="1116289371">
    <w:abstractNumId w:val="1"/>
  </w:num>
  <w:num w:numId="23" w16cid:durableId="1684430542">
    <w:abstractNumId w:val="0"/>
  </w:num>
  <w:num w:numId="24" w16cid:durableId="471294862">
    <w:abstractNumId w:val="17"/>
  </w:num>
  <w:num w:numId="25" w16cid:durableId="870842871">
    <w:abstractNumId w:val="27"/>
  </w:num>
  <w:num w:numId="26" w16cid:durableId="1606957149">
    <w:abstractNumId w:val="9"/>
  </w:num>
  <w:num w:numId="27" w16cid:durableId="908684904">
    <w:abstractNumId w:val="18"/>
  </w:num>
  <w:num w:numId="28" w16cid:durableId="1416826502">
    <w:abstractNumId w:val="15"/>
  </w:num>
  <w:num w:numId="29" w16cid:durableId="1170097387">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AF4"/>
    <w:rsid w:val="00000F02"/>
    <w:rsid w:val="00000FDF"/>
    <w:rsid w:val="000014D8"/>
    <w:rsid w:val="000015D7"/>
    <w:rsid w:val="0000165F"/>
    <w:rsid w:val="00001880"/>
    <w:rsid w:val="00001B46"/>
    <w:rsid w:val="00001D68"/>
    <w:rsid w:val="00001E0F"/>
    <w:rsid w:val="000023B5"/>
    <w:rsid w:val="00002A76"/>
    <w:rsid w:val="00002ADE"/>
    <w:rsid w:val="0000364F"/>
    <w:rsid w:val="00003AE8"/>
    <w:rsid w:val="000042A2"/>
    <w:rsid w:val="0000516F"/>
    <w:rsid w:val="00005226"/>
    <w:rsid w:val="000053FA"/>
    <w:rsid w:val="00005421"/>
    <w:rsid w:val="00005945"/>
    <w:rsid w:val="00005B19"/>
    <w:rsid w:val="00005DD1"/>
    <w:rsid w:val="00006043"/>
    <w:rsid w:val="000063F2"/>
    <w:rsid w:val="00006964"/>
    <w:rsid w:val="00006B6F"/>
    <w:rsid w:val="00006E18"/>
    <w:rsid w:val="00006FCD"/>
    <w:rsid w:val="000073EC"/>
    <w:rsid w:val="0000747D"/>
    <w:rsid w:val="00007818"/>
    <w:rsid w:val="0000789D"/>
    <w:rsid w:val="00010084"/>
    <w:rsid w:val="0001067C"/>
    <w:rsid w:val="00010956"/>
    <w:rsid w:val="000111B6"/>
    <w:rsid w:val="00011399"/>
    <w:rsid w:val="0001145D"/>
    <w:rsid w:val="000114A8"/>
    <w:rsid w:val="000115ED"/>
    <w:rsid w:val="00012017"/>
    <w:rsid w:val="00012039"/>
    <w:rsid w:val="00012184"/>
    <w:rsid w:val="0001225A"/>
    <w:rsid w:val="00012296"/>
    <w:rsid w:val="00012374"/>
    <w:rsid w:val="00012B4E"/>
    <w:rsid w:val="00012B79"/>
    <w:rsid w:val="00012E91"/>
    <w:rsid w:val="00013D82"/>
    <w:rsid w:val="00013EA1"/>
    <w:rsid w:val="00014493"/>
    <w:rsid w:val="000147B7"/>
    <w:rsid w:val="0001499B"/>
    <w:rsid w:val="00014C77"/>
    <w:rsid w:val="0001519C"/>
    <w:rsid w:val="00015479"/>
    <w:rsid w:val="00015541"/>
    <w:rsid w:val="00015733"/>
    <w:rsid w:val="0001582B"/>
    <w:rsid w:val="00015923"/>
    <w:rsid w:val="00015A86"/>
    <w:rsid w:val="0001695B"/>
    <w:rsid w:val="00017A92"/>
    <w:rsid w:val="00017EA4"/>
    <w:rsid w:val="00017EBE"/>
    <w:rsid w:val="00020068"/>
    <w:rsid w:val="00020601"/>
    <w:rsid w:val="00020821"/>
    <w:rsid w:val="00020965"/>
    <w:rsid w:val="00020FD7"/>
    <w:rsid w:val="000211D3"/>
    <w:rsid w:val="0002129E"/>
    <w:rsid w:val="0002143F"/>
    <w:rsid w:val="0002218C"/>
    <w:rsid w:val="00022292"/>
    <w:rsid w:val="00022966"/>
    <w:rsid w:val="00022C7E"/>
    <w:rsid w:val="000238EF"/>
    <w:rsid w:val="000239AD"/>
    <w:rsid w:val="00023A81"/>
    <w:rsid w:val="00023C19"/>
    <w:rsid w:val="00023CFC"/>
    <w:rsid w:val="00023D70"/>
    <w:rsid w:val="00023E8F"/>
    <w:rsid w:val="000242E8"/>
    <w:rsid w:val="00024662"/>
    <w:rsid w:val="000252D1"/>
    <w:rsid w:val="00025748"/>
    <w:rsid w:val="00025C87"/>
    <w:rsid w:val="000262A9"/>
    <w:rsid w:val="0002723A"/>
    <w:rsid w:val="00027413"/>
    <w:rsid w:val="00027565"/>
    <w:rsid w:val="00027B44"/>
    <w:rsid w:val="00027B8C"/>
    <w:rsid w:val="00027BB8"/>
    <w:rsid w:val="00027C0E"/>
    <w:rsid w:val="00027DD7"/>
    <w:rsid w:val="00030D16"/>
    <w:rsid w:val="00030D19"/>
    <w:rsid w:val="000319DE"/>
    <w:rsid w:val="00031B05"/>
    <w:rsid w:val="00031DD4"/>
    <w:rsid w:val="0003203D"/>
    <w:rsid w:val="000323B4"/>
    <w:rsid w:val="000325AF"/>
    <w:rsid w:val="0003285D"/>
    <w:rsid w:val="00032F3A"/>
    <w:rsid w:val="000332B4"/>
    <w:rsid w:val="0003337F"/>
    <w:rsid w:val="000336D9"/>
    <w:rsid w:val="000338CF"/>
    <w:rsid w:val="00033973"/>
    <w:rsid w:val="00034075"/>
    <w:rsid w:val="00034426"/>
    <w:rsid w:val="00034614"/>
    <w:rsid w:val="0003479D"/>
    <w:rsid w:val="00034C41"/>
    <w:rsid w:val="00034EA3"/>
    <w:rsid w:val="0003540A"/>
    <w:rsid w:val="00035726"/>
    <w:rsid w:val="000357DC"/>
    <w:rsid w:val="00035882"/>
    <w:rsid w:val="00035D6A"/>
    <w:rsid w:val="000361B5"/>
    <w:rsid w:val="000365BB"/>
    <w:rsid w:val="00036703"/>
    <w:rsid w:val="0003678F"/>
    <w:rsid w:val="00037077"/>
    <w:rsid w:val="00037248"/>
    <w:rsid w:val="00037414"/>
    <w:rsid w:val="0003777C"/>
    <w:rsid w:val="0003779F"/>
    <w:rsid w:val="000378C9"/>
    <w:rsid w:val="000378CE"/>
    <w:rsid w:val="00037AF0"/>
    <w:rsid w:val="00037B9D"/>
    <w:rsid w:val="000400BC"/>
    <w:rsid w:val="0004014A"/>
    <w:rsid w:val="00040884"/>
    <w:rsid w:val="00040AD1"/>
    <w:rsid w:val="00040DA6"/>
    <w:rsid w:val="000415F0"/>
    <w:rsid w:val="00041BFC"/>
    <w:rsid w:val="00041F4C"/>
    <w:rsid w:val="00042169"/>
    <w:rsid w:val="000422A3"/>
    <w:rsid w:val="000424D3"/>
    <w:rsid w:val="0004273B"/>
    <w:rsid w:val="000427E0"/>
    <w:rsid w:val="00042D93"/>
    <w:rsid w:val="0004323A"/>
    <w:rsid w:val="00043F4F"/>
    <w:rsid w:val="000443FD"/>
    <w:rsid w:val="00044F19"/>
    <w:rsid w:val="00044FA7"/>
    <w:rsid w:val="00045698"/>
    <w:rsid w:val="00046064"/>
    <w:rsid w:val="00046854"/>
    <w:rsid w:val="00046895"/>
    <w:rsid w:val="000468BC"/>
    <w:rsid w:val="00047574"/>
    <w:rsid w:val="00047905"/>
    <w:rsid w:val="00047AFC"/>
    <w:rsid w:val="0005017D"/>
    <w:rsid w:val="000503A8"/>
    <w:rsid w:val="00050530"/>
    <w:rsid w:val="00050D37"/>
    <w:rsid w:val="0005148D"/>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3DF8"/>
    <w:rsid w:val="00054A7A"/>
    <w:rsid w:val="00054C7D"/>
    <w:rsid w:val="00054CD3"/>
    <w:rsid w:val="00054F01"/>
    <w:rsid w:val="00055F68"/>
    <w:rsid w:val="000560AA"/>
    <w:rsid w:val="00056445"/>
    <w:rsid w:val="000565B9"/>
    <w:rsid w:val="000565D5"/>
    <w:rsid w:val="00056E07"/>
    <w:rsid w:val="000572C6"/>
    <w:rsid w:val="00057B2F"/>
    <w:rsid w:val="00057E53"/>
    <w:rsid w:val="00057E7A"/>
    <w:rsid w:val="00057EB5"/>
    <w:rsid w:val="00060051"/>
    <w:rsid w:val="00060374"/>
    <w:rsid w:val="00060472"/>
    <w:rsid w:val="00060584"/>
    <w:rsid w:val="000607E5"/>
    <w:rsid w:val="00060C17"/>
    <w:rsid w:val="00060D20"/>
    <w:rsid w:val="00060E5A"/>
    <w:rsid w:val="0006171E"/>
    <w:rsid w:val="0006177D"/>
    <w:rsid w:val="00061F0C"/>
    <w:rsid w:val="000635A1"/>
    <w:rsid w:val="00063ADA"/>
    <w:rsid w:val="00063F91"/>
    <w:rsid w:val="00063FB5"/>
    <w:rsid w:val="0006424E"/>
    <w:rsid w:val="000646E0"/>
    <w:rsid w:val="0006487F"/>
    <w:rsid w:val="00064A8A"/>
    <w:rsid w:val="00064AB0"/>
    <w:rsid w:val="00065360"/>
    <w:rsid w:val="00065C3C"/>
    <w:rsid w:val="00065CD6"/>
    <w:rsid w:val="00065E14"/>
    <w:rsid w:val="00066603"/>
    <w:rsid w:val="00067017"/>
    <w:rsid w:val="000672AF"/>
    <w:rsid w:val="0006737F"/>
    <w:rsid w:val="00067789"/>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79E"/>
    <w:rsid w:val="0007293D"/>
    <w:rsid w:val="00072B19"/>
    <w:rsid w:val="00072BEC"/>
    <w:rsid w:val="00073735"/>
    <w:rsid w:val="00073C7A"/>
    <w:rsid w:val="00074313"/>
    <w:rsid w:val="000744F1"/>
    <w:rsid w:val="00074526"/>
    <w:rsid w:val="00074538"/>
    <w:rsid w:val="00074600"/>
    <w:rsid w:val="00074E5D"/>
    <w:rsid w:val="000751CD"/>
    <w:rsid w:val="000752CD"/>
    <w:rsid w:val="00075483"/>
    <w:rsid w:val="0007553D"/>
    <w:rsid w:val="000759EA"/>
    <w:rsid w:val="00075AB0"/>
    <w:rsid w:val="00075D15"/>
    <w:rsid w:val="00076654"/>
    <w:rsid w:val="0007689E"/>
    <w:rsid w:val="00076B1A"/>
    <w:rsid w:val="00076C25"/>
    <w:rsid w:val="00076CF7"/>
    <w:rsid w:val="00076F76"/>
    <w:rsid w:val="000776F9"/>
    <w:rsid w:val="00077700"/>
    <w:rsid w:val="00077A54"/>
    <w:rsid w:val="00077A72"/>
    <w:rsid w:val="00077DB8"/>
    <w:rsid w:val="0008011B"/>
    <w:rsid w:val="00080430"/>
    <w:rsid w:val="00080666"/>
    <w:rsid w:val="00080BE8"/>
    <w:rsid w:val="0008102C"/>
    <w:rsid w:val="000810E3"/>
    <w:rsid w:val="00081C82"/>
    <w:rsid w:val="00082044"/>
    <w:rsid w:val="0008227E"/>
    <w:rsid w:val="00082400"/>
    <w:rsid w:val="00082461"/>
    <w:rsid w:val="00082892"/>
    <w:rsid w:val="00083335"/>
    <w:rsid w:val="0008356D"/>
    <w:rsid w:val="000839C1"/>
    <w:rsid w:val="00083DC3"/>
    <w:rsid w:val="00083FCD"/>
    <w:rsid w:val="000843CF"/>
    <w:rsid w:val="00084415"/>
    <w:rsid w:val="000844CD"/>
    <w:rsid w:val="0008479B"/>
    <w:rsid w:val="00084AE5"/>
    <w:rsid w:val="00085226"/>
    <w:rsid w:val="0008574D"/>
    <w:rsid w:val="0008582A"/>
    <w:rsid w:val="0008586B"/>
    <w:rsid w:val="00085D7B"/>
    <w:rsid w:val="00085D8F"/>
    <w:rsid w:val="00086013"/>
    <w:rsid w:val="00086051"/>
    <w:rsid w:val="00086552"/>
    <w:rsid w:val="00086D9D"/>
    <w:rsid w:val="0008716C"/>
    <w:rsid w:val="0008752D"/>
    <w:rsid w:val="00087634"/>
    <w:rsid w:val="0008768C"/>
    <w:rsid w:val="00087A93"/>
    <w:rsid w:val="00087B5A"/>
    <w:rsid w:val="000900E5"/>
    <w:rsid w:val="00090574"/>
    <w:rsid w:val="000905E0"/>
    <w:rsid w:val="00090688"/>
    <w:rsid w:val="00090989"/>
    <w:rsid w:val="00090E01"/>
    <w:rsid w:val="00090EE1"/>
    <w:rsid w:val="000911E7"/>
    <w:rsid w:val="000913AB"/>
    <w:rsid w:val="0009160E"/>
    <w:rsid w:val="00091793"/>
    <w:rsid w:val="00091CB3"/>
    <w:rsid w:val="000922B4"/>
    <w:rsid w:val="000923B5"/>
    <w:rsid w:val="000923FE"/>
    <w:rsid w:val="00092936"/>
    <w:rsid w:val="00092A70"/>
    <w:rsid w:val="00092E92"/>
    <w:rsid w:val="0009304B"/>
    <w:rsid w:val="000939BD"/>
    <w:rsid w:val="00093CAA"/>
    <w:rsid w:val="00093CF6"/>
    <w:rsid w:val="00093E2B"/>
    <w:rsid w:val="00093E5A"/>
    <w:rsid w:val="00093FC3"/>
    <w:rsid w:val="000942E8"/>
    <w:rsid w:val="0009508F"/>
    <w:rsid w:val="0009553E"/>
    <w:rsid w:val="000955A1"/>
    <w:rsid w:val="000956A9"/>
    <w:rsid w:val="00095AB6"/>
    <w:rsid w:val="00095ADF"/>
    <w:rsid w:val="00095AFF"/>
    <w:rsid w:val="00095E4F"/>
    <w:rsid w:val="0009600B"/>
    <w:rsid w:val="0009626C"/>
    <w:rsid w:val="00096856"/>
    <w:rsid w:val="00096EC2"/>
    <w:rsid w:val="000971C8"/>
    <w:rsid w:val="0009743A"/>
    <w:rsid w:val="00097838"/>
    <w:rsid w:val="00097C23"/>
    <w:rsid w:val="00097DE0"/>
    <w:rsid w:val="00097E6A"/>
    <w:rsid w:val="00097EAE"/>
    <w:rsid w:val="000A05FC"/>
    <w:rsid w:val="000A0C6F"/>
    <w:rsid w:val="000A22A9"/>
    <w:rsid w:val="000A2958"/>
    <w:rsid w:val="000A2C51"/>
    <w:rsid w:val="000A301C"/>
    <w:rsid w:val="000A303B"/>
    <w:rsid w:val="000A3524"/>
    <w:rsid w:val="000A3A57"/>
    <w:rsid w:val="000A40D6"/>
    <w:rsid w:val="000A4173"/>
    <w:rsid w:val="000A43BC"/>
    <w:rsid w:val="000A44CC"/>
    <w:rsid w:val="000A45A0"/>
    <w:rsid w:val="000A45D5"/>
    <w:rsid w:val="000A47FB"/>
    <w:rsid w:val="000A4809"/>
    <w:rsid w:val="000A4B0E"/>
    <w:rsid w:val="000A546C"/>
    <w:rsid w:val="000A549C"/>
    <w:rsid w:val="000A59C8"/>
    <w:rsid w:val="000A5C36"/>
    <w:rsid w:val="000A6309"/>
    <w:rsid w:val="000A6846"/>
    <w:rsid w:val="000A6B95"/>
    <w:rsid w:val="000A6BFD"/>
    <w:rsid w:val="000A70D9"/>
    <w:rsid w:val="000A7478"/>
    <w:rsid w:val="000A74D0"/>
    <w:rsid w:val="000A7AC1"/>
    <w:rsid w:val="000A7B1A"/>
    <w:rsid w:val="000A7E9E"/>
    <w:rsid w:val="000A7FA5"/>
    <w:rsid w:val="000B0CDF"/>
    <w:rsid w:val="000B0D2C"/>
    <w:rsid w:val="000B0E55"/>
    <w:rsid w:val="000B1633"/>
    <w:rsid w:val="000B1838"/>
    <w:rsid w:val="000B1AE3"/>
    <w:rsid w:val="000B1B58"/>
    <w:rsid w:val="000B1CB9"/>
    <w:rsid w:val="000B1ED4"/>
    <w:rsid w:val="000B20B5"/>
    <w:rsid w:val="000B245D"/>
    <w:rsid w:val="000B25B3"/>
    <w:rsid w:val="000B3003"/>
    <w:rsid w:val="000B361F"/>
    <w:rsid w:val="000B371A"/>
    <w:rsid w:val="000B383F"/>
    <w:rsid w:val="000B410F"/>
    <w:rsid w:val="000B41F8"/>
    <w:rsid w:val="000B437C"/>
    <w:rsid w:val="000B44F9"/>
    <w:rsid w:val="000B4610"/>
    <w:rsid w:val="000B4783"/>
    <w:rsid w:val="000B47E8"/>
    <w:rsid w:val="000B4E5C"/>
    <w:rsid w:val="000B51AD"/>
    <w:rsid w:val="000B524F"/>
    <w:rsid w:val="000B5767"/>
    <w:rsid w:val="000B58B5"/>
    <w:rsid w:val="000B661C"/>
    <w:rsid w:val="000B6696"/>
    <w:rsid w:val="000B72C0"/>
    <w:rsid w:val="000B741C"/>
    <w:rsid w:val="000B797E"/>
    <w:rsid w:val="000B7B63"/>
    <w:rsid w:val="000C0407"/>
    <w:rsid w:val="000C0753"/>
    <w:rsid w:val="000C0DA1"/>
    <w:rsid w:val="000C1123"/>
    <w:rsid w:val="000C1911"/>
    <w:rsid w:val="000C1CCE"/>
    <w:rsid w:val="000C2263"/>
    <w:rsid w:val="000C299C"/>
    <w:rsid w:val="000C2E83"/>
    <w:rsid w:val="000C35A1"/>
    <w:rsid w:val="000C3CAC"/>
    <w:rsid w:val="000C3D77"/>
    <w:rsid w:val="000C408D"/>
    <w:rsid w:val="000C4360"/>
    <w:rsid w:val="000C4797"/>
    <w:rsid w:val="000C5054"/>
    <w:rsid w:val="000C5065"/>
    <w:rsid w:val="000C55F3"/>
    <w:rsid w:val="000C5873"/>
    <w:rsid w:val="000C58C2"/>
    <w:rsid w:val="000C5A0F"/>
    <w:rsid w:val="000C5F7B"/>
    <w:rsid w:val="000C6213"/>
    <w:rsid w:val="000C63A9"/>
    <w:rsid w:val="000C648B"/>
    <w:rsid w:val="000C6565"/>
    <w:rsid w:val="000C698A"/>
    <w:rsid w:val="000C7105"/>
    <w:rsid w:val="000C7226"/>
    <w:rsid w:val="000C725B"/>
    <w:rsid w:val="000C79C7"/>
    <w:rsid w:val="000C7B09"/>
    <w:rsid w:val="000D0472"/>
    <w:rsid w:val="000D09E8"/>
    <w:rsid w:val="000D0ADC"/>
    <w:rsid w:val="000D0B27"/>
    <w:rsid w:val="000D0C8C"/>
    <w:rsid w:val="000D0ED8"/>
    <w:rsid w:val="000D12F2"/>
    <w:rsid w:val="000D1948"/>
    <w:rsid w:val="000D1D38"/>
    <w:rsid w:val="000D2043"/>
    <w:rsid w:val="000D20F1"/>
    <w:rsid w:val="000D272A"/>
    <w:rsid w:val="000D29F0"/>
    <w:rsid w:val="000D2A7D"/>
    <w:rsid w:val="000D2AFA"/>
    <w:rsid w:val="000D2CBA"/>
    <w:rsid w:val="000D2E2C"/>
    <w:rsid w:val="000D3495"/>
    <w:rsid w:val="000D3A86"/>
    <w:rsid w:val="000D40DF"/>
    <w:rsid w:val="000D453B"/>
    <w:rsid w:val="000D458A"/>
    <w:rsid w:val="000D483B"/>
    <w:rsid w:val="000D4C43"/>
    <w:rsid w:val="000D5247"/>
    <w:rsid w:val="000D565B"/>
    <w:rsid w:val="000D6622"/>
    <w:rsid w:val="000D6A68"/>
    <w:rsid w:val="000D6AF2"/>
    <w:rsid w:val="000D6E6E"/>
    <w:rsid w:val="000D6F8E"/>
    <w:rsid w:val="000D709A"/>
    <w:rsid w:val="000D79CF"/>
    <w:rsid w:val="000D7BA6"/>
    <w:rsid w:val="000D7BFE"/>
    <w:rsid w:val="000D7E3B"/>
    <w:rsid w:val="000E04E4"/>
    <w:rsid w:val="000E0764"/>
    <w:rsid w:val="000E0A51"/>
    <w:rsid w:val="000E0C47"/>
    <w:rsid w:val="000E1041"/>
    <w:rsid w:val="000E10E9"/>
    <w:rsid w:val="000E1182"/>
    <w:rsid w:val="000E1CBB"/>
    <w:rsid w:val="000E1F11"/>
    <w:rsid w:val="000E3B12"/>
    <w:rsid w:val="000E3F36"/>
    <w:rsid w:val="000E416C"/>
    <w:rsid w:val="000E441E"/>
    <w:rsid w:val="000E4791"/>
    <w:rsid w:val="000E4A2C"/>
    <w:rsid w:val="000E4DCD"/>
    <w:rsid w:val="000E4ED3"/>
    <w:rsid w:val="000E5126"/>
    <w:rsid w:val="000E5195"/>
    <w:rsid w:val="000E5CD6"/>
    <w:rsid w:val="000E5F08"/>
    <w:rsid w:val="000E6158"/>
    <w:rsid w:val="000E6AC6"/>
    <w:rsid w:val="000E7007"/>
    <w:rsid w:val="000E72BB"/>
    <w:rsid w:val="000F02D7"/>
    <w:rsid w:val="000F0F2E"/>
    <w:rsid w:val="000F115E"/>
    <w:rsid w:val="000F12F9"/>
    <w:rsid w:val="000F176D"/>
    <w:rsid w:val="000F1E36"/>
    <w:rsid w:val="000F200E"/>
    <w:rsid w:val="000F2589"/>
    <w:rsid w:val="000F2794"/>
    <w:rsid w:val="000F2A72"/>
    <w:rsid w:val="000F2FF8"/>
    <w:rsid w:val="000F30D4"/>
    <w:rsid w:val="000F3C99"/>
    <w:rsid w:val="000F3DAD"/>
    <w:rsid w:val="000F3E5B"/>
    <w:rsid w:val="000F412B"/>
    <w:rsid w:val="000F4347"/>
    <w:rsid w:val="000F4A8E"/>
    <w:rsid w:val="000F4BDC"/>
    <w:rsid w:val="000F4C9D"/>
    <w:rsid w:val="000F4F6E"/>
    <w:rsid w:val="000F505F"/>
    <w:rsid w:val="000F5579"/>
    <w:rsid w:val="000F58A4"/>
    <w:rsid w:val="000F5CBC"/>
    <w:rsid w:val="000F5D39"/>
    <w:rsid w:val="000F5D72"/>
    <w:rsid w:val="000F5D9D"/>
    <w:rsid w:val="000F5ECB"/>
    <w:rsid w:val="000F5F42"/>
    <w:rsid w:val="000F5F7F"/>
    <w:rsid w:val="000F6105"/>
    <w:rsid w:val="000F6390"/>
    <w:rsid w:val="000F65A5"/>
    <w:rsid w:val="000F6C04"/>
    <w:rsid w:val="000F6D1C"/>
    <w:rsid w:val="000F6DE3"/>
    <w:rsid w:val="000F73C6"/>
    <w:rsid w:val="000F7404"/>
    <w:rsid w:val="000F7421"/>
    <w:rsid w:val="000F7808"/>
    <w:rsid w:val="000F789B"/>
    <w:rsid w:val="000F7ACA"/>
    <w:rsid w:val="000F7C26"/>
    <w:rsid w:val="000F7C9A"/>
    <w:rsid w:val="000F7D9A"/>
    <w:rsid w:val="000F7DFB"/>
    <w:rsid w:val="00100067"/>
    <w:rsid w:val="00100082"/>
    <w:rsid w:val="001004B1"/>
    <w:rsid w:val="001004B8"/>
    <w:rsid w:val="001005C6"/>
    <w:rsid w:val="0010120C"/>
    <w:rsid w:val="00101227"/>
    <w:rsid w:val="001017D9"/>
    <w:rsid w:val="00101837"/>
    <w:rsid w:val="00101943"/>
    <w:rsid w:val="00101B15"/>
    <w:rsid w:val="00101EAD"/>
    <w:rsid w:val="001020EE"/>
    <w:rsid w:val="00102683"/>
    <w:rsid w:val="00102D4C"/>
    <w:rsid w:val="00102F27"/>
    <w:rsid w:val="00103081"/>
    <w:rsid w:val="001032D6"/>
    <w:rsid w:val="00103383"/>
    <w:rsid w:val="00103961"/>
    <w:rsid w:val="001039A7"/>
    <w:rsid w:val="00103AD9"/>
    <w:rsid w:val="00103B28"/>
    <w:rsid w:val="001044D4"/>
    <w:rsid w:val="00104664"/>
    <w:rsid w:val="00104BB8"/>
    <w:rsid w:val="00104C61"/>
    <w:rsid w:val="00104CD5"/>
    <w:rsid w:val="00104E11"/>
    <w:rsid w:val="00104FED"/>
    <w:rsid w:val="001051E0"/>
    <w:rsid w:val="001052CE"/>
    <w:rsid w:val="00105335"/>
    <w:rsid w:val="00105784"/>
    <w:rsid w:val="00105A50"/>
    <w:rsid w:val="00105B76"/>
    <w:rsid w:val="00106691"/>
    <w:rsid w:val="001068A0"/>
    <w:rsid w:val="00106CA8"/>
    <w:rsid w:val="00106F7D"/>
    <w:rsid w:val="00107893"/>
    <w:rsid w:val="001100CE"/>
    <w:rsid w:val="001106D5"/>
    <w:rsid w:val="00110CCC"/>
    <w:rsid w:val="001114BC"/>
    <w:rsid w:val="00111894"/>
    <w:rsid w:val="0011211C"/>
    <w:rsid w:val="00112582"/>
    <w:rsid w:val="00112E30"/>
    <w:rsid w:val="0011318D"/>
    <w:rsid w:val="00113894"/>
    <w:rsid w:val="0011390D"/>
    <w:rsid w:val="001139CB"/>
    <w:rsid w:val="00113EFA"/>
    <w:rsid w:val="001140E5"/>
    <w:rsid w:val="0011440B"/>
    <w:rsid w:val="00114B38"/>
    <w:rsid w:val="00114CA0"/>
    <w:rsid w:val="00114DF7"/>
    <w:rsid w:val="00114F4A"/>
    <w:rsid w:val="0011502A"/>
    <w:rsid w:val="001156B5"/>
    <w:rsid w:val="0011583A"/>
    <w:rsid w:val="00115F6B"/>
    <w:rsid w:val="0011621B"/>
    <w:rsid w:val="001163BA"/>
    <w:rsid w:val="001166DA"/>
    <w:rsid w:val="00116B2B"/>
    <w:rsid w:val="00116E9F"/>
    <w:rsid w:val="00117338"/>
    <w:rsid w:val="001173E5"/>
    <w:rsid w:val="00117538"/>
    <w:rsid w:val="00117721"/>
    <w:rsid w:val="00117917"/>
    <w:rsid w:val="0012039D"/>
    <w:rsid w:val="001203DA"/>
    <w:rsid w:val="001204E2"/>
    <w:rsid w:val="001207E1"/>
    <w:rsid w:val="001208D8"/>
    <w:rsid w:val="00120B32"/>
    <w:rsid w:val="00120D62"/>
    <w:rsid w:val="0012122D"/>
    <w:rsid w:val="00121240"/>
    <w:rsid w:val="00121453"/>
    <w:rsid w:val="00121579"/>
    <w:rsid w:val="001215C9"/>
    <w:rsid w:val="001216D6"/>
    <w:rsid w:val="00121834"/>
    <w:rsid w:val="0012220F"/>
    <w:rsid w:val="00122462"/>
    <w:rsid w:val="00122561"/>
    <w:rsid w:val="00122642"/>
    <w:rsid w:val="00122A11"/>
    <w:rsid w:val="0012336A"/>
    <w:rsid w:val="0012367E"/>
    <w:rsid w:val="0012392C"/>
    <w:rsid w:val="00124050"/>
    <w:rsid w:val="00124636"/>
    <w:rsid w:val="00124894"/>
    <w:rsid w:val="00124BCB"/>
    <w:rsid w:val="00124E50"/>
    <w:rsid w:val="0012521D"/>
    <w:rsid w:val="00125288"/>
    <w:rsid w:val="001259C3"/>
    <w:rsid w:val="00126377"/>
    <w:rsid w:val="001265B4"/>
    <w:rsid w:val="001265FC"/>
    <w:rsid w:val="00126E05"/>
    <w:rsid w:val="00126E8A"/>
    <w:rsid w:val="00127222"/>
    <w:rsid w:val="00127369"/>
    <w:rsid w:val="00127DBA"/>
    <w:rsid w:val="001300AE"/>
    <w:rsid w:val="001301CB"/>
    <w:rsid w:val="00130275"/>
    <w:rsid w:val="00130BE3"/>
    <w:rsid w:val="00130EB0"/>
    <w:rsid w:val="0013103B"/>
    <w:rsid w:val="001310BB"/>
    <w:rsid w:val="001314DD"/>
    <w:rsid w:val="0013183C"/>
    <w:rsid w:val="0013187E"/>
    <w:rsid w:val="0013195A"/>
    <w:rsid w:val="001319F2"/>
    <w:rsid w:val="00131FF5"/>
    <w:rsid w:val="001321C4"/>
    <w:rsid w:val="0013238C"/>
    <w:rsid w:val="00132A79"/>
    <w:rsid w:val="00132B54"/>
    <w:rsid w:val="00132C7C"/>
    <w:rsid w:val="00132EB1"/>
    <w:rsid w:val="0013312B"/>
    <w:rsid w:val="00133363"/>
    <w:rsid w:val="00133883"/>
    <w:rsid w:val="0013398A"/>
    <w:rsid w:val="001339F6"/>
    <w:rsid w:val="0013437E"/>
    <w:rsid w:val="00134568"/>
    <w:rsid w:val="00134697"/>
    <w:rsid w:val="00135286"/>
    <w:rsid w:val="001354CF"/>
    <w:rsid w:val="0013591D"/>
    <w:rsid w:val="001359C8"/>
    <w:rsid w:val="00135B96"/>
    <w:rsid w:val="00135D92"/>
    <w:rsid w:val="00135E14"/>
    <w:rsid w:val="00135E81"/>
    <w:rsid w:val="0013679C"/>
    <w:rsid w:val="00136B09"/>
    <w:rsid w:val="0013724C"/>
    <w:rsid w:val="001373D9"/>
    <w:rsid w:val="001377D8"/>
    <w:rsid w:val="00137C5B"/>
    <w:rsid w:val="00137D3C"/>
    <w:rsid w:val="00140018"/>
    <w:rsid w:val="001401F2"/>
    <w:rsid w:val="00140989"/>
    <w:rsid w:val="00141004"/>
    <w:rsid w:val="00141279"/>
    <w:rsid w:val="001412F5"/>
    <w:rsid w:val="0014178E"/>
    <w:rsid w:val="001418D7"/>
    <w:rsid w:val="00141D7B"/>
    <w:rsid w:val="00141E82"/>
    <w:rsid w:val="0014242D"/>
    <w:rsid w:val="001428D7"/>
    <w:rsid w:val="00142BE7"/>
    <w:rsid w:val="00142FC9"/>
    <w:rsid w:val="001430B0"/>
    <w:rsid w:val="00143664"/>
    <w:rsid w:val="001437AE"/>
    <w:rsid w:val="001438F2"/>
    <w:rsid w:val="00143A5F"/>
    <w:rsid w:val="00143C83"/>
    <w:rsid w:val="00143D18"/>
    <w:rsid w:val="00143F1D"/>
    <w:rsid w:val="00144119"/>
    <w:rsid w:val="00144153"/>
    <w:rsid w:val="001444E1"/>
    <w:rsid w:val="0014450C"/>
    <w:rsid w:val="00144A1A"/>
    <w:rsid w:val="001458A7"/>
    <w:rsid w:val="00146548"/>
    <w:rsid w:val="00146710"/>
    <w:rsid w:val="0014702B"/>
    <w:rsid w:val="00147B1D"/>
    <w:rsid w:val="00147B20"/>
    <w:rsid w:val="00147C38"/>
    <w:rsid w:val="00150255"/>
    <w:rsid w:val="0015037D"/>
    <w:rsid w:val="001507F3"/>
    <w:rsid w:val="00150D2E"/>
    <w:rsid w:val="00150E21"/>
    <w:rsid w:val="001512D3"/>
    <w:rsid w:val="00151B76"/>
    <w:rsid w:val="00151BF7"/>
    <w:rsid w:val="001522A9"/>
    <w:rsid w:val="0015239E"/>
    <w:rsid w:val="00152B48"/>
    <w:rsid w:val="00152BD9"/>
    <w:rsid w:val="00152C9B"/>
    <w:rsid w:val="00153163"/>
    <w:rsid w:val="001535F1"/>
    <w:rsid w:val="00153CB3"/>
    <w:rsid w:val="001543ED"/>
    <w:rsid w:val="001546E9"/>
    <w:rsid w:val="0015477F"/>
    <w:rsid w:val="00154CF4"/>
    <w:rsid w:val="00154F20"/>
    <w:rsid w:val="001550CE"/>
    <w:rsid w:val="001550EF"/>
    <w:rsid w:val="00155291"/>
    <w:rsid w:val="00155601"/>
    <w:rsid w:val="00155C19"/>
    <w:rsid w:val="00155FFE"/>
    <w:rsid w:val="001566BD"/>
    <w:rsid w:val="001567F2"/>
    <w:rsid w:val="001571E0"/>
    <w:rsid w:val="0015727E"/>
    <w:rsid w:val="001578D7"/>
    <w:rsid w:val="00157DDC"/>
    <w:rsid w:val="001600D5"/>
    <w:rsid w:val="0016022B"/>
    <w:rsid w:val="0016038D"/>
    <w:rsid w:val="00160781"/>
    <w:rsid w:val="00160C58"/>
    <w:rsid w:val="00161097"/>
    <w:rsid w:val="001611A7"/>
    <w:rsid w:val="00161472"/>
    <w:rsid w:val="001619F1"/>
    <w:rsid w:val="00161FA8"/>
    <w:rsid w:val="00162356"/>
    <w:rsid w:val="0016297E"/>
    <w:rsid w:val="00162F38"/>
    <w:rsid w:val="0016309B"/>
    <w:rsid w:val="00163223"/>
    <w:rsid w:val="0016369C"/>
    <w:rsid w:val="001636B5"/>
    <w:rsid w:val="001636D9"/>
    <w:rsid w:val="00163786"/>
    <w:rsid w:val="00163A92"/>
    <w:rsid w:val="00163EF3"/>
    <w:rsid w:val="00163EFA"/>
    <w:rsid w:val="00164176"/>
    <w:rsid w:val="001649C2"/>
    <w:rsid w:val="00164B00"/>
    <w:rsid w:val="00164DE0"/>
    <w:rsid w:val="00164F44"/>
    <w:rsid w:val="001657DB"/>
    <w:rsid w:val="0016595F"/>
    <w:rsid w:val="00165E7B"/>
    <w:rsid w:val="00166275"/>
    <w:rsid w:val="001664D3"/>
    <w:rsid w:val="0016650C"/>
    <w:rsid w:val="0016671D"/>
    <w:rsid w:val="001669B9"/>
    <w:rsid w:val="00166AFB"/>
    <w:rsid w:val="00167738"/>
    <w:rsid w:val="00167D81"/>
    <w:rsid w:val="0017088D"/>
    <w:rsid w:val="00170900"/>
    <w:rsid w:val="00170DD0"/>
    <w:rsid w:val="00171342"/>
    <w:rsid w:val="0017143E"/>
    <w:rsid w:val="001714B2"/>
    <w:rsid w:val="00171823"/>
    <w:rsid w:val="00171D8B"/>
    <w:rsid w:val="00171FF0"/>
    <w:rsid w:val="00172262"/>
    <w:rsid w:val="001727FD"/>
    <w:rsid w:val="00172EDB"/>
    <w:rsid w:val="0017310C"/>
    <w:rsid w:val="00173CC9"/>
    <w:rsid w:val="00174B59"/>
    <w:rsid w:val="00174BE5"/>
    <w:rsid w:val="00174C7E"/>
    <w:rsid w:val="001752FB"/>
    <w:rsid w:val="00175571"/>
    <w:rsid w:val="00175766"/>
    <w:rsid w:val="0017586D"/>
    <w:rsid w:val="00175A04"/>
    <w:rsid w:val="00175AF1"/>
    <w:rsid w:val="00175EBF"/>
    <w:rsid w:val="001762FD"/>
    <w:rsid w:val="0017636A"/>
    <w:rsid w:val="0017662A"/>
    <w:rsid w:val="00176749"/>
    <w:rsid w:val="00176815"/>
    <w:rsid w:val="001768CC"/>
    <w:rsid w:val="00176911"/>
    <w:rsid w:val="0017737E"/>
    <w:rsid w:val="001773CB"/>
    <w:rsid w:val="00177898"/>
    <w:rsid w:val="00180307"/>
    <w:rsid w:val="0018084B"/>
    <w:rsid w:val="00180BDC"/>
    <w:rsid w:val="00180C5A"/>
    <w:rsid w:val="00181211"/>
    <w:rsid w:val="00181B5A"/>
    <w:rsid w:val="00181DDA"/>
    <w:rsid w:val="00181FCF"/>
    <w:rsid w:val="00182719"/>
    <w:rsid w:val="001829BC"/>
    <w:rsid w:val="00182FCF"/>
    <w:rsid w:val="00183571"/>
    <w:rsid w:val="00183967"/>
    <w:rsid w:val="00183E43"/>
    <w:rsid w:val="001843D1"/>
    <w:rsid w:val="00184404"/>
    <w:rsid w:val="0018463C"/>
    <w:rsid w:val="001846C2"/>
    <w:rsid w:val="00184B3B"/>
    <w:rsid w:val="00184FEA"/>
    <w:rsid w:val="00185387"/>
    <w:rsid w:val="00185E34"/>
    <w:rsid w:val="00186479"/>
    <w:rsid w:val="00186706"/>
    <w:rsid w:val="0018672A"/>
    <w:rsid w:val="001867D7"/>
    <w:rsid w:val="001868B5"/>
    <w:rsid w:val="00186DEE"/>
    <w:rsid w:val="00186F0C"/>
    <w:rsid w:val="00187D4D"/>
    <w:rsid w:val="00191405"/>
    <w:rsid w:val="0019142C"/>
    <w:rsid w:val="00191A1D"/>
    <w:rsid w:val="00191B8C"/>
    <w:rsid w:val="00191DB0"/>
    <w:rsid w:val="00191DC1"/>
    <w:rsid w:val="00191FB6"/>
    <w:rsid w:val="001921C9"/>
    <w:rsid w:val="001921FD"/>
    <w:rsid w:val="001929C4"/>
    <w:rsid w:val="00192D8F"/>
    <w:rsid w:val="00193729"/>
    <w:rsid w:val="0019376A"/>
    <w:rsid w:val="00193AE7"/>
    <w:rsid w:val="00193F34"/>
    <w:rsid w:val="0019415A"/>
    <w:rsid w:val="0019497C"/>
    <w:rsid w:val="00195E58"/>
    <w:rsid w:val="00196032"/>
    <w:rsid w:val="00196087"/>
    <w:rsid w:val="001965D9"/>
    <w:rsid w:val="0019686D"/>
    <w:rsid w:val="00196BFC"/>
    <w:rsid w:val="00196EC4"/>
    <w:rsid w:val="00196F36"/>
    <w:rsid w:val="00196FCD"/>
    <w:rsid w:val="001971E3"/>
    <w:rsid w:val="001973F9"/>
    <w:rsid w:val="001978E9"/>
    <w:rsid w:val="0019796B"/>
    <w:rsid w:val="00197BBF"/>
    <w:rsid w:val="001A041E"/>
    <w:rsid w:val="001A05BE"/>
    <w:rsid w:val="001A07C8"/>
    <w:rsid w:val="001A0F44"/>
    <w:rsid w:val="001A1B1D"/>
    <w:rsid w:val="001A1BB7"/>
    <w:rsid w:val="001A1CEE"/>
    <w:rsid w:val="001A21B5"/>
    <w:rsid w:val="001A281F"/>
    <w:rsid w:val="001A2BC4"/>
    <w:rsid w:val="001A2ECB"/>
    <w:rsid w:val="001A3354"/>
    <w:rsid w:val="001A349C"/>
    <w:rsid w:val="001A3618"/>
    <w:rsid w:val="001A387B"/>
    <w:rsid w:val="001A3A08"/>
    <w:rsid w:val="001A3D30"/>
    <w:rsid w:val="001A41E7"/>
    <w:rsid w:val="001A48F4"/>
    <w:rsid w:val="001A4E7D"/>
    <w:rsid w:val="001A52D2"/>
    <w:rsid w:val="001A55BE"/>
    <w:rsid w:val="001A5624"/>
    <w:rsid w:val="001A59BC"/>
    <w:rsid w:val="001A5C40"/>
    <w:rsid w:val="001A641F"/>
    <w:rsid w:val="001A66F2"/>
    <w:rsid w:val="001A6912"/>
    <w:rsid w:val="001A6ADC"/>
    <w:rsid w:val="001A6E8C"/>
    <w:rsid w:val="001A6EFE"/>
    <w:rsid w:val="001A6F6E"/>
    <w:rsid w:val="001A718C"/>
    <w:rsid w:val="001A71FB"/>
    <w:rsid w:val="001A72A6"/>
    <w:rsid w:val="001A7B48"/>
    <w:rsid w:val="001B0150"/>
    <w:rsid w:val="001B0631"/>
    <w:rsid w:val="001B0DF8"/>
    <w:rsid w:val="001B0FF8"/>
    <w:rsid w:val="001B10BB"/>
    <w:rsid w:val="001B1348"/>
    <w:rsid w:val="001B1438"/>
    <w:rsid w:val="001B1550"/>
    <w:rsid w:val="001B163C"/>
    <w:rsid w:val="001B1667"/>
    <w:rsid w:val="001B2522"/>
    <w:rsid w:val="001B2928"/>
    <w:rsid w:val="001B2AAD"/>
    <w:rsid w:val="001B2B2D"/>
    <w:rsid w:val="001B2C1D"/>
    <w:rsid w:val="001B2E26"/>
    <w:rsid w:val="001B3A66"/>
    <w:rsid w:val="001B3B64"/>
    <w:rsid w:val="001B45F4"/>
    <w:rsid w:val="001B4C99"/>
    <w:rsid w:val="001B5330"/>
    <w:rsid w:val="001B55F0"/>
    <w:rsid w:val="001B5708"/>
    <w:rsid w:val="001B5782"/>
    <w:rsid w:val="001B5884"/>
    <w:rsid w:val="001B5EA1"/>
    <w:rsid w:val="001B6D5E"/>
    <w:rsid w:val="001B724E"/>
    <w:rsid w:val="001B7288"/>
    <w:rsid w:val="001B7619"/>
    <w:rsid w:val="001B7902"/>
    <w:rsid w:val="001B79BC"/>
    <w:rsid w:val="001B7B43"/>
    <w:rsid w:val="001C057A"/>
    <w:rsid w:val="001C08FC"/>
    <w:rsid w:val="001C0FA7"/>
    <w:rsid w:val="001C120C"/>
    <w:rsid w:val="001C1865"/>
    <w:rsid w:val="001C189F"/>
    <w:rsid w:val="001C1B5E"/>
    <w:rsid w:val="001C1E4A"/>
    <w:rsid w:val="001C21EF"/>
    <w:rsid w:val="001C233A"/>
    <w:rsid w:val="001C263E"/>
    <w:rsid w:val="001C26FE"/>
    <w:rsid w:val="001C27AA"/>
    <w:rsid w:val="001C27E6"/>
    <w:rsid w:val="001C281E"/>
    <w:rsid w:val="001C2BC9"/>
    <w:rsid w:val="001C3554"/>
    <w:rsid w:val="001C3E16"/>
    <w:rsid w:val="001C3E2E"/>
    <w:rsid w:val="001C3FAF"/>
    <w:rsid w:val="001C409F"/>
    <w:rsid w:val="001C4107"/>
    <w:rsid w:val="001C4161"/>
    <w:rsid w:val="001C42C9"/>
    <w:rsid w:val="001C42DD"/>
    <w:rsid w:val="001C48CB"/>
    <w:rsid w:val="001C4FE6"/>
    <w:rsid w:val="001C5095"/>
    <w:rsid w:val="001C54DB"/>
    <w:rsid w:val="001C5983"/>
    <w:rsid w:val="001C6597"/>
    <w:rsid w:val="001C67C1"/>
    <w:rsid w:val="001C68C8"/>
    <w:rsid w:val="001C69E6"/>
    <w:rsid w:val="001C6CA3"/>
    <w:rsid w:val="001C73C9"/>
    <w:rsid w:val="001C773B"/>
    <w:rsid w:val="001C7752"/>
    <w:rsid w:val="001C7980"/>
    <w:rsid w:val="001D0000"/>
    <w:rsid w:val="001D09EF"/>
    <w:rsid w:val="001D0A29"/>
    <w:rsid w:val="001D0BB1"/>
    <w:rsid w:val="001D0F36"/>
    <w:rsid w:val="001D147E"/>
    <w:rsid w:val="001D23E0"/>
    <w:rsid w:val="001D27EC"/>
    <w:rsid w:val="001D297B"/>
    <w:rsid w:val="001D2C2F"/>
    <w:rsid w:val="001D2CEE"/>
    <w:rsid w:val="001D325B"/>
    <w:rsid w:val="001D337B"/>
    <w:rsid w:val="001D34FF"/>
    <w:rsid w:val="001D363E"/>
    <w:rsid w:val="001D3CC9"/>
    <w:rsid w:val="001D3E95"/>
    <w:rsid w:val="001D3EEE"/>
    <w:rsid w:val="001D48FC"/>
    <w:rsid w:val="001D4A01"/>
    <w:rsid w:val="001D4A57"/>
    <w:rsid w:val="001D4B36"/>
    <w:rsid w:val="001D4D2D"/>
    <w:rsid w:val="001D5843"/>
    <w:rsid w:val="001D5A4B"/>
    <w:rsid w:val="001D5D52"/>
    <w:rsid w:val="001D61B8"/>
    <w:rsid w:val="001D7C41"/>
    <w:rsid w:val="001D7D2E"/>
    <w:rsid w:val="001D7F16"/>
    <w:rsid w:val="001D7FD7"/>
    <w:rsid w:val="001E03C5"/>
    <w:rsid w:val="001E05F3"/>
    <w:rsid w:val="001E0B84"/>
    <w:rsid w:val="001E0D4E"/>
    <w:rsid w:val="001E0E87"/>
    <w:rsid w:val="001E0F3B"/>
    <w:rsid w:val="001E1061"/>
    <w:rsid w:val="001E1A3F"/>
    <w:rsid w:val="001E2C26"/>
    <w:rsid w:val="001E2F97"/>
    <w:rsid w:val="001E36A8"/>
    <w:rsid w:val="001E39F6"/>
    <w:rsid w:val="001E3B37"/>
    <w:rsid w:val="001E481E"/>
    <w:rsid w:val="001E489E"/>
    <w:rsid w:val="001E4939"/>
    <w:rsid w:val="001E4B96"/>
    <w:rsid w:val="001E4F1C"/>
    <w:rsid w:val="001E5266"/>
    <w:rsid w:val="001E59F7"/>
    <w:rsid w:val="001E5B50"/>
    <w:rsid w:val="001E5B7D"/>
    <w:rsid w:val="001E5E7E"/>
    <w:rsid w:val="001E5F19"/>
    <w:rsid w:val="001E6402"/>
    <w:rsid w:val="001E6580"/>
    <w:rsid w:val="001E6BC9"/>
    <w:rsid w:val="001E6E05"/>
    <w:rsid w:val="001E711E"/>
    <w:rsid w:val="001E71E5"/>
    <w:rsid w:val="001E75F1"/>
    <w:rsid w:val="001E77E1"/>
    <w:rsid w:val="001E7832"/>
    <w:rsid w:val="001E784F"/>
    <w:rsid w:val="001E7C3B"/>
    <w:rsid w:val="001E7E17"/>
    <w:rsid w:val="001E7EE6"/>
    <w:rsid w:val="001F0933"/>
    <w:rsid w:val="001F0B25"/>
    <w:rsid w:val="001F0C49"/>
    <w:rsid w:val="001F10CC"/>
    <w:rsid w:val="001F1873"/>
    <w:rsid w:val="001F18EC"/>
    <w:rsid w:val="001F2180"/>
    <w:rsid w:val="001F2827"/>
    <w:rsid w:val="001F2A30"/>
    <w:rsid w:val="001F2EEE"/>
    <w:rsid w:val="001F37CE"/>
    <w:rsid w:val="001F461B"/>
    <w:rsid w:val="001F4DDB"/>
    <w:rsid w:val="001F5310"/>
    <w:rsid w:val="001F548F"/>
    <w:rsid w:val="001F58A7"/>
    <w:rsid w:val="001F5999"/>
    <w:rsid w:val="001F5A13"/>
    <w:rsid w:val="001F5B57"/>
    <w:rsid w:val="001F6848"/>
    <w:rsid w:val="001F6A09"/>
    <w:rsid w:val="001F6DBD"/>
    <w:rsid w:val="001F7027"/>
    <w:rsid w:val="001F7225"/>
    <w:rsid w:val="001F7272"/>
    <w:rsid w:val="001F747C"/>
    <w:rsid w:val="00200017"/>
    <w:rsid w:val="00200289"/>
    <w:rsid w:val="00200807"/>
    <w:rsid w:val="002010BA"/>
    <w:rsid w:val="002016A8"/>
    <w:rsid w:val="002019A7"/>
    <w:rsid w:val="002019F5"/>
    <w:rsid w:val="00202055"/>
    <w:rsid w:val="0020236F"/>
    <w:rsid w:val="002028D8"/>
    <w:rsid w:val="002029AA"/>
    <w:rsid w:val="00202D13"/>
    <w:rsid w:val="00203617"/>
    <w:rsid w:val="00203BBE"/>
    <w:rsid w:val="00203C32"/>
    <w:rsid w:val="00203CF8"/>
    <w:rsid w:val="00203E24"/>
    <w:rsid w:val="00203F74"/>
    <w:rsid w:val="0020422E"/>
    <w:rsid w:val="0020429B"/>
    <w:rsid w:val="002042F6"/>
    <w:rsid w:val="0020445E"/>
    <w:rsid w:val="002044F9"/>
    <w:rsid w:val="00204531"/>
    <w:rsid w:val="0020481E"/>
    <w:rsid w:val="002048F3"/>
    <w:rsid w:val="00204975"/>
    <w:rsid w:val="0020499A"/>
    <w:rsid w:val="002049D1"/>
    <w:rsid w:val="00204A83"/>
    <w:rsid w:val="00204C9B"/>
    <w:rsid w:val="0020515B"/>
    <w:rsid w:val="002052D9"/>
    <w:rsid w:val="0020530A"/>
    <w:rsid w:val="00205350"/>
    <w:rsid w:val="00205492"/>
    <w:rsid w:val="00205875"/>
    <w:rsid w:val="00205B09"/>
    <w:rsid w:val="00205B72"/>
    <w:rsid w:val="00206428"/>
    <w:rsid w:val="00206636"/>
    <w:rsid w:val="002072A0"/>
    <w:rsid w:val="0020757B"/>
    <w:rsid w:val="0021008C"/>
    <w:rsid w:val="002103AA"/>
    <w:rsid w:val="002104C7"/>
    <w:rsid w:val="002104FF"/>
    <w:rsid w:val="00210BE8"/>
    <w:rsid w:val="00210D8B"/>
    <w:rsid w:val="00210EF8"/>
    <w:rsid w:val="00211237"/>
    <w:rsid w:val="00211374"/>
    <w:rsid w:val="00211915"/>
    <w:rsid w:val="00211A5C"/>
    <w:rsid w:val="00211E9C"/>
    <w:rsid w:val="002124EE"/>
    <w:rsid w:val="00212832"/>
    <w:rsid w:val="002141D4"/>
    <w:rsid w:val="002142B6"/>
    <w:rsid w:val="0021453E"/>
    <w:rsid w:val="00214650"/>
    <w:rsid w:val="00214CA2"/>
    <w:rsid w:val="00214EA6"/>
    <w:rsid w:val="00214F37"/>
    <w:rsid w:val="002152B7"/>
    <w:rsid w:val="0021539C"/>
    <w:rsid w:val="002155BC"/>
    <w:rsid w:val="0021582E"/>
    <w:rsid w:val="0021693B"/>
    <w:rsid w:val="00216C90"/>
    <w:rsid w:val="00216D29"/>
    <w:rsid w:val="00216E0A"/>
    <w:rsid w:val="002173DE"/>
    <w:rsid w:val="002177C1"/>
    <w:rsid w:val="00217E2E"/>
    <w:rsid w:val="00217F91"/>
    <w:rsid w:val="002200C6"/>
    <w:rsid w:val="00220809"/>
    <w:rsid w:val="00220DE3"/>
    <w:rsid w:val="00221208"/>
    <w:rsid w:val="002212CB"/>
    <w:rsid w:val="00221472"/>
    <w:rsid w:val="00221798"/>
    <w:rsid w:val="00221C91"/>
    <w:rsid w:val="00222A53"/>
    <w:rsid w:val="00222B74"/>
    <w:rsid w:val="00222C1F"/>
    <w:rsid w:val="002231F6"/>
    <w:rsid w:val="00223A7B"/>
    <w:rsid w:val="00223CD3"/>
    <w:rsid w:val="00223F21"/>
    <w:rsid w:val="00224058"/>
    <w:rsid w:val="00224078"/>
    <w:rsid w:val="002242AC"/>
    <w:rsid w:val="00224731"/>
    <w:rsid w:val="0022497C"/>
    <w:rsid w:val="00224BAA"/>
    <w:rsid w:val="00225028"/>
    <w:rsid w:val="002252A2"/>
    <w:rsid w:val="0022549A"/>
    <w:rsid w:val="00225626"/>
    <w:rsid w:val="00225D76"/>
    <w:rsid w:val="00226179"/>
    <w:rsid w:val="00226AB6"/>
    <w:rsid w:val="00226E2B"/>
    <w:rsid w:val="002270FB"/>
    <w:rsid w:val="0022769C"/>
    <w:rsid w:val="002300A0"/>
    <w:rsid w:val="0023025C"/>
    <w:rsid w:val="002305D0"/>
    <w:rsid w:val="00231124"/>
    <w:rsid w:val="00231128"/>
    <w:rsid w:val="002316D5"/>
    <w:rsid w:val="00231792"/>
    <w:rsid w:val="00231AB4"/>
    <w:rsid w:val="002328B1"/>
    <w:rsid w:val="00232C0D"/>
    <w:rsid w:val="00232C79"/>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C1F"/>
    <w:rsid w:val="00236222"/>
    <w:rsid w:val="00236373"/>
    <w:rsid w:val="002363F6"/>
    <w:rsid w:val="00236F4F"/>
    <w:rsid w:val="0023727C"/>
    <w:rsid w:val="00237553"/>
    <w:rsid w:val="00237618"/>
    <w:rsid w:val="00237D32"/>
    <w:rsid w:val="00237DDB"/>
    <w:rsid w:val="00237F51"/>
    <w:rsid w:val="00237F66"/>
    <w:rsid w:val="002402FD"/>
    <w:rsid w:val="002408DE"/>
    <w:rsid w:val="00240B65"/>
    <w:rsid w:val="00240DA8"/>
    <w:rsid w:val="00240E70"/>
    <w:rsid w:val="00240F43"/>
    <w:rsid w:val="00241267"/>
    <w:rsid w:val="002418C5"/>
    <w:rsid w:val="00241FD7"/>
    <w:rsid w:val="00242899"/>
    <w:rsid w:val="00242B88"/>
    <w:rsid w:val="00242E67"/>
    <w:rsid w:val="00242E76"/>
    <w:rsid w:val="00242EB7"/>
    <w:rsid w:val="002435DA"/>
    <w:rsid w:val="002435F7"/>
    <w:rsid w:val="00243602"/>
    <w:rsid w:val="00243663"/>
    <w:rsid w:val="00244134"/>
    <w:rsid w:val="00244250"/>
    <w:rsid w:val="00244505"/>
    <w:rsid w:val="00244C8D"/>
    <w:rsid w:val="00245328"/>
    <w:rsid w:val="00245701"/>
    <w:rsid w:val="00245EEE"/>
    <w:rsid w:val="00245F96"/>
    <w:rsid w:val="00246810"/>
    <w:rsid w:val="00246A82"/>
    <w:rsid w:val="00246CD7"/>
    <w:rsid w:val="00246FF6"/>
    <w:rsid w:val="00247190"/>
    <w:rsid w:val="002473C0"/>
    <w:rsid w:val="002474B9"/>
    <w:rsid w:val="0024765B"/>
    <w:rsid w:val="0024787A"/>
    <w:rsid w:val="002479FB"/>
    <w:rsid w:val="00247AAB"/>
    <w:rsid w:val="002501D6"/>
    <w:rsid w:val="00250290"/>
    <w:rsid w:val="002505DD"/>
    <w:rsid w:val="00250EBB"/>
    <w:rsid w:val="00250FA5"/>
    <w:rsid w:val="00251229"/>
    <w:rsid w:val="00251254"/>
    <w:rsid w:val="0025126D"/>
    <w:rsid w:val="002518E0"/>
    <w:rsid w:val="00251F4D"/>
    <w:rsid w:val="00252144"/>
    <w:rsid w:val="00252431"/>
    <w:rsid w:val="00252586"/>
    <w:rsid w:val="00252D68"/>
    <w:rsid w:val="002532A4"/>
    <w:rsid w:val="00253348"/>
    <w:rsid w:val="00253406"/>
    <w:rsid w:val="00253599"/>
    <w:rsid w:val="00253B94"/>
    <w:rsid w:val="00253DE8"/>
    <w:rsid w:val="00253F08"/>
    <w:rsid w:val="0025455E"/>
    <w:rsid w:val="002545FD"/>
    <w:rsid w:val="00255138"/>
    <w:rsid w:val="002553C0"/>
    <w:rsid w:val="0025544F"/>
    <w:rsid w:val="002554CB"/>
    <w:rsid w:val="00255985"/>
    <w:rsid w:val="00256B53"/>
    <w:rsid w:val="00256D96"/>
    <w:rsid w:val="002574A3"/>
    <w:rsid w:val="00257622"/>
    <w:rsid w:val="00257820"/>
    <w:rsid w:val="002578D9"/>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87E"/>
    <w:rsid w:val="00263D57"/>
    <w:rsid w:val="00263D59"/>
    <w:rsid w:val="0026415A"/>
    <w:rsid w:val="00264429"/>
    <w:rsid w:val="002644B6"/>
    <w:rsid w:val="00264704"/>
    <w:rsid w:val="00264777"/>
    <w:rsid w:val="002647EF"/>
    <w:rsid w:val="002652BE"/>
    <w:rsid w:val="002658A9"/>
    <w:rsid w:val="002658BE"/>
    <w:rsid w:val="00265A28"/>
    <w:rsid w:val="00265C05"/>
    <w:rsid w:val="00265D78"/>
    <w:rsid w:val="002668EC"/>
    <w:rsid w:val="00266E9E"/>
    <w:rsid w:val="00267548"/>
    <w:rsid w:val="00267B78"/>
    <w:rsid w:val="00267CB8"/>
    <w:rsid w:val="00267D85"/>
    <w:rsid w:val="00267E93"/>
    <w:rsid w:val="00270690"/>
    <w:rsid w:val="00270832"/>
    <w:rsid w:val="002716CA"/>
    <w:rsid w:val="002716F0"/>
    <w:rsid w:val="00271A00"/>
    <w:rsid w:val="00271E98"/>
    <w:rsid w:val="00272683"/>
    <w:rsid w:val="00272AF5"/>
    <w:rsid w:val="00273192"/>
    <w:rsid w:val="002738AD"/>
    <w:rsid w:val="002743C7"/>
    <w:rsid w:val="00274B67"/>
    <w:rsid w:val="00274D85"/>
    <w:rsid w:val="00275324"/>
    <w:rsid w:val="0027537F"/>
    <w:rsid w:val="002758F5"/>
    <w:rsid w:val="002759C7"/>
    <w:rsid w:val="00275F25"/>
    <w:rsid w:val="0027620E"/>
    <w:rsid w:val="002768D8"/>
    <w:rsid w:val="00276E8E"/>
    <w:rsid w:val="00277732"/>
    <w:rsid w:val="002800EF"/>
    <w:rsid w:val="00280639"/>
    <w:rsid w:val="002806D0"/>
    <w:rsid w:val="0028072D"/>
    <w:rsid w:val="00280CE7"/>
    <w:rsid w:val="00281659"/>
    <w:rsid w:val="00281CB8"/>
    <w:rsid w:val="002824DF"/>
    <w:rsid w:val="00282613"/>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5AF"/>
    <w:rsid w:val="002877F4"/>
    <w:rsid w:val="00287B7B"/>
    <w:rsid w:val="00287B7F"/>
    <w:rsid w:val="00287D17"/>
    <w:rsid w:val="0029048E"/>
    <w:rsid w:val="002904B3"/>
    <w:rsid w:val="002904FA"/>
    <w:rsid w:val="002910EF"/>
    <w:rsid w:val="0029122A"/>
    <w:rsid w:val="0029190A"/>
    <w:rsid w:val="00291DEF"/>
    <w:rsid w:val="00292079"/>
    <w:rsid w:val="00292B7A"/>
    <w:rsid w:val="00293B0F"/>
    <w:rsid w:val="00293CC9"/>
    <w:rsid w:val="00293E43"/>
    <w:rsid w:val="00294487"/>
    <w:rsid w:val="00294671"/>
    <w:rsid w:val="0029476B"/>
    <w:rsid w:val="00294B17"/>
    <w:rsid w:val="00295393"/>
    <w:rsid w:val="002958C9"/>
    <w:rsid w:val="00295E14"/>
    <w:rsid w:val="00296539"/>
    <w:rsid w:val="00296A1E"/>
    <w:rsid w:val="00297417"/>
    <w:rsid w:val="0029752F"/>
    <w:rsid w:val="00297AEF"/>
    <w:rsid w:val="00297F3B"/>
    <w:rsid w:val="002A0250"/>
    <w:rsid w:val="002A02C6"/>
    <w:rsid w:val="002A049A"/>
    <w:rsid w:val="002A067D"/>
    <w:rsid w:val="002A07B0"/>
    <w:rsid w:val="002A08DB"/>
    <w:rsid w:val="002A09C5"/>
    <w:rsid w:val="002A0B9D"/>
    <w:rsid w:val="002A17E3"/>
    <w:rsid w:val="002A1A23"/>
    <w:rsid w:val="002A1C2F"/>
    <w:rsid w:val="002A1C8D"/>
    <w:rsid w:val="002A1F64"/>
    <w:rsid w:val="002A22A5"/>
    <w:rsid w:val="002A305B"/>
    <w:rsid w:val="002A357B"/>
    <w:rsid w:val="002A3BEE"/>
    <w:rsid w:val="002A40E9"/>
    <w:rsid w:val="002A4FDF"/>
    <w:rsid w:val="002A51BD"/>
    <w:rsid w:val="002A5E52"/>
    <w:rsid w:val="002A67D1"/>
    <w:rsid w:val="002A67D2"/>
    <w:rsid w:val="002A6A2D"/>
    <w:rsid w:val="002A6C16"/>
    <w:rsid w:val="002A70A8"/>
    <w:rsid w:val="002A7457"/>
    <w:rsid w:val="002A7737"/>
    <w:rsid w:val="002A7AC5"/>
    <w:rsid w:val="002B0000"/>
    <w:rsid w:val="002B0008"/>
    <w:rsid w:val="002B003D"/>
    <w:rsid w:val="002B06EE"/>
    <w:rsid w:val="002B07D6"/>
    <w:rsid w:val="002B0A57"/>
    <w:rsid w:val="002B0DB2"/>
    <w:rsid w:val="002B1C0B"/>
    <w:rsid w:val="002B1DA6"/>
    <w:rsid w:val="002B1F17"/>
    <w:rsid w:val="002B1FAE"/>
    <w:rsid w:val="002B250C"/>
    <w:rsid w:val="002B2663"/>
    <w:rsid w:val="002B2A41"/>
    <w:rsid w:val="002B2B16"/>
    <w:rsid w:val="002B3346"/>
    <w:rsid w:val="002B342D"/>
    <w:rsid w:val="002B34C5"/>
    <w:rsid w:val="002B3B4C"/>
    <w:rsid w:val="002B3B9E"/>
    <w:rsid w:val="002B3C6F"/>
    <w:rsid w:val="002B3EEE"/>
    <w:rsid w:val="002B426F"/>
    <w:rsid w:val="002B49DB"/>
    <w:rsid w:val="002B4B94"/>
    <w:rsid w:val="002B53CF"/>
    <w:rsid w:val="002B544C"/>
    <w:rsid w:val="002B598D"/>
    <w:rsid w:val="002B59D2"/>
    <w:rsid w:val="002B61BC"/>
    <w:rsid w:val="002B6554"/>
    <w:rsid w:val="002B6D88"/>
    <w:rsid w:val="002B72EA"/>
    <w:rsid w:val="002B74D4"/>
    <w:rsid w:val="002B7A96"/>
    <w:rsid w:val="002B7B61"/>
    <w:rsid w:val="002C0763"/>
    <w:rsid w:val="002C0C20"/>
    <w:rsid w:val="002C0E20"/>
    <w:rsid w:val="002C11E2"/>
    <w:rsid w:val="002C1343"/>
    <w:rsid w:val="002C19B8"/>
    <w:rsid w:val="002C1C4F"/>
    <w:rsid w:val="002C25AD"/>
    <w:rsid w:val="002C2859"/>
    <w:rsid w:val="002C2B96"/>
    <w:rsid w:val="002C2CE1"/>
    <w:rsid w:val="002C2DBC"/>
    <w:rsid w:val="002C3360"/>
    <w:rsid w:val="002C35DB"/>
    <w:rsid w:val="002C3B08"/>
    <w:rsid w:val="002C3E4C"/>
    <w:rsid w:val="002C405B"/>
    <w:rsid w:val="002C420D"/>
    <w:rsid w:val="002C4601"/>
    <w:rsid w:val="002C4688"/>
    <w:rsid w:val="002C4793"/>
    <w:rsid w:val="002C4B24"/>
    <w:rsid w:val="002C4B8A"/>
    <w:rsid w:val="002C5267"/>
    <w:rsid w:val="002C583B"/>
    <w:rsid w:val="002C585A"/>
    <w:rsid w:val="002C622A"/>
    <w:rsid w:val="002C654D"/>
    <w:rsid w:val="002C6C92"/>
    <w:rsid w:val="002C715A"/>
    <w:rsid w:val="002C728D"/>
    <w:rsid w:val="002C765F"/>
    <w:rsid w:val="002C7AB6"/>
    <w:rsid w:val="002D002B"/>
    <w:rsid w:val="002D01E5"/>
    <w:rsid w:val="002D0382"/>
    <w:rsid w:val="002D0B34"/>
    <w:rsid w:val="002D0E7A"/>
    <w:rsid w:val="002D1171"/>
    <w:rsid w:val="002D1645"/>
    <w:rsid w:val="002D1649"/>
    <w:rsid w:val="002D22FA"/>
    <w:rsid w:val="002D2B65"/>
    <w:rsid w:val="002D2E0C"/>
    <w:rsid w:val="002D3984"/>
    <w:rsid w:val="002D3CC6"/>
    <w:rsid w:val="002D4320"/>
    <w:rsid w:val="002D452D"/>
    <w:rsid w:val="002D4618"/>
    <w:rsid w:val="002D464C"/>
    <w:rsid w:val="002D4902"/>
    <w:rsid w:val="002D4C32"/>
    <w:rsid w:val="002D535F"/>
    <w:rsid w:val="002D54A7"/>
    <w:rsid w:val="002D55B9"/>
    <w:rsid w:val="002D565E"/>
    <w:rsid w:val="002D5686"/>
    <w:rsid w:val="002D5974"/>
    <w:rsid w:val="002D6167"/>
    <w:rsid w:val="002D6186"/>
    <w:rsid w:val="002D6207"/>
    <w:rsid w:val="002D6285"/>
    <w:rsid w:val="002D71C7"/>
    <w:rsid w:val="002D736B"/>
    <w:rsid w:val="002D7555"/>
    <w:rsid w:val="002D7A10"/>
    <w:rsid w:val="002D7D23"/>
    <w:rsid w:val="002E00DA"/>
    <w:rsid w:val="002E0220"/>
    <w:rsid w:val="002E088D"/>
    <w:rsid w:val="002E0A71"/>
    <w:rsid w:val="002E1837"/>
    <w:rsid w:val="002E1AFB"/>
    <w:rsid w:val="002E3100"/>
    <w:rsid w:val="002E3344"/>
    <w:rsid w:val="002E3B40"/>
    <w:rsid w:val="002E3DC8"/>
    <w:rsid w:val="002E4467"/>
    <w:rsid w:val="002E48E9"/>
    <w:rsid w:val="002E4937"/>
    <w:rsid w:val="002E4D11"/>
    <w:rsid w:val="002E4EE7"/>
    <w:rsid w:val="002E5176"/>
    <w:rsid w:val="002E6361"/>
    <w:rsid w:val="002E6C0E"/>
    <w:rsid w:val="002E6ED9"/>
    <w:rsid w:val="002E719D"/>
    <w:rsid w:val="002E71CE"/>
    <w:rsid w:val="002E73A8"/>
    <w:rsid w:val="002E75BB"/>
    <w:rsid w:val="002E762D"/>
    <w:rsid w:val="002F0065"/>
    <w:rsid w:val="002F021B"/>
    <w:rsid w:val="002F0384"/>
    <w:rsid w:val="002F095E"/>
    <w:rsid w:val="002F0C48"/>
    <w:rsid w:val="002F1159"/>
    <w:rsid w:val="002F1D45"/>
    <w:rsid w:val="002F2165"/>
    <w:rsid w:val="002F2575"/>
    <w:rsid w:val="002F2688"/>
    <w:rsid w:val="002F27DC"/>
    <w:rsid w:val="002F3501"/>
    <w:rsid w:val="002F372E"/>
    <w:rsid w:val="002F3C26"/>
    <w:rsid w:val="002F434B"/>
    <w:rsid w:val="002F44A3"/>
    <w:rsid w:val="002F4551"/>
    <w:rsid w:val="002F4906"/>
    <w:rsid w:val="002F4A91"/>
    <w:rsid w:val="002F50C8"/>
    <w:rsid w:val="002F510C"/>
    <w:rsid w:val="002F5457"/>
    <w:rsid w:val="002F57BD"/>
    <w:rsid w:val="002F63D1"/>
    <w:rsid w:val="002F63F0"/>
    <w:rsid w:val="002F6791"/>
    <w:rsid w:val="002F6D2A"/>
    <w:rsid w:val="002F6D71"/>
    <w:rsid w:val="002F7362"/>
    <w:rsid w:val="002F756A"/>
    <w:rsid w:val="002F7E7D"/>
    <w:rsid w:val="00300145"/>
    <w:rsid w:val="00300250"/>
    <w:rsid w:val="003006CD"/>
    <w:rsid w:val="0030077A"/>
    <w:rsid w:val="00300AD0"/>
    <w:rsid w:val="00300CA5"/>
    <w:rsid w:val="00300D64"/>
    <w:rsid w:val="0030103B"/>
    <w:rsid w:val="0030134E"/>
    <w:rsid w:val="00301486"/>
    <w:rsid w:val="003017E5"/>
    <w:rsid w:val="00301934"/>
    <w:rsid w:val="00301C1C"/>
    <w:rsid w:val="00301DCF"/>
    <w:rsid w:val="00301DD5"/>
    <w:rsid w:val="003021F9"/>
    <w:rsid w:val="00302263"/>
    <w:rsid w:val="003027BB"/>
    <w:rsid w:val="00302E5E"/>
    <w:rsid w:val="003038A3"/>
    <w:rsid w:val="00304376"/>
    <w:rsid w:val="003046AA"/>
    <w:rsid w:val="0030486A"/>
    <w:rsid w:val="00304B82"/>
    <w:rsid w:val="00305595"/>
    <w:rsid w:val="00306606"/>
    <w:rsid w:val="00307076"/>
    <w:rsid w:val="003070FD"/>
    <w:rsid w:val="00310195"/>
    <w:rsid w:val="00310551"/>
    <w:rsid w:val="00310BD8"/>
    <w:rsid w:val="00310EA3"/>
    <w:rsid w:val="00310F27"/>
    <w:rsid w:val="00310F6C"/>
    <w:rsid w:val="00311198"/>
    <w:rsid w:val="00311A71"/>
    <w:rsid w:val="00311BA6"/>
    <w:rsid w:val="00311D30"/>
    <w:rsid w:val="00311F38"/>
    <w:rsid w:val="00312447"/>
    <w:rsid w:val="00312AE9"/>
    <w:rsid w:val="00312EA3"/>
    <w:rsid w:val="00312FA7"/>
    <w:rsid w:val="00313022"/>
    <w:rsid w:val="0031307D"/>
    <w:rsid w:val="00313518"/>
    <w:rsid w:val="00313954"/>
    <w:rsid w:val="00313A04"/>
    <w:rsid w:val="00314305"/>
    <w:rsid w:val="00314845"/>
    <w:rsid w:val="0031500A"/>
    <w:rsid w:val="0031507C"/>
    <w:rsid w:val="00315192"/>
    <w:rsid w:val="003154A9"/>
    <w:rsid w:val="00315639"/>
    <w:rsid w:val="00316392"/>
    <w:rsid w:val="003167ED"/>
    <w:rsid w:val="00316B9D"/>
    <w:rsid w:val="00316F81"/>
    <w:rsid w:val="00316FEC"/>
    <w:rsid w:val="0031714F"/>
    <w:rsid w:val="003173DF"/>
    <w:rsid w:val="003178CB"/>
    <w:rsid w:val="00317B97"/>
    <w:rsid w:val="00317F62"/>
    <w:rsid w:val="003201F8"/>
    <w:rsid w:val="0032050F"/>
    <w:rsid w:val="00320B13"/>
    <w:rsid w:val="0032125A"/>
    <w:rsid w:val="00321D34"/>
    <w:rsid w:val="00321E51"/>
    <w:rsid w:val="00322151"/>
    <w:rsid w:val="00322AED"/>
    <w:rsid w:val="00322E72"/>
    <w:rsid w:val="00322ED5"/>
    <w:rsid w:val="003230A5"/>
    <w:rsid w:val="003232F5"/>
    <w:rsid w:val="00323698"/>
    <w:rsid w:val="00323FFC"/>
    <w:rsid w:val="0032411E"/>
    <w:rsid w:val="00324267"/>
    <w:rsid w:val="003253C6"/>
    <w:rsid w:val="003254E6"/>
    <w:rsid w:val="0032589E"/>
    <w:rsid w:val="003263D4"/>
    <w:rsid w:val="00326761"/>
    <w:rsid w:val="00326CFB"/>
    <w:rsid w:val="00326F8D"/>
    <w:rsid w:val="00327ADC"/>
    <w:rsid w:val="00327BEA"/>
    <w:rsid w:val="003301E3"/>
    <w:rsid w:val="00330478"/>
    <w:rsid w:val="00330739"/>
    <w:rsid w:val="00330782"/>
    <w:rsid w:val="00330A95"/>
    <w:rsid w:val="003310BB"/>
    <w:rsid w:val="0033127D"/>
    <w:rsid w:val="0033162E"/>
    <w:rsid w:val="003317B8"/>
    <w:rsid w:val="003317C9"/>
    <w:rsid w:val="00331CAE"/>
    <w:rsid w:val="00332085"/>
    <w:rsid w:val="0033284A"/>
    <w:rsid w:val="00332D9D"/>
    <w:rsid w:val="00333109"/>
    <w:rsid w:val="00333666"/>
    <w:rsid w:val="00333EA3"/>
    <w:rsid w:val="00334923"/>
    <w:rsid w:val="00334DA8"/>
    <w:rsid w:val="00334F21"/>
    <w:rsid w:val="003352A0"/>
    <w:rsid w:val="00335526"/>
    <w:rsid w:val="00335576"/>
    <w:rsid w:val="00335FDA"/>
    <w:rsid w:val="003361A1"/>
    <w:rsid w:val="003361AE"/>
    <w:rsid w:val="0033626E"/>
    <w:rsid w:val="0033647A"/>
    <w:rsid w:val="003369A0"/>
    <w:rsid w:val="00336A6A"/>
    <w:rsid w:val="00336BA0"/>
    <w:rsid w:val="00337368"/>
    <w:rsid w:val="00337410"/>
    <w:rsid w:val="00337508"/>
    <w:rsid w:val="00337846"/>
    <w:rsid w:val="00337AFC"/>
    <w:rsid w:val="0034024F"/>
    <w:rsid w:val="00340576"/>
    <w:rsid w:val="003408C0"/>
    <w:rsid w:val="00340A75"/>
    <w:rsid w:val="00340C27"/>
    <w:rsid w:val="00340D7E"/>
    <w:rsid w:val="003411C0"/>
    <w:rsid w:val="00342635"/>
    <w:rsid w:val="00342BE3"/>
    <w:rsid w:val="00343451"/>
    <w:rsid w:val="00343835"/>
    <w:rsid w:val="00343988"/>
    <w:rsid w:val="00343D33"/>
    <w:rsid w:val="00344FC2"/>
    <w:rsid w:val="003459AF"/>
    <w:rsid w:val="00346046"/>
    <w:rsid w:val="00346497"/>
    <w:rsid w:val="0034662B"/>
    <w:rsid w:val="003466EF"/>
    <w:rsid w:val="0034670F"/>
    <w:rsid w:val="00346ABF"/>
    <w:rsid w:val="00347748"/>
    <w:rsid w:val="003479AB"/>
    <w:rsid w:val="00347D27"/>
    <w:rsid w:val="00347DC8"/>
    <w:rsid w:val="00347DD6"/>
    <w:rsid w:val="00347F5E"/>
    <w:rsid w:val="00350E11"/>
    <w:rsid w:val="00351549"/>
    <w:rsid w:val="00351727"/>
    <w:rsid w:val="00352116"/>
    <w:rsid w:val="003522FB"/>
    <w:rsid w:val="00352302"/>
    <w:rsid w:val="003526E7"/>
    <w:rsid w:val="0035294B"/>
    <w:rsid w:val="00353063"/>
    <w:rsid w:val="00353553"/>
    <w:rsid w:val="00353792"/>
    <w:rsid w:val="00353931"/>
    <w:rsid w:val="00353967"/>
    <w:rsid w:val="00353FBE"/>
    <w:rsid w:val="003546BA"/>
    <w:rsid w:val="003550EB"/>
    <w:rsid w:val="00355171"/>
    <w:rsid w:val="00355289"/>
    <w:rsid w:val="003556DC"/>
    <w:rsid w:val="0035585B"/>
    <w:rsid w:val="00355C11"/>
    <w:rsid w:val="00356C0A"/>
    <w:rsid w:val="00356CB6"/>
    <w:rsid w:val="00356E44"/>
    <w:rsid w:val="003573A9"/>
    <w:rsid w:val="00357426"/>
    <w:rsid w:val="003600C5"/>
    <w:rsid w:val="003600E1"/>
    <w:rsid w:val="00360540"/>
    <w:rsid w:val="003608BE"/>
    <w:rsid w:val="00360CC4"/>
    <w:rsid w:val="00360CE1"/>
    <w:rsid w:val="00360D35"/>
    <w:rsid w:val="00360DD5"/>
    <w:rsid w:val="00360EB9"/>
    <w:rsid w:val="00361671"/>
    <w:rsid w:val="00361ADC"/>
    <w:rsid w:val="00362407"/>
    <w:rsid w:val="00362F66"/>
    <w:rsid w:val="00363200"/>
    <w:rsid w:val="00363367"/>
    <w:rsid w:val="0036336C"/>
    <w:rsid w:val="00363404"/>
    <w:rsid w:val="00363774"/>
    <w:rsid w:val="00363D01"/>
    <w:rsid w:val="0036543A"/>
    <w:rsid w:val="0036568A"/>
    <w:rsid w:val="003656CA"/>
    <w:rsid w:val="003661E5"/>
    <w:rsid w:val="00366528"/>
    <w:rsid w:val="00367010"/>
    <w:rsid w:val="00367965"/>
    <w:rsid w:val="00367BD9"/>
    <w:rsid w:val="003701B3"/>
    <w:rsid w:val="00370303"/>
    <w:rsid w:val="0037053A"/>
    <w:rsid w:val="003709A3"/>
    <w:rsid w:val="003714BE"/>
    <w:rsid w:val="00371842"/>
    <w:rsid w:val="00371F6E"/>
    <w:rsid w:val="0037243A"/>
    <w:rsid w:val="00372BBD"/>
    <w:rsid w:val="00372D83"/>
    <w:rsid w:val="00373588"/>
    <w:rsid w:val="00373605"/>
    <w:rsid w:val="00373A79"/>
    <w:rsid w:val="00373B27"/>
    <w:rsid w:val="00373F13"/>
    <w:rsid w:val="0037445E"/>
    <w:rsid w:val="003744A4"/>
    <w:rsid w:val="0037456F"/>
    <w:rsid w:val="00374C49"/>
    <w:rsid w:val="00374C94"/>
    <w:rsid w:val="00374F9B"/>
    <w:rsid w:val="00375009"/>
    <w:rsid w:val="003751F1"/>
    <w:rsid w:val="00376206"/>
    <w:rsid w:val="00376280"/>
    <w:rsid w:val="00376305"/>
    <w:rsid w:val="00376508"/>
    <w:rsid w:val="00377313"/>
    <w:rsid w:val="003774BA"/>
    <w:rsid w:val="00377C7E"/>
    <w:rsid w:val="00377E40"/>
    <w:rsid w:val="0038012B"/>
    <w:rsid w:val="00380992"/>
    <w:rsid w:val="0038147C"/>
    <w:rsid w:val="00381D4B"/>
    <w:rsid w:val="003825FA"/>
    <w:rsid w:val="003826C7"/>
    <w:rsid w:val="003828B3"/>
    <w:rsid w:val="003828B6"/>
    <w:rsid w:val="00382AA1"/>
    <w:rsid w:val="003832C4"/>
    <w:rsid w:val="0038376A"/>
    <w:rsid w:val="003838B3"/>
    <w:rsid w:val="00383CFF"/>
    <w:rsid w:val="0038410B"/>
    <w:rsid w:val="003844A8"/>
    <w:rsid w:val="003848E7"/>
    <w:rsid w:val="00384D60"/>
    <w:rsid w:val="0038538E"/>
    <w:rsid w:val="00385644"/>
    <w:rsid w:val="0038596E"/>
    <w:rsid w:val="00386929"/>
    <w:rsid w:val="00386AF1"/>
    <w:rsid w:val="00386BF8"/>
    <w:rsid w:val="00386C9C"/>
    <w:rsid w:val="003871E1"/>
    <w:rsid w:val="003876D5"/>
    <w:rsid w:val="003877C1"/>
    <w:rsid w:val="003879C3"/>
    <w:rsid w:val="00387E97"/>
    <w:rsid w:val="00387EEE"/>
    <w:rsid w:val="00390290"/>
    <w:rsid w:val="0039062A"/>
    <w:rsid w:val="00390878"/>
    <w:rsid w:val="00390B13"/>
    <w:rsid w:val="00390E4E"/>
    <w:rsid w:val="00391025"/>
    <w:rsid w:val="003910F8"/>
    <w:rsid w:val="0039207A"/>
    <w:rsid w:val="0039215D"/>
    <w:rsid w:val="003925E0"/>
    <w:rsid w:val="00392610"/>
    <w:rsid w:val="00392841"/>
    <w:rsid w:val="003929D8"/>
    <w:rsid w:val="0039337F"/>
    <w:rsid w:val="00393905"/>
    <w:rsid w:val="00393BD5"/>
    <w:rsid w:val="003941B6"/>
    <w:rsid w:val="003949A7"/>
    <w:rsid w:val="00394BDF"/>
    <w:rsid w:val="00394E1B"/>
    <w:rsid w:val="00394E74"/>
    <w:rsid w:val="0039548B"/>
    <w:rsid w:val="003955DE"/>
    <w:rsid w:val="0039577D"/>
    <w:rsid w:val="00395D53"/>
    <w:rsid w:val="003964D0"/>
    <w:rsid w:val="003967E5"/>
    <w:rsid w:val="00396BC2"/>
    <w:rsid w:val="00396DA4"/>
    <w:rsid w:val="003974CD"/>
    <w:rsid w:val="00397C9E"/>
    <w:rsid w:val="003A12B3"/>
    <w:rsid w:val="003A19C7"/>
    <w:rsid w:val="003A1B00"/>
    <w:rsid w:val="003A1CFE"/>
    <w:rsid w:val="003A221F"/>
    <w:rsid w:val="003A243B"/>
    <w:rsid w:val="003A2B87"/>
    <w:rsid w:val="003A2DFE"/>
    <w:rsid w:val="003A35B1"/>
    <w:rsid w:val="003A35EB"/>
    <w:rsid w:val="003A3766"/>
    <w:rsid w:val="003A39A5"/>
    <w:rsid w:val="003A3B1E"/>
    <w:rsid w:val="003A4E32"/>
    <w:rsid w:val="003A4E8F"/>
    <w:rsid w:val="003A5254"/>
    <w:rsid w:val="003A5552"/>
    <w:rsid w:val="003A57E0"/>
    <w:rsid w:val="003A6431"/>
    <w:rsid w:val="003A663E"/>
    <w:rsid w:val="003A6B26"/>
    <w:rsid w:val="003A6CC5"/>
    <w:rsid w:val="003A73BA"/>
    <w:rsid w:val="003A7669"/>
    <w:rsid w:val="003A7C39"/>
    <w:rsid w:val="003A7D45"/>
    <w:rsid w:val="003A7EA8"/>
    <w:rsid w:val="003B04CA"/>
    <w:rsid w:val="003B0BB0"/>
    <w:rsid w:val="003B0C26"/>
    <w:rsid w:val="003B0FB8"/>
    <w:rsid w:val="003B1753"/>
    <w:rsid w:val="003B1AA5"/>
    <w:rsid w:val="003B22B3"/>
    <w:rsid w:val="003B22E3"/>
    <w:rsid w:val="003B236A"/>
    <w:rsid w:val="003B2A12"/>
    <w:rsid w:val="003B2D8F"/>
    <w:rsid w:val="003B3666"/>
    <w:rsid w:val="003B44FD"/>
    <w:rsid w:val="003B4BD7"/>
    <w:rsid w:val="003B4E85"/>
    <w:rsid w:val="003B4FEA"/>
    <w:rsid w:val="003B53B4"/>
    <w:rsid w:val="003B560C"/>
    <w:rsid w:val="003B5A78"/>
    <w:rsid w:val="003B5CCE"/>
    <w:rsid w:val="003B5F5E"/>
    <w:rsid w:val="003B6698"/>
    <w:rsid w:val="003B66FF"/>
    <w:rsid w:val="003B677D"/>
    <w:rsid w:val="003B6D79"/>
    <w:rsid w:val="003B70C5"/>
    <w:rsid w:val="003B796A"/>
    <w:rsid w:val="003B7DD4"/>
    <w:rsid w:val="003B7E0B"/>
    <w:rsid w:val="003C0150"/>
    <w:rsid w:val="003C0640"/>
    <w:rsid w:val="003C0FA7"/>
    <w:rsid w:val="003C14E5"/>
    <w:rsid w:val="003C1A7E"/>
    <w:rsid w:val="003C1CBC"/>
    <w:rsid w:val="003C1DBC"/>
    <w:rsid w:val="003C2367"/>
    <w:rsid w:val="003C25EF"/>
    <w:rsid w:val="003C26DE"/>
    <w:rsid w:val="003C2839"/>
    <w:rsid w:val="003C2950"/>
    <w:rsid w:val="003C29A0"/>
    <w:rsid w:val="003C2ADA"/>
    <w:rsid w:val="003C2E58"/>
    <w:rsid w:val="003C38B6"/>
    <w:rsid w:val="003C395B"/>
    <w:rsid w:val="003C3F6E"/>
    <w:rsid w:val="003C4324"/>
    <w:rsid w:val="003C4417"/>
    <w:rsid w:val="003C44CF"/>
    <w:rsid w:val="003C454B"/>
    <w:rsid w:val="003C4A5A"/>
    <w:rsid w:val="003C4AD0"/>
    <w:rsid w:val="003C50C6"/>
    <w:rsid w:val="003C5116"/>
    <w:rsid w:val="003C5451"/>
    <w:rsid w:val="003C5813"/>
    <w:rsid w:val="003C5E53"/>
    <w:rsid w:val="003C5FA7"/>
    <w:rsid w:val="003C5FAD"/>
    <w:rsid w:val="003C64E5"/>
    <w:rsid w:val="003C661E"/>
    <w:rsid w:val="003C667D"/>
    <w:rsid w:val="003C68A3"/>
    <w:rsid w:val="003C6C21"/>
    <w:rsid w:val="003C6EA8"/>
    <w:rsid w:val="003C721A"/>
    <w:rsid w:val="003C7535"/>
    <w:rsid w:val="003C78E0"/>
    <w:rsid w:val="003D0133"/>
    <w:rsid w:val="003D016B"/>
    <w:rsid w:val="003D018E"/>
    <w:rsid w:val="003D0291"/>
    <w:rsid w:val="003D0381"/>
    <w:rsid w:val="003D0638"/>
    <w:rsid w:val="003D0697"/>
    <w:rsid w:val="003D08A8"/>
    <w:rsid w:val="003D08F7"/>
    <w:rsid w:val="003D2130"/>
    <w:rsid w:val="003D2446"/>
    <w:rsid w:val="003D32DF"/>
    <w:rsid w:val="003D39DA"/>
    <w:rsid w:val="003D3A89"/>
    <w:rsid w:val="003D3BAE"/>
    <w:rsid w:val="003D3C24"/>
    <w:rsid w:val="003D3E00"/>
    <w:rsid w:val="003D3F00"/>
    <w:rsid w:val="003D3F28"/>
    <w:rsid w:val="003D4389"/>
    <w:rsid w:val="003D4511"/>
    <w:rsid w:val="003D45CC"/>
    <w:rsid w:val="003D4772"/>
    <w:rsid w:val="003D486E"/>
    <w:rsid w:val="003D55B4"/>
    <w:rsid w:val="003D590A"/>
    <w:rsid w:val="003D5D1D"/>
    <w:rsid w:val="003D5D83"/>
    <w:rsid w:val="003D6339"/>
    <w:rsid w:val="003D6427"/>
    <w:rsid w:val="003D6B22"/>
    <w:rsid w:val="003D6D9A"/>
    <w:rsid w:val="003D6FC1"/>
    <w:rsid w:val="003D7099"/>
    <w:rsid w:val="003D73C3"/>
    <w:rsid w:val="003D7510"/>
    <w:rsid w:val="003D75FF"/>
    <w:rsid w:val="003D761E"/>
    <w:rsid w:val="003D7753"/>
    <w:rsid w:val="003E04FD"/>
    <w:rsid w:val="003E13B6"/>
    <w:rsid w:val="003E13D4"/>
    <w:rsid w:val="003E160C"/>
    <w:rsid w:val="003E1833"/>
    <w:rsid w:val="003E1928"/>
    <w:rsid w:val="003E1AA1"/>
    <w:rsid w:val="003E1D6D"/>
    <w:rsid w:val="003E1EDC"/>
    <w:rsid w:val="003E1F6D"/>
    <w:rsid w:val="003E2316"/>
    <w:rsid w:val="003E2749"/>
    <w:rsid w:val="003E2EE8"/>
    <w:rsid w:val="003E31F8"/>
    <w:rsid w:val="003E330E"/>
    <w:rsid w:val="003E3BF9"/>
    <w:rsid w:val="003E3C9B"/>
    <w:rsid w:val="003E3EDA"/>
    <w:rsid w:val="003E40DF"/>
    <w:rsid w:val="003E40EA"/>
    <w:rsid w:val="003E43AC"/>
    <w:rsid w:val="003E459C"/>
    <w:rsid w:val="003E4D3F"/>
    <w:rsid w:val="003E517A"/>
    <w:rsid w:val="003E51E3"/>
    <w:rsid w:val="003E5241"/>
    <w:rsid w:val="003E528A"/>
    <w:rsid w:val="003E53EB"/>
    <w:rsid w:val="003E5408"/>
    <w:rsid w:val="003E586C"/>
    <w:rsid w:val="003E5CDC"/>
    <w:rsid w:val="003E5DFF"/>
    <w:rsid w:val="003E5E2E"/>
    <w:rsid w:val="003E6079"/>
    <w:rsid w:val="003E6091"/>
    <w:rsid w:val="003E631D"/>
    <w:rsid w:val="003E6360"/>
    <w:rsid w:val="003E6C92"/>
    <w:rsid w:val="003E6E06"/>
    <w:rsid w:val="003E6E31"/>
    <w:rsid w:val="003E6FCA"/>
    <w:rsid w:val="003E7334"/>
    <w:rsid w:val="003E763F"/>
    <w:rsid w:val="003E7982"/>
    <w:rsid w:val="003E79A6"/>
    <w:rsid w:val="003E7AFC"/>
    <w:rsid w:val="003F057A"/>
    <w:rsid w:val="003F0C5E"/>
    <w:rsid w:val="003F0D07"/>
    <w:rsid w:val="003F1134"/>
    <w:rsid w:val="003F1173"/>
    <w:rsid w:val="003F174C"/>
    <w:rsid w:val="003F277D"/>
    <w:rsid w:val="003F27F5"/>
    <w:rsid w:val="003F29A4"/>
    <w:rsid w:val="003F2A58"/>
    <w:rsid w:val="003F2ED0"/>
    <w:rsid w:val="003F345D"/>
    <w:rsid w:val="003F377E"/>
    <w:rsid w:val="003F3CE9"/>
    <w:rsid w:val="003F4AED"/>
    <w:rsid w:val="003F4BC9"/>
    <w:rsid w:val="003F4BD0"/>
    <w:rsid w:val="003F4C9B"/>
    <w:rsid w:val="003F4CBE"/>
    <w:rsid w:val="003F62E7"/>
    <w:rsid w:val="003F6321"/>
    <w:rsid w:val="003F6D8A"/>
    <w:rsid w:val="003F7467"/>
    <w:rsid w:val="003F7799"/>
    <w:rsid w:val="003F7ADD"/>
    <w:rsid w:val="003F7CD2"/>
    <w:rsid w:val="003F7E20"/>
    <w:rsid w:val="0040001D"/>
    <w:rsid w:val="0040077B"/>
    <w:rsid w:val="00400B42"/>
    <w:rsid w:val="004014F0"/>
    <w:rsid w:val="00401931"/>
    <w:rsid w:val="004023F7"/>
    <w:rsid w:val="0040296A"/>
    <w:rsid w:val="00402B0F"/>
    <w:rsid w:val="00403969"/>
    <w:rsid w:val="004040D3"/>
    <w:rsid w:val="004043AC"/>
    <w:rsid w:val="004043EB"/>
    <w:rsid w:val="00404E54"/>
    <w:rsid w:val="00405A93"/>
    <w:rsid w:val="00405B9F"/>
    <w:rsid w:val="00405D0E"/>
    <w:rsid w:val="004064CA"/>
    <w:rsid w:val="00406608"/>
    <w:rsid w:val="00406717"/>
    <w:rsid w:val="004067B2"/>
    <w:rsid w:val="00406938"/>
    <w:rsid w:val="00406B97"/>
    <w:rsid w:val="00406D40"/>
    <w:rsid w:val="0040747E"/>
    <w:rsid w:val="004075A6"/>
    <w:rsid w:val="004108A2"/>
    <w:rsid w:val="00411A6A"/>
    <w:rsid w:val="00411AB4"/>
    <w:rsid w:val="00411D5C"/>
    <w:rsid w:val="00411DE3"/>
    <w:rsid w:val="0041225B"/>
    <w:rsid w:val="0041232A"/>
    <w:rsid w:val="00412CAC"/>
    <w:rsid w:val="00412DB1"/>
    <w:rsid w:val="0041321F"/>
    <w:rsid w:val="004134FA"/>
    <w:rsid w:val="004137EA"/>
    <w:rsid w:val="00413A79"/>
    <w:rsid w:val="00413FDF"/>
    <w:rsid w:val="004140CD"/>
    <w:rsid w:val="00414366"/>
    <w:rsid w:val="004149CF"/>
    <w:rsid w:val="00414A6D"/>
    <w:rsid w:val="00414DE9"/>
    <w:rsid w:val="00414E8A"/>
    <w:rsid w:val="004152CA"/>
    <w:rsid w:val="0041548D"/>
    <w:rsid w:val="004156B1"/>
    <w:rsid w:val="00416869"/>
    <w:rsid w:val="00417203"/>
    <w:rsid w:val="004173BD"/>
    <w:rsid w:val="004173BF"/>
    <w:rsid w:val="00417468"/>
    <w:rsid w:val="00417736"/>
    <w:rsid w:val="0041795C"/>
    <w:rsid w:val="00417C7C"/>
    <w:rsid w:val="00417E1A"/>
    <w:rsid w:val="004201C4"/>
    <w:rsid w:val="004201E8"/>
    <w:rsid w:val="00420583"/>
    <w:rsid w:val="00420722"/>
    <w:rsid w:val="00420BFE"/>
    <w:rsid w:val="00421051"/>
    <w:rsid w:val="0042114B"/>
    <w:rsid w:val="00421203"/>
    <w:rsid w:val="00421250"/>
    <w:rsid w:val="00421423"/>
    <w:rsid w:val="00421476"/>
    <w:rsid w:val="00421888"/>
    <w:rsid w:val="00421BFE"/>
    <w:rsid w:val="004220F5"/>
    <w:rsid w:val="00422151"/>
    <w:rsid w:val="0042269D"/>
    <w:rsid w:val="004229D9"/>
    <w:rsid w:val="00422BAC"/>
    <w:rsid w:val="0042318F"/>
    <w:rsid w:val="00423590"/>
    <w:rsid w:val="00423B8A"/>
    <w:rsid w:val="00423DF0"/>
    <w:rsid w:val="00423FDC"/>
    <w:rsid w:val="004243F5"/>
    <w:rsid w:val="00425106"/>
    <w:rsid w:val="004251BE"/>
    <w:rsid w:val="00425272"/>
    <w:rsid w:val="00425581"/>
    <w:rsid w:val="00425599"/>
    <w:rsid w:val="00425955"/>
    <w:rsid w:val="00425B4C"/>
    <w:rsid w:val="00425CE4"/>
    <w:rsid w:val="00425E96"/>
    <w:rsid w:val="00425E9D"/>
    <w:rsid w:val="00426343"/>
    <w:rsid w:val="00426430"/>
    <w:rsid w:val="0042673E"/>
    <w:rsid w:val="00426838"/>
    <w:rsid w:val="004268F2"/>
    <w:rsid w:val="00426ABE"/>
    <w:rsid w:val="00426B47"/>
    <w:rsid w:val="0042773C"/>
    <w:rsid w:val="00427D13"/>
    <w:rsid w:val="0043000B"/>
    <w:rsid w:val="0043031B"/>
    <w:rsid w:val="004309DB"/>
    <w:rsid w:val="00430AE1"/>
    <w:rsid w:val="00430B38"/>
    <w:rsid w:val="00430D3D"/>
    <w:rsid w:val="00430FDB"/>
    <w:rsid w:val="00431225"/>
    <w:rsid w:val="00431392"/>
    <w:rsid w:val="004313D9"/>
    <w:rsid w:val="00431A10"/>
    <w:rsid w:val="00432012"/>
    <w:rsid w:val="00432534"/>
    <w:rsid w:val="0043271D"/>
    <w:rsid w:val="0043284B"/>
    <w:rsid w:val="00432DF4"/>
    <w:rsid w:val="00432E24"/>
    <w:rsid w:val="00433A2E"/>
    <w:rsid w:val="00433B06"/>
    <w:rsid w:val="00433BFC"/>
    <w:rsid w:val="00433E7A"/>
    <w:rsid w:val="00433EB9"/>
    <w:rsid w:val="00434BE0"/>
    <w:rsid w:val="00434D0B"/>
    <w:rsid w:val="00434FFC"/>
    <w:rsid w:val="00435291"/>
    <w:rsid w:val="004358E1"/>
    <w:rsid w:val="00435950"/>
    <w:rsid w:val="00435A10"/>
    <w:rsid w:val="00435A66"/>
    <w:rsid w:val="00435D04"/>
    <w:rsid w:val="0043624E"/>
    <w:rsid w:val="00436292"/>
    <w:rsid w:val="0043632F"/>
    <w:rsid w:val="00436678"/>
    <w:rsid w:val="0043689A"/>
    <w:rsid w:val="00436B04"/>
    <w:rsid w:val="00436B25"/>
    <w:rsid w:val="00436B4D"/>
    <w:rsid w:val="00436B5E"/>
    <w:rsid w:val="0043730D"/>
    <w:rsid w:val="00437379"/>
    <w:rsid w:val="0043758C"/>
    <w:rsid w:val="00437E8B"/>
    <w:rsid w:val="00437EDA"/>
    <w:rsid w:val="0044022F"/>
    <w:rsid w:val="00440253"/>
    <w:rsid w:val="00440274"/>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252"/>
    <w:rsid w:val="00443384"/>
    <w:rsid w:val="00443ED2"/>
    <w:rsid w:val="0044459F"/>
    <w:rsid w:val="0044469B"/>
    <w:rsid w:val="00444C12"/>
    <w:rsid w:val="00444F1F"/>
    <w:rsid w:val="00445466"/>
    <w:rsid w:val="004459DC"/>
    <w:rsid w:val="00446652"/>
    <w:rsid w:val="004468A6"/>
    <w:rsid w:val="00446B17"/>
    <w:rsid w:val="00446EE7"/>
    <w:rsid w:val="0044715C"/>
    <w:rsid w:val="0044749C"/>
    <w:rsid w:val="004474DC"/>
    <w:rsid w:val="00447567"/>
    <w:rsid w:val="004475DA"/>
    <w:rsid w:val="00447B46"/>
    <w:rsid w:val="00447C26"/>
    <w:rsid w:val="00450003"/>
    <w:rsid w:val="0045005A"/>
    <w:rsid w:val="004503E4"/>
    <w:rsid w:val="00450409"/>
    <w:rsid w:val="00450A9C"/>
    <w:rsid w:val="00450F4C"/>
    <w:rsid w:val="00451266"/>
    <w:rsid w:val="00451534"/>
    <w:rsid w:val="004517B4"/>
    <w:rsid w:val="0045199F"/>
    <w:rsid w:val="00451C23"/>
    <w:rsid w:val="00451CAF"/>
    <w:rsid w:val="00451CF5"/>
    <w:rsid w:val="00451F6E"/>
    <w:rsid w:val="00452048"/>
    <w:rsid w:val="00452050"/>
    <w:rsid w:val="0045285C"/>
    <w:rsid w:val="004529C3"/>
    <w:rsid w:val="00452A2A"/>
    <w:rsid w:val="00452EDD"/>
    <w:rsid w:val="00453487"/>
    <w:rsid w:val="0045395B"/>
    <w:rsid w:val="00453B09"/>
    <w:rsid w:val="00453E38"/>
    <w:rsid w:val="00454030"/>
    <w:rsid w:val="00454476"/>
    <w:rsid w:val="0045453D"/>
    <w:rsid w:val="004547F9"/>
    <w:rsid w:val="00454AB1"/>
    <w:rsid w:val="00454B74"/>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0CA7"/>
    <w:rsid w:val="0046109A"/>
    <w:rsid w:val="00461863"/>
    <w:rsid w:val="00461D5D"/>
    <w:rsid w:val="004624FF"/>
    <w:rsid w:val="004627C3"/>
    <w:rsid w:val="00462B8A"/>
    <w:rsid w:val="00462BC7"/>
    <w:rsid w:val="00463759"/>
    <w:rsid w:val="004637E0"/>
    <w:rsid w:val="00463CED"/>
    <w:rsid w:val="00463FF1"/>
    <w:rsid w:val="0046493D"/>
    <w:rsid w:val="00464E71"/>
    <w:rsid w:val="00464F43"/>
    <w:rsid w:val="00465167"/>
    <w:rsid w:val="00465793"/>
    <w:rsid w:val="00465BC9"/>
    <w:rsid w:val="004665E2"/>
    <w:rsid w:val="0046708C"/>
    <w:rsid w:val="00467309"/>
    <w:rsid w:val="00467C6E"/>
    <w:rsid w:val="00470791"/>
    <w:rsid w:val="004708AD"/>
    <w:rsid w:val="004708C2"/>
    <w:rsid w:val="004709A9"/>
    <w:rsid w:val="00470B39"/>
    <w:rsid w:val="00470E93"/>
    <w:rsid w:val="004710D3"/>
    <w:rsid w:val="00471314"/>
    <w:rsid w:val="00471349"/>
    <w:rsid w:val="004723AC"/>
    <w:rsid w:val="004723B5"/>
    <w:rsid w:val="0047313D"/>
    <w:rsid w:val="00473966"/>
    <w:rsid w:val="004739CF"/>
    <w:rsid w:val="00474055"/>
    <w:rsid w:val="0047468F"/>
    <w:rsid w:val="00474A7C"/>
    <w:rsid w:val="00474BD9"/>
    <w:rsid w:val="0047570E"/>
    <w:rsid w:val="00475E7C"/>
    <w:rsid w:val="004764F5"/>
    <w:rsid w:val="00476524"/>
    <w:rsid w:val="004769A1"/>
    <w:rsid w:val="00476C5C"/>
    <w:rsid w:val="00477111"/>
    <w:rsid w:val="0047759C"/>
    <w:rsid w:val="00477743"/>
    <w:rsid w:val="004777A7"/>
    <w:rsid w:val="00477D91"/>
    <w:rsid w:val="00477DDC"/>
    <w:rsid w:val="00477E36"/>
    <w:rsid w:val="00480561"/>
    <w:rsid w:val="004806D0"/>
    <w:rsid w:val="00480862"/>
    <w:rsid w:val="00480CBB"/>
    <w:rsid w:val="00480F97"/>
    <w:rsid w:val="00481571"/>
    <w:rsid w:val="004817AC"/>
    <w:rsid w:val="0048189A"/>
    <w:rsid w:val="004818A9"/>
    <w:rsid w:val="004819B2"/>
    <w:rsid w:val="00481AA4"/>
    <w:rsid w:val="00483659"/>
    <w:rsid w:val="00483CA8"/>
    <w:rsid w:val="00483EEC"/>
    <w:rsid w:val="004840AB"/>
    <w:rsid w:val="00484101"/>
    <w:rsid w:val="004846F7"/>
    <w:rsid w:val="00484BF7"/>
    <w:rsid w:val="00485788"/>
    <w:rsid w:val="00485996"/>
    <w:rsid w:val="004859E9"/>
    <w:rsid w:val="00485D0C"/>
    <w:rsid w:val="00486591"/>
    <w:rsid w:val="0048697B"/>
    <w:rsid w:val="00486F29"/>
    <w:rsid w:val="00486FB4"/>
    <w:rsid w:val="0048752C"/>
    <w:rsid w:val="00487683"/>
    <w:rsid w:val="004876BF"/>
    <w:rsid w:val="0048789D"/>
    <w:rsid w:val="004879A5"/>
    <w:rsid w:val="00487FD8"/>
    <w:rsid w:val="00490144"/>
    <w:rsid w:val="004903E2"/>
    <w:rsid w:val="00490D0A"/>
    <w:rsid w:val="00490D71"/>
    <w:rsid w:val="0049156A"/>
    <w:rsid w:val="0049177C"/>
    <w:rsid w:val="00491787"/>
    <w:rsid w:val="00491BD8"/>
    <w:rsid w:val="00491D89"/>
    <w:rsid w:val="004926D9"/>
    <w:rsid w:val="004928C4"/>
    <w:rsid w:val="00492BD6"/>
    <w:rsid w:val="00492C49"/>
    <w:rsid w:val="00492D60"/>
    <w:rsid w:val="00492D64"/>
    <w:rsid w:val="00493745"/>
    <w:rsid w:val="00493792"/>
    <w:rsid w:val="004938C4"/>
    <w:rsid w:val="00493B8E"/>
    <w:rsid w:val="0049435E"/>
    <w:rsid w:val="00494EC6"/>
    <w:rsid w:val="00495021"/>
    <w:rsid w:val="00495331"/>
    <w:rsid w:val="004954E4"/>
    <w:rsid w:val="00495716"/>
    <w:rsid w:val="004957B5"/>
    <w:rsid w:val="004957CB"/>
    <w:rsid w:val="0049583B"/>
    <w:rsid w:val="00495985"/>
    <w:rsid w:val="00495F28"/>
    <w:rsid w:val="00495FA3"/>
    <w:rsid w:val="004963D0"/>
    <w:rsid w:val="00496806"/>
    <w:rsid w:val="004968CE"/>
    <w:rsid w:val="00496DBF"/>
    <w:rsid w:val="00496DF1"/>
    <w:rsid w:val="00496E7A"/>
    <w:rsid w:val="00497007"/>
    <w:rsid w:val="0049720B"/>
    <w:rsid w:val="0049726C"/>
    <w:rsid w:val="0049738B"/>
    <w:rsid w:val="004973D6"/>
    <w:rsid w:val="004974BA"/>
    <w:rsid w:val="004975A1"/>
    <w:rsid w:val="0049787E"/>
    <w:rsid w:val="00497883"/>
    <w:rsid w:val="004979FD"/>
    <w:rsid w:val="00497CCD"/>
    <w:rsid w:val="00497F18"/>
    <w:rsid w:val="004A00CB"/>
    <w:rsid w:val="004A01EB"/>
    <w:rsid w:val="004A0D4C"/>
    <w:rsid w:val="004A1762"/>
    <w:rsid w:val="004A1F24"/>
    <w:rsid w:val="004A1F3E"/>
    <w:rsid w:val="004A1FC3"/>
    <w:rsid w:val="004A1FF5"/>
    <w:rsid w:val="004A219D"/>
    <w:rsid w:val="004A242D"/>
    <w:rsid w:val="004A26AD"/>
    <w:rsid w:val="004A28C1"/>
    <w:rsid w:val="004A2DCA"/>
    <w:rsid w:val="004A35B3"/>
    <w:rsid w:val="004A3805"/>
    <w:rsid w:val="004A38A2"/>
    <w:rsid w:val="004A38B0"/>
    <w:rsid w:val="004A38C2"/>
    <w:rsid w:val="004A3BD4"/>
    <w:rsid w:val="004A3CF3"/>
    <w:rsid w:val="004A3E79"/>
    <w:rsid w:val="004A3F6B"/>
    <w:rsid w:val="004A3F85"/>
    <w:rsid w:val="004A4740"/>
    <w:rsid w:val="004A4752"/>
    <w:rsid w:val="004A4A95"/>
    <w:rsid w:val="004A4AFC"/>
    <w:rsid w:val="004A4F7D"/>
    <w:rsid w:val="004A508C"/>
    <w:rsid w:val="004A54EC"/>
    <w:rsid w:val="004A5DF8"/>
    <w:rsid w:val="004A5FCE"/>
    <w:rsid w:val="004A6D58"/>
    <w:rsid w:val="004A6E5F"/>
    <w:rsid w:val="004A700E"/>
    <w:rsid w:val="004A72BF"/>
    <w:rsid w:val="004A72FD"/>
    <w:rsid w:val="004A7319"/>
    <w:rsid w:val="004A74C1"/>
    <w:rsid w:val="004A7930"/>
    <w:rsid w:val="004A7D27"/>
    <w:rsid w:val="004B0012"/>
    <w:rsid w:val="004B02B6"/>
    <w:rsid w:val="004B0B7A"/>
    <w:rsid w:val="004B10E9"/>
    <w:rsid w:val="004B1105"/>
    <w:rsid w:val="004B176F"/>
    <w:rsid w:val="004B18F9"/>
    <w:rsid w:val="004B1FF5"/>
    <w:rsid w:val="004B2111"/>
    <w:rsid w:val="004B30AC"/>
    <w:rsid w:val="004B3473"/>
    <w:rsid w:val="004B3679"/>
    <w:rsid w:val="004B39CE"/>
    <w:rsid w:val="004B41D0"/>
    <w:rsid w:val="004B4396"/>
    <w:rsid w:val="004B4653"/>
    <w:rsid w:val="004B46B5"/>
    <w:rsid w:val="004B485F"/>
    <w:rsid w:val="004B4899"/>
    <w:rsid w:val="004B4A1B"/>
    <w:rsid w:val="004B4C69"/>
    <w:rsid w:val="004B537C"/>
    <w:rsid w:val="004B5633"/>
    <w:rsid w:val="004B5919"/>
    <w:rsid w:val="004B5C87"/>
    <w:rsid w:val="004B5E0F"/>
    <w:rsid w:val="004B6228"/>
    <w:rsid w:val="004B6503"/>
    <w:rsid w:val="004B686D"/>
    <w:rsid w:val="004B6AD9"/>
    <w:rsid w:val="004B6BEA"/>
    <w:rsid w:val="004B6E52"/>
    <w:rsid w:val="004B7139"/>
    <w:rsid w:val="004B7178"/>
    <w:rsid w:val="004B77E8"/>
    <w:rsid w:val="004B7CA1"/>
    <w:rsid w:val="004B7ECA"/>
    <w:rsid w:val="004B7FBE"/>
    <w:rsid w:val="004C0154"/>
    <w:rsid w:val="004C0F21"/>
    <w:rsid w:val="004C1114"/>
    <w:rsid w:val="004C17E0"/>
    <w:rsid w:val="004C1D9E"/>
    <w:rsid w:val="004C1DA5"/>
    <w:rsid w:val="004C2101"/>
    <w:rsid w:val="004C21CC"/>
    <w:rsid w:val="004C233F"/>
    <w:rsid w:val="004C28CD"/>
    <w:rsid w:val="004C2CCD"/>
    <w:rsid w:val="004C303D"/>
    <w:rsid w:val="004C3C4D"/>
    <w:rsid w:val="004C3E30"/>
    <w:rsid w:val="004C438D"/>
    <w:rsid w:val="004C44E1"/>
    <w:rsid w:val="004C46A6"/>
    <w:rsid w:val="004C48BD"/>
    <w:rsid w:val="004C493C"/>
    <w:rsid w:val="004C5199"/>
    <w:rsid w:val="004C59DE"/>
    <w:rsid w:val="004C5A37"/>
    <w:rsid w:val="004C5CE3"/>
    <w:rsid w:val="004C5D8A"/>
    <w:rsid w:val="004C63C8"/>
    <w:rsid w:val="004C6520"/>
    <w:rsid w:val="004C6718"/>
    <w:rsid w:val="004C6A3C"/>
    <w:rsid w:val="004C6BAF"/>
    <w:rsid w:val="004C6C57"/>
    <w:rsid w:val="004C6C70"/>
    <w:rsid w:val="004C6F1D"/>
    <w:rsid w:val="004C7023"/>
    <w:rsid w:val="004C77A1"/>
    <w:rsid w:val="004C7863"/>
    <w:rsid w:val="004C78F6"/>
    <w:rsid w:val="004C792D"/>
    <w:rsid w:val="004C7E3D"/>
    <w:rsid w:val="004C7F07"/>
    <w:rsid w:val="004C7FB1"/>
    <w:rsid w:val="004D0218"/>
    <w:rsid w:val="004D03F2"/>
    <w:rsid w:val="004D08E6"/>
    <w:rsid w:val="004D1605"/>
    <w:rsid w:val="004D16DD"/>
    <w:rsid w:val="004D175C"/>
    <w:rsid w:val="004D2272"/>
    <w:rsid w:val="004D238A"/>
    <w:rsid w:val="004D2682"/>
    <w:rsid w:val="004D27C2"/>
    <w:rsid w:val="004D2863"/>
    <w:rsid w:val="004D29D1"/>
    <w:rsid w:val="004D2BA0"/>
    <w:rsid w:val="004D2E9B"/>
    <w:rsid w:val="004D2F2D"/>
    <w:rsid w:val="004D3683"/>
    <w:rsid w:val="004D3F21"/>
    <w:rsid w:val="004D3F68"/>
    <w:rsid w:val="004D45DD"/>
    <w:rsid w:val="004D4620"/>
    <w:rsid w:val="004D506B"/>
    <w:rsid w:val="004D5257"/>
    <w:rsid w:val="004D5369"/>
    <w:rsid w:val="004D5A35"/>
    <w:rsid w:val="004D604D"/>
    <w:rsid w:val="004D62FE"/>
    <w:rsid w:val="004D723D"/>
    <w:rsid w:val="004D7A78"/>
    <w:rsid w:val="004D7E13"/>
    <w:rsid w:val="004E0378"/>
    <w:rsid w:val="004E04A6"/>
    <w:rsid w:val="004E0B0E"/>
    <w:rsid w:val="004E0D14"/>
    <w:rsid w:val="004E0FBA"/>
    <w:rsid w:val="004E1369"/>
    <w:rsid w:val="004E1540"/>
    <w:rsid w:val="004E195C"/>
    <w:rsid w:val="004E19BA"/>
    <w:rsid w:val="004E1A25"/>
    <w:rsid w:val="004E1E9C"/>
    <w:rsid w:val="004E1F96"/>
    <w:rsid w:val="004E38E8"/>
    <w:rsid w:val="004E3AB8"/>
    <w:rsid w:val="004E3B63"/>
    <w:rsid w:val="004E3FBF"/>
    <w:rsid w:val="004E4038"/>
    <w:rsid w:val="004E41A7"/>
    <w:rsid w:val="004E49B7"/>
    <w:rsid w:val="004E4AD6"/>
    <w:rsid w:val="004E4E14"/>
    <w:rsid w:val="004E5103"/>
    <w:rsid w:val="004E53A1"/>
    <w:rsid w:val="004E566F"/>
    <w:rsid w:val="004E5698"/>
    <w:rsid w:val="004E5B84"/>
    <w:rsid w:val="004E5C83"/>
    <w:rsid w:val="004E5D30"/>
    <w:rsid w:val="004E648B"/>
    <w:rsid w:val="004E78CF"/>
    <w:rsid w:val="004F0019"/>
    <w:rsid w:val="004F02D1"/>
    <w:rsid w:val="004F0353"/>
    <w:rsid w:val="004F051B"/>
    <w:rsid w:val="004F055F"/>
    <w:rsid w:val="004F0608"/>
    <w:rsid w:val="004F0693"/>
    <w:rsid w:val="004F0A42"/>
    <w:rsid w:val="004F0CFC"/>
    <w:rsid w:val="004F11C0"/>
    <w:rsid w:val="004F1440"/>
    <w:rsid w:val="004F174C"/>
    <w:rsid w:val="004F1D19"/>
    <w:rsid w:val="004F21BC"/>
    <w:rsid w:val="004F2244"/>
    <w:rsid w:val="004F2621"/>
    <w:rsid w:val="004F28F0"/>
    <w:rsid w:val="004F2AD8"/>
    <w:rsid w:val="004F2EE3"/>
    <w:rsid w:val="004F36DF"/>
    <w:rsid w:val="004F3757"/>
    <w:rsid w:val="004F38BE"/>
    <w:rsid w:val="004F394E"/>
    <w:rsid w:val="004F445B"/>
    <w:rsid w:val="004F4565"/>
    <w:rsid w:val="004F48E4"/>
    <w:rsid w:val="004F4954"/>
    <w:rsid w:val="004F4DBF"/>
    <w:rsid w:val="004F4DFC"/>
    <w:rsid w:val="004F5131"/>
    <w:rsid w:val="004F51F0"/>
    <w:rsid w:val="004F5236"/>
    <w:rsid w:val="004F53C2"/>
    <w:rsid w:val="004F55EA"/>
    <w:rsid w:val="004F60BF"/>
    <w:rsid w:val="004F6D98"/>
    <w:rsid w:val="004F6DE7"/>
    <w:rsid w:val="004F6FC5"/>
    <w:rsid w:val="004F74C3"/>
    <w:rsid w:val="004F7515"/>
    <w:rsid w:val="004F7927"/>
    <w:rsid w:val="004F79B5"/>
    <w:rsid w:val="004F7AD4"/>
    <w:rsid w:val="004F7B5C"/>
    <w:rsid w:val="004F7F70"/>
    <w:rsid w:val="0050000A"/>
    <w:rsid w:val="0050012E"/>
    <w:rsid w:val="005003BE"/>
    <w:rsid w:val="00500BCB"/>
    <w:rsid w:val="00500DC0"/>
    <w:rsid w:val="00500E0B"/>
    <w:rsid w:val="00501473"/>
    <w:rsid w:val="005014CA"/>
    <w:rsid w:val="0050154B"/>
    <w:rsid w:val="005023E1"/>
    <w:rsid w:val="00502733"/>
    <w:rsid w:val="00502740"/>
    <w:rsid w:val="005027D1"/>
    <w:rsid w:val="005032B5"/>
    <w:rsid w:val="00503A1B"/>
    <w:rsid w:val="00504364"/>
    <w:rsid w:val="005047C9"/>
    <w:rsid w:val="00504A0F"/>
    <w:rsid w:val="00504F92"/>
    <w:rsid w:val="00505210"/>
    <w:rsid w:val="005052A2"/>
    <w:rsid w:val="00505658"/>
    <w:rsid w:val="00505B2A"/>
    <w:rsid w:val="005060C1"/>
    <w:rsid w:val="00506363"/>
    <w:rsid w:val="00506438"/>
    <w:rsid w:val="00506523"/>
    <w:rsid w:val="00506525"/>
    <w:rsid w:val="00506A5A"/>
    <w:rsid w:val="00506B5C"/>
    <w:rsid w:val="00506DD4"/>
    <w:rsid w:val="0050722D"/>
    <w:rsid w:val="005073DE"/>
    <w:rsid w:val="005073FA"/>
    <w:rsid w:val="005077CD"/>
    <w:rsid w:val="00507973"/>
    <w:rsid w:val="00507CEC"/>
    <w:rsid w:val="00507ED8"/>
    <w:rsid w:val="005102B4"/>
    <w:rsid w:val="005107A8"/>
    <w:rsid w:val="005109C4"/>
    <w:rsid w:val="00510BD3"/>
    <w:rsid w:val="005114A3"/>
    <w:rsid w:val="005118EB"/>
    <w:rsid w:val="005119DD"/>
    <w:rsid w:val="00511AC8"/>
    <w:rsid w:val="00511E0E"/>
    <w:rsid w:val="00511E57"/>
    <w:rsid w:val="00511EE2"/>
    <w:rsid w:val="00512370"/>
    <w:rsid w:val="0051287D"/>
    <w:rsid w:val="00512A69"/>
    <w:rsid w:val="00512D76"/>
    <w:rsid w:val="00513276"/>
    <w:rsid w:val="00513350"/>
    <w:rsid w:val="005137A2"/>
    <w:rsid w:val="00513AB7"/>
    <w:rsid w:val="00513B23"/>
    <w:rsid w:val="00513EDF"/>
    <w:rsid w:val="005148DA"/>
    <w:rsid w:val="00515204"/>
    <w:rsid w:val="005152D2"/>
    <w:rsid w:val="00515724"/>
    <w:rsid w:val="00515A9F"/>
    <w:rsid w:val="00515C23"/>
    <w:rsid w:val="00515E28"/>
    <w:rsid w:val="0051609A"/>
    <w:rsid w:val="005161F1"/>
    <w:rsid w:val="0051637E"/>
    <w:rsid w:val="00516B43"/>
    <w:rsid w:val="00516F66"/>
    <w:rsid w:val="005173E0"/>
    <w:rsid w:val="005174FE"/>
    <w:rsid w:val="00517CC4"/>
    <w:rsid w:val="00520366"/>
    <w:rsid w:val="0052087D"/>
    <w:rsid w:val="00520B6B"/>
    <w:rsid w:val="00520E72"/>
    <w:rsid w:val="00520E96"/>
    <w:rsid w:val="00521456"/>
    <w:rsid w:val="005226CB"/>
    <w:rsid w:val="0052276A"/>
    <w:rsid w:val="00522C25"/>
    <w:rsid w:val="00522C3C"/>
    <w:rsid w:val="0052312B"/>
    <w:rsid w:val="005231A2"/>
    <w:rsid w:val="00524146"/>
    <w:rsid w:val="00524B11"/>
    <w:rsid w:val="00524B49"/>
    <w:rsid w:val="00524CF5"/>
    <w:rsid w:val="00524EF0"/>
    <w:rsid w:val="00525076"/>
    <w:rsid w:val="00525240"/>
    <w:rsid w:val="005253E3"/>
    <w:rsid w:val="00525F56"/>
    <w:rsid w:val="005264C5"/>
    <w:rsid w:val="00526737"/>
    <w:rsid w:val="00526751"/>
    <w:rsid w:val="0052682D"/>
    <w:rsid w:val="00526C3C"/>
    <w:rsid w:val="00527059"/>
    <w:rsid w:val="00527782"/>
    <w:rsid w:val="005278B3"/>
    <w:rsid w:val="00527983"/>
    <w:rsid w:val="00527D06"/>
    <w:rsid w:val="0053020D"/>
    <w:rsid w:val="0053063E"/>
    <w:rsid w:val="00530816"/>
    <w:rsid w:val="00530CF6"/>
    <w:rsid w:val="00531092"/>
    <w:rsid w:val="0053158D"/>
    <w:rsid w:val="00531A6A"/>
    <w:rsid w:val="00531E88"/>
    <w:rsid w:val="005321B8"/>
    <w:rsid w:val="005323FE"/>
    <w:rsid w:val="00532EA1"/>
    <w:rsid w:val="00533B93"/>
    <w:rsid w:val="005342C5"/>
    <w:rsid w:val="005344DB"/>
    <w:rsid w:val="00534615"/>
    <w:rsid w:val="005347AC"/>
    <w:rsid w:val="00534C78"/>
    <w:rsid w:val="00534CE1"/>
    <w:rsid w:val="0053520F"/>
    <w:rsid w:val="0053537B"/>
    <w:rsid w:val="00535594"/>
    <w:rsid w:val="005356B7"/>
    <w:rsid w:val="005361B1"/>
    <w:rsid w:val="00536243"/>
    <w:rsid w:val="00536326"/>
    <w:rsid w:val="005364DE"/>
    <w:rsid w:val="00536613"/>
    <w:rsid w:val="00536B63"/>
    <w:rsid w:val="0053722C"/>
    <w:rsid w:val="00537715"/>
    <w:rsid w:val="00537BE5"/>
    <w:rsid w:val="0054020D"/>
    <w:rsid w:val="0054030B"/>
    <w:rsid w:val="00540430"/>
    <w:rsid w:val="00540622"/>
    <w:rsid w:val="0054087B"/>
    <w:rsid w:val="00540E0A"/>
    <w:rsid w:val="005413E5"/>
    <w:rsid w:val="005414DC"/>
    <w:rsid w:val="005418E6"/>
    <w:rsid w:val="005424D6"/>
    <w:rsid w:val="00542698"/>
    <w:rsid w:val="0054274D"/>
    <w:rsid w:val="00542B67"/>
    <w:rsid w:val="00542CBD"/>
    <w:rsid w:val="00543107"/>
    <w:rsid w:val="00543274"/>
    <w:rsid w:val="005433CC"/>
    <w:rsid w:val="00543534"/>
    <w:rsid w:val="0054396C"/>
    <w:rsid w:val="00543FBC"/>
    <w:rsid w:val="00544110"/>
    <w:rsid w:val="005441A5"/>
    <w:rsid w:val="0054441C"/>
    <w:rsid w:val="00544B99"/>
    <w:rsid w:val="00544EBB"/>
    <w:rsid w:val="00545277"/>
    <w:rsid w:val="0054551B"/>
    <w:rsid w:val="0054582D"/>
    <w:rsid w:val="00545BCA"/>
    <w:rsid w:val="00546017"/>
    <w:rsid w:val="00546911"/>
    <w:rsid w:val="005469A9"/>
    <w:rsid w:val="00546C52"/>
    <w:rsid w:val="0054718D"/>
    <w:rsid w:val="0054757E"/>
    <w:rsid w:val="00547C9E"/>
    <w:rsid w:val="00547D51"/>
    <w:rsid w:val="00547FF6"/>
    <w:rsid w:val="005505B1"/>
    <w:rsid w:val="0055085C"/>
    <w:rsid w:val="00550940"/>
    <w:rsid w:val="005509BE"/>
    <w:rsid w:val="00550AF5"/>
    <w:rsid w:val="00550C64"/>
    <w:rsid w:val="00550CA9"/>
    <w:rsid w:val="005519A4"/>
    <w:rsid w:val="00551A84"/>
    <w:rsid w:val="0055255C"/>
    <w:rsid w:val="00552A4D"/>
    <w:rsid w:val="00553E62"/>
    <w:rsid w:val="0055411D"/>
    <w:rsid w:val="005543FE"/>
    <w:rsid w:val="00554414"/>
    <w:rsid w:val="0055487A"/>
    <w:rsid w:val="00554ABF"/>
    <w:rsid w:val="00554C2C"/>
    <w:rsid w:val="005550F9"/>
    <w:rsid w:val="00555396"/>
    <w:rsid w:val="0055551E"/>
    <w:rsid w:val="005556D3"/>
    <w:rsid w:val="0055572D"/>
    <w:rsid w:val="00555A8E"/>
    <w:rsid w:val="00555F1F"/>
    <w:rsid w:val="005565C3"/>
    <w:rsid w:val="005566C5"/>
    <w:rsid w:val="0055672F"/>
    <w:rsid w:val="00556DFC"/>
    <w:rsid w:val="0055705C"/>
    <w:rsid w:val="00557069"/>
    <w:rsid w:val="00557E1F"/>
    <w:rsid w:val="00560162"/>
    <w:rsid w:val="005603F9"/>
    <w:rsid w:val="005609FC"/>
    <w:rsid w:val="00560C3D"/>
    <w:rsid w:val="00560DD3"/>
    <w:rsid w:val="00560E78"/>
    <w:rsid w:val="00561171"/>
    <w:rsid w:val="005619F4"/>
    <w:rsid w:val="00561A71"/>
    <w:rsid w:val="00561BB7"/>
    <w:rsid w:val="00562602"/>
    <w:rsid w:val="0056267F"/>
    <w:rsid w:val="00562778"/>
    <w:rsid w:val="0056293F"/>
    <w:rsid w:val="00562DF7"/>
    <w:rsid w:val="00562F41"/>
    <w:rsid w:val="0056313E"/>
    <w:rsid w:val="00563217"/>
    <w:rsid w:val="005632B4"/>
    <w:rsid w:val="00563EFE"/>
    <w:rsid w:val="00564427"/>
    <w:rsid w:val="00564891"/>
    <w:rsid w:val="00564C0A"/>
    <w:rsid w:val="00564CE0"/>
    <w:rsid w:val="00565047"/>
    <w:rsid w:val="005653F0"/>
    <w:rsid w:val="005659C0"/>
    <w:rsid w:val="00565ABE"/>
    <w:rsid w:val="00565BFA"/>
    <w:rsid w:val="0056600F"/>
    <w:rsid w:val="0056633E"/>
    <w:rsid w:val="00566437"/>
    <w:rsid w:val="00566736"/>
    <w:rsid w:val="00566C0B"/>
    <w:rsid w:val="00566CD8"/>
    <w:rsid w:val="0056702A"/>
    <w:rsid w:val="005670D4"/>
    <w:rsid w:val="00567323"/>
    <w:rsid w:val="0056754B"/>
    <w:rsid w:val="00567FF2"/>
    <w:rsid w:val="005701AF"/>
    <w:rsid w:val="00570416"/>
    <w:rsid w:val="0057072E"/>
    <w:rsid w:val="00570993"/>
    <w:rsid w:val="00570A2B"/>
    <w:rsid w:val="00570B7A"/>
    <w:rsid w:val="00570C13"/>
    <w:rsid w:val="00570FDA"/>
    <w:rsid w:val="00571391"/>
    <w:rsid w:val="00571999"/>
    <w:rsid w:val="00571A0D"/>
    <w:rsid w:val="00571BEC"/>
    <w:rsid w:val="00571D9B"/>
    <w:rsid w:val="00572A2B"/>
    <w:rsid w:val="00572CF2"/>
    <w:rsid w:val="00573125"/>
    <w:rsid w:val="0057360E"/>
    <w:rsid w:val="00573755"/>
    <w:rsid w:val="0057380B"/>
    <w:rsid w:val="00573A5B"/>
    <w:rsid w:val="00573FD1"/>
    <w:rsid w:val="00574178"/>
    <w:rsid w:val="00574CA5"/>
    <w:rsid w:val="00574CE8"/>
    <w:rsid w:val="00574D70"/>
    <w:rsid w:val="0057555B"/>
    <w:rsid w:val="00575D7B"/>
    <w:rsid w:val="00576017"/>
    <w:rsid w:val="00576A17"/>
    <w:rsid w:val="00576ACD"/>
    <w:rsid w:val="00577053"/>
    <w:rsid w:val="00577183"/>
    <w:rsid w:val="00577400"/>
    <w:rsid w:val="0057786D"/>
    <w:rsid w:val="00577F69"/>
    <w:rsid w:val="00580F32"/>
    <w:rsid w:val="00581F58"/>
    <w:rsid w:val="00582092"/>
    <w:rsid w:val="0058257A"/>
    <w:rsid w:val="00582639"/>
    <w:rsid w:val="005828A9"/>
    <w:rsid w:val="00582FBF"/>
    <w:rsid w:val="00583680"/>
    <w:rsid w:val="00583784"/>
    <w:rsid w:val="00583FBE"/>
    <w:rsid w:val="00584293"/>
    <w:rsid w:val="005843F7"/>
    <w:rsid w:val="005846AC"/>
    <w:rsid w:val="00584AA5"/>
    <w:rsid w:val="00584C7D"/>
    <w:rsid w:val="00584F19"/>
    <w:rsid w:val="0058508E"/>
    <w:rsid w:val="0058549A"/>
    <w:rsid w:val="0058565F"/>
    <w:rsid w:val="00585929"/>
    <w:rsid w:val="00585DEB"/>
    <w:rsid w:val="00586779"/>
    <w:rsid w:val="00586C90"/>
    <w:rsid w:val="00587235"/>
    <w:rsid w:val="00587722"/>
    <w:rsid w:val="00587C42"/>
    <w:rsid w:val="00590227"/>
    <w:rsid w:val="005904BA"/>
    <w:rsid w:val="00590524"/>
    <w:rsid w:val="0059055E"/>
    <w:rsid w:val="005905E8"/>
    <w:rsid w:val="0059063A"/>
    <w:rsid w:val="00590A05"/>
    <w:rsid w:val="00590A68"/>
    <w:rsid w:val="00591568"/>
    <w:rsid w:val="00591BAC"/>
    <w:rsid w:val="00591FA0"/>
    <w:rsid w:val="00592955"/>
    <w:rsid w:val="00593067"/>
    <w:rsid w:val="0059387E"/>
    <w:rsid w:val="00593968"/>
    <w:rsid w:val="00593D36"/>
    <w:rsid w:val="00594BE7"/>
    <w:rsid w:val="00594E58"/>
    <w:rsid w:val="00595366"/>
    <w:rsid w:val="00595B8E"/>
    <w:rsid w:val="00595C97"/>
    <w:rsid w:val="00595FBC"/>
    <w:rsid w:val="00596021"/>
    <w:rsid w:val="00596170"/>
    <w:rsid w:val="00596257"/>
    <w:rsid w:val="00596510"/>
    <w:rsid w:val="005966CA"/>
    <w:rsid w:val="00596D15"/>
    <w:rsid w:val="005970F9"/>
    <w:rsid w:val="005976C9"/>
    <w:rsid w:val="005977A4"/>
    <w:rsid w:val="0059790A"/>
    <w:rsid w:val="00597C5D"/>
    <w:rsid w:val="00597D8C"/>
    <w:rsid w:val="00597DFF"/>
    <w:rsid w:val="00597E9C"/>
    <w:rsid w:val="005A01CC"/>
    <w:rsid w:val="005A0222"/>
    <w:rsid w:val="005A0492"/>
    <w:rsid w:val="005A0629"/>
    <w:rsid w:val="005A0BFD"/>
    <w:rsid w:val="005A0D6D"/>
    <w:rsid w:val="005A10A7"/>
    <w:rsid w:val="005A11EB"/>
    <w:rsid w:val="005A1297"/>
    <w:rsid w:val="005A12E7"/>
    <w:rsid w:val="005A12EE"/>
    <w:rsid w:val="005A1652"/>
    <w:rsid w:val="005A1726"/>
    <w:rsid w:val="005A1C89"/>
    <w:rsid w:val="005A1CF0"/>
    <w:rsid w:val="005A20BC"/>
    <w:rsid w:val="005A285A"/>
    <w:rsid w:val="005A29DC"/>
    <w:rsid w:val="005A29EC"/>
    <w:rsid w:val="005A3307"/>
    <w:rsid w:val="005A385E"/>
    <w:rsid w:val="005A47A3"/>
    <w:rsid w:val="005A4ACB"/>
    <w:rsid w:val="005A5242"/>
    <w:rsid w:val="005A5283"/>
    <w:rsid w:val="005A54C7"/>
    <w:rsid w:val="005A55D9"/>
    <w:rsid w:val="005A5612"/>
    <w:rsid w:val="005A6429"/>
    <w:rsid w:val="005A650D"/>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C28"/>
    <w:rsid w:val="005B0E7F"/>
    <w:rsid w:val="005B0FF0"/>
    <w:rsid w:val="005B17A1"/>
    <w:rsid w:val="005B1C93"/>
    <w:rsid w:val="005B1E23"/>
    <w:rsid w:val="005B1E4F"/>
    <w:rsid w:val="005B2648"/>
    <w:rsid w:val="005B2B5A"/>
    <w:rsid w:val="005B2CCF"/>
    <w:rsid w:val="005B3109"/>
    <w:rsid w:val="005B37DD"/>
    <w:rsid w:val="005B3B5F"/>
    <w:rsid w:val="005B3F5C"/>
    <w:rsid w:val="005B3FBA"/>
    <w:rsid w:val="005B4039"/>
    <w:rsid w:val="005B4204"/>
    <w:rsid w:val="005B4CFD"/>
    <w:rsid w:val="005B4D53"/>
    <w:rsid w:val="005B4F27"/>
    <w:rsid w:val="005B51E3"/>
    <w:rsid w:val="005B54F5"/>
    <w:rsid w:val="005B6014"/>
    <w:rsid w:val="005B62DF"/>
    <w:rsid w:val="005B6C0D"/>
    <w:rsid w:val="005B6E5B"/>
    <w:rsid w:val="005B78F0"/>
    <w:rsid w:val="005C04AE"/>
    <w:rsid w:val="005C052A"/>
    <w:rsid w:val="005C069F"/>
    <w:rsid w:val="005C0727"/>
    <w:rsid w:val="005C07FE"/>
    <w:rsid w:val="005C138F"/>
    <w:rsid w:val="005C15FE"/>
    <w:rsid w:val="005C1C79"/>
    <w:rsid w:val="005C1CCE"/>
    <w:rsid w:val="005C1E1B"/>
    <w:rsid w:val="005C22A0"/>
    <w:rsid w:val="005C22BC"/>
    <w:rsid w:val="005C2394"/>
    <w:rsid w:val="005C2815"/>
    <w:rsid w:val="005C2AA3"/>
    <w:rsid w:val="005C2CC6"/>
    <w:rsid w:val="005C2DF4"/>
    <w:rsid w:val="005C36AE"/>
    <w:rsid w:val="005C3B0C"/>
    <w:rsid w:val="005C3E39"/>
    <w:rsid w:val="005C4091"/>
    <w:rsid w:val="005C4174"/>
    <w:rsid w:val="005C41B8"/>
    <w:rsid w:val="005C4ADF"/>
    <w:rsid w:val="005C4D57"/>
    <w:rsid w:val="005C4E9A"/>
    <w:rsid w:val="005C5BE1"/>
    <w:rsid w:val="005C5C0A"/>
    <w:rsid w:val="005C5D99"/>
    <w:rsid w:val="005C61B4"/>
    <w:rsid w:val="005C63BC"/>
    <w:rsid w:val="005C654C"/>
    <w:rsid w:val="005C66A8"/>
    <w:rsid w:val="005C66FC"/>
    <w:rsid w:val="005C681D"/>
    <w:rsid w:val="005C6B0C"/>
    <w:rsid w:val="005C752F"/>
    <w:rsid w:val="005C7C50"/>
    <w:rsid w:val="005D0027"/>
    <w:rsid w:val="005D0E23"/>
    <w:rsid w:val="005D0E58"/>
    <w:rsid w:val="005D10C9"/>
    <w:rsid w:val="005D11C0"/>
    <w:rsid w:val="005D127F"/>
    <w:rsid w:val="005D1586"/>
    <w:rsid w:val="005D1BD0"/>
    <w:rsid w:val="005D2539"/>
    <w:rsid w:val="005D26FF"/>
    <w:rsid w:val="005D2820"/>
    <w:rsid w:val="005D2F33"/>
    <w:rsid w:val="005D34B9"/>
    <w:rsid w:val="005D397D"/>
    <w:rsid w:val="005D3A9E"/>
    <w:rsid w:val="005D3AF7"/>
    <w:rsid w:val="005D3CBE"/>
    <w:rsid w:val="005D4387"/>
    <w:rsid w:val="005D44AC"/>
    <w:rsid w:val="005D44E3"/>
    <w:rsid w:val="005D46E0"/>
    <w:rsid w:val="005D4804"/>
    <w:rsid w:val="005D4989"/>
    <w:rsid w:val="005D53FD"/>
    <w:rsid w:val="005D542D"/>
    <w:rsid w:val="005D58A5"/>
    <w:rsid w:val="005D5DA8"/>
    <w:rsid w:val="005D5F95"/>
    <w:rsid w:val="005D61E6"/>
    <w:rsid w:val="005D620B"/>
    <w:rsid w:val="005D6A5D"/>
    <w:rsid w:val="005D7257"/>
    <w:rsid w:val="005D73EF"/>
    <w:rsid w:val="005D75B4"/>
    <w:rsid w:val="005D798C"/>
    <w:rsid w:val="005D7B4A"/>
    <w:rsid w:val="005D7B60"/>
    <w:rsid w:val="005D7E2A"/>
    <w:rsid w:val="005E0969"/>
    <w:rsid w:val="005E1041"/>
    <w:rsid w:val="005E146F"/>
    <w:rsid w:val="005E18F9"/>
    <w:rsid w:val="005E1910"/>
    <w:rsid w:val="005E1BA3"/>
    <w:rsid w:val="005E2F28"/>
    <w:rsid w:val="005E32AD"/>
    <w:rsid w:val="005E3699"/>
    <w:rsid w:val="005E3A44"/>
    <w:rsid w:val="005E3AB6"/>
    <w:rsid w:val="005E3C90"/>
    <w:rsid w:val="005E3D3B"/>
    <w:rsid w:val="005E46D9"/>
    <w:rsid w:val="005E4832"/>
    <w:rsid w:val="005E4A0B"/>
    <w:rsid w:val="005E4AAF"/>
    <w:rsid w:val="005E4F4A"/>
    <w:rsid w:val="005E55FA"/>
    <w:rsid w:val="005E588F"/>
    <w:rsid w:val="005E5AB0"/>
    <w:rsid w:val="005E5EE9"/>
    <w:rsid w:val="005E600B"/>
    <w:rsid w:val="005E623E"/>
    <w:rsid w:val="005E628D"/>
    <w:rsid w:val="005E662E"/>
    <w:rsid w:val="005E68FD"/>
    <w:rsid w:val="005E6C39"/>
    <w:rsid w:val="005E6C9C"/>
    <w:rsid w:val="005E6ED5"/>
    <w:rsid w:val="005E7D97"/>
    <w:rsid w:val="005F075C"/>
    <w:rsid w:val="005F0DA9"/>
    <w:rsid w:val="005F12A7"/>
    <w:rsid w:val="005F1431"/>
    <w:rsid w:val="005F1EA3"/>
    <w:rsid w:val="005F1F4C"/>
    <w:rsid w:val="005F2272"/>
    <w:rsid w:val="005F2421"/>
    <w:rsid w:val="005F277E"/>
    <w:rsid w:val="005F3189"/>
    <w:rsid w:val="005F343A"/>
    <w:rsid w:val="005F3477"/>
    <w:rsid w:val="005F34EB"/>
    <w:rsid w:val="005F3D14"/>
    <w:rsid w:val="005F44C8"/>
    <w:rsid w:val="005F4A7C"/>
    <w:rsid w:val="005F4C29"/>
    <w:rsid w:val="005F51BD"/>
    <w:rsid w:val="005F52A6"/>
    <w:rsid w:val="005F55CC"/>
    <w:rsid w:val="005F5AC0"/>
    <w:rsid w:val="005F5D43"/>
    <w:rsid w:val="005F5F22"/>
    <w:rsid w:val="005F62F7"/>
    <w:rsid w:val="005F6C3B"/>
    <w:rsid w:val="005F741E"/>
    <w:rsid w:val="005F7979"/>
    <w:rsid w:val="005F799C"/>
    <w:rsid w:val="005F79DA"/>
    <w:rsid w:val="005F7CBE"/>
    <w:rsid w:val="005F7EA0"/>
    <w:rsid w:val="00600139"/>
    <w:rsid w:val="00600361"/>
    <w:rsid w:val="00600511"/>
    <w:rsid w:val="00600914"/>
    <w:rsid w:val="00600EDA"/>
    <w:rsid w:val="00600F8C"/>
    <w:rsid w:val="0060141C"/>
    <w:rsid w:val="006015AB"/>
    <w:rsid w:val="006017B6"/>
    <w:rsid w:val="00601E2C"/>
    <w:rsid w:val="00602040"/>
    <w:rsid w:val="006020C2"/>
    <w:rsid w:val="0060259B"/>
    <w:rsid w:val="006026E1"/>
    <w:rsid w:val="00602F50"/>
    <w:rsid w:val="00603014"/>
    <w:rsid w:val="0060313F"/>
    <w:rsid w:val="00603236"/>
    <w:rsid w:val="006033C2"/>
    <w:rsid w:val="006034E6"/>
    <w:rsid w:val="0060354B"/>
    <w:rsid w:val="006035D1"/>
    <w:rsid w:val="006036FF"/>
    <w:rsid w:val="00603774"/>
    <w:rsid w:val="00603B0A"/>
    <w:rsid w:val="00604B45"/>
    <w:rsid w:val="00604F57"/>
    <w:rsid w:val="00605277"/>
    <w:rsid w:val="00605401"/>
    <w:rsid w:val="0060560B"/>
    <w:rsid w:val="00605996"/>
    <w:rsid w:val="006059B3"/>
    <w:rsid w:val="00606371"/>
    <w:rsid w:val="0060645C"/>
    <w:rsid w:val="006064B6"/>
    <w:rsid w:val="006068B2"/>
    <w:rsid w:val="00606F1E"/>
    <w:rsid w:val="0060709C"/>
    <w:rsid w:val="00607309"/>
    <w:rsid w:val="00607669"/>
    <w:rsid w:val="006076B7"/>
    <w:rsid w:val="00607B70"/>
    <w:rsid w:val="00607E71"/>
    <w:rsid w:val="0061035E"/>
    <w:rsid w:val="006106A1"/>
    <w:rsid w:val="006108A7"/>
    <w:rsid w:val="00610D2D"/>
    <w:rsid w:val="00610D32"/>
    <w:rsid w:val="00610FBD"/>
    <w:rsid w:val="0061112D"/>
    <w:rsid w:val="00611197"/>
    <w:rsid w:val="006112DC"/>
    <w:rsid w:val="006115E5"/>
    <w:rsid w:val="00611E5B"/>
    <w:rsid w:val="0061239A"/>
    <w:rsid w:val="00612509"/>
    <w:rsid w:val="0061259F"/>
    <w:rsid w:val="006125DA"/>
    <w:rsid w:val="00612DC8"/>
    <w:rsid w:val="006135F6"/>
    <w:rsid w:val="00613796"/>
    <w:rsid w:val="00613915"/>
    <w:rsid w:val="00614066"/>
    <w:rsid w:val="006140A7"/>
    <w:rsid w:val="00614278"/>
    <w:rsid w:val="0061448E"/>
    <w:rsid w:val="00614906"/>
    <w:rsid w:val="00614943"/>
    <w:rsid w:val="00614947"/>
    <w:rsid w:val="00614C7E"/>
    <w:rsid w:val="00614E61"/>
    <w:rsid w:val="00615216"/>
    <w:rsid w:val="00615616"/>
    <w:rsid w:val="00615AE7"/>
    <w:rsid w:val="006163C6"/>
    <w:rsid w:val="00616505"/>
    <w:rsid w:val="00616D32"/>
    <w:rsid w:val="00616D78"/>
    <w:rsid w:val="00616F1F"/>
    <w:rsid w:val="00616FB7"/>
    <w:rsid w:val="0061702A"/>
    <w:rsid w:val="00617320"/>
    <w:rsid w:val="0061747F"/>
    <w:rsid w:val="006176BA"/>
    <w:rsid w:val="006179FA"/>
    <w:rsid w:val="00617B7B"/>
    <w:rsid w:val="00617CF2"/>
    <w:rsid w:val="00620638"/>
    <w:rsid w:val="00620878"/>
    <w:rsid w:val="00620CC5"/>
    <w:rsid w:val="00620F1E"/>
    <w:rsid w:val="00621161"/>
    <w:rsid w:val="00621417"/>
    <w:rsid w:val="00621636"/>
    <w:rsid w:val="0062174E"/>
    <w:rsid w:val="00621792"/>
    <w:rsid w:val="00621CB5"/>
    <w:rsid w:val="00621D47"/>
    <w:rsid w:val="0062242B"/>
    <w:rsid w:val="00622566"/>
    <w:rsid w:val="00623530"/>
    <w:rsid w:val="00623821"/>
    <w:rsid w:val="006238A4"/>
    <w:rsid w:val="00623999"/>
    <w:rsid w:val="00623C6B"/>
    <w:rsid w:val="00623CD5"/>
    <w:rsid w:val="00623D36"/>
    <w:rsid w:val="00624045"/>
    <w:rsid w:val="0062408B"/>
    <w:rsid w:val="006244BD"/>
    <w:rsid w:val="0062483C"/>
    <w:rsid w:val="00624A67"/>
    <w:rsid w:val="00624B17"/>
    <w:rsid w:val="0062526E"/>
    <w:rsid w:val="006252A4"/>
    <w:rsid w:val="00625D48"/>
    <w:rsid w:val="00625D4E"/>
    <w:rsid w:val="00625E81"/>
    <w:rsid w:val="00626A2B"/>
    <w:rsid w:val="00626C86"/>
    <w:rsid w:val="0062706B"/>
    <w:rsid w:val="006271FC"/>
    <w:rsid w:val="0062768B"/>
    <w:rsid w:val="0062776D"/>
    <w:rsid w:val="006301B1"/>
    <w:rsid w:val="00630309"/>
    <w:rsid w:val="00630A03"/>
    <w:rsid w:val="00630CB2"/>
    <w:rsid w:val="0063120E"/>
    <w:rsid w:val="006313DB"/>
    <w:rsid w:val="00631450"/>
    <w:rsid w:val="00631768"/>
    <w:rsid w:val="00631A4C"/>
    <w:rsid w:val="00631AE9"/>
    <w:rsid w:val="00631AEF"/>
    <w:rsid w:val="00631E31"/>
    <w:rsid w:val="00632BD0"/>
    <w:rsid w:val="00632D46"/>
    <w:rsid w:val="006331E9"/>
    <w:rsid w:val="006336F9"/>
    <w:rsid w:val="00633873"/>
    <w:rsid w:val="00633984"/>
    <w:rsid w:val="00633D85"/>
    <w:rsid w:val="00633F25"/>
    <w:rsid w:val="00633F26"/>
    <w:rsid w:val="00633F9F"/>
    <w:rsid w:val="00633FA6"/>
    <w:rsid w:val="00634370"/>
    <w:rsid w:val="00634440"/>
    <w:rsid w:val="00634784"/>
    <w:rsid w:val="006348F8"/>
    <w:rsid w:val="00634BE1"/>
    <w:rsid w:val="00634E2F"/>
    <w:rsid w:val="00634FCD"/>
    <w:rsid w:val="00635274"/>
    <w:rsid w:val="0063571C"/>
    <w:rsid w:val="006357D2"/>
    <w:rsid w:val="00636031"/>
    <w:rsid w:val="0063629F"/>
    <w:rsid w:val="0063641F"/>
    <w:rsid w:val="00636B8E"/>
    <w:rsid w:val="00637685"/>
    <w:rsid w:val="00637693"/>
    <w:rsid w:val="006378B5"/>
    <w:rsid w:val="00637D13"/>
    <w:rsid w:val="00641194"/>
    <w:rsid w:val="006417E8"/>
    <w:rsid w:val="00641D53"/>
    <w:rsid w:val="006427F8"/>
    <w:rsid w:val="00643176"/>
    <w:rsid w:val="006431EA"/>
    <w:rsid w:val="00643361"/>
    <w:rsid w:val="006435F6"/>
    <w:rsid w:val="006438AC"/>
    <w:rsid w:val="0064410B"/>
    <w:rsid w:val="006448AB"/>
    <w:rsid w:val="0064491F"/>
    <w:rsid w:val="00644B91"/>
    <w:rsid w:val="00644F24"/>
    <w:rsid w:val="0064512C"/>
    <w:rsid w:val="00645329"/>
    <w:rsid w:val="0064534F"/>
    <w:rsid w:val="0064556D"/>
    <w:rsid w:val="006455AC"/>
    <w:rsid w:val="006455C9"/>
    <w:rsid w:val="006459FC"/>
    <w:rsid w:val="00645C54"/>
    <w:rsid w:val="00645DC8"/>
    <w:rsid w:val="00645EBD"/>
    <w:rsid w:val="00646000"/>
    <w:rsid w:val="0064647C"/>
    <w:rsid w:val="006466FE"/>
    <w:rsid w:val="006467EC"/>
    <w:rsid w:val="00646A44"/>
    <w:rsid w:val="006473C8"/>
    <w:rsid w:val="00647452"/>
    <w:rsid w:val="006478DC"/>
    <w:rsid w:val="00647FA8"/>
    <w:rsid w:val="00650009"/>
    <w:rsid w:val="00650E6A"/>
    <w:rsid w:val="00650F7A"/>
    <w:rsid w:val="00651367"/>
    <w:rsid w:val="00651487"/>
    <w:rsid w:val="006516FE"/>
    <w:rsid w:val="00651BEA"/>
    <w:rsid w:val="00651E2D"/>
    <w:rsid w:val="006523CB"/>
    <w:rsid w:val="0065270C"/>
    <w:rsid w:val="00652D1E"/>
    <w:rsid w:val="00652E40"/>
    <w:rsid w:val="00653276"/>
    <w:rsid w:val="006532BE"/>
    <w:rsid w:val="006536A8"/>
    <w:rsid w:val="00653744"/>
    <w:rsid w:val="00653AF3"/>
    <w:rsid w:val="00653CCD"/>
    <w:rsid w:val="0065402E"/>
    <w:rsid w:val="0065419D"/>
    <w:rsid w:val="00655809"/>
    <w:rsid w:val="00655C09"/>
    <w:rsid w:val="00655C42"/>
    <w:rsid w:val="00655E66"/>
    <w:rsid w:val="00656284"/>
    <w:rsid w:val="006566F2"/>
    <w:rsid w:val="006573F6"/>
    <w:rsid w:val="0065741C"/>
    <w:rsid w:val="00657532"/>
    <w:rsid w:val="00657666"/>
    <w:rsid w:val="0065790A"/>
    <w:rsid w:val="006604DF"/>
    <w:rsid w:val="0066072B"/>
    <w:rsid w:val="00660A55"/>
    <w:rsid w:val="00660A9E"/>
    <w:rsid w:val="00660B0F"/>
    <w:rsid w:val="00660D79"/>
    <w:rsid w:val="00661459"/>
    <w:rsid w:val="00661915"/>
    <w:rsid w:val="00661C07"/>
    <w:rsid w:val="00661CA6"/>
    <w:rsid w:val="00661D3F"/>
    <w:rsid w:val="00661F7D"/>
    <w:rsid w:val="0066200B"/>
    <w:rsid w:val="00662E22"/>
    <w:rsid w:val="00663134"/>
    <w:rsid w:val="00663186"/>
    <w:rsid w:val="006642FB"/>
    <w:rsid w:val="00664351"/>
    <w:rsid w:val="00664406"/>
    <w:rsid w:val="00664765"/>
    <w:rsid w:val="006648DC"/>
    <w:rsid w:val="00664A7B"/>
    <w:rsid w:val="00664BC0"/>
    <w:rsid w:val="0066528C"/>
    <w:rsid w:val="00665518"/>
    <w:rsid w:val="006659C8"/>
    <w:rsid w:val="006660BB"/>
    <w:rsid w:val="006667F4"/>
    <w:rsid w:val="00666834"/>
    <w:rsid w:val="00666A19"/>
    <w:rsid w:val="00666E65"/>
    <w:rsid w:val="00667259"/>
    <w:rsid w:val="00667424"/>
    <w:rsid w:val="00667697"/>
    <w:rsid w:val="00667732"/>
    <w:rsid w:val="00667AE6"/>
    <w:rsid w:val="00667B3E"/>
    <w:rsid w:val="00667CA6"/>
    <w:rsid w:val="006702C2"/>
    <w:rsid w:val="00670F15"/>
    <w:rsid w:val="00671169"/>
    <w:rsid w:val="00671173"/>
    <w:rsid w:val="00671913"/>
    <w:rsid w:val="00671ACA"/>
    <w:rsid w:val="00671CD8"/>
    <w:rsid w:val="00672C7E"/>
    <w:rsid w:val="00672CF8"/>
    <w:rsid w:val="00672DE0"/>
    <w:rsid w:val="00672E4B"/>
    <w:rsid w:val="00672EDF"/>
    <w:rsid w:val="0067305E"/>
    <w:rsid w:val="006734E2"/>
    <w:rsid w:val="00673723"/>
    <w:rsid w:val="006738B9"/>
    <w:rsid w:val="00673BD6"/>
    <w:rsid w:val="00674236"/>
    <w:rsid w:val="00674E9A"/>
    <w:rsid w:val="0067522E"/>
    <w:rsid w:val="006752C9"/>
    <w:rsid w:val="0067598D"/>
    <w:rsid w:val="00675A38"/>
    <w:rsid w:val="00675C27"/>
    <w:rsid w:val="00675C94"/>
    <w:rsid w:val="00675FA3"/>
    <w:rsid w:val="00676134"/>
    <w:rsid w:val="006763EB"/>
    <w:rsid w:val="00676ADE"/>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7CE"/>
    <w:rsid w:val="006809B4"/>
    <w:rsid w:val="00680A1C"/>
    <w:rsid w:val="00680D0A"/>
    <w:rsid w:val="00680E37"/>
    <w:rsid w:val="00681110"/>
    <w:rsid w:val="006815BF"/>
    <w:rsid w:val="00681860"/>
    <w:rsid w:val="006819A3"/>
    <w:rsid w:val="00681A5A"/>
    <w:rsid w:val="00681C3D"/>
    <w:rsid w:val="006820B5"/>
    <w:rsid w:val="006824C6"/>
    <w:rsid w:val="00682C96"/>
    <w:rsid w:val="0068307C"/>
    <w:rsid w:val="00683175"/>
    <w:rsid w:val="006836A6"/>
    <w:rsid w:val="00683974"/>
    <w:rsid w:val="006839EB"/>
    <w:rsid w:val="00683E05"/>
    <w:rsid w:val="006840AE"/>
    <w:rsid w:val="00684275"/>
    <w:rsid w:val="006847BD"/>
    <w:rsid w:val="00685086"/>
    <w:rsid w:val="00685182"/>
    <w:rsid w:val="0068545C"/>
    <w:rsid w:val="00685945"/>
    <w:rsid w:val="00685A73"/>
    <w:rsid w:val="00685C18"/>
    <w:rsid w:val="00685C3D"/>
    <w:rsid w:val="00685CFC"/>
    <w:rsid w:val="00686150"/>
    <w:rsid w:val="00686A38"/>
    <w:rsid w:val="00686D18"/>
    <w:rsid w:val="006876BD"/>
    <w:rsid w:val="006876F3"/>
    <w:rsid w:val="00687989"/>
    <w:rsid w:val="0069046F"/>
    <w:rsid w:val="006904D3"/>
    <w:rsid w:val="006907EB"/>
    <w:rsid w:val="00690A2E"/>
    <w:rsid w:val="00690D04"/>
    <w:rsid w:val="006911E4"/>
    <w:rsid w:val="00691822"/>
    <w:rsid w:val="00691C3E"/>
    <w:rsid w:val="006920D1"/>
    <w:rsid w:val="006923D0"/>
    <w:rsid w:val="0069253D"/>
    <w:rsid w:val="00692581"/>
    <w:rsid w:val="006929A2"/>
    <w:rsid w:val="00692AB1"/>
    <w:rsid w:val="00692BCA"/>
    <w:rsid w:val="00692DDF"/>
    <w:rsid w:val="00693796"/>
    <w:rsid w:val="006939D8"/>
    <w:rsid w:val="00693A3E"/>
    <w:rsid w:val="00693AC3"/>
    <w:rsid w:val="00693B2F"/>
    <w:rsid w:val="006940B8"/>
    <w:rsid w:val="00694662"/>
    <w:rsid w:val="006946AE"/>
    <w:rsid w:val="00694730"/>
    <w:rsid w:val="006949A1"/>
    <w:rsid w:val="00694A27"/>
    <w:rsid w:val="00695095"/>
    <w:rsid w:val="0069588F"/>
    <w:rsid w:val="0069596C"/>
    <w:rsid w:val="00696201"/>
    <w:rsid w:val="006967E1"/>
    <w:rsid w:val="00696CE0"/>
    <w:rsid w:val="00697202"/>
    <w:rsid w:val="00697814"/>
    <w:rsid w:val="00697EDA"/>
    <w:rsid w:val="006A0642"/>
    <w:rsid w:val="006A091E"/>
    <w:rsid w:val="006A12AC"/>
    <w:rsid w:val="006A1357"/>
    <w:rsid w:val="006A19DA"/>
    <w:rsid w:val="006A1BFF"/>
    <w:rsid w:val="006A1D95"/>
    <w:rsid w:val="006A23A0"/>
    <w:rsid w:val="006A2A93"/>
    <w:rsid w:val="006A317E"/>
    <w:rsid w:val="006A4455"/>
    <w:rsid w:val="006A4B1B"/>
    <w:rsid w:val="006A4C79"/>
    <w:rsid w:val="006A4EC5"/>
    <w:rsid w:val="006A53D1"/>
    <w:rsid w:val="006A5613"/>
    <w:rsid w:val="006A62E3"/>
    <w:rsid w:val="006A6661"/>
    <w:rsid w:val="006A6947"/>
    <w:rsid w:val="006A704C"/>
    <w:rsid w:val="006A7453"/>
    <w:rsid w:val="006A74E0"/>
    <w:rsid w:val="006B00E9"/>
    <w:rsid w:val="006B0202"/>
    <w:rsid w:val="006B02BE"/>
    <w:rsid w:val="006B0513"/>
    <w:rsid w:val="006B0575"/>
    <w:rsid w:val="006B07ED"/>
    <w:rsid w:val="006B0877"/>
    <w:rsid w:val="006B161C"/>
    <w:rsid w:val="006B187E"/>
    <w:rsid w:val="006B18F3"/>
    <w:rsid w:val="006B2292"/>
    <w:rsid w:val="006B303B"/>
    <w:rsid w:val="006B366E"/>
    <w:rsid w:val="006B3971"/>
    <w:rsid w:val="006B3A00"/>
    <w:rsid w:val="006B4303"/>
    <w:rsid w:val="006B46C1"/>
    <w:rsid w:val="006B46D1"/>
    <w:rsid w:val="006B4747"/>
    <w:rsid w:val="006B4932"/>
    <w:rsid w:val="006B4C1B"/>
    <w:rsid w:val="006B5115"/>
    <w:rsid w:val="006B6B12"/>
    <w:rsid w:val="006B6C69"/>
    <w:rsid w:val="006B6E79"/>
    <w:rsid w:val="006B7198"/>
    <w:rsid w:val="006B719E"/>
    <w:rsid w:val="006B7644"/>
    <w:rsid w:val="006B7B28"/>
    <w:rsid w:val="006C006D"/>
    <w:rsid w:val="006C045F"/>
    <w:rsid w:val="006C0496"/>
    <w:rsid w:val="006C0B02"/>
    <w:rsid w:val="006C11E7"/>
    <w:rsid w:val="006C14F1"/>
    <w:rsid w:val="006C196D"/>
    <w:rsid w:val="006C1BF0"/>
    <w:rsid w:val="006C2EDA"/>
    <w:rsid w:val="006C30E0"/>
    <w:rsid w:val="006C3610"/>
    <w:rsid w:val="006C3891"/>
    <w:rsid w:val="006C3A19"/>
    <w:rsid w:val="006C3DDF"/>
    <w:rsid w:val="006C4068"/>
    <w:rsid w:val="006C43F9"/>
    <w:rsid w:val="006C44E2"/>
    <w:rsid w:val="006C467C"/>
    <w:rsid w:val="006C46E0"/>
    <w:rsid w:val="006C4B2E"/>
    <w:rsid w:val="006C4DCE"/>
    <w:rsid w:val="006C51E3"/>
    <w:rsid w:val="006C5471"/>
    <w:rsid w:val="006C54FD"/>
    <w:rsid w:val="006C57AC"/>
    <w:rsid w:val="006C57CE"/>
    <w:rsid w:val="006C5871"/>
    <w:rsid w:val="006C5A70"/>
    <w:rsid w:val="006C5F42"/>
    <w:rsid w:val="006C600B"/>
    <w:rsid w:val="006C60C6"/>
    <w:rsid w:val="006C64C2"/>
    <w:rsid w:val="006C65F0"/>
    <w:rsid w:val="006C67DD"/>
    <w:rsid w:val="006C6CF8"/>
    <w:rsid w:val="006C710D"/>
    <w:rsid w:val="006C726C"/>
    <w:rsid w:val="006C7309"/>
    <w:rsid w:val="006C745B"/>
    <w:rsid w:val="006C74A2"/>
    <w:rsid w:val="006C783A"/>
    <w:rsid w:val="006C78C0"/>
    <w:rsid w:val="006C7C59"/>
    <w:rsid w:val="006C7D61"/>
    <w:rsid w:val="006C7E7F"/>
    <w:rsid w:val="006C7F76"/>
    <w:rsid w:val="006D01F9"/>
    <w:rsid w:val="006D0216"/>
    <w:rsid w:val="006D068A"/>
    <w:rsid w:val="006D0A19"/>
    <w:rsid w:val="006D102B"/>
    <w:rsid w:val="006D10B0"/>
    <w:rsid w:val="006D1B1F"/>
    <w:rsid w:val="006D1B48"/>
    <w:rsid w:val="006D1BCC"/>
    <w:rsid w:val="006D2CD5"/>
    <w:rsid w:val="006D2E4F"/>
    <w:rsid w:val="006D2F2A"/>
    <w:rsid w:val="006D31EE"/>
    <w:rsid w:val="006D374F"/>
    <w:rsid w:val="006D37A8"/>
    <w:rsid w:val="006D37C6"/>
    <w:rsid w:val="006D3934"/>
    <w:rsid w:val="006D3B38"/>
    <w:rsid w:val="006D4176"/>
    <w:rsid w:val="006D496B"/>
    <w:rsid w:val="006D4A80"/>
    <w:rsid w:val="006D4C69"/>
    <w:rsid w:val="006D4D71"/>
    <w:rsid w:val="006D56EB"/>
    <w:rsid w:val="006D589C"/>
    <w:rsid w:val="006D5B8D"/>
    <w:rsid w:val="006D5BBC"/>
    <w:rsid w:val="006D64A5"/>
    <w:rsid w:val="006D6F09"/>
    <w:rsid w:val="006D70D2"/>
    <w:rsid w:val="006D7303"/>
    <w:rsid w:val="006D7584"/>
    <w:rsid w:val="006D763A"/>
    <w:rsid w:val="006D79FA"/>
    <w:rsid w:val="006E00CE"/>
    <w:rsid w:val="006E10B9"/>
    <w:rsid w:val="006E1376"/>
    <w:rsid w:val="006E1952"/>
    <w:rsid w:val="006E1DF4"/>
    <w:rsid w:val="006E1EB3"/>
    <w:rsid w:val="006E2237"/>
    <w:rsid w:val="006E2655"/>
    <w:rsid w:val="006E2A1D"/>
    <w:rsid w:val="006E33E6"/>
    <w:rsid w:val="006E35D1"/>
    <w:rsid w:val="006E380E"/>
    <w:rsid w:val="006E3937"/>
    <w:rsid w:val="006E3C6E"/>
    <w:rsid w:val="006E45AB"/>
    <w:rsid w:val="006E471B"/>
    <w:rsid w:val="006E52F5"/>
    <w:rsid w:val="006E5462"/>
    <w:rsid w:val="006E566C"/>
    <w:rsid w:val="006E5A1A"/>
    <w:rsid w:val="006E5F91"/>
    <w:rsid w:val="006E65DF"/>
    <w:rsid w:val="006E7042"/>
    <w:rsid w:val="006E725A"/>
    <w:rsid w:val="006E741E"/>
    <w:rsid w:val="006E782D"/>
    <w:rsid w:val="006E7B80"/>
    <w:rsid w:val="006F04AE"/>
    <w:rsid w:val="006F04D5"/>
    <w:rsid w:val="006F0B4A"/>
    <w:rsid w:val="006F1101"/>
    <w:rsid w:val="006F12B4"/>
    <w:rsid w:val="006F169C"/>
    <w:rsid w:val="006F17EB"/>
    <w:rsid w:val="006F192F"/>
    <w:rsid w:val="006F20A0"/>
    <w:rsid w:val="006F20E2"/>
    <w:rsid w:val="006F2494"/>
    <w:rsid w:val="006F2637"/>
    <w:rsid w:val="006F26D5"/>
    <w:rsid w:val="006F26F1"/>
    <w:rsid w:val="006F2AB7"/>
    <w:rsid w:val="006F329C"/>
    <w:rsid w:val="006F33B7"/>
    <w:rsid w:val="006F3A21"/>
    <w:rsid w:val="006F3D73"/>
    <w:rsid w:val="006F3DBE"/>
    <w:rsid w:val="006F3F65"/>
    <w:rsid w:val="006F431E"/>
    <w:rsid w:val="006F432C"/>
    <w:rsid w:val="006F43D1"/>
    <w:rsid w:val="006F4791"/>
    <w:rsid w:val="006F4B80"/>
    <w:rsid w:val="006F4DAE"/>
    <w:rsid w:val="006F5052"/>
    <w:rsid w:val="006F5114"/>
    <w:rsid w:val="006F534B"/>
    <w:rsid w:val="006F5697"/>
    <w:rsid w:val="006F5820"/>
    <w:rsid w:val="006F69FA"/>
    <w:rsid w:val="006F6B85"/>
    <w:rsid w:val="006F6D77"/>
    <w:rsid w:val="006F6F35"/>
    <w:rsid w:val="006F79A8"/>
    <w:rsid w:val="00700549"/>
    <w:rsid w:val="00700A2F"/>
    <w:rsid w:val="00700C5C"/>
    <w:rsid w:val="0070154C"/>
    <w:rsid w:val="00701A7F"/>
    <w:rsid w:val="0070203B"/>
    <w:rsid w:val="007020F0"/>
    <w:rsid w:val="0070299A"/>
    <w:rsid w:val="00703136"/>
    <w:rsid w:val="007032B9"/>
    <w:rsid w:val="00703717"/>
    <w:rsid w:val="00703838"/>
    <w:rsid w:val="007041EF"/>
    <w:rsid w:val="007042F0"/>
    <w:rsid w:val="007044A9"/>
    <w:rsid w:val="00704A59"/>
    <w:rsid w:val="00704EA5"/>
    <w:rsid w:val="00705295"/>
    <w:rsid w:val="00705386"/>
    <w:rsid w:val="007058E0"/>
    <w:rsid w:val="00705AF6"/>
    <w:rsid w:val="00705E43"/>
    <w:rsid w:val="00705FA4"/>
    <w:rsid w:val="00706005"/>
    <w:rsid w:val="00706BEF"/>
    <w:rsid w:val="00706C6A"/>
    <w:rsid w:val="00707138"/>
    <w:rsid w:val="0070714E"/>
    <w:rsid w:val="007078B0"/>
    <w:rsid w:val="00710217"/>
    <w:rsid w:val="00710539"/>
    <w:rsid w:val="007105FC"/>
    <w:rsid w:val="00710707"/>
    <w:rsid w:val="0071121D"/>
    <w:rsid w:val="0071172F"/>
    <w:rsid w:val="00711940"/>
    <w:rsid w:val="007119A2"/>
    <w:rsid w:val="00711F2C"/>
    <w:rsid w:val="007120C0"/>
    <w:rsid w:val="007123EC"/>
    <w:rsid w:val="007124C5"/>
    <w:rsid w:val="00712E60"/>
    <w:rsid w:val="00712F4C"/>
    <w:rsid w:val="00713482"/>
    <w:rsid w:val="00713BA7"/>
    <w:rsid w:val="00713BBE"/>
    <w:rsid w:val="00713D5E"/>
    <w:rsid w:val="00713F0D"/>
    <w:rsid w:val="00713F54"/>
    <w:rsid w:val="0071474D"/>
    <w:rsid w:val="007147C4"/>
    <w:rsid w:val="00714B00"/>
    <w:rsid w:val="00714E10"/>
    <w:rsid w:val="0071556D"/>
    <w:rsid w:val="00715F42"/>
    <w:rsid w:val="00715F45"/>
    <w:rsid w:val="00715F86"/>
    <w:rsid w:val="00716193"/>
    <w:rsid w:val="00716779"/>
    <w:rsid w:val="00716C6C"/>
    <w:rsid w:val="00717347"/>
    <w:rsid w:val="007173F4"/>
    <w:rsid w:val="0071798F"/>
    <w:rsid w:val="00717AF7"/>
    <w:rsid w:val="00717B1C"/>
    <w:rsid w:val="00717BC6"/>
    <w:rsid w:val="00717F05"/>
    <w:rsid w:val="00717F4B"/>
    <w:rsid w:val="007201AE"/>
    <w:rsid w:val="00720417"/>
    <w:rsid w:val="00720B9E"/>
    <w:rsid w:val="007212FD"/>
    <w:rsid w:val="007213ED"/>
    <w:rsid w:val="00721A25"/>
    <w:rsid w:val="00721AAD"/>
    <w:rsid w:val="00721E63"/>
    <w:rsid w:val="00721EFC"/>
    <w:rsid w:val="007220B0"/>
    <w:rsid w:val="0072220B"/>
    <w:rsid w:val="00722230"/>
    <w:rsid w:val="00722356"/>
    <w:rsid w:val="0072237B"/>
    <w:rsid w:val="007226E2"/>
    <w:rsid w:val="00722795"/>
    <w:rsid w:val="007228C8"/>
    <w:rsid w:val="0072323C"/>
    <w:rsid w:val="00723BB7"/>
    <w:rsid w:val="00723DAF"/>
    <w:rsid w:val="00723FAF"/>
    <w:rsid w:val="007240B1"/>
    <w:rsid w:val="00724372"/>
    <w:rsid w:val="00724646"/>
    <w:rsid w:val="00724653"/>
    <w:rsid w:val="00724B99"/>
    <w:rsid w:val="0072508F"/>
    <w:rsid w:val="00725770"/>
    <w:rsid w:val="00725A65"/>
    <w:rsid w:val="00725BA6"/>
    <w:rsid w:val="00725BC3"/>
    <w:rsid w:val="00725D91"/>
    <w:rsid w:val="0072619E"/>
    <w:rsid w:val="007262D9"/>
    <w:rsid w:val="007265F0"/>
    <w:rsid w:val="007267CB"/>
    <w:rsid w:val="007269CD"/>
    <w:rsid w:val="00726B4E"/>
    <w:rsid w:val="00726BF3"/>
    <w:rsid w:val="00726FEE"/>
    <w:rsid w:val="00727155"/>
    <w:rsid w:val="00727363"/>
    <w:rsid w:val="00727AF3"/>
    <w:rsid w:val="00727E3F"/>
    <w:rsid w:val="007300CF"/>
    <w:rsid w:val="00730937"/>
    <w:rsid w:val="007309AA"/>
    <w:rsid w:val="00730A70"/>
    <w:rsid w:val="00730B5A"/>
    <w:rsid w:val="00730EF4"/>
    <w:rsid w:val="00731372"/>
    <w:rsid w:val="007314FA"/>
    <w:rsid w:val="007315C7"/>
    <w:rsid w:val="00731D23"/>
    <w:rsid w:val="00731F7B"/>
    <w:rsid w:val="0073208D"/>
    <w:rsid w:val="007324C0"/>
    <w:rsid w:val="0073279E"/>
    <w:rsid w:val="00732FC7"/>
    <w:rsid w:val="00733213"/>
    <w:rsid w:val="007333AE"/>
    <w:rsid w:val="007337C4"/>
    <w:rsid w:val="00733A9F"/>
    <w:rsid w:val="00733AF5"/>
    <w:rsid w:val="00733DC6"/>
    <w:rsid w:val="00733E9A"/>
    <w:rsid w:val="0073424B"/>
    <w:rsid w:val="007345E8"/>
    <w:rsid w:val="007345ED"/>
    <w:rsid w:val="00734AB0"/>
    <w:rsid w:val="00734AE5"/>
    <w:rsid w:val="00734B19"/>
    <w:rsid w:val="00734C11"/>
    <w:rsid w:val="00734C74"/>
    <w:rsid w:val="00734ED8"/>
    <w:rsid w:val="00734F93"/>
    <w:rsid w:val="00735183"/>
    <w:rsid w:val="007353F4"/>
    <w:rsid w:val="0073554B"/>
    <w:rsid w:val="00735574"/>
    <w:rsid w:val="007365F1"/>
    <w:rsid w:val="00736AAC"/>
    <w:rsid w:val="00736FBD"/>
    <w:rsid w:val="00737062"/>
    <w:rsid w:val="007372DB"/>
    <w:rsid w:val="007377F5"/>
    <w:rsid w:val="00737CD8"/>
    <w:rsid w:val="00737F1C"/>
    <w:rsid w:val="00740077"/>
    <w:rsid w:val="00740FDB"/>
    <w:rsid w:val="00741753"/>
    <w:rsid w:val="00741CA4"/>
    <w:rsid w:val="007423E4"/>
    <w:rsid w:val="007425E1"/>
    <w:rsid w:val="007428C2"/>
    <w:rsid w:val="00742D2F"/>
    <w:rsid w:val="00743EA6"/>
    <w:rsid w:val="0074415F"/>
    <w:rsid w:val="007447B7"/>
    <w:rsid w:val="00744BC6"/>
    <w:rsid w:val="007451F2"/>
    <w:rsid w:val="0074546D"/>
    <w:rsid w:val="007454DF"/>
    <w:rsid w:val="00746628"/>
    <w:rsid w:val="00746880"/>
    <w:rsid w:val="0074690B"/>
    <w:rsid w:val="00746FC3"/>
    <w:rsid w:val="00747BBB"/>
    <w:rsid w:val="00750E83"/>
    <w:rsid w:val="007510F8"/>
    <w:rsid w:val="00751133"/>
    <w:rsid w:val="00751CE0"/>
    <w:rsid w:val="00751E37"/>
    <w:rsid w:val="0075221D"/>
    <w:rsid w:val="0075227E"/>
    <w:rsid w:val="0075237A"/>
    <w:rsid w:val="007524F3"/>
    <w:rsid w:val="0075271C"/>
    <w:rsid w:val="007527FE"/>
    <w:rsid w:val="0075287F"/>
    <w:rsid w:val="00752A46"/>
    <w:rsid w:val="00752B4E"/>
    <w:rsid w:val="00752F7E"/>
    <w:rsid w:val="00752FBB"/>
    <w:rsid w:val="00753436"/>
    <w:rsid w:val="00753488"/>
    <w:rsid w:val="00754AB3"/>
    <w:rsid w:val="00754F30"/>
    <w:rsid w:val="00755153"/>
    <w:rsid w:val="0075531C"/>
    <w:rsid w:val="00755419"/>
    <w:rsid w:val="0075553D"/>
    <w:rsid w:val="007559A3"/>
    <w:rsid w:val="007559FC"/>
    <w:rsid w:val="00756C06"/>
    <w:rsid w:val="0075710B"/>
    <w:rsid w:val="0075715F"/>
    <w:rsid w:val="00757C22"/>
    <w:rsid w:val="007601C0"/>
    <w:rsid w:val="00760B03"/>
    <w:rsid w:val="007610D8"/>
    <w:rsid w:val="0076133D"/>
    <w:rsid w:val="0076161F"/>
    <w:rsid w:val="0076192C"/>
    <w:rsid w:val="00761D21"/>
    <w:rsid w:val="00761D85"/>
    <w:rsid w:val="0076233C"/>
    <w:rsid w:val="007626FC"/>
    <w:rsid w:val="007628F9"/>
    <w:rsid w:val="00762F88"/>
    <w:rsid w:val="007631CD"/>
    <w:rsid w:val="00763281"/>
    <w:rsid w:val="0076360F"/>
    <w:rsid w:val="007641F7"/>
    <w:rsid w:val="00764A14"/>
    <w:rsid w:val="00764C52"/>
    <w:rsid w:val="00765668"/>
    <w:rsid w:val="00765BFA"/>
    <w:rsid w:val="007665B1"/>
    <w:rsid w:val="00766607"/>
    <w:rsid w:val="00766673"/>
    <w:rsid w:val="00766D03"/>
    <w:rsid w:val="00770014"/>
    <w:rsid w:val="00770CA3"/>
    <w:rsid w:val="00770DB4"/>
    <w:rsid w:val="00770FA2"/>
    <w:rsid w:val="007716B9"/>
    <w:rsid w:val="007716E8"/>
    <w:rsid w:val="00771C63"/>
    <w:rsid w:val="00772226"/>
    <w:rsid w:val="00772613"/>
    <w:rsid w:val="00772B8B"/>
    <w:rsid w:val="00772D77"/>
    <w:rsid w:val="007730AF"/>
    <w:rsid w:val="00773265"/>
    <w:rsid w:val="00773B55"/>
    <w:rsid w:val="00773F09"/>
    <w:rsid w:val="007745BC"/>
    <w:rsid w:val="00774E02"/>
    <w:rsid w:val="00774FE7"/>
    <w:rsid w:val="007752FA"/>
    <w:rsid w:val="007755DB"/>
    <w:rsid w:val="00775812"/>
    <w:rsid w:val="007759A0"/>
    <w:rsid w:val="00775B38"/>
    <w:rsid w:val="00775B5A"/>
    <w:rsid w:val="00775F19"/>
    <w:rsid w:val="00775F56"/>
    <w:rsid w:val="00776148"/>
    <w:rsid w:val="0077617B"/>
    <w:rsid w:val="007764FB"/>
    <w:rsid w:val="007770E6"/>
    <w:rsid w:val="00777341"/>
    <w:rsid w:val="007777C8"/>
    <w:rsid w:val="00777C05"/>
    <w:rsid w:val="007800A5"/>
    <w:rsid w:val="00780474"/>
    <w:rsid w:val="0078061B"/>
    <w:rsid w:val="0078095C"/>
    <w:rsid w:val="00780B01"/>
    <w:rsid w:val="00780FD3"/>
    <w:rsid w:val="007810C2"/>
    <w:rsid w:val="007814DF"/>
    <w:rsid w:val="007823D5"/>
    <w:rsid w:val="00782459"/>
    <w:rsid w:val="00782815"/>
    <w:rsid w:val="007829E3"/>
    <w:rsid w:val="00782CBC"/>
    <w:rsid w:val="00782D01"/>
    <w:rsid w:val="00782D15"/>
    <w:rsid w:val="007837DC"/>
    <w:rsid w:val="0078388E"/>
    <w:rsid w:val="007838F8"/>
    <w:rsid w:val="007841C0"/>
    <w:rsid w:val="0078428D"/>
    <w:rsid w:val="007842F7"/>
    <w:rsid w:val="0078466D"/>
    <w:rsid w:val="0078471E"/>
    <w:rsid w:val="00784851"/>
    <w:rsid w:val="00784D27"/>
    <w:rsid w:val="00785722"/>
    <w:rsid w:val="0078576F"/>
    <w:rsid w:val="007861F5"/>
    <w:rsid w:val="00786346"/>
    <w:rsid w:val="00786D0B"/>
    <w:rsid w:val="0078727A"/>
    <w:rsid w:val="007874A2"/>
    <w:rsid w:val="00787C16"/>
    <w:rsid w:val="00790420"/>
    <w:rsid w:val="0079060B"/>
    <w:rsid w:val="00790791"/>
    <w:rsid w:val="00790A2E"/>
    <w:rsid w:val="00790AF0"/>
    <w:rsid w:val="00790B34"/>
    <w:rsid w:val="00790D6C"/>
    <w:rsid w:val="00790EB9"/>
    <w:rsid w:val="00790FEB"/>
    <w:rsid w:val="007912C9"/>
    <w:rsid w:val="007913B0"/>
    <w:rsid w:val="00791545"/>
    <w:rsid w:val="007916BE"/>
    <w:rsid w:val="00791CD2"/>
    <w:rsid w:val="00791EA4"/>
    <w:rsid w:val="007922D6"/>
    <w:rsid w:val="007923FF"/>
    <w:rsid w:val="0079247A"/>
    <w:rsid w:val="007927D6"/>
    <w:rsid w:val="007928A3"/>
    <w:rsid w:val="00792E77"/>
    <w:rsid w:val="00793938"/>
    <w:rsid w:val="00793CF1"/>
    <w:rsid w:val="00793D7B"/>
    <w:rsid w:val="00794127"/>
    <w:rsid w:val="00794419"/>
    <w:rsid w:val="00794AD0"/>
    <w:rsid w:val="00794BC0"/>
    <w:rsid w:val="00794BF2"/>
    <w:rsid w:val="00794C2A"/>
    <w:rsid w:val="00794F23"/>
    <w:rsid w:val="00795265"/>
    <w:rsid w:val="007954F0"/>
    <w:rsid w:val="0079576F"/>
    <w:rsid w:val="00795807"/>
    <w:rsid w:val="0079594B"/>
    <w:rsid w:val="00795FF0"/>
    <w:rsid w:val="00796002"/>
    <w:rsid w:val="00796557"/>
    <w:rsid w:val="00796A0B"/>
    <w:rsid w:val="00796A50"/>
    <w:rsid w:val="00796AF9"/>
    <w:rsid w:val="00796CC3"/>
    <w:rsid w:val="00796DCB"/>
    <w:rsid w:val="007971B5"/>
    <w:rsid w:val="007974E2"/>
    <w:rsid w:val="00797C89"/>
    <w:rsid w:val="00797CB0"/>
    <w:rsid w:val="007A0137"/>
    <w:rsid w:val="007A017B"/>
    <w:rsid w:val="007A094A"/>
    <w:rsid w:val="007A0FFD"/>
    <w:rsid w:val="007A111C"/>
    <w:rsid w:val="007A1532"/>
    <w:rsid w:val="007A1767"/>
    <w:rsid w:val="007A223C"/>
    <w:rsid w:val="007A31A9"/>
    <w:rsid w:val="007A32BE"/>
    <w:rsid w:val="007A43DA"/>
    <w:rsid w:val="007A49EF"/>
    <w:rsid w:val="007A529A"/>
    <w:rsid w:val="007A55E4"/>
    <w:rsid w:val="007A55E7"/>
    <w:rsid w:val="007A57C4"/>
    <w:rsid w:val="007A5A7D"/>
    <w:rsid w:val="007A61C5"/>
    <w:rsid w:val="007A6272"/>
    <w:rsid w:val="007A6623"/>
    <w:rsid w:val="007A677A"/>
    <w:rsid w:val="007A680D"/>
    <w:rsid w:val="007A6F8C"/>
    <w:rsid w:val="007B03DB"/>
    <w:rsid w:val="007B0576"/>
    <w:rsid w:val="007B0912"/>
    <w:rsid w:val="007B0D6A"/>
    <w:rsid w:val="007B1247"/>
    <w:rsid w:val="007B1733"/>
    <w:rsid w:val="007B176B"/>
    <w:rsid w:val="007B1CBD"/>
    <w:rsid w:val="007B1DAB"/>
    <w:rsid w:val="007B203A"/>
    <w:rsid w:val="007B203F"/>
    <w:rsid w:val="007B2529"/>
    <w:rsid w:val="007B28E5"/>
    <w:rsid w:val="007B2C48"/>
    <w:rsid w:val="007B35B7"/>
    <w:rsid w:val="007B3D9A"/>
    <w:rsid w:val="007B3EB8"/>
    <w:rsid w:val="007B3EF0"/>
    <w:rsid w:val="007B50D6"/>
    <w:rsid w:val="007B54CB"/>
    <w:rsid w:val="007B55A0"/>
    <w:rsid w:val="007B5665"/>
    <w:rsid w:val="007B5B31"/>
    <w:rsid w:val="007B5D4C"/>
    <w:rsid w:val="007B5D7D"/>
    <w:rsid w:val="007B6751"/>
    <w:rsid w:val="007B692A"/>
    <w:rsid w:val="007B6BF9"/>
    <w:rsid w:val="007B6C1D"/>
    <w:rsid w:val="007B6C4A"/>
    <w:rsid w:val="007B755C"/>
    <w:rsid w:val="007B7DB4"/>
    <w:rsid w:val="007C014D"/>
    <w:rsid w:val="007C044B"/>
    <w:rsid w:val="007C0C0A"/>
    <w:rsid w:val="007C0C71"/>
    <w:rsid w:val="007C16BB"/>
    <w:rsid w:val="007C1C21"/>
    <w:rsid w:val="007C20C9"/>
    <w:rsid w:val="007C28B0"/>
    <w:rsid w:val="007C2C5C"/>
    <w:rsid w:val="007C2EEC"/>
    <w:rsid w:val="007C317A"/>
    <w:rsid w:val="007C33A1"/>
    <w:rsid w:val="007C341E"/>
    <w:rsid w:val="007C3458"/>
    <w:rsid w:val="007C35F7"/>
    <w:rsid w:val="007C36FF"/>
    <w:rsid w:val="007C3716"/>
    <w:rsid w:val="007C3819"/>
    <w:rsid w:val="007C3973"/>
    <w:rsid w:val="007C495A"/>
    <w:rsid w:val="007C5006"/>
    <w:rsid w:val="007C5257"/>
    <w:rsid w:val="007C528D"/>
    <w:rsid w:val="007C5554"/>
    <w:rsid w:val="007C5560"/>
    <w:rsid w:val="007C5707"/>
    <w:rsid w:val="007C58B1"/>
    <w:rsid w:val="007C58CF"/>
    <w:rsid w:val="007C5A99"/>
    <w:rsid w:val="007C5E2C"/>
    <w:rsid w:val="007C63E7"/>
    <w:rsid w:val="007C647C"/>
    <w:rsid w:val="007C7607"/>
    <w:rsid w:val="007C763F"/>
    <w:rsid w:val="007C79A9"/>
    <w:rsid w:val="007C7A63"/>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580"/>
    <w:rsid w:val="007D3C7D"/>
    <w:rsid w:val="007D4404"/>
    <w:rsid w:val="007D4712"/>
    <w:rsid w:val="007D476D"/>
    <w:rsid w:val="007D4CF5"/>
    <w:rsid w:val="007D4D0E"/>
    <w:rsid w:val="007D4EAB"/>
    <w:rsid w:val="007D547A"/>
    <w:rsid w:val="007D5982"/>
    <w:rsid w:val="007D5C86"/>
    <w:rsid w:val="007D5CA2"/>
    <w:rsid w:val="007D66CE"/>
    <w:rsid w:val="007D66E4"/>
    <w:rsid w:val="007D6B8B"/>
    <w:rsid w:val="007D6DD6"/>
    <w:rsid w:val="007D6E1D"/>
    <w:rsid w:val="007D6F69"/>
    <w:rsid w:val="007D7781"/>
    <w:rsid w:val="007D7EA8"/>
    <w:rsid w:val="007E05E9"/>
    <w:rsid w:val="007E086D"/>
    <w:rsid w:val="007E08E0"/>
    <w:rsid w:val="007E0D62"/>
    <w:rsid w:val="007E11EA"/>
    <w:rsid w:val="007E188E"/>
    <w:rsid w:val="007E18C6"/>
    <w:rsid w:val="007E1953"/>
    <w:rsid w:val="007E1D86"/>
    <w:rsid w:val="007E200C"/>
    <w:rsid w:val="007E228B"/>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30"/>
    <w:rsid w:val="007E484C"/>
    <w:rsid w:val="007E4861"/>
    <w:rsid w:val="007E48F0"/>
    <w:rsid w:val="007E4BFC"/>
    <w:rsid w:val="007E4D4C"/>
    <w:rsid w:val="007E5934"/>
    <w:rsid w:val="007E69D3"/>
    <w:rsid w:val="007E7331"/>
    <w:rsid w:val="007E7829"/>
    <w:rsid w:val="007F0448"/>
    <w:rsid w:val="007F050D"/>
    <w:rsid w:val="007F0734"/>
    <w:rsid w:val="007F07E5"/>
    <w:rsid w:val="007F0E82"/>
    <w:rsid w:val="007F0EED"/>
    <w:rsid w:val="007F1D38"/>
    <w:rsid w:val="007F1D5D"/>
    <w:rsid w:val="007F246C"/>
    <w:rsid w:val="007F2513"/>
    <w:rsid w:val="007F28F3"/>
    <w:rsid w:val="007F2AC2"/>
    <w:rsid w:val="007F2C2F"/>
    <w:rsid w:val="007F2F4D"/>
    <w:rsid w:val="007F308B"/>
    <w:rsid w:val="007F31AB"/>
    <w:rsid w:val="007F34BF"/>
    <w:rsid w:val="007F37E3"/>
    <w:rsid w:val="007F3A4A"/>
    <w:rsid w:val="007F3B6C"/>
    <w:rsid w:val="007F454E"/>
    <w:rsid w:val="007F46E0"/>
    <w:rsid w:val="007F4844"/>
    <w:rsid w:val="007F4C1F"/>
    <w:rsid w:val="007F4CD4"/>
    <w:rsid w:val="007F4D4A"/>
    <w:rsid w:val="007F5003"/>
    <w:rsid w:val="007F5164"/>
    <w:rsid w:val="007F52D7"/>
    <w:rsid w:val="007F5358"/>
    <w:rsid w:val="007F5E5A"/>
    <w:rsid w:val="007F5E92"/>
    <w:rsid w:val="007F5F46"/>
    <w:rsid w:val="007F611B"/>
    <w:rsid w:val="007F67AB"/>
    <w:rsid w:val="007F6DF4"/>
    <w:rsid w:val="007F7BA7"/>
    <w:rsid w:val="00800433"/>
    <w:rsid w:val="0080092C"/>
    <w:rsid w:val="00800EC2"/>
    <w:rsid w:val="008017C1"/>
    <w:rsid w:val="0080181E"/>
    <w:rsid w:val="00801DAD"/>
    <w:rsid w:val="00801EB2"/>
    <w:rsid w:val="008026EE"/>
    <w:rsid w:val="00802B28"/>
    <w:rsid w:val="00802B84"/>
    <w:rsid w:val="00803942"/>
    <w:rsid w:val="00803C9B"/>
    <w:rsid w:val="00804118"/>
    <w:rsid w:val="00804D66"/>
    <w:rsid w:val="00805076"/>
    <w:rsid w:val="00805415"/>
    <w:rsid w:val="00805530"/>
    <w:rsid w:val="00805600"/>
    <w:rsid w:val="00805F59"/>
    <w:rsid w:val="00806834"/>
    <w:rsid w:val="00806AA3"/>
    <w:rsid w:val="00806AF3"/>
    <w:rsid w:val="00806CCF"/>
    <w:rsid w:val="00806F54"/>
    <w:rsid w:val="00806FC0"/>
    <w:rsid w:val="0080736C"/>
    <w:rsid w:val="008074AF"/>
    <w:rsid w:val="00807829"/>
    <w:rsid w:val="00807CFF"/>
    <w:rsid w:val="00807F9E"/>
    <w:rsid w:val="008102D7"/>
    <w:rsid w:val="008102F6"/>
    <w:rsid w:val="0081099C"/>
    <w:rsid w:val="00810A1E"/>
    <w:rsid w:val="00810AEE"/>
    <w:rsid w:val="00811286"/>
    <w:rsid w:val="008112C0"/>
    <w:rsid w:val="00811813"/>
    <w:rsid w:val="00811FC0"/>
    <w:rsid w:val="00812766"/>
    <w:rsid w:val="00812F97"/>
    <w:rsid w:val="008130BF"/>
    <w:rsid w:val="008136DD"/>
    <w:rsid w:val="00813A04"/>
    <w:rsid w:val="00813C3D"/>
    <w:rsid w:val="00813C9A"/>
    <w:rsid w:val="00813D10"/>
    <w:rsid w:val="00814189"/>
    <w:rsid w:val="008146CE"/>
    <w:rsid w:val="00814D3E"/>
    <w:rsid w:val="008151DB"/>
    <w:rsid w:val="00815983"/>
    <w:rsid w:val="00815A33"/>
    <w:rsid w:val="008160B1"/>
    <w:rsid w:val="00816779"/>
    <w:rsid w:val="00816A49"/>
    <w:rsid w:val="00816CEC"/>
    <w:rsid w:val="00816F24"/>
    <w:rsid w:val="008171D6"/>
    <w:rsid w:val="008173E1"/>
    <w:rsid w:val="008173F8"/>
    <w:rsid w:val="00817AFB"/>
    <w:rsid w:val="00817D7E"/>
    <w:rsid w:val="008204B9"/>
    <w:rsid w:val="008205DC"/>
    <w:rsid w:val="00820653"/>
    <w:rsid w:val="00820AB0"/>
    <w:rsid w:val="00820CA4"/>
    <w:rsid w:val="008210CC"/>
    <w:rsid w:val="008211D9"/>
    <w:rsid w:val="00821679"/>
    <w:rsid w:val="008217B7"/>
    <w:rsid w:val="008217E0"/>
    <w:rsid w:val="00821DA4"/>
    <w:rsid w:val="008227BD"/>
    <w:rsid w:val="00822AA4"/>
    <w:rsid w:val="00822C58"/>
    <w:rsid w:val="00823EB8"/>
    <w:rsid w:val="0082445C"/>
    <w:rsid w:val="00824837"/>
    <w:rsid w:val="00824938"/>
    <w:rsid w:val="00825271"/>
    <w:rsid w:val="00825314"/>
    <w:rsid w:val="00825833"/>
    <w:rsid w:val="00825B0D"/>
    <w:rsid w:val="00825FEA"/>
    <w:rsid w:val="00826336"/>
    <w:rsid w:val="00826409"/>
    <w:rsid w:val="008266C7"/>
    <w:rsid w:val="00826796"/>
    <w:rsid w:val="00826B82"/>
    <w:rsid w:val="008270C7"/>
    <w:rsid w:val="008272BA"/>
    <w:rsid w:val="008272C3"/>
    <w:rsid w:val="00827DDE"/>
    <w:rsid w:val="00827ECE"/>
    <w:rsid w:val="00830164"/>
    <w:rsid w:val="008302F1"/>
    <w:rsid w:val="00830DBA"/>
    <w:rsid w:val="00830DD5"/>
    <w:rsid w:val="00830F01"/>
    <w:rsid w:val="00831002"/>
    <w:rsid w:val="00831174"/>
    <w:rsid w:val="008316CA"/>
    <w:rsid w:val="008319E7"/>
    <w:rsid w:val="00831A1A"/>
    <w:rsid w:val="00831A22"/>
    <w:rsid w:val="00831DA6"/>
    <w:rsid w:val="008326F0"/>
    <w:rsid w:val="0083289A"/>
    <w:rsid w:val="00832B42"/>
    <w:rsid w:val="008330FE"/>
    <w:rsid w:val="008336A9"/>
    <w:rsid w:val="0083410E"/>
    <w:rsid w:val="00834708"/>
    <w:rsid w:val="0083482E"/>
    <w:rsid w:val="00834D25"/>
    <w:rsid w:val="00835153"/>
    <w:rsid w:val="00835A89"/>
    <w:rsid w:val="00835C5A"/>
    <w:rsid w:val="00836E5D"/>
    <w:rsid w:val="00837219"/>
    <w:rsid w:val="00837DFA"/>
    <w:rsid w:val="00837EB7"/>
    <w:rsid w:val="008409FF"/>
    <w:rsid w:val="00840ACA"/>
    <w:rsid w:val="00840C2F"/>
    <w:rsid w:val="008410DF"/>
    <w:rsid w:val="008415A7"/>
    <w:rsid w:val="008419C9"/>
    <w:rsid w:val="00841D60"/>
    <w:rsid w:val="008425BB"/>
    <w:rsid w:val="00842C33"/>
    <w:rsid w:val="00842EE8"/>
    <w:rsid w:val="00842EF7"/>
    <w:rsid w:val="00843024"/>
    <w:rsid w:val="00843514"/>
    <w:rsid w:val="00843606"/>
    <w:rsid w:val="008436E3"/>
    <w:rsid w:val="00843730"/>
    <w:rsid w:val="008437BA"/>
    <w:rsid w:val="0084485C"/>
    <w:rsid w:val="00844B13"/>
    <w:rsid w:val="00844F86"/>
    <w:rsid w:val="00845133"/>
    <w:rsid w:val="00845181"/>
    <w:rsid w:val="008451B2"/>
    <w:rsid w:val="00845278"/>
    <w:rsid w:val="00845356"/>
    <w:rsid w:val="00845BB6"/>
    <w:rsid w:val="008461F2"/>
    <w:rsid w:val="0084626D"/>
    <w:rsid w:val="0084684B"/>
    <w:rsid w:val="00846CB2"/>
    <w:rsid w:val="00846D8D"/>
    <w:rsid w:val="00847295"/>
    <w:rsid w:val="00847838"/>
    <w:rsid w:val="00847C86"/>
    <w:rsid w:val="00847DDF"/>
    <w:rsid w:val="00847EE8"/>
    <w:rsid w:val="008500C6"/>
    <w:rsid w:val="00850166"/>
    <w:rsid w:val="00850639"/>
    <w:rsid w:val="00850FA3"/>
    <w:rsid w:val="008510D6"/>
    <w:rsid w:val="008513B9"/>
    <w:rsid w:val="008513C5"/>
    <w:rsid w:val="00851728"/>
    <w:rsid w:val="008518C4"/>
    <w:rsid w:val="0085290B"/>
    <w:rsid w:val="008531C1"/>
    <w:rsid w:val="0085365C"/>
    <w:rsid w:val="00853708"/>
    <w:rsid w:val="00853ABD"/>
    <w:rsid w:val="008548EE"/>
    <w:rsid w:val="00854A25"/>
    <w:rsid w:val="00854AE2"/>
    <w:rsid w:val="00854C3B"/>
    <w:rsid w:val="00855A1A"/>
    <w:rsid w:val="00855AD0"/>
    <w:rsid w:val="00856098"/>
    <w:rsid w:val="0085652F"/>
    <w:rsid w:val="008566B8"/>
    <w:rsid w:val="008567FB"/>
    <w:rsid w:val="00856B9D"/>
    <w:rsid w:val="00856C23"/>
    <w:rsid w:val="00856D5D"/>
    <w:rsid w:val="0085736E"/>
    <w:rsid w:val="008574C2"/>
    <w:rsid w:val="008578E7"/>
    <w:rsid w:val="00857CDA"/>
    <w:rsid w:val="00860153"/>
    <w:rsid w:val="00860CDA"/>
    <w:rsid w:val="00860F2D"/>
    <w:rsid w:val="0086119F"/>
    <w:rsid w:val="00861349"/>
    <w:rsid w:val="008617AB"/>
    <w:rsid w:val="008619CB"/>
    <w:rsid w:val="00862743"/>
    <w:rsid w:val="008630DB"/>
    <w:rsid w:val="00863C41"/>
    <w:rsid w:val="00863E19"/>
    <w:rsid w:val="00863E20"/>
    <w:rsid w:val="00864519"/>
    <w:rsid w:val="00864F4D"/>
    <w:rsid w:val="00865480"/>
    <w:rsid w:val="00865AB1"/>
    <w:rsid w:val="00865C1E"/>
    <w:rsid w:val="00865EDD"/>
    <w:rsid w:val="00866164"/>
    <w:rsid w:val="0086650F"/>
    <w:rsid w:val="0086684A"/>
    <w:rsid w:val="008668B9"/>
    <w:rsid w:val="00866D36"/>
    <w:rsid w:val="00867064"/>
    <w:rsid w:val="0086743B"/>
    <w:rsid w:val="0086784D"/>
    <w:rsid w:val="00867BCF"/>
    <w:rsid w:val="00867E8B"/>
    <w:rsid w:val="0087025D"/>
    <w:rsid w:val="0087063C"/>
    <w:rsid w:val="00870E00"/>
    <w:rsid w:val="00871204"/>
    <w:rsid w:val="00871A75"/>
    <w:rsid w:val="00871B94"/>
    <w:rsid w:val="00872852"/>
    <w:rsid w:val="00872E50"/>
    <w:rsid w:val="0087329E"/>
    <w:rsid w:val="00873905"/>
    <w:rsid w:val="00873948"/>
    <w:rsid w:val="00873DB9"/>
    <w:rsid w:val="00873DED"/>
    <w:rsid w:val="008740CF"/>
    <w:rsid w:val="00874785"/>
    <w:rsid w:val="00874972"/>
    <w:rsid w:val="00874F9C"/>
    <w:rsid w:val="008751B6"/>
    <w:rsid w:val="008755F7"/>
    <w:rsid w:val="0087563F"/>
    <w:rsid w:val="008759F5"/>
    <w:rsid w:val="00875D2B"/>
    <w:rsid w:val="00876866"/>
    <w:rsid w:val="0087718C"/>
    <w:rsid w:val="0087792A"/>
    <w:rsid w:val="00877D28"/>
    <w:rsid w:val="008805DB"/>
    <w:rsid w:val="008805E6"/>
    <w:rsid w:val="008807B4"/>
    <w:rsid w:val="00880B78"/>
    <w:rsid w:val="00880EC9"/>
    <w:rsid w:val="00880FC1"/>
    <w:rsid w:val="008815C5"/>
    <w:rsid w:val="00881808"/>
    <w:rsid w:val="008819C1"/>
    <w:rsid w:val="0088244E"/>
    <w:rsid w:val="008824A8"/>
    <w:rsid w:val="0088261E"/>
    <w:rsid w:val="00882AD1"/>
    <w:rsid w:val="00882BF3"/>
    <w:rsid w:val="0088366D"/>
    <w:rsid w:val="00883D85"/>
    <w:rsid w:val="00883F33"/>
    <w:rsid w:val="00883F6E"/>
    <w:rsid w:val="0088421A"/>
    <w:rsid w:val="0088422A"/>
    <w:rsid w:val="008842A4"/>
    <w:rsid w:val="008845DF"/>
    <w:rsid w:val="008846ED"/>
    <w:rsid w:val="00884792"/>
    <w:rsid w:val="00884895"/>
    <w:rsid w:val="0088494D"/>
    <w:rsid w:val="008850E3"/>
    <w:rsid w:val="0088566B"/>
    <w:rsid w:val="00885937"/>
    <w:rsid w:val="00885A02"/>
    <w:rsid w:val="00886069"/>
    <w:rsid w:val="008866B3"/>
    <w:rsid w:val="0088676F"/>
    <w:rsid w:val="00886888"/>
    <w:rsid w:val="00886919"/>
    <w:rsid w:val="00886AE2"/>
    <w:rsid w:val="00886D2E"/>
    <w:rsid w:val="00886DD2"/>
    <w:rsid w:val="00886F75"/>
    <w:rsid w:val="00887621"/>
    <w:rsid w:val="008877D3"/>
    <w:rsid w:val="00887AF4"/>
    <w:rsid w:val="00887B2B"/>
    <w:rsid w:val="00887C83"/>
    <w:rsid w:val="00887E49"/>
    <w:rsid w:val="008902C5"/>
    <w:rsid w:val="0089038F"/>
    <w:rsid w:val="008904EF"/>
    <w:rsid w:val="008905DB"/>
    <w:rsid w:val="00890664"/>
    <w:rsid w:val="008907EF"/>
    <w:rsid w:val="00890A8C"/>
    <w:rsid w:val="00890D8D"/>
    <w:rsid w:val="00890E76"/>
    <w:rsid w:val="008915CF"/>
    <w:rsid w:val="008916DE"/>
    <w:rsid w:val="00891783"/>
    <w:rsid w:val="00891D4F"/>
    <w:rsid w:val="00891DA7"/>
    <w:rsid w:val="008926C3"/>
    <w:rsid w:val="00892957"/>
    <w:rsid w:val="00892CCD"/>
    <w:rsid w:val="00893420"/>
    <w:rsid w:val="00894119"/>
    <w:rsid w:val="0089463C"/>
    <w:rsid w:val="00894935"/>
    <w:rsid w:val="00894CBF"/>
    <w:rsid w:val="0089530F"/>
    <w:rsid w:val="008955F4"/>
    <w:rsid w:val="00895D87"/>
    <w:rsid w:val="00895D92"/>
    <w:rsid w:val="008961B5"/>
    <w:rsid w:val="00896328"/>
    <w:rsid w:val="00896975"/>
    <w:rsid w:val="00896FEF"/>
    <w:rsid w:val="008972BC"/>
    <w:rsid w:val="00897728"/>
    <w:rsid w:val="00897C8C"/>
    <w:rsid w:val="00897E16"/>
    <w:rsid w:val="008A0208"/>
    <w:rsid w:val="008A05BE"/>
    <w:rsid w:val="008A073A"/>
    <w:rsid w:val="008A0890"/>
    <w:rsid w:val="008A089F"/>
    <w:rsid w:val="008A093B"/>
    <w:rsid w:val="008A0BBF"/>
    <w:rsid w:val="008A0FF8"/>
    <w:rsid w:val="008A15EB"/>
    <w:rsid w:val="008A1B13"/>
    <w:rsid w:val="008A2514"/>
    <w:rsid w:val="008A252E"/>
    <w:rsid w:val="008A2706"/>
    <w:rsid w:val="008A272F"/>
    <w:rsid w:val="008A29DA"/>
    <w:rsid w:val="008A2A3D"/>
    <w:rsid w:val="008A321B"/>
    <w:rsid w:val="008A3250"/>
    <w:rsid w:val="008A33DD"/>
    <w:rsid w:val="008A396D"/>
    <w:rsid w:val="008A3B5D"/>
    <w:rsid w:val="008A3B63"/>
    <w:rsid w:val="008A3DA0"/>
    <w:rsid w:val="008A4040"/>
    <w:rsid w:val="008A409C"/>
    <w:rsid w:val="008A40E7"/>
    <w:rsid w:val="008A41B4"/>
    <w:rsid w:val="008A44ED"/>
    <w:rsid w:val="008A4591"/>
    <w:rsid w:val="008A4685"/>
    <w:rsid w:val="008A468C"/>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B9D"/>
    <w:rsid w:val="008A7E87"/>
    <w:rsid w:val="008A7EBE"/>
    <w:rsid w:val="008B03B0"/>
    <w:rsid w:val="008B04D4"/>
    <w:rsid w:val="008B0613"/>
    <w:rsid w:val="008B0FEA"/>
    <w:rsid w:val="008B1536"/>
    <w:rsid w:val="008B17B5"/>
    <w:rsid w:val="008B18AD"/>
    <w:rsid w:val="008B1C49"/>
    <w:rsid w:val="008B1F41"/>
    <w:rsid w:val="008B1F86"/>
    <w:rsid w:val="008B2217"/>
    <w:rsid w:val="008B22EE"/>
    <w:rsid w:val="008B2825"/>
    <w:rsid w:val="008B2A44"/>
    <w:rsid w:val="008B2C52"/>
    <w:rsid w:val="008B2D0E"/>
    <w:rsid w:val="008B3059"/>
    <w:rsid w:val="008B30EE"/>
    <w:rsid w:val="008B3146"/>
    <w:rsid w:val="008B3547"/>
    <w:rsid w:val="008B39D1"/>
    <w:rsid w:val="008B3BA1"/>
    <w:rsid w:val="008B3C74"/>
    <w:rsid w:val="008B471F"/>
    <w:rsid w:val="008B47A9"/>
    <w:rsid w:val="008B4B8C"/>
    <w:rsid w:val="008B4C3F"/>
    <w:rsid w:val="008B55CF"/>
    <w:rsid w:val="008B566E"/>
    <w:rsid w:val="008B5911"/>
    <w:rsid w:val="008B5BB6"/>
    <w:rsid w:val="008B5C7A"/>
    <w:rsid w:val="008B63FF"/>
    <w:rsid w:val="008B655B"/>
    <w:rsid w:val="008B6BE9"/>
    <w:rsid w:val="008B71ED"/>
    <w:rsid w:val="008B77BD"/>
    <w:rsid w:val="008B79C6"/>
    <w:rsid w:val="008B7B41"/>
    <w:rsid w:val="008B7DA5"/>
    <w:rsid w:val="008B7F74"/>
    <w:rsid w:val="008C046C"/>
    <w:rsid w:val="008C0709"/>
    <w:rsid w:val="008C0869"/>
    <w:rsid w:val="008C18F2"/>
    <w:rsid w:val="008C20C1"/>
    <w:rsid w:val="008C2428"/>
    <w:rsid w:val="008C25BA"/>
    <w:rsid w:val="008C2781"/>
    <w:rsid w:val="008C2A1E"/>
    <w:rsid w:val="008C2B2C"/>
    <w:rsid w:val="008C3450"/>
    <w:rsid w:val="008C36E8"/>
    <w:rsid w:val="008C37F6"/>
    <w:rsid w:val="008C3976"/>
    <w:rsid w:val="008C41BC"/>
    <w:rsid w:val="008C5B21"/>
    <w:rsid w:val="008C5C19"/>
    <w:rsid w:val="008C5E13"/>
    <w:rsid w:val="008C5E80"/>
    <w:rsid w:val="008C6A2A"/>
    <w:rsid w:val="008C6DC4"/>
    <w:rsid w:val="008C6F6E"/>
    <w:rsid w:val="008C7111"/>
    <w:rsid w:val="008C7A79"/>
    <w:rsid w:val="008C7F9A"/>
    <w:rsid w:val="008D002B"/>
    <w:rsid w:val="008D0341"/>
    <w:rsid w:val="008D04B9"/>
    <w:rsid w:val="008D0C2A"/>
    <w:rsid w:val="008D0E9D"/>
    <w:rsid w:val="008D12FE"/>
    <w:rsid w:val="008D1856"/>
    <w:rsid w:val="008D2145"/>
    <w:rsid w:val="008D2342"/>
    <w:rsid w:val="008D2398"/>
    <w:rsid w:val="008D281D"/>
    <w:rsid w:val="008D2A9D"/>
    <w:rsid w:val="008D3551"/>
    <w:rsid w:val="008D39D6"/>
    <w:rsid w:val="008D3CC5"/>
    <w:rsid w:val="008D4185"/>
    <w:rsid w:val="008D4345"/>
    <w:rsid w:val="008D456F"/>
    <w:rsid w:val="008D4A02"/>
    <w:rsid w:val="008D55CF"/>
    <w:rsid w:val="008D574E"/>
    <w:rsid w:val="008D583C"/>
    <w:rsid w:val="008D63E9"/>
    <w:rsid w:val="008D6439"/>
    <w:rsid w:val="008D6A6C"/>
    <w:rsid w:val="008D6AED"/>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8AF"/>
    <w:rsid w:val="008E1BA8"/>
    <w:rsid w:val="008E2026"/>
    <w:rsid w:val="008E20BB"/>
    <w:rsid w:val="008E26E5"/>
    <w:rsid w:val="008E2BD2"/>
    <w:rsid w:val="008E2CFA"/>
    <w:rsid w:val="008E327F"/>
    <w:rsid w:val="008E33EB"/>
    <w:rsid w:val="008E3400"/>
    <w:rsid w:val="008E3745"/>
    <w:rsid w:val="008E4267"/>
    <w:rsid w:val="008E4617"/>
    <w:rsid w:val="008E477F"/>
    <w:rsid w:val="008E47B7"/>
    <w:rsid w:val="008E4ABD"/>
    <w:rsid w:val="008E4C41"/>
    <w:rsid w:val="008E54FA"/>
    <w:rsid w:val="008E5A5F"/>
    <w:rsid w:val="008E6269"/>
    <w:rsid w:val="008E6418"/>
    <w:rsid w:val="008E646C"/>
    <w:rsid w:val="008E69E5"/>
    <w:rsid w:val="008E6F52"/>
    <w:rsid w:val="008E72C7"/>
    <w:rsid w:val="008E7AEF"/>
    <w:rsid w:val="008E7BD5"/>
    <w:rsid w:val="008E7CC4"/>
    <w:rsid w:val="008E7DC1"/>
    <w:rsid w:val="008F0587"/>
    <w:rsid w:val="008F08BE"/>
    <w:rsid w:val="008F0B94"/>
    <w:rsid w:val="008F0DF8"/>
    <w:rsid w:val="008F0E2E"/>
    <w:rsid w:val="008F135D"/>
    <w:rsid w:val="008F1817"/>
    <w:rsid w:val="008F1866"/>
    <w:rsid w:val="008F19B5"/>
    <w:rsid w:val="008F1B14"/>
    <w:rsid w:val="008F34B3"/>
    <w:rsid w:val="008F35CE"/>
    <w:rsid w:val="008F35D0"/>
    <w:rsid w:val="008F3E2F"/>
    <w:rsid w:val="008F3F3F"/>
    <w:rsid w:val="008F4149"/>
    <w:rsid w:val="008F42EC"/>
    <w:rsid w:val="008F4367"/>
    <w:rsid w:val="008F446D"/>
    <w:rsid w:val="008F4507"/>
    <w:rsid w:val="008F453E"/>
    <w:rsid w:val="008F4EE9"/>
    <w:rsid w:val="008F4F6A"/>
    <w:rsid w:val="008F5EEB"/>
    <w:rsid w:val="008F68F0"/>
    <w:rsid w:val="008F706F"/>
    <w:rsid w:val="008F7354"/>
    <w:rsid w:val="008F7560"/>
    <w:rsid w:val="008F7866"/>
    <w:rsid w:val="008F7EC8"/>
    <w:rsid w:val="009001F9"/>
    <w:rsid w:val="009005A8"/>
    <w:rsid w:val="009007E4"/>
    <w:rsid w:val="00900A6B"/>
    <w:rsid w:val="00900F89"/>
    <w:rsid w:val="0090126F"/>
    <w:rsid w:val="00901B5E"/>
    <w:rsid w:val="0090258B"/>
    <w:rsid w:val="009026F1"/>
    <w:rsid w:val="00902B9C"/>
    <w:rsid w:val="00902DF5"/>
    <w:rsid w:val="00902F59"/>
    <w:rsid w:val="009035CB"/>
    <w:rsid w:val="009036F9"/>
    <w:rsid w:val="00903C45"/>
    <w:rsid w:val="00904115"/>
    <w:rsid w:val="009044EE"/>
    <w:rsid w:val="00904CBF"/>
    <w:rsid w:val="00905886"/>
    <w:rsid w:val="00905B1B"/>
    <w:rsid w:val="00905BB3"/>
    <w:rsid w:val="00905D69"/>
    <w:rsid w:val="00905E0E"/>
    <w:rsid w:val="00905E69"/>
    <w:rsid w:val="00905E9C"/>
    <w:rsid w:val="00905F03"/>
    <w:rsid w:val="00906131"/>
    <w:rsid w:val="00906FF3"/>
    <w:rsid w:val="00907390"/>
    <w:rsid w:val="009075CD"/>
    <w:rsid w:val="00907CBA"/>
    <w:rsid w:val="00907D11"/>
    <w:rsid w:val="00907D54"/>
    <w:rsid w:val="00907D94"/>
    <w:rsid w:val="00907FBF"/>
    <w:rsid w:val="0091018D"/>
    <w:rsid w:val="0091049C"/>
    <w:rsid w:val="009106B4"/>
    <w:rsid w:val="00910C1F"/>
    <w:rsid w:val="00910E0C"/>
    <w:rsid w:val="0091102E"/>
    <w:rsid w:val="0091186A"/>
    <w:rsid w:val="009118A8"/>
    <w:rsid w:val="00911CA2"/>
    <w:rsid w:val="009121FB"/>
    <w:rsid w:val="0091232D"/>
    <w:rsid w:val="00912786"/>
    <w:rsid w:val="00912E42"/>
    <w:rsid w:val="00912F67"/>
    <w:rsid w:val="00913007"/>
    <w:rsid w:val="009131B8"/>
    <w:rsid w:val="00913467"/>
    <w:rsid w:val="009136AC"/>
    <w:rsid w:val="00913728"/>
    <w:rsid w:val="009139E9"/>
    <w:rsid w:val="009139EA"/>
    <w:rsid w:val="00913EF9"/>
    <w:rsid w:val="00914103"/>
    <w:rsid w:val="009141E0"/>
    <w:rsid w:val="009141F5"/>
    <w:rsid w:val="00914391"/>
    <w:rsid w:val="00914821"/>
    <w:rsid w:val="00914BB4"/>
    <w:rsid w:val="00914CDF"/>
    <w:rsid w:val="0091551B"/>
    <w:rsid w:val="00915552"/>
    <w:rsid w:val="009156F0"/>
    <w:rsid w:val="00915909"/>
    <w:rsid w:val="00915DAB"/>
    <w:rsid w:val="0091682C"/>
    <w:rsid w:val="0091695E"/>
    <w:rsid w:val="00916AA5"/>
    <w:rsid w:val="00916C83"/>
    <w:rsid w:val="00916FB0"/>
    <w:rsid w:val="00917CCE"/>
    <w:rsid w:val="00920E6C"/>
    <w:rsid w:val="00921132"/>
    <w:rsid w:val="00921210"/>
    <w:rsid w:val="0092132F"/>
    <w:rsid w:val="0092142E"/>
    <w:rsid w:val="00921658"/>
    <w:rsid w:val="0092176E"/>
    <w:rsid w:val="00922388"/>
    <w:rsid w:val="00922A01"/>
    <w:rsid w:val="00922AFA"/>
    <w:rsid w:val="00922C9B"/>
    <w:rsid w:val="00922CB5"/>
    <w:rsid w:val="00923527"/>
    <w:rsid w:val="00923748"/>
    <w:rsid w:val="00923973"/>
    <w:rsid w:val="00923C7E"/>
    <w:rsid w:val="00923EDC"/>
    <w:rsid w:val="00924898"/>
    <w:rsid w:val="009258A1"/>
    <w:rsid w:val="00925C57"/>
    <w:rsid w:val="009266A8"/>
    <w:rsid w:val="009266C1"/>
    <w:rsid w:val="009269B4"/>
    <w:rsid w:val="00926BC1"/>
    <w:rsid w:val="00926CD8"/>
    <w:rsid w:val="00926F01"/>
    <w:rsid w:val="00927084"/>
    <w:rsid w:val="00927BB7"/>
    <w:rsid w:val="00927C5B"/>
    <w:rsid w:val="009300B5"/>
    <w:rsid w:val="009300E9"/>
    <w:rsid w:val="00930C58"/>
    <w:rsid w:val="00930C87"/>
    <w:rsid w:val="0093171A"/>
    <w:rsid w:val="009318DE"/>
    <w:rsid w:val="00931B74"/>
    <w:rsid w:val="00931E1B"/>
    <w:rsid w:val="009321B9"/>
    <w:rsid w:val="009324C1"/>
    <w:rsid w:val="00932787"/>
    <w:rsid w:val="00933085"/>
    <w:rsid w:val="009330A1"/>
    <w:rsid w:val="0093333C"/>
    <w:rsid w:val="00933B43"/>
    <w:rsid w:val="00933B7F"/>
    <w:rsid w:val="00934CC8"/>
    <w:rsid w:val="00934E42"/>
    <w:rsid w:val="00934FB1"/>
    <w:rsid w:val="00935037"/>
    <w:rsid w:val="0093512B"/>
    <w:rsid w:val="00936085"/>
    <w:rsid w:val="0093622E"/>
    <w:rsid w:val="009363D0"/>
    <w:rsid w:val="009364B5"/>
    <w:rsid w:val="00936540"/>
    <w:rsid w:val="00936705"/>
    <w:rsid w:val="00936CFA"/>
    <w:rsid w:val="00936D22"/>
    <w:rsid w:val="00936F66"/>
    <w:rsid w:val="00936F6C"/>
    <w:rsid w:val="00937788"/>
    <w:rsid w:val="009377A7"/>
    <w:rsid w:val="00937890"/>
    <w:rsid w:val="00937901"/>
    <w:rsid w:val="00937F24"/>
    <w:rsid w:val="009403CC"/>
    <w:rsid w:val="00940691"/>
    <w:rsid w:val="009406C6"/>
    <w:rsid w:val="00940811"/>
    <w:rsid w:val="00940948"/>
    <w:rsid w:val="00940ACC"/>
    <w:rsid w:val="00940C68"/>
    <w:rsid w:val="00940CC4"/>
    <w:rsid w:val="00940E73"/>
    <w:rsid w:val="00940EB8"/>
    <w:rsid w:val="00941758"/>
    <w:rsid w:val="0094196F"/>
    <w:rsid w:val="00941D26"/>
    <w:rsid w:val="00942076"/>
    <w:rsid w:val="0094213B"/>
    <w:rsid w:val="00942865"/>
    <w:rsid w:val="00942A2C"/>
    <w:rsid w:val="00942B73"/>
    <w:rsid w:val="009432A8"/>
    <w:rsid w:val="009432C3"/>
    <w:rsid w:val="009437D3"/>
    <w:rsid w:val="009439EF"/>
    <w:rsid w:val="00943D7A"/>
    <w:rsid w:val="0094416C"/>
    <w:rsid w:val="00944366"/>
    <w:rsid w:val="00944595"/>
    <w:rsid w:val="009445F1"/>
    <w:rsid w:val="00944718"/>
    <w:rsid w:val="009449F8"/>
    <w:rsid w:val="00944B59"/>
    <w:rsid w:val="00944BE2"/>
    <w:rsid w:val="00944CAC"/>
    <w:rsid w:val="00944CB0"/>
    <w:rsid w:val="00944ED6"/>
    <w:rsid w:val="0094516D"/>
    <w:rsid w:val="00945477"/>
    <w:rsid w:val="009455E6"/>
    <w:rsid w:val="00945F78"/>
    <w:rsid w:val="009466F5"/>
    <w:rsid w:val="00946718"/>
    <w:rsid w:val="00946881"/>
    <w:rsid w:val="00946E09"/>
    <w:rsid w:val="009472C7"/>
    <w:rsid w:val="0094738E"/>
    <w:rsid w:val="009475F7"/>
    <w:rsid w:val="009476A4"/>
    <w:rsid w:val="009477C7"/>
    <w:rsid w:val="00947B97"/>
    <w:rsid w:val="00947D8B"/>
    <w:rsid w:val="00950016"/>
    <w:rsid w:val="00950088"/>
    <w:rsid w:val="00950116"/>
    <w:rsid w:val="00950189"/>
    <w:rsid w:val="0095026C"/>
    <w:rsid w:val="00950A49"/>
    <w:rsid w:val="00950F7A"/>
    <w:rsid w:val="0095108D"/>
    <w:rsid w:val="00951579"/>
    <w:rsid w:val="00951F41"/>
    <w:rsid w:val="009521C0"/>
    <w:rsid w:val="009522C5"/>
    <w:rsid w:val="009528C1"/>
    <w:rsid w:val="00952D0D"/>
    <w:rsid w:val="00952EC9"/>
    <w:rsid w:val="0095338E"/>
    <w:rsid w:val="009534A3"/>
    <w:rsid w:val="009538EC"/>
    <w:rsid w:val="00953998"/>
    <w:rsid w:val="00953A6A"/>
    <w:rsid w:val="00953F20"/>
    <w:rsid w:val="009544CC"/>
    <w:rsid w:val="009552CC"/>
    <w:rsid w:val="009556AC"/>
    <w:rsid w:val="00955740"/>
    <w:rsid w:val="009558B0"/>
    <w:rsid w:val="00955939"/>
    <w:rsid w:val="00955DB8"/>
    <w:rsid w:val="00955F9F"/>
    <w:rsid w:val="009560A4"/>
    <w:rsid w:val="00956201"/>
    <w:rsid w:val="009565B8"/>
    <w:rsid w:val="00956626"/>
    <w:rsid w:val="00956E39"/>
    <w:rsid w:val="00956F14"/>
    <w:rsid w:val="0095717B"/>
    <w:rsid w:val="0095752B"/>
    <w:rsid w:val="00957EE7"/>
    <w:rsid w:val="00960507"/>
    <w:rsid w:val="00960835"/>
    <w:rsid w:val="00960C64"/>
    <w:rsid w:val="00960F50"/>
    <w:rsid w:val="009610D4"/>
    <w:rsid w:val="00961E3C"/>
    <w:rsid w:val="009621F5"/>
    <w:rsid w:val="00963058"/>
    <w:rsid w:val="0096329C"/>
    <w:rsid w:val="009633A3"/>
    <w:rsid w:val="009635FC"/>
    <w:rsid w:val="00963678"/>
    <w:rsid w:val="009637BB"/>
    <w:rsid w:val="009639E1"/>
    <w:rsid w:val="00963C47"/>
    <w:rsid w:val="00963E82"/>
    <w:rsid w:val="009643D1"/>
    <w:rsid w:val="00964430"/>
    <w:rsid w:val="0096465D"/>
    <w:rsid w:val="009649C8"/>
    <w:rsid w:val="00964F4E"/>
    <w:rsid w:val="009653C9"/>
    <w:rsid w:val="009654F5"/>
    <w:rsid w:val="00965BA3"/>
    <w:rsid w:val="00965E7C"/>
    <w:rsid w:val="0096613D"/>
    <w:rsid w:val="0096655A"/>
    <w:rsid w:val="00966CCD"/>
    <w:rsid w:val="00966E80"/>
    <w:rsid w:val="0096718F"/>
    <w:rsid w:val="00967312"/>
    <w:rsid w:val="0096735E"/>
    <w:rsid w:val="00967864"/>
    <w:rsid w:val="00967A82"/>
    <w:rsid w:val="00967DD3"/>
    <w:rsid w:val="00970F15"/>
    <w:rsid w:val="00970FEC"/>
    <w:rsid w:val="009710A8"/>
    <w:rsid w:val="00971825"/>
    <w:rsid w:val="00971A33"/>
    <w:rsid w:val="00971A4C"/>
    <w:rsid w:val="00971A50"/>
    <w:rsid w:val="00971C0C"/>
    <w:rsid w:val="00971ED8"/>
    <w:rsid w:val="0097222F"/>
    <w:rsid w:val="00972231"/>
    <w:rsid w:val="00972789"/>
    <w:rsid w:val="00972E70"/>
    <w:rsid w:val="00973068"/>
    <w:rsid w:val="009737D6"/>
    <w:rsid w:val="00973A58"/>
    <w:rsid w:val="009741CC"/>
    <w:rsid w:val="009747B6"/>
    <w:rsid w:val="00974968"/>
    <w:rsid w:val="00974B13"/>
    <w:rsid w:val="00974BC6"/>
    <w:rsid w:val="00974E14"/>
    <w:rsid w:val="00974FE3"/>
    <w:rsid w:val="009757EC"/>
    <w:rsid w:val="00976959"/>
    <w:rsid w:val="009769A7"/>
    <w:rsid w:val="00976A8B"/>
    <w:rsid w:val="009771A9"/>
    <w:rsid w:val="0097750C"/>
    <w:rsid w:val="00980000"/>
    <w:rsid w:val="00980037"/>
    <w:rsid w:val="009800B3"/>
    <w:rsid w:val="009800D4"/>
    <w:rsid w:val="0098087D"/>
    <w:rsid w:val="00980CFF"/>
    <w:rsid w:val="009814B9"/>
    <w:rsid w:val="00981BC8"/>
    <w:rsid w:val="00981C07"/>
    <w:rsid w:val="00981C41"/>
    <w:rsid w:val="00982312"/>
    <w:rsid w:val="0098239B"/>
    <w:rsid w:val="00982534"/>
    <w:rsid w:val="00982F05"/>
    <w:rsid w:val="009830DC"/>
    <w:rsid w:val="00983114"/>
    <w:rsid w:val="00983307"/>
    <w:rsid w:val="009834DC"/>
    <w:rsid w:val="00983677"/>
    <w:rsid w:val="00983C1D"/>
    <w:rsid w:val="0098402E"/>
    <w:rsid w:val="009846BE"/>
    <w:rsid w:val="00984CD7"/>
    <w:rsid w:val="00984D77"/>
    <w:rsid w:val="00985109"/>
    <w:rsid w:val="00985335"/>
    <w:rsid w:val="00985542"/>
    <w:rsid w:val="0098566E"/>
    <w:rsid w:val="009861A4"/>
    <w:rsid w:val="009862F6"/>
    <w:rsid w:val="009866B5"/>
    <w:rsid w:val="00986C33"/>
    <w:rsid w:val="009876AD"/>
    <w:rsid w:val="00987893"/>
    <w:rsid w:val="00987F44"/>
    <w:rsid w:val="0099021D"/>
    <w:rsid w:val="00990290"/>
    <w:rsid w:val="009902FF"/>
    <w:rsid w:val="0099095A"/>
    <w:rsid w:val="00990AC8"/>
    <w:rsid w:val="00990D8B"/>
    <w:rsid w:val="00990FA4"/>
    <w:rsid w:val="00991412"/>
    <w:rsid w:val="00991591"/>
    <w:rsid w:val="009919CD"/>
    <w:rsid w:val="00991C5C"/>
    <w:rsid w:val="009920A5"/>
    <w:rsid w:val="0099217C"/>
    <w:rsid w:val="0099237C"/>
    <w:rsid w:val="009924DF"/>
    <w:rsid w:val="009927A0"/>
    <w:rsid w:val="00992A8B"/>
    <w:rsid w:val="00992E85"/>
    <w:rsid w:val="009934AC"/>
    <w:rsid w:val="009935D2"/>
    <w:rsid w:val="009937F9"/>
    <w:rsid w:val="0099403A"/>
    <w:rsid w:val="00994087"/>
    <w:rsid w:val="00994181"/>
    <w:rsid w:val="0099443E"/>
    <w:rsid w:val="00994685"/>
    <w:rsid w:val="00994802"/>
    <w:rsid w:val="009948FE"/>
    <w:rsid w:val="00994951"/>
    <w:rsid w:val="009949AF"/>
    <w:rsid w:val="00994A48"/>
    <w:rsid w:val="00994BCD"/>
    <w:rsid w:val="00995045"/>
    <w:rsid w:val="009952F9"/>
    <w:rsid w:val="00995764"/>
    <w:rsid w:val="009957D2"/>
    <w:rsid w:val="00995E3B"/>
    <w:rsid w:val="00996314"/>
    <w:rsid w:val="00996373"/>
    <w:rsid w:val="009965A0"/>
    <w:rsid w:val="009967A1"/>
    <w:rsid w:val="0099684E"/>
    <w:rsid w:val="00996E1C"/>
    <w:rsid w:val="00997193"/>
    <w:rsid w:val="00997700"/>
    <w:rsid w:val="00997A48"/>
    <w:rsid w:val="00997D4E"/>
    <w:rsid w:val="00997E70"/>
    <w:rsid w:val="009A08A2"/>
    <w:rsid w:val="009A0B65"/>
    <w:rsid w:val="009A12E5"/>
    <w:rsid w:val="009A1315"/>
    <w:rsid w:val="009A1917"/>
    <w:rsid w:val="009A19EE"/>
    <w:rsid w:val="009A1C67"/>
    <w:rsid w:val="009A1C80"/>
    <w:rsid w:val="009A1DA9"/>
    <w:rsid w:val="009A1FAF"/>
    <w:rsid w:val="009A23E4"/>
    <w:rsid w:val="009A28DD"/>
    <w:rsid w:val="009A2C72"/>
    <w:rsid w:val="009A2F40"/>
    <w:rsid w:val="009A3032"/>
    <w:rsid w:val="009A32EC"/>
    <w:rsid w:val="009A3AFE"/>
    <w:rsid w:val="009A3D68"/>
    <w:rsid w:val="009A3E42"/>
    <w:rsid w:val="009A3EA6"/>
    <w:rsid w:val="009A3EC6"/>
    <w:rsid w:val="009A43DC"/>
    <w:rsid w:val="009A4581"/>
    <w:rsid w:val="009A45AE"/>
    <w:rsid w:val="009A4C77"/>
    <w:rsid w:val="009A54D0"/>
    <w:rsid w:val="009A595B"/>
    <w:rsid w:val="009A5A32"/>
    <w:rsid w:val="009A5CE6"/>
    <w:rsid w:val="009A5DDD"/>
    <w:rsid w:val="009A630C"/>
    <w:rsid w:val="009A65F6"/>
    <w:rsid w:val="009A6A03"/>
    <w:rsid w:val="009A6FE3"/>
    <w:rsid w:val="009A73A8"/>
    <w:rsid w:val="009A798D"/>
    <w:rsid w:val="009A7A58"/>
    <w:rsid w:val="009A7D60"/>
    <w:rsid w:val="009A7E9B"/>
    <w:rsid w:val="009A7F2F"/>
    <w:rsid w:val="009B0074"/>
    <w:rsid w:val="009B07BB"/>
    <w:rsid w:val="009B0AD9"/>
    <w:rsid w:val="009B1480"/>
    <w:rsid w:val="009B14D9"/>
    <w:rsid w:val="009B19F9"/>
    <w:rsid w:val="009B1CA2"/>
    <w:rsid w:val="009B1E60"/>
    <w:rsid w:val="009B1F0E"/>
    <w:rsid w:val="009B1FC6"/>
    <w:rsid w:val="009B2709"/>
    <w:rsid w:val="009B2D21"/>
    <w:rsid w:val="009B2DEF"/>
    <w:rsid w:val="009B35B7"/>
    <w:rsid w:val="009B3A47"/>
    <w:rsid w:val="009B3C0C"/>
    <w:rsid w:val="009B3C11"/>
    <w:rsid w:val="009B3F9D"/>
    <w:rsid w:val="009B418C"/>
    <w:rsid w:val="009B42A8"/>
    <w:rsid w:val="009B445A"/>
    <w:rsid w:val="009B4596"/>
    <w:rsid w:val="009B541E"/>
    <w:rsid w:val="009B59D2"/>
    <w:rsid w:val="009B5DDC"/>
    <w:rsid w:val="009B6037"/>
    <w:rsid w:val="009B6340"/>
    <w:rsid w:val="009B6434"/>
    <w:rsid w:val="009B6600"/>
    <w:rsid w:val="009B684D"/>
    <w:rsid w:val="009B6DEF"/>
    <w:rsid w:val="009B7150"/>
    <w:rsid w:val="009B7BAE"/>
    <w:rsid w:val="009C0007"/>
    <w:rsid w:val="009C0058"/>
    <w:rsid w:val="009C0569"/>
    <w:rsid w:val="009C0A3B"/>
    <w:rsid w:val="009C0C71"/>
    <w:rsid w:val="009C0E09"/>
    <w:rsid w:val="009C1418"/>
    <w:rsid w:val="009C142F"/>
    <w:rsid w:val="009C1A4B"/>
    <w:rsid w:val="009C2EAA"/>
    <w:rsid w:val="009C3826"/>
    <w:rsid w:val="009C385B"/>
    <w:rsid w:val="009C38CA"/>
    <w:rsid w:val="009C40BA"/>
    <w:rsid w:val="009C424F"/>
    <w:rsid w:val="009C42DA"/>
    <w:rsid w:val="009C4549"/>
    <w:rsid w:val="009C45A7"/>
    <w:rsid w:val="009C45F2"/>
    <w:rsid w:val="009C4BE9"/>
    <w:rsid w:val="009C4CBC"/>
    <w:rsid w:val="009C5869"/>
    <w:rsid w:val="009C58BA"/>
    <w:rsid w:val="009C58D5"/>
    <w:rsid w:val="009C5C02"/>
    <w:rsid w:val="009C5E9C"/>
    <w:rsid w:val="009C5E9D"/>
    <w:rsid w:val="009C6059"/>
    <w:rsid w:val="009C63D4"/>
    <w:rsid w:val="009C681E"/>
    <w:rsid w:val="009C6C00"/>
    <w:rsid w:val="009C739C"/>
    <w:rsid w:val="009C73D5"/>
    <w:rsid w:val="009C7A51"/>
    <w:rsid w:val="009C7E75"/>
    <w:rsid w:val="009C7EF4"/>
    <w:rsid w:val="009C7F00"/>
    <w:rsid w:val="009D02DC"/>
    <w:rsid w:val="009D031E"/>
    <w:rsid w:val="009D074E"/>
    <w:rsid w:val="009D0B17"/>
    <w:rsid w:val="009D0BCC"/>
    <w:rsid w:val="009D0C2E"/>
    <w:rsid w:val="009D1929"/>
    <w:rsid w:val="009D1C7E"/>
    <w:rsid w:val="009D1CA7"/>
    <w:rsid w:val="009D1F4B"/>
    <w:rsid w:val="009D2490"/>
    <w:rsid w:val="009D2A21"/>
    <w:rsid w:val="009D2E3B"/>
    <w:rsid w:val="009D30A9"/>
    <w:rsid w:val="009D31AA"/>
    <w:rsid w:val="009D3329"/>
    <w:rsid w:val="009D3520"/>
    <w:rsid w:val="009D3721"/>
    <w:rsid w:val="009D3778"/>
    <w:rsid w:val="009D3AC5"/>
    <w:rsid w:val="009D3EB5"/>
    <w:rsid w:val="009D4A5A"/>
    <w:rsid w:val="009D57B7"/>
    <w:rsid w:val="009D6140"/>
    <w:rsid w:val="009D627B"/>
    <w:rsid w:val="009D646B"/>
    <w:rsid w:val="009D68C7"/>
    <w:rsid w:val="009D6B94"/>
    <w:rsid w:val="009D712D"/>
    <w:rsid w:val="009D73AB"/>
    <w:rsid w:val="009D7DEC"/>
    <w:rsid w:val="009D7DFD"/>
    <w:rsid w:val="009E003D"/>
    <w:rsid w:val="009E059E"/>
    <w:rsid w:val="009E063F"/>
    <w:rsid w:val="009E07C1"/>
    <w:rsid w:val="009E094A"/>
    <w:rsid w:val="009E0E2E"/>
    <w:rsid w:val="009E0F2C"/>
    <w:rsid w:val="009E1DF6"/>
    <w:rsid w:val="009E2279"/>
    <w:rsid w:val="009E2858"/>
    <w:rsid w:val="009E2B57"/>
    <w:rsid w:val="009E3141"/>
    <w:rsid w:val="009E3199"/>
    <w:rsid w:val="009E32B4"/>
    <w:rsid w:val="009E375D"/>
    <w:rsid w:val="009E3978"/>
    <w:rsid w:val="009E3CB7"/>
    <w:rsid w:val="009E3CE9"/>
    <w:rsid w:val="009E44FF"/>
    <w:rsid w:val="009E4562"/>
    <w:rsid w:val="009E4BB0"/>
    <w:rsid w:val="009E4F1E"/>
    <w:rsid w:val="009E5780"/>
    <w:rsid w:val="009E5877"/>
    <w:rsid w:val="009E5896"/>
    <w:rsid w:val="009E58A5"/>
    <w:rsid w:val="009E6491"/>
    <w:rsid w:val="009E6825"/>
    <w:rsid w:val="009E6BCE"/>
    <w:rsid w:val="009E6EAE"/>
    <w:rsid w:val="009E7086"/>
    <w:rsid w:val="009E76A4"/>
    <w:rsid w:val="009E77D7"/>
    <w:rsid w:val="009E7C95"/>
    <w:rsid w:val="009E7FF0"/>
    <w:rsid w:val="009F005B"/>
    <w:rsid w:val="009F0A75"/>
    <w:rsid w:val="009F0D16"/>
    <w:rsid w:val="009F1CC0"/>
    <w:rsid w:val="009F2306"/>
    <w:rsid w:val="009F2BD6"/>
    <w:rsid w:val="009F2FA3"/>
    <w:rsid w:val="009F2FAE"/>
    <w:rsid w:val="009F349A"/>
    <w:rsid w:val="009F35DA"/>
    <w:rsid w:val="009F37E9"/>
    <w:rsid w:val="009F3AF1"/>
    <w:rsid w:val="009F3B50"/>
    <w:rsid w:val="009F3D65"/>
    <w:rsid w:val="009F3E86"/>
    <w:rsid w:val="009F3FA8"/>
    <w:rsid w:val="009F427F"/>
    <w:rsid w:val="009F45D0"/>
    <w:rsid w:val="009F4740"/>
    <w:rsid w:val="009F4776"/>
    <w:rsid w:val="009F4AF6"/>
    <w:rsid w:val="009F4B50"/>
    <w:rsid w:val="009F536C"/>
    <w:rsid w:val="009F55F0"/>
    <w:rsid w:val="009F5620"/>
    <w:rsid w:val="009F5698"/>
    <w:rsid w:val="009F5C21"/>
    <w:rsid w:val="009F66C7"/>
    <w:rsid w:val="009F67A2"/>
    <w:rsid w:val="009F6F87"/>
    <w:rsid w:val="009F70E3"/>
    <w:rsid w:val="009F753A"/>
    <w:rsid w:val="009F75ED"/>
    <w:rsid w:val="009F7C7F"/>
    <w:rsid w:val="00A0040A"/>
    <w:rsid w:val="00A0047B"/>
    <w:rsid w:val="00A00D8A"/>
    <w:rsid w:val="00A00F8E"/>
    <w:rsid w:val="00A01150"/>
    <w:rsid w:val="00A0120B"/>
    <w:rsid w:val="00A01387"/>
    <w:rsid w:val="00A01467"/>
    <w:rsid w:val="00A02143"/>
    <w:rsid w:val="00A0226B"/>
    <w:rsid w:val="00A025BB"/>
    <w:rsid w:val="00A02B72"/>
    <w:rsid w:val="00A02F90"/>
    <w:rsid w:val="00A03709"/>
    <w:rsid w:val="00A0378E"/>
    <w:rsid w:val="00A03FEE"/>
    <w:rsid w:val="00A04CFC"/>
    <w:rsid w:val="00A04D38"/>
    <w:rsid w:val="00A053D4"/>
    <w:rsid w:val="00A05435"/>
    <w:rsid w:val="00A05461"/>
    <w:rsid w:val="00A05577"/>
    <w:rsid w:val="00A055E8"/>
    <w:rsid w:val="00A055F5"/>
    <w:rsid w:val="00A064C0"/>
    <w:rsid w:val="00A06891"/>
    <w:rsid w:val="00A06B26"/>
    <w:rsid w:val="00A06CBC"/>
    <w:rsid w:val="00A07033"/>
    <w:rsid w:val="00A072E1"/>
    <w:rsid w:val="00A0765F"/>
    <w:rsid w:val="00A07846"/>
    <w:rsid w:val="00A07AD0"/>
    <w:rsid w:val="00A07B93"/>
    <w:rsid w:val="00A1038A"/>
    <w:rsid w:val="00A105A8"/>
    <w:rsid w:val="00A10710"/>
    <w:rsid w:val="00A10C6F"/>
    <w:rsid w:val="00A110F2"/>
    <w:rsid w:val="00A113DA"/>
    <w:rsid w:val="00A11DA2"/>
    <w:rsid w:val="00A120A9"/>
    <w:rsid w:val="00A12646"/>
    <w:rsid w:val="00A12697"/>
    <w:rsid w:val="00A12ADD"/>
    <w:rsid w:val="00A13015"/>
    <w:rsid w:val="00A13805"/>
    <w:rsid w:val="00A13957"/>
    <w:rsid w:val="00A13A95"/>
    <w:rsid w:val="00A142DD"/>
    <w:rsid w:val="00A14838"/>
    <w:rsid w:val="00A14DF5"/>
    <w:rsid w:val="00A15771"/>
    <w:rsid w:val="00A15B58"/>
    <w:rsid w:val="00A15D92"/>
    <w:rsid w:val="00A161FE"/>
    <w:rsid w:val="00A16717"/>
    <w:rsid w:val="00A1681F"/>
    <w:rsid w:val="00A16ADE"/>
    <w:rsid w:val="00A16C96"/>
    <w:rsid w:val="00A16D1A"/>
    <w:rsid w:val="00A16EAD"/>
    <w:rsid w:val="00A1733B"/>
    <w:rsid w:val="00A17541"/>
    <w:rsid w:val="00A1775D"/>
    <w:rsid w:val="00A17FA1"/>
    <w:rsid w:val="00A205E7"/>
    <w:rsid w:val="00A20C4C"/>
    <w:rsid w:val="00A20DFC"/>
    <w:rsid w:val="00A20E84"/>
    <w:rsid w:val="00A211AB"/>
    <w:rsid w:val="00A214CC"/>
    <w:rsid w:val="00A2160D"/>
    <w:rsid w:val="00A21A62"/>
    <w:rsid w:val="00A227DA"/>
    <w:rsid w:val="00A22899"/>
    <w:rsid w:val="00A22A1B"/>
    <w:rsid w:val="00A22B2D"/>
    <w:rsid w:val="00A22B9D"/>
    <w:rsid w:val="00A22CB1"/>
    <w:rsid w:val="00A22CDC"/>
    <w:rsid w:val="00A22D9C"/>
    <w:rsid w:val="00A23500"/>
    <w:rsid w:val="00A23AB2"/>
    <w:rsid w:val="00A23CEB"/>
    <w:rsid w:val="00A24252"/>
    <w:rsid w:val="00A2452F"/>
    <w:rsid w:val="00A24C38"/>
    <w:rsid w:val="00A251C5"/>
    <w:rsid w:val="00A256C8"/>
    <w:rsid w:val="00A25922"/>
    <w:rsid w:val="00A259BD"/>
    <w:rsid w:val="00A25ED2"/>
    <w:rsid w:val="00A26005"/>
    <w:rsid w:val="00A26299"/>
    <w:rsid w:val="00A262C9"/>
    <w:rsid w:val="00A262E4"/>
    <w:rsid w:val="00A26491"/>
    <w:rsid w:val="00A2661C"/>
    <w:rsid w:val="00A2672F"/>
    <w:rsid w:val="00A2681D"/>
    <w:rsid w:val="00A26A42"/>
    <w:rsid w:val="00A2712A"/>
    <w:rsid w:val="00A273E3"/>
    <w:rsid w:val="00A27915"/>
    <w:rsid w:val="00A279F9"/>
    <w:rsid w:val="00A27B02"/>
    <w:rsid w:val="00A3035E"/>
    <w:rsid w:val="00A30615"/>
    <w:rsid w:val="00A30728"/>
    <w:rsid w:val="00A3088B"/>
    <w:rsid w:val="00A308E9"/>
    <w:rsid w:val="00A30C09"/>
    <w:rsid w:val="00A30D62"/>
    <w:rsid w:val="00A31841"/>
    <w:rsid w:val="00A318F9"/>
    <w:rsid w:val="00A31DE2"/>
    <w:rsid w:val="00A320CC"/>
    <w:rsid w:val="00A32589"/>
    <w:rsid w:val="00A325B3"/>
    <w:rsid w:val="00A3288D"/>
    <w:rsid w:val="00A32A35"/>
    <w:rsid w:val="00A33044"/>
    <w:rsid w:val="00A3305B"/>
    <w:rsid w:val="00A3314B"/>
    <w:rsid w:val="00A331CB"/>
    <w:rsid w:val="00A33B28"/>
    <w:rsid w:val="00A33C94"/>
    <w:rsid w:val="00A3423E"/>
    <w:rsid w:val="00A343E3"/>
    <w:rsid w:val="00A3471F"/>
    <w:rsid w:val="00A347B3"/>
    <w:rsid w:val="00A34844"/>
    <w:rsid w:val="00A3494B"/>
    <w:rsid w:val="00A349AF"/>
    <w:rsid w:val="00A34B7E"/>
    <w:rsid w:val="00A34CD8"/>
    <w:rsid w:val="00A35598"/>
    <w:rsid w:val="00A35707"/>
    <w:rsid w:val="00A35763"/>
    <w:rsid w:val="00A359A0"/>
    <w:rsid w:val="00A35D0B"/>
    <w:rsid w:val="00A35DD7"/>
    <w:rsid w:val="00A35F52"/>
    <w:rsid w:val="00A367BF"/>
    <w:rsid w:val="00A36A79"/>
    <w:rsid w:val="00A36CBA"/>
    <w:rsid w:val="00A36E97"/>
    <w:rsid w:val="00A370E0"/>
    <w:rsid w:val="00A373F8"/>
    <w:rsid w:val="00A37435"/>
    <w:rsid w:val="00A37851"/>
    <w:rsid w:val="00A400C7"/>
    <w:rsid w:val="00A40270"/>
    <w:rsid w:val="00A407CA"/>
    <w:rsid w:val="00A40B93"/>
    <w:rsid w:val="00A40C14"/>
    <w:rsid w:val="00A414A0"/>
    <w:rsid w:val="00A41681"/>
    <w:rsid w:val="00A41A0C"/>
    <w:rsid w:val="00A41B7B"/>
    <w:rsid w:val="00A41D35"/>
    <w:rsid w:val="00A41FAA"/>
    <w:rsid w:val="00A420A2"/>
    <w:rsid w:val="00A42106"/>
    <w:rsid w:val="00A42442"/>
    <w:rsid w:val="00A43164"/>
    <w:rsid w:val="00A43315"/>
    <w:rsid w:val="00A43951"/>
    <w:rsid w:val="00A43B3D"/>
    <w:rsid w:val="00A43B5F"/>
    <w:rsid w:val="00A43D4C"/>
    <w:rsid w:val="00A441AC"/>
    <w:rsid w:val="00A44314"/>
    <w:rsid w:val="00A44A9F"/>
    <w:rsid w:val="00A44C3B"/>
    <w:rsid w:val="00A44DDE"/>
    <w:rsid w:val="00A450C9"/>
    <w:rsid w:val="00A45143"/>
    <w:rsid w:val="00A4533E"/>
    <w:rsid w:val="00A455AD"/>
    <w:rsid w:val="00A46168"/>
    <w:rsid w:val="00A464A5"/>
    <w:rsid w:val="00A4658A"/>
    <w:rsid w:val="00A4693F"/>
    <w:rsid w:val="00A46C59"/>
    <w:rsid w:val="00A46F98"/>
    <w:rsid w:val="00A4724B"/>
    <w:rsid w:val="00A476B2"/>
    <w:rsid w:val="00A4781B"/>
    <w:rsid w:val="00A478D4"/>
    <w:rsid w:val="00A479EA"/>
    <w:rsid w:val="00A47AEE"/>
    <w:rsid w:val="00A47B37"/>
    <w:rsid w:val="00A47E8E"/>
    <w:rsid w:val="00A47FB8"/>
    <w:rsid w:val="00A50AAB"/>
    <w:rsid w:val="00A50E64"/>
    <w:rsid w:val="00A512F6"/>
    <w:rsid w:val="00A51F27"/>
    <w:rsid w:val="00A523ED"/>
    <w:rsid w:val="00A53146"/>
    <w:rsid w:val="00A5352F"/>
    <w:rsid w:val="00A535F6"/>
    <w:rsid w:val="00A537A6"/>
    <w:rsid w:val="00A5384F"/>
    <w:rsid w:val="00A53902"/>
    <w:rsid w:val="00A53A28"/>
    <w:rsid w:val="00A53E1F"/>
    <w:rsid w:val="00A53FBD"/>
    <w:rsid w:val="00A540A1"/>
    <w:rsid w:val="00A5427E"/>
    <w:rsid w:val="00A5427F"/>
    <w:rsid w:val="00A5446E"/>
    <w:rsid w:val="00A54959"/>
    <w:rsid w:val="00A54B3E"/>
    <w:rsid w:val="00A54B67"/>
    <w:rsid w:val="00A54E12"/>
    <w:rsid w:val="00A55064"/>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19B"/>
    <w:rsid w:val="00A57A2C"/>
    <w:rsid w:val="00A57CB5"/>
    <w:rsid w:val="00A57EAE"/>
    <w:rsid w:val="00A602D6"/>
    <w:rsid w:val="00A612E4"/>
    <w:rsid w:val="00A6137A"/>
    <w:rsid w:val="00A6137C"/>
    <w:rsid w:val="00A614F8"/>
    <w:rsid w:val="00A61682"/>
    <w:rsid w:val="00A618DA"/>
    <w:rsid w:val="00A61BCD"/>
    <w:rsid w:val="00A61EE0"/>
    <w:rsid w:val="00A61F67"/>
    <w:rsid w:val="00A62056"/>
    <w:rsid w:val="00A620C4"/>
    <w:rsid w:val="00A622AD"/>
    <w:rsid w:val="00A62397"/>
    <w:rsid w:val="00A62479"/>
    <w:rsid w:val="00A624D1"/>
    <w:rsid w:val="00A628F1"/>
    <w:rsid w:val="00A62EF3"/>
    <w:rsid w:val="00A630A2"/>
    <w:rsid w:val="00A6319A"/>
    <w:rsid w:val="00A635C5"/>
    <w:rsid w:val="00A649E1"/>
    <w:rsid w:val="00A64D21"/>
    <w:rsid w:val="00A64E2A"/>
    <w:rsid w:val="00A65820"/>
    <w:rsid w:val="00A65964"/>
    <w:rsid w:val="00A65BA2"/>
    <w:rsid w:val="00A65CE5"/>
    <w:rsid w:val="00A65EF7"/>
    <w:rsid w:val="00A65F0A"/>
    <w:rsid w:val="00A6618D"/>
    <w:rsid w:val="00A66372"/>
    <w:rsid w:val="00A66376"/>
    <w:rsid w:val="00A6647C"/>
    <w:rsid w:val="00A66803"/>
    <w:rsid w:val="00A66D9B"/>
    <w:rsid w:val="00A66E93"/>
    <w:rsid w:val="00A67215"/>
    <w:rsid w:val="00A67395"/>
    <w:rsid w:val="00A678A3"/>
    <w:rsid w:val="00A67DA4"/>
    <w:rsid w:val="00A704E4"/>
    <w:rsid w:val="00A705D3"/>
    <w:rsid w:val="00A7088C"/>
    <w:rsid w:val="00A708E4"/>
    <w:rsid w:val="00A70B55"/>
    <w:rsid w:val="00A71032"/>
    <w:rsid w:val="00A710E1"/>
    <w:rsid w:val="00A714BF"/>
    <w:rsid w:val="00A71E3A"/>
    <w:rsid w:val="00A721D1"/>
    <w:rsid w:val="00A722A0"/>
    <w:rsid w:val="00A72767"/>
    <w:rsid w:val="00A72A08"/>
    <w:rsid w:val="00A72AE5"/>
    <w:rsid w:val="00A72DFF"/>
    <w:rsid w:val="00A72E87"/>
    <w:rsid w:val="00A734FF"/>
    <w:rsid w:val="00A73565"/>
    <w:rsid w:val="00A7371C"/>
    <w:rsid w:val="00A73981"/>
    <w:rsid w:val="00A7428F"/>
    <w:rsid w:val="00A743A1"/>
    <w:rsid w:val="00A74BA2"/>
    <w:rsid w:val="00A74E13"/>
    <w:rsid w:val="00A75191"/>
    <w:rsid w:val="00A752B2"/>
    <w:rsid w:val="00A75503"/>
    <w:rsid w:val="00A75616"/>
    <w:rsid w:val="00A7578E"/>
    <w:rsid w:val="00A75A6C"/>
    <w:rsid w:val="00A760E9"/>
    <w:rsid w:val="00A76350"/>
    <w:rsid w:val="00A76A59"/>
    <w:rsid w:val="00A76B94"/>
    <w:rsid w:val="00A7781F"/>
    <w:rsid w:val="00A77A9B"/>
    <w:rsid w:val="00A8060B"/>
    <w:rsid w:val="00A8071A"/>
    <w:rsid w:val="00A807A6"/>
    <w:rsid w:val="00A80BD3"/>
    <w:rsid w:val="00A80BFF"/>
    <w:rsid w:val="00A81149"/>
    <w:rsid w:val="00A8137A"/>
    <w:rsid w:val="00A81574"/>
    <w:rsid w:val="00A817F3"/>
    <w:rsid w:val="00A81C40"/>
    <w:rsid w:val="00A82136"/>
    <w:rsid w:val="00A82304"/>
    <w:rsid w:val="00A82785"/>
    <w:rsid w:val="00A82960"/>
    <w:rsid w:val="00A82C7A"/>
    <w:rsid w:val="00A83128"/>
    <w:rsid w:val="00A83383"/>
    <w:rsid w:val="00A837E2"/>
    <w:rsid w:val="00A83D60"/>
    <w:rsid w:val="00A83FE5"/>
    <w:rsid w:val="00A84591"/>
    <w:rsid w:val="00A84883"/>
    <w:rsid w:val="00A84D82"/>
    <w:rsid w:val="00A84E96"/>
    <w:rsid w:val="00A857F8"/>
    <w:rsid w:val="00A858FD"/>
    <w:rsid w:val="00A86688"/>
    <w:rsid w:val="00A86974"/>
    <w:rsid w:val="00A86EE7"/>
    <w:rsid w:val="00A87311"/>
    <w:rsid w:val="00A901BB"/>
    <w:rsid w:val="00A907A4"/>
    <w:rsid w:val="00A91337"/>
    <w:rsid w:val="00A91773"/>
    <w:rsid w:val="00A91DB1"/>
    <w:rsid w:val="00A91E59"/>
    <w:rsid w:val="00A92D51"/>
    <w:rsid w:val="00A93727"/>
    <w:rsid w:val="00A93B63"/>
    <w:rsid w:val="00A93C68"/>
    <w:rsid w:val="00A93C8E"/>
    <w:rsid w:val="00A93D3E"/>
    <w:rsid w:val="00A93E13"/>
    <w:rsid w:val="00A93F28"/>
    <w:rsid w:val="00A94D6A"/>
    <w:rsid w:val="00A94F8C"/>
    <w:rsid w:val="00A94FD5"/>
    <w:rsid w:val="00A959BD"/>
    <w:rsid w:val="00A95A73"/>
    <w:rsid w:val="00A95F28"/>
    <w:rsid w:val="00A96B9F"/>
    <w:rsid w:val="00A96EFC"/>
    <w:rsid w:val="00A96FBF"/>
    <w:rsid w:val="00A97829"/>
    <w:rsid w:val="00A97A1C"/>
    <w:rsid w:val="00A97DE6"/>
    <w:rsid w:val="00A97E51"/>
    <w:rsid w:val="00A97ED7"/>
    <w:rsid w:val="00A97F21"/>
    <w:rsid w:val="00AA0195"/>
    <w:rsid w:val="00AA01EF"/>
    <w:rsid w:val="00AA03A0"/>
    <w:rsid w:val="00AA06E0"/>
    <w:rsid w:val="00AA0DCF"/>
    <w:rsid w:val="00AA18CA"/>
    <w:rsid w:val="00AA194D"/>
    <w:rsid w:val="00AA1CE5"/>
    <w:rsid w:val="00AA1D51"/>
    <w:rsid w:val="00AA2083"/>
    <w:rsid w:val="00AA2F70"/>
    <w:rsid w:val="00AA3484"/>
    <w:rsid w:val="00AA3A0C"/>
    <w:rsid w:val="00AA3A48"/>
    <w:rsid w:val="00AA3C05"/>
    <w:rsid w:val="00AA3C3A"/>
    <w:rsid w:val="00AA4267"/>
    <w:rsid w:val="00AA462A"/>
    <w:rsid w:val="00AA486F"/>
    <w:rsid w:val="00AA4D78"/>
    <w:rsid w:val="00AA539C"/>
    <w:rsid w:val="00AA55BA"/>
    <w:rsid w:val="00AA5DE9"/>
    <w:rsid w:val="00AA60E5"/>
    <w:rsid w:val="00AA625A"/>
    <w:rsid w:val="00AA69CB"/>
    <w:rsid w:val="00AA6DBA"/>
    <w:rsid w:val="00AA7307"/>
    <w:rsid w:val="00AA734B"/>
    <w:rsid w:val="00AA73DF"/>
    <w:rsid w:val="00AA73F1"/>
    <w:rsid w:val="00AA7860"/>
    <w:rsid w:val="00AA7958"/>
    <w:rsid w:val="00AA7C01"/>
    <w:rsid w:val="00AA7D55"/>
    <w:rsid w:val="00AB1149"/>
    <w:rsid w:val="00AB1710"/>
    <w:rsid w:val="00AB1A19"/>
    <w:rsid w:val="00AB1D61"/>
    <w:rsid w:val="00AB1E11"/>
    <w:rsid w:val="00AB1FC9"/>
    <w:rsid w:val="00AB207A"/>
    <w:rsid w:val="00AB2311"/>
    <w:rsid w:val="00AB23E0"/>
    <w:rsid w:val="00AB2B78"/>
    <w:rsid w:val="00AB2DE4"/>
    <w:rsid w:val="00AB2F09"/>
    <w:rsid w:val="00AB2F15"/>
    <w:rsid w:val="00AB3764"/>
    <w:rsid w:val="00AB378C"/>
    <w:rsid w:val="00AB3EAC"/>
    <w:rsid w:val="00AB425F"/>
    <w:rsid w:val="00AB4416"/>
    <w:rsid w:val="00AB45D3"/>
    <w:rsid w:val="00AB45F3"/>
    <w:rsid w:val="00AB47EE"/>
    <w:rsid w:val="00AB48D0"/>
    <w:rsid w:val="00AB48F6"/>
    <w:rsid w:val="00AB4AA7"/>
    <w:rsid w:val="00AB4C89"/>
    <w:rsid w:val="00AB4E6D"/>
    <w:rsid w:val="00AB4FE1"/>
    <w:rsid w:val="00AB533A"/>
    <w:rsid w:val="00AB54E9"/>
    <w:rsid w:val="00AB5516"/>
    <w:rsid w:val="00AB5608"/>
    <w:rsid w:val="00AB5868"/>
    <w:rsid w:val="00AB604B"/>
    <w:rsid w:val="00AB62ED"/>
    <w:rsid w:val="00AB67BF"/>
    <w:rsid w:val="00AB6FDA"/>
    <w:rsid w:val="00AB71D6"/>
    <w:rsid w:val="00AB7538"/>
    <w:rsid w:val="00AB7675"/>
    <w:rsid w:val="00AB7AB1"/>
    <w:rsid w:val="00AB7EE7"/>
    <w:rsid w:val="00AB7F17"/>
    <w:rsid w:val="00AC01B4"/>
    <w:rsid w:val="00AC0239"/>
    <w:rsid w:val="00AC0923"/>
    <w:rsid w:val="00AC093D"/>
    <w:rsid w:val="00AC09C7"/>
    <w:rsid w:val="00AC0EA6"/>
    <w:rsid w:val="00AC1005"/>
    <w:rsid w:val="00AC123B"/>
    <w:rsid w:val="00AC1413"/>
    <w:rsid w:val="00AC165A"/>
    <w:rsid w:val="00AC1F0E"/>
    <w:rsid w:val="00AC222F"/>
    <w:rsid w:val="00AC2765"/>
    <w:rsid w:val="00AC3205"/>
    <w:rsid w:val="00AC3206"/>
    <w:rsid w:val="00AC344C"/>
    <w:rsid w:val="00AC3978"/>
    <w:rsid w:val="00AC3A5A"/>
    <w:rsid w:val="00AC3FE7"/>
    <w:rsid w:val="00AC4318"/>
    <w:rsid w:val="00AC4855"/>
    <w:rsid w:val="00AC4CFD"/>
    <w:rsid w:val="00AC57BE"/>
    <w:rsid w:val="00AC5893"/>
    <w:rsid w:val="00AC5AEB"/>
    <w:rsid w:val="00AC5B06"/>
    <w:rsid w:val="00AC5DD1"/>
    <w:rsid w:val="00AC68E5"/>
    <w:rsid w:val="00AC6B44"/>
    <w:rsid w:val="00AC6D77"/>
    <w:rsid w:val="00AC7545"/>
    <w:rsid w:val="00AC7557"/>
    <w:rsid w:val="00AC7943"/>
    <w:rsid w:val="00AC7E37"/>
    <w:rsid w:val="00AC7FE5"/>
    <w:rsid w:val="00AD07C9"/>
    <w:rsid w:val="00AD0904"/>
    <w:rsid w:val="00AD0BBD"/>
    <w:rsid w:val="00AD19A0"/>
    <w:rsid w:val="00AD1CA3"/>
    <w:rsid w:val="00AD1DE7"/>
    <w:rsid w:val="00AD2308"/>
    <w:rsid w:val="00AD23B9"/>
    <w:rsid w:val="00AD2965"/>
    <w:rsid w:val="00AD2B23"/>
    <w:rsid w:val="00AD2B27"/>
    <w:rsid w:val="00AD34A8"/>
    <w:rsid w:val="00AD3861"/>
    <w:rsid w:val="00AD38C4"/>
    <w:rsid w:val="00AD3A4B"/>
    <w:rsid w:val="00AD3B9C"/>
    <w:rsid w:val="00AD3C01"/>
    <w:rsid w:val="00AD3C0B"/>
    <w:rsid w:val="00AD3FF8"/>
    <w:rsid w:val="00AD41D5"/>
    <w:rsid w:val="00AD48B3"/>
    <w:rsid w:val="00AD4983"/>
    <w:rsid w:val="00AD4B6D"/>
    <w:rsid w:val="00AD4B9C"/>
    <w:rsid w:val="00AD4EFE"/>
    <w:rsid w:val="00AD536A"/>
    <w:rsid w:val="00AD578B"/>
    <w:rsid w:val="00AD5E1F"/>
    <w:rsid w:val="00AD615F"/>
    <w:rsid w:val="00AD6262"/>
    <w:rsid w:val="00AD6414"/>
    <w:rsid w:val="00AD694D"/>
    <w:rsid w:val="00AD6E9E"/>
    <w:rsid w:val="00AD6FD0"/>
    <w:rsid w:val="00AD7289"/>
    <w:rsid w:val="00AD7516"/>
    <w:rsid w:val="00AD7F84"/>
    <w:rsid w:val="00AE05FE"/>
    <w:rsid w:val="00AE08BA"/>
    <w:rsid w:val="00AE0B53"/>
    <w:rsid w:val="00AE0E25"/>
    <w:rsid w:val="00AE10F2"/>
    <w:rsid w:val="00AE112B"/>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E6"/>
    <w:rsid w:val="00AE2E38"/>
    <w:rsid w:val="00AE3143"/>
    <w:rsid w:val="00AE3260"/>
    <w:rsid w:val="00AE330C"/>
    <w:rsid w:val="00AE34F2"/>
    <w:rsid w:val="00AE368C"/>
    <w:rsid w:val="00AE3789"/>
    <w:rsid w:val="00AE3991"/>
    <w:rsid w:val="00AE3CD0"/>
    <w:rsid w:val="00AE3F27"/>
    <w:rsid w:val="00AE4457"/>
    <w:rsid w:val="00AE4509"/>
    <w:rsid w:val="00AE47B0"/>
    <w:rsid w:val="00AE4C1C"/>
    <w:rsid w:val="00AE5014"/>
    <w:rsid w:val="00AE5133"/>
    <w:rsid w:val="00AE51D3"/>
    <w:rsid w:val="00AE5241"/>
    <w:rsid w:val="00AE52A5"/>
    <w:rsid w:val="00AE598E"/>
    <w:rsid w:val="00AE6429"/>
    <w:rsid w:val="00AE67FD"/>
    <w:rsid w:val="00AE68EF"/>
    <w:rsid w:val="00AE6A13"/>
    <w:rsid w:val="00AE6AEF"/>
    <w:rsid w:val="00AE6C2A"/>
    <w:rsid w:val="00AE6FA5"/>
    <w:rsid w:val="00AE739E"/>
    <w:rsid w:val="00AE751C"/>
    <w:rsid w:val="00AE7629"/>
    <w:rsid w:val="00AE79EA"/>
    <w:rsid w:val="00AF0017"/>
    <w:rsid w:val="00AF0277"/>
    <w:rsid w:val="00AF0544"/>
    <w:rsid w:val="00AF1114"/>
    <w:rsid w:val="00AF112B"/>
    <w:rsid w:val="00AF16C3"/>
    <w:rsid w:val="00AF1C52"/>
    <w:rsid w:val="00AF1D3F"/>
    <w:rsid w:val="00AF234C"/>
    <w:rsid w:val="00AF2561"/>
    <w:rsid w:val="00AF25BB"/>
    <w:rsid w:val="00AF2622"/>
    <w:rsid w:val="00AF287F"/>
    <w:rsid w:val="00AF3241"/>
    <w:rsid w:val="00AF34EF"/>
    <w:rsid w:val="00AF35F6"/>
    <w:rsid w:val="00AF369D"/>
    <w:rsid w:val="00AF36C1"/>
    <w:rsid w:val="00AF3BEF"/>
    <w:rsid w:val="00AF4090"/>
    <w:rsid w:val="00AF4119"/>
    <w:rsid w:val="00AF45E2"/>
    <w:rsid w:val="00AF4656"/>
    <w:rsid w:val="00AF4DF4"/>
    <w:rsid w:val="00AF59FA"/>
    <w:rsid w:val="00AF5F26"/>
    <w:rsid w:val="00AF6277"/>
    <w:rsid w:val="00AF6565"/>
    <w:rsid w:val="00AF6694"/>
    <w:rsid w:val="00AF67D6"/>
    <w:rsid w:val="00AF6B9B"/>
    <w:rsid w:val="00AF6F73"/>
    <w:rsid w:val="00AF75D4"/>
    <w:rsid w:val="00AF7AF8"/>
    <w:rsid w:val="00AF7F8F"/>
    <w:rsid w:val="00AF7F91"/>
    <w:rsid w:val="00B00356"/>
    <w:rsid w:val="00B004DA"/>
    <w:rsid w:val="00B00709"/>
    <w:rsid w:val="00B00969"/>
    <w:rsid w:val="00B00AEE"/>
    <w:rsid w:val="00B00C55"/>
    <w:rsid w:val="00B01806"/>
    <w:rsid w:val="00B018DE"/>
    <w:rsid w:val="00B01911"/>
    <w:rsid w:val="00B019A8"/>
    <w:rsid w:val="00B01D8C"/>
    <w:rsid w:val="00B01E83"/>
    <w:rsid w:val="00B022B5"/>
    <w:rsid w:val="00B025A5"/>
    <w:rsid w:val="00B02963"/>
    <w:rsid w:val="00B02B20"/>
    <w:rsid w:val="00B02CF4"/>
    <w:rsid w:val="00B02D9F"/>
    <w:rsid w:val="00B035F9"/>
    <w:rsid w:val="00B03910"/>
    <w:rsid w:val="00B046E9"/>
    <w:rsid w:val="00B04967"/>
    <w:rsid w:val="00B05027"/>
    <w:rsid w:val="00B051B0"/>
    <w:rsid w:val="00B05265"/>
    <w:rsid w:val="00B052EA"/>
    <w:rsid w:val="00B05DB3"/>
    <w:rsid w:val="00B0648E"/>
    <w:rsid w:val="00B0681E"/>
    <w:rsid w:val="00B06854"/>
    <w:rsid w:val="00B069C0"/>
    <w:rsid w:val="00B06F54"/>
    <w:rsid w:val="00B072D4"/>
    <w:rsid w:val="00B0747E"/>
    <w:rsid w:val="00B076C6"/>
    <w:rsid w:val="00B07AD0"/>
    <w:rsid w:val="00B1003E"/>
    <w:rsid w:val="00B104BA"/>
    <w:rsid w:val="00B10778"/>
    <w:rsid w:val="00B10E64"/>
    <w:rsid w:val="00B113DD"/>
    <w:rsid w:val="00B11403"/>
    <w:rsid w:val="00B1159A"/>
    <w:rsid w:val="00B1179B"/>
    <w:rsid w:val="00B117B2"/>
    <w:rsid w:val="00B124F8"/>
    <w:rsid w:val="00B12997"/>
    <w:rsid w:val="00B12E62"/>
    <w:rsid w:val="00B12E9F"/>
    <w:rsid w:val="00B13098"/>
    <w:rsid w:val="00B1353B"/>
    <w:rsid w:val="00B13F08"/>
    <w:rsid w:val="00B13F69"/>
    <w:rsid w:val="00B1414C"/>
    <w:rsid w:val="00B141DA"/>
    <w:rsid w:val="00B1424B"/>
    <w:rsid w:val="00B143C2"/>
    <w:rsid w:val="00B14794"/>
    <w:rsid w:val="00B14938"/>
    <w:rsid w:val="00B14E16"/>
    <w:rsid w:val="00B14FE5"/>
    <w:rsid w:val="00B158C9"/>
    <w:rsid w:val="00B159A9"/>
    <w:rsid w:val="00B15D42"/>
    <w:rsid w:val="00B15D8A"/>
    <w:rsid w:val="00B15F83"/>
    <w:rsid w:val="00B165F3"/>
    <w:rsid w:val="00B1697B"/>
    <w:rsid w:val="00B16E80"/>
    <w:rsid w:val="00B17759"/>
    <w:rsid w:val="00B17760"/>
    <w:rsid w:val="00B17990"/>
    <w:rsid w:val="00B17A3B"/>
    <w:rsid w:val="00B17B3D"/>
    <w:rsid w:val="00B17B64"/>
    <w:rsid w:val="00B17D3E"/>
    <w:rsid w:val="00B17F2C"/>
    <w:rsid w:val="00B20696"/>
    <w:rsid w:val="00B2082C"/>
    <w:rsid w:val="00B20A8A"/>
    <w:rsid w:val="00B20F40"/>
    <w:rsid w:val="00B2121B"/>
    <w:rsid w:val="00B215FD"/>
    <w:rsid w:val="00B2191C"/>
    <w:rsid w:val="00B21A63"/>
    <w:rsid w:val="00B21D36"/>
    <w:rsid w:val="00B21D57"/>
    <w:rsid w:val="00B21E08"/>
    <w:rsid w:val="00B22076"/>
    <w:rsid w:val="00B22267"/>
    <w:rsid w:val="00B222EB"/>
    <w:rsid w:val="00B223B4"/>
    <w:rsid w:val="00B2250E"/>
    <w:rsid w:val="00B22748"/>
    <w:rsid w:val="00B22806"/>
    <w:rsid w:val="00B228B5"/>
    <w:rsid w:val="00B2298B"/>
    <w:rsid w:val="00B22BF7"/>
    <w:rsid w:val="00B22C27"/>
    <w:rsid w:val="00B22E9D"/>
    <w:rsid w:val="00B22EFB"/>
    <w:rsid w:val="00B23256"/>
    <w:rsid w:val="00B2334F"/>
    <w:rsid w:val="00B239B5"/>
    <w:rsid w:val="00B24271"/>
    <w:rsid w:val="00B24311"/>
    <w:rsid w:val="00B243CC"/>
    <w:rsid w:val="00B249B2"/>
    <w:rsid w:val="00B24A2B"/>
    <w:rsid w:val="00B24B23"/>
    <w:rsid w:val="00B24D30"/>
    <w:rsid w:val="00B2518F"/>
    <w:rsid w:val="00B254F9"/>
    <w:rsid w:val="00B25CC1"/>
    <w:rsid w:val="00B25F88"/>
    <w:rsid w:val="00B2613F"/>
    <w:rsid w:val="00B269B6"/>
    <w:rsid w:val="00B26FE7"/>
    <w:rsid w:val="00B275E9"/>
    <w:rsid w:val="00B27634"/>
    <w:rsid w:val="00B27AC1"/>
    <w:rsid w:val="00B27B23"/>
    <w:rsid w:val="00B27E04"/>
    <w:rsid w:val="00B301A2"/>
    <w:rsid w:val="00B3054C"/>
    <w:rsid w:val="00B309B8"/>
    <w:rsid w:val="00B30DF4"/>
    <w:rsid w:val="00B30E02"/>
    <w:rsid w:val="00B31381"/>
    <w:rsid w:val="00B31457"/>
    <w:rsid w:val="00B3172B"/>
    <w:rsid w:val="00B31755"/>
    <w:rsid w:val="00B3185B"/>
    <w:rsid w:val="00B318CD"/>
    <w:rsid w:val="00B31939"/>
    <w:rsid w:val="00B31CF1"/>
    <w:rsid w:val="00B31F2D"/>
    <w:rsid w:val="00B325AF"/>
    <w:rsid w:val="00B329E7"/>
    <w:rsid w:val="00B3348D"/>
    <w:rsid w:val="00B3363F"/>
    <w:rsid w:val="00B33822"/>
    <w:rsid w:val="00B33887"/>
    <w:rsid w:val="00B34A01"/>
    <w:rsid w:val="00B34C22"/>
    <w:rsid w:val="00B34D3D"/>
    <w:rsid w:val="00B34F59"/>
    <w:rsid w:val="00B35179"/>
    <w:rsid w:val="00B35241"/>
    <w:rsid w:val="00B358E3"/>
    <w:rsid w:val="00B35C36"/>
    <w:rsid w:val="00B35CA8"/>
    <w:rsid w:val="00B35E6C"/>
    <w:rsid w:val="00B35EBE"/>
    <w:rsid w:val="00B35F57"/>
    <w:rsid w:val="00B369ED"/>
    <w:rsid w:val="00B36DE6"/>
    <w:rsid w:val="00B3744A"/>
    <w:rsid w:val="00B378B8"/>
    <w:rsid w:val="00B37950"/>
    <w:rsid w:val="00B37B3B"/>
    <w:rsid w:val="00B37FA5"/>
    <w:rsid w:val="00B401E0"/>
    <w:rsid w:val="00B4032D"/>
    <w:rsid w:val="00B404A0"/>
    <w:rsid w:val="00B40543"/>
    <w:rsid w:val="00B408DD"/>
    <w:rsid w:val="00B40992"/>
    <w:rsid w:val="00B40AAC"/>
    <w:rsid w:val="00B40B9E"/>
    <w:rsid w:val="00B40E00"/>
    <w:rsid w:val="00B40EC0"/>
    <w:rsid w:val="00B411A8"/>
    <w:rsid w:val="00B4131A"/>
    <w:rsid w:val="00B4151C"/>
    <w:rsid w:val="00B415C4"/>
    <w:rsid w:val="00B41A17"/>
    <w:rsid w:val="00B41EE8"/>
    <w:rsid w:val="00B426AA"/>
    <w:rsid w:val="00B4280F"/>
    <w:rsid w:val="00B42879"/>
    <w:rsid w:val="00B42BE3"/>
    <w:rsid w:val="00B43091"/>
    <w:rsid w:val="00B43648"/>
    <w:rsid w:val="00B44ADF"/>
    <w:rsid w:val="00B44BFC"/>
    <w:rsid w:val="00B45237"/>
    <w:rsid w:val="00B45FC7"/>
    <w:rsid w:val="00B4602F"/>
    <w:rsid w:val="00B461DE"/>
    <w:rsid w:val="00B4621C"/>
    <w:rsid w:val="00B46815"/>
    <w:rsid w:val="00B46A3D"/>
    <w:rsid w:val="00B46C2E"/>
    <w:rsid w:val="00B46FF7"/>
    <w:rsid w:val="00B470FF"/>
    <w:rsid w:val="00B472A2"/>
    <w:rsid w:val="00B4771B"/>
    <w:rsid w:val="00B47AC4"/>
    <w:rsid w:val="00B47F3E"/>
    <w:rsid w:val="00B5072A"/>
    <w:rsid w:val="00B50CFE"/>
    <w:rsid w:val="00B50E4B"/>
    <w:rsid w:val="00B50E79"/>
    <w:rsid w:val="00B51052"/>
    <w:rsid w:val="00B5173C"/>
    <w:rsid w:val="00B518CF"/>
    <w:rsid w:val="00B51E74"/>
    <w:rsid w:val="00B52146"/>
    <w:rsid w:val="00B52439"/>
    <w:rsid w:val="00B52F88"/>
    <w:rsid w:val="00B53452"/>
    <w:rsid w:val="00B53525"/>
    <w:rsid w:val="00B5352A"/>
    <w:rsid w:val="00B53A55"/>
    <w:rsid w:val="00B53CDC"/>
    <w:rsid w:val="00B53EB7"/>
    <w:rsid w:val="00B54232"/>
    <w:rsid w:val="00B54EC9"/>
    <w:rsid w:val="00B552FA"/>
    <w:rsid w:val="00B5536D"/>
    <w:rsid w:val="00B55616"/>
    <w:rsid w:val="00B5596F"/>
    <w:rsid w:val="00B55AAD"/>
    <w:rsid w:val="00B55E85"/>
    <w:rsid w:val="00B5611F"/>
    <w:rsid w:val="00B56E64"/>
    <w:rsid w:val="00B57671"/>
    <w:rsid w:val="00B57E7D"/>
    <w:rsid w:val="00B57FB6"/>
    <w:rsid w:val="00B611B8"/>
    <w:rsid w:val="00B614E3"/>
    <w:rsid w:val="00B61C09"/>
    <w:rsid w:val="00B61C73"/>
    <w:rsid w:val="00B61D27"/>
    <w:rsid w:val="00B62150"/>
    <w:rsid w:val="00B62203"/>
    <w:rsid w:val="00B6258E"/>
    <w:rsid w:val="00B62A17"/>
    <w:rsid w:val="00B6307E"/>
    <w:rsid w:val="00B6380D"/>
    <w:rsid w:val="00B63D79"/>
    <w:rsid w:val="00B64090"/>
    <w:rsid w:val="00B642D7"/>
    <w:rsid w:val="00B644B0"/>
    <w:rsid w:val="00B64578"/>
    <w:rsid w:val="00B651DE"/>
    <w:rsid w:val="00B657C6"/>
    <w:rsid w:val="00B65ABE"/>
    <w:rsid w:val="00B66796"/>
    <w:rsid w:val="00B669A6"/>
    <w:rsid w:val="00B66AC2"/>
    <w:rsid w:val="00B6712F"/>
    <w:rsid w:val="00B676CE"/>
    <w:rsid w:val="00B67C1F"/>
    <w:rsid w:val="00B707DE"/>
    <w:rsid w:val="00B70928"/>
    <w:rsid w:val="00B70A3A"/>
    <w:rsid w:val="00B70CAE"/>
    <w:rsid w:val="00B714C0"/>
    <w:rsid w:val="00B71684"/>
    <w:rsid w:val="00B717E8"/>
    <w:rsid w:val="00B71F68"/>
    <w:rsid w:val="00B722B0"/>
    <w:rsid w:val="00B722DA"/>
    <w:rsid w:val="00B7265D"/>
    <w:rsid w:val="00B72A6E"/>
    <w:rsid w:val="00B72C56"/>
    <w:rsid w:val="00B73559"/>
    <w:rsid w:val="00B73799"/>
    <w:rsid w:val="00B73A33"/>
    <w:rsid w:val="00B7435E"/>
    <w:rsid w:val="00B7448D"/>
    <w:rsid w:val="00B747C7"/>
    <w:rsid w:val="00B74928"/>
    <w:rsid w:val="00B74DA1"/>
    <w:rsid w:val="00B7511E"/>
    <w:rsid w:val="00B75750"/>
    <w:rsid w:val="00B75A57"/>
    <w:rsid w:val="00B75B39"/>
    <w:rsid w:val="00B75C3D"/>
    <w:rsid w:val="00B7611D"/>
    <w:rsid w:val="00B7616B"/>
    <w:rsid w:val="00B76394"/>
    <w:rsid w:val="00B767A9"/>
    <w:rsid w:val="00B7689B"/>
    <w:rsid w:val="00B769E9"/>
    <w:rsid w:val="00B76AEC"/>
    <w:rsid w:val="00B77D47"/>
    <w:rsid w:val="00B77FCE"/>
    <w:rsid w:val="00B805EA"/>
    <w:rsid w:val="00B80677"/>
    <w:rsid w:val="00B80A29"/>
    <w:rsid w:val="00B812C8"/>
    <w:rsid w:val="00B81302"/>
    <w:rsid w:val="00B813E0"/>
    <w:rsid w:val="00B81452"/>
    <w:rsid w:val="00B8191C"/>
    <w:rsid w:val="00B81F35"/>
    <w:rsid w:val="00B82161"/>
    <w:rsid w:val="00B8265E"/>
    <w:rsid w:val="00B8316B"/>
    <w:rsid w:val="00B83D88"/>
    <w:rsid w:val="00B84304"/>
    <w:rsid w:val="00B8433C"/>
    <w:rsid w:val="00B846B4"/>
    <w:rsid w:val="00B84847"/>
    <w:rsid w:val="00B84BA0"/>
    <w:rsid w:val="00B84BA1"/>
    <w:rsid w:val="00B84CBC"/>
    <w:rsid w:val="00B84CD1"/>
    <w:rsid w:val="00B84D0D"/>
    <w:rsid w:val="00B850C9"/>
    <w:rsid w:val="00B852B4"/>
    <w:rsid w:val="00B85819"/>
    <w:rsid w:val="00B85956"/>
    <w:rsid w:val="00B85B1D"/>
    <w:rsid w:val="00B85FB8"/>
    <w:rsid w:val="00B85FDF"/>
    <w:rsid w:val="00B860E5"/>
    <w:rsid w:val="00B868A3"/>
    <w:rsid w:val="00B86DDE"/>
    <w:rsid w:val="00B8700C"/>
    <w:rsid w:val="00B87213"/>
    <w:rsid w:val="00B87244"/>
    <w:rsid w:val="00B87A98"/>
    <w:rsid w:val="00B87B0E"/>
    <w:rsid w:val="00B9030A"/>
    <w:rsid w:val="00B90610"/>
    <w:rsid w:val="00B90AC9"/>
    <w:rsid w:val="00B90D04"/>
    <w:rsid w:val="00B90FD6"/>
    <w:rsid w:val="00B9122E"/>
    <w:rsid w:val="00B91BFA"/>
    <w:rsid w:val="00B926F9"/>
    <w:rsid w:val="00B92D03"/>
    <w:rsid w:val="00B93278"/>
    <w:rsid w:val="00B9335C"/>
    <w:rsid w:val="00B941CA"/>
    <w:rsid w:val="00B94292"/>
    <w:rsid w:val="00B94293"/>
    <w:rsid w:val="00B94555"/>
    <w:rsid w:val="00B94739"/>
    <w:rsid w:val="00B9509A"/>
    <w:rsid w:val="00B953DF"/>
    <w:rsid w:val="00B95471"/>
    <w:rsid w:val="00B9554D"/>
    <w:rsid w:val="00B957CF"/>
    <w:rsid w:val="00B9604B"/>
    <w:rsid w:val="00B960B8"/>
    <w:rsid w:val="00B9632C"/>
    <w:rsid w:val="00B966F5"/>
    <w:rsid w:val="00B96B22"/>
    <w:rsid w:val="00B96B2B"/>
    <w:rsid w:val="00B96C3F"/>
    <w:rsid w:val="00B9709E"/>
    <w:rsid w:val="00B97366"/>
    <w:rsid w:val="00B97B97"/>
    <w:rsid w:val="00B97E5D"/>
    <w:rsid w:val="00BA01AE"/>
    <w:rsid w:val="00BA01EB"/>
    <w:rsid w:val="00BA08C5"/>
    <w:rsid w:val="00BA0BCE"/>
    <w:rsid w:val="00BA1199"/>
    <w:rsid w:val="00BA1427"/>
    <w:rsid w:val="00BA1610"/>
    <w:rsid w:val="00BA1667"/>
    <w:rsid w:val="00BA17EA"/>
    <w:rsid w:val="00BA19E2"/>
    <w:rsid w:val="00BA1A12"/>
    <w:rsid w:val="00BA1BF2"/>
    <w:rsid w:val="00BA2019"/>
    <w:rsid w:val="00BA2278"/>
    <w:rsid w:val="00BA291E"/>
    <w:rsid w:val="00BA2943"/>
    <w:rsid w:val="00BA2AF1"/>
    <w:rsid w:val="00BA2F69"/>
    <w:rsid w:val="00BA3011"/>
    <w:rsid w:val="00BA31BF"/>
    <w:rsid w:val="00BA3A25"/>
    <w:rsid w:val="00BA484F"/>
    <w:rsid w:val="00BA5082"/>
    <w:rsid w:val="00BA50B2"/>
    <w:rsid w:val="00BA524B"/>
    <w:rsid w:val="00BA5773"/>
    <w:rsid w:val="00BA59A1"/>
    <w:rsid w:val="00BA6213"/>
    <w:rsid w:val="00BA65DB"/>
    <w:rsid w:val="00BA6C02"/>
    <w:rsid w:val="00BA6C0F"/>
    <w:rsid w:val="00BA7378"/>
    <w:rsid w:val="00BA793E"/>
    <w:rsid w:val="00BB005A"/>
    <w:rsid w:val="00BB00E4"/>
    <w:rsid w:val="00BB063A"/>
    <w:rsid w:val="00BB0913"/>
    <w:rsid w:val="00BB099D"/>
    <w:rsid w:val="00BB099E"/>
    <w:rsid w:val="00BB1522"/>
    <w:rsid w:val="00BB197F"/>
    <w:rsid w:val="00BB1BB5"/>
    <w:rsid w:val="00BB1BB8"/>
    <w:rsid w:val="00BB1BC5"/>
    <w:rsid w:val="00BB1D9F"/>
    <w:rsid w:val="00BB200C"/>
    <w:rsid w:val="00BB225A"/>
    <w:rsid w:val="00BB2325"/>
    <w:rsid w:val="00BB296D"/>
    <w:rsid w:val="00BB39B3"/>
    <w:rsid w:val="00BB3B7C"/>
    <w:rsid w:val="00BB40B4"/>
    <w:rsid w:val="00BB43D4"/>
    <w:rsid w:val="00BB470B"/>
    <w:rsid w:val="00BB4797"/>
    <w:rsid w:val="00BB4848"/>
    <w:rsid w:val="00BB4B70"/>
    <w:rsid w:val="00BB531B"/>
    <w:rsid w:val="00BB550B"/>
    <w:rsid w:val="00BB57CC"/>
    <w:rsid w:val="00BB589C"/>
    <w:rsid w:val="00BB6479"/>
    <w:rsid w:val="00BB6626"/>
    <w:rsid w:val="00BB6C65"/>
    <w:rsid w:val="00BB6C87"/>
    <w:rsid w:val="00BB6CD5"/>
    <w:rsid w:val="00BB6DF0"/>
    <w:rsid w:val="00BB6FCD"/>
    <w:rsid w:val="00BB76DC"/>
    <w:rsid w:val="00BB7B4F"/>
    <w:rsid w:val="00BC01D9"/>
    <w:rsid w:val="00BC0224"/>
    <w:rsid w:val="00BC08D7"/>
    <w:rsid w:val="00BC1169"/>
    <w:rsid w:val="00BC146A"/>
    <w:rsid w:val="00BC180C"/>
    <w:rsid w:val="00BC19C4"/>
    <w:rsid w:val="00BC1C0C"/>
    <w:rsid w:val="00BC1D65"/>
    <w:rsid w:val="00BC24B1"/>
    <w:rsid w:val="00BC27B1"/>
    <w:rsid w:val="00BC2809"/>
    <w:rsid w:val="00BC3255"/>
    <w:rsid w:val="00BC32CF"/>
    <w:rsid w:val="00BC3347"/>
    <w:rsid w:val="00BC349B"/>
    <w:rsid w:val="00BC3CB5"/>
    <w:rsid w:val="00BC417C"/>
    <w:rsid w:val="00BC4588"/>
    <w:rsid w:val="00BC48C4"/>
    <w:rsid w:val="00BC4B49"/>
    <w:rsid w:val="00BC5244"/>
    <w:rsid w:val="00BC5A3B"/>
    <w:rsid w:val="00BC5A4B"/>
    <w:rsid w:val="00BC5A99"/>
    <w:rsid w:val="00BC5CBC"/>
    <w:rsid w:val="00BC6034"/>
    <w:rsid w:val="00BC617D"/>
    <w:rsid w:val="00BC67D6"/>
    <w:rsid w:val="00BC6C12"/>
    <w:rsid w:val="00BC7483"/>
    <w:rsid w:val="00BC7803"/>
    <w:rsid w:val="00BC7AFF"/>
    <w:rsid w:val="00BC7CD9"/>
    <w:rsid w:val="00BD021B"/>
    <w:rsid w:val="00BD02AE"/>
    <w:rsid w:val="00BD04BD"/>
    <w:rsid w:val="00BD076C"/>
    <w:rsid w:val="00BD09EF"/>
    <w:rsid w:val="00BD0B52"/>
    <w:rsid w:val="00BD0C22"/>
    <w:rsid w:val="00BD12C2"/>
    <w:rsid w:val="00BD1E99"/>
    <w:rsid w:val="00BD1F75"/>
    <w:rsid w:val="00BD270A"/>
    <w:rsid w:val="00BD2C99"/>
    <w:rsid w:val="00BD30DB"/>
    <w:rsid w:val="00BD3178"/>
    <w:rsid w:val="00BD337D"/>
    <w:rsid w:val="00BD3435"/>
    <w:rsid w:val="00BD3478"/>
    <w:rsid w:val="00BD35FF"/>
    <w:rsid w:val="00BD4396"/>
    <w:rsid w:val="00BD4F62"/>
    <w:rsid w:val="00BD57DA"/>
    <w:rsid w:val="00BD5875"/>
    <w:rsid w:val="00BD5DA3"/>
    <w:rsid w:val="00BD5DEC"/>
    <w:rsid w:val="00BD5F6D"/>
    <w:rsid w:val="00BD659A"/>
    <w:rsid w:val="00BD65DA"/>
    <w:rsid w:val="00BD65FD"/>
    <w:rsid w:val="00BD68C8"/>
    <w:rsid w:val="00BD6DDA"/>
    <w:rsid w:val="00BD6E42"/>
    <w:rsid w:val="00BD6E9C"/>
    <w:rsid w:val="00BD7117"/>
    <w:rsid w:val="00BD7252"/>
    <w:rsid w:val="00BD7A92"/>
    <w:rsid w:val="00BD7E29"/>
    <w:rsid w:val="00BE02FC"/>
    <w:rsid w:val="00BE0747"/>
    <w:rsid w:val="00BE0876"/>
    <w:rsid w:val="00BE161C"/>
    <w:rsid w:val="00BE188C"/>
    <w:rsid w:val="00BE1C48"/>
    <w:rsid w:val="00BE1D93"/>
    <w:rsid w:val="00BE233A"/>
    <w:rsid w:val="00BE25DA"/>
    <w:rsid w:val="00BE2BBB"/>
    <w:rsid w:val="00BE3230"/>
    <w:rsid w:val="00BE3C51"/>
    <w:rsid w:val="00BE3DA1"/>
    <w:rsid w:val="00BE41F4"/>
    <w:rsid w:val="00BE45F0"/>
    <w:rsid w:val="00BE47A2"/>
    <w:rsid w:val="00BE481D"/>
    <w:rsid w:val="00BE49E4"/>
    <w:rsid w:val="00BE4B76"/>
    <w:rsid w:val="00BE4DAD"/>
    <w:rsid w:val="00BE4E05"/>
    <w:rsid w:val="00BE525C"/>
    <w:rsid w:val="00BE529C"/>
    <w:rsid w:val="00BE5A13"/>
    <w:rsid w:val="00BE6667"/>
    <w:rsid w:val="00BE6B3B"/>
    <w:rsid w:val="00BE6D91"/>
    <w:rsid w:val="00BE70D0"/>
    <w:rsid w:val="00BE75DA"/>
    <w:rsid w:val="00BF020D"/>
    <w:rsid w:val="00BF0695"/>
    <w:rsid w:val="00BF0CCD"/>
    <w:rsid w:val="00BF0F71"/>
    <w:rsid w:val="00BF1115"/>
    <w:rsid w:val="00BF14C6"/>
    <w:rsid w:val="00BF1640"/>
    <w:rsid w:val="00BF183B"/>
    <w:rsid w:val="00BF19EB"/>
    <w:rsid w:val="00BF1D08"/>
    <w:rsid w:val="00BF22B1"/>
    <w:rsid w:val="00BF22BD"/>
    <w:rsid w:val="00BF24D4"/>
    <w:rsid w:val="00BF27AA"/>
    <w:rsid w:val="00BF2A9D"/>
    <w:rsid w:val="00BF2B94"/>
    <w:rsid w:val="00BF2EC5"/>
    <w:rsid w:val="00BF3030"/>
    <w:rsid w:val="00BF3F88"/>
    <w:rsid w:val="00BF4057"/>
    <w:rsid w:val="00BF4377"/>
    <w:rsid w:val="00BF4AAB"/>
    <w:rsid w:val="00BF4ED8"/>
    <w:rsid w:val="00BF4F96"/>
    <w:rsid w:val="00BF509E"/>
    <w:rsid w:val="00BF560E"/>
    <w:rsid w:val="00BF5A9C"/>
    <w:rsid w:val="00BF5C6E"/>
    <w:rsid w:val="00BF5CC2"/>
    <w:rsid w:val="00BF634C"/>
    <w:rsid w:val="00BF6714"/>
    <w:rsid w:val="00BF6C09"/>
    <w:rsid w:val="00BF7237"/>
    <w:rsid w:val="00BF777D"/>
    <w:rsid w:val="00BF789F"/>
    <w:rsid w:val="00C001C2"/>
    <w:rsid w:val="00C00E95"/>
    <w:rsid w:val="00C00ED2"/>
    <w:rsid w:val="00C00F5C"/>
    <w:rsid w:val="00C0119B"/>
    <w:rsid w:val="00C013F1"/>
    <w:rsid w:val="00C01453"/>
    <w:rsid w:val="00C0196B"/>
    <w:rsid w:val="00C01EE5"/>
    <w:rsid w:val="00C021E3"/>
    <w:rsid w:val="00C022BD"/>
    <w:rsid w:val="00C02795"/>
    <w:rsid w:val="00C02796"/>
    <w:rsid w:val="00C02FE8"/>
    <w:rsid w:val="00C0313B"/>
    <w:rsid w:val="00C0325B"/>
    <w:rsid w:val="00C03598"/>
    <w:rsid w:val="00C035B3"/>
    <w:rsid w:val="00C03DED"/>
    <w:rsid w:val="00C04222"/>
    <w:rsid w:val="00C0448C"/>
    <w:rsid w:val="00C046D0"/>
    <w:rsid w:val="00C048BB"/>
    <w:rsid w:val="00C04A96"/>
    <w:rsid w:val="00C0508E"/>
    <w:rsid w:val="00C050FD"/>
    <w:rsid w:val="00C05378"/>
    <w:rsid w:val="00C057B0"/>
    <w:rsid w:val="00C057E0"/>
    <w:rsid w:val="00C05AA2"/>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0D8"/>
    <w:rsid w:val="00C1039D"/>
    <w:rsid w:val="00C10C94"/>
    <w:rsid w:val="00C11017"/>
    <w:rsid w:val="00C11175"/>
    <w:rsid w:val="00C1174E"/>
    <w:rsid w:val="00C117D7"/>
    <w:rsid w:val="00C119B7"/>
    <w:rsid w:val="00C11C30"/>
    <w:rsid w:val="00C11FE3"/>
    <w:rsid w:val="00C120B4"/>
    <w:rsid w:val="00C1210E"/>
    <w:rsid w:val="00C12B42"/>
    <w:rsid w:val="00C12BA0"/>
    <w:rsid w:val="00C12BBA"/>
    <w:rsid w:val="00C12C91"/>
    <w:rsid w:val="00C12CCC"/>
    <w:rsid w:val="00C13381"/>
    <w:rsid w:val="00C13728"/>
    <w:rsid w:val="00C137CF"/>
    <w:rsid w:val="00C13DD1"/>
    <w:rsid w:val="00C1418E"/>
    <w:rsid w:val="00C1433A"/>
    <w:rsid w:val="00C14BBC"/>
    <w:rsid w:val="00C14C99"/>
    <w:rsid w:val="00C14E6E"/>
    <w:rsid w:val="00C15030"/>
    <w:rsid w:val="00C152AE"/>
    <w:rsid w:val="00C15391"/>
    <w:rsid w:val="00C156CE"/>
    <w:rsid w:val="00C15752"/>
    <w:rsid w:val="00C15873"/>
    <w:rsid w:val="00C158A8"/>
    <w:rsid w:val="00C15CED"/>
    <w:rsid w:val="00C15F87"/>
    <w:rsid w:val="00C1632A"/>
    <w:rsid w:val="00C16597"/>
    <w:rsid w:val="00C16C83"/>
    <w:rsid w:val="00C17192"/>
    <w:rsid w:val="00C17258"/>
    <w:rsid w:val="00C17320"/>
    <w:rsid w:val="00C173D5"/>
    <w:rsid w:val="00C17446"/>
    <w:rsid w:val="00C17729"/>
    <w:rsid w:val="00C17C3C"/>
    <w:rsid w:val="00C17CA4"/>
    <w:rsid w:val="00C20419"/>
    <w:rsid w:val="00C2085B"/>
    <w:rsid w:val="00C2093C"/>
    <w:rsid w:val="00C21151"/>
    <w:rsid w:val="00C21311"/>
    <w:rsid w:val="00C2150F"/>
    <w:rsid w:val="00C21741"/>
    <w:rsid w:val="00C21E9C"/>
    <w:rsid w:val="00C2229F"/>
    <w:rsid w:val="00C22A7C"/>
    <w:rsid w:val="00C22B86"/>
    <w:rsid w:val="00C22BB7"/>
    <w:rsid w:val="00C22D01"/>
    <w:rsid w:val="00C22DA2"/>
    <w:rsid w:val="00C22FF7"/>
    <w:rsid w:val="00C2343F"/>
    <w:rsid w:val="00C239E4"/>
    <w:rsid w:val="00C23A18"/>
    <w:rsid w:val="00C23A1A"/>
    <w:rsid w:val="00C24178"/>
    <w:rsid w:val="00C24DDD"/>
    <w:rsid w:val="00C24F11"/>
    <w:rsid w:val="00C251E9"/>
    <w:rsid w:val="00C25453"/>
    <w:rsid w:val="00C2548F"/>
    <w:rsid w:val="00C255D6"/>
    <w:rsid w:val="00C25636"/>
    <w:rsid w:val="00C25E7C"/>
    <w:rsid w:val="00C26052"/>
    <w:rsid w:val="00C262F8"/>
    <w:rsid w:val="00C26426"/>
    <w:rsid w:val="00C26555"/>
    <w:rsid w:val="00C2655E"/>
    <w:rsid w:val="00C26864"/>
    <w:rsid w:val="00C269DD"/>
    <w:rsid w:val="00C26E94"/>
    <w:rsid w:val="00C2717E"/>
    <w:rsid w:val="00C2761A"/>
    <w:rsid w:val="00C278E7"/>
    <w:rsid w:val="00C27A71"/>
    <w:rsid w:val="00C27A87"/>
    <w:rsid w:val="00C27C61"/>
    <w:rsid w:val="00C300B9"/>
    <w:rsid w:val="00C303B8"/>
    <w:rsid w:val="00C30584"/>
    <w:rsid w:val="00C30632"/>
    <w:rsid w:val="00C30CE9"/>
    <w:rsid w:val="00C30F6B"/>
    <w:rsid w:val="00C312BF"/>
    <w:rsid w:val="00C315F1"/>
    <w:rsid w:val="00C3173A"/>
    <w:rsid w:val="00C318E2"/>
    <w:rsid w:val="00C31DDA"/>
    <w:rsid w:val="00C31E8E"/>
    <w:rsid w:val="00C31F61"/>
    <w:rsid w:val="00C322D7"/>
    <w:rsid w:val="00C32C1C"/>
    <w:rsid w:val="00C32D32"/>
    <w:rsid w:val="00C33172"/>
    <w:rsid w:val="00C33487"/>
    <w:rsid w:val="00C3352C"/>
    <w:rsid w:val="00C33694"/>
    <w:rsid w:val="00C339AE"/>
    <w:rsid w:val="00C33BCD"/>
    <w:rsid w:val="00C33BD2"/>
    <w:rsid w:val="00C33DF0"/>
    <w:rsid w:val="00C33F47"/>
    <w:rsid w:val="00C344AA"/>
    <w:rsid w:val="00C348FB"/>
    <w:rsid w:val="00C34B54"/>
    <w:rsid w:val="00C350CD"/>
    <w:rsid w:val="00C3517E"/>
    <w:rsid w:val="00C354D9"/>
    <w:rsid w:val="00C355F6"/>
    <w:rsid w:val="00C35726"/>
    <w:rsid w:val="00C366AC"/>
    <w:rsid w:val="00C36704"/>
    <w:rsid w:val="00C367AC"/>
    <w:rsid w:val="00C36971"/>
    <w:rsid w:val="00C369F7"/>
    <w:rsid w:val="00C36AD6"/>
    <w:rsid w:val="00C3728D"/>
    <w:rsid w:val="00C372EF"/>
    <w:rsid w:val="00C374C2"/>
    <w:rsid w:val="00C37918"/>
    <w:rsid w:val="00C37FC6"/>
    <w:rsid w:val="00C401AB"/>
    <w:rsid w:val="00C4045B"/>
    <w:rsid w:val="00C40991"/>
    <w:rsid w:val="00C40B07"/>
    <w:rsid w:val="00C413E1"/>
    <w:rsid w:val="00C41D18"/>
    <w:rsid w:val="00C41E8B"/>
    <w:rsid w:val="00C423F6"/>
    <w:rsid w:val="00C4266B"/>
    <w:rsid w:val="00C42A87"/>
    <w:rsid w:val="00C432A0"/>
    <w:rsid w:val="00C43448"/>
    <w:rsid w:val="00C435AF"/>
    <w:rsid w:val="00C43647"/>
    <w:rsid w:val="00C43ACB"/>
    <w:rsid w:val="00C43C76"/>
    <w:rsid w:val="00C4400C"/>
    <w:rsid w:val="00C44070"/>
    <w:rsid w:val="00C44404"/>
    <w:rsid w:val="00C4479F"/>
    <w:rsid w:val="00C45174"/>
    <w:rsid w:val="00C45437"/>
    <w:rsid w:val="00C45602"/>
    <w:rsid w:val="00C45642"/>
    <w:rsid w:val="00C45DB2"/>
    <w:rsid w:val="00C45F61"/>
    <w:rsid w:val="00C46AC0"/>
    <w:rsid w:val="00C46EBF"/>
    <w:rsid w:val="00C47138"/>
    <w:rsid w:val="00C4760D"/>
    <w:rsid w:val="00C4772A"/>
    <w:rsid w:val="00C477CD"/>
    <w:rsid w:val="00C47AA9"/>
    <w:rsid w:val="00C47F01"/>
    <w:rsid w:val="00C47F2B"/>
    <w:rsid w:val="00C50016"/>
    <w:rsid w:val="00C5065E"/>
    <w:rsid w:val="00C50675"/>
    <w:rsid w:val="00C50865"/>
    <w:rsid w:val="00C514FE"/>
    <w:rsid w:val="00C5158B"/>
    <w:rsid w:val="00C51C7F"/>
    <w:rsid w:val="00C5241A"/>
    <w:rsid w:val="00C52A5E"/>
    <w:rsid w:val="00C52AC9"/>
    <w:rsid w:val="00C52CA7"/>
    <w:rsid w:val="00C5331A"/>
    <w:rsid w:val="00C533D4"/>
    <w:rsid w:val="00C5342D"/>
    <w:rsid w:val="00C5369D"/>
    <w:rsid w:val="00C538F5"/>
    <w:rsid w:val="00C53D9C"/>
    <w:rsid w:val="00C53FE4"/>
    <w:rsid w:val="00C54655"/>
    <w:rsid w:val="00C550DF"/>
    <w:rsid w:val="00C5577C"/>
    <w:rsid w:val="00C56E2F"/>
    <w:rsid w:val="00C56E9A"/>
    <w:rsid w:val="00C5702E"/>
    <w:rsid w:val="00C57069"/>
    <w:rsid w:val="00C5710E"/>
    <w:rsid w:val="00C5728D"/>
    <w:rsid w:val="00C574AD"/>
    <w:rsid w:val="00C57885"/>
    <w:rsid w:val="00C57A32"/>
    <w:rsid w:val="00C57C61"/>
    <w:rsid w:val="00C57D2F"/>
    <w:rsid w:val="00C57FB6"/>
    <w:rsid w:val="00C60757"/>
    <w:rsid w:val="00C60854"/>
    <w:rsid w:val="00C6093B"/>
    <w:rsid w:val="00C60C40"/>
    <w:rsid w:val="00C60E8F"/>
    <w:rsid w:val="00C61B80"/>
    <w:rsid w:val="00C61E0A"/>
    <w:rsid w:val="00C61EAD"/>
    <w:rsid w:val="00C62134"/>
    <w:rsid w:val="00C62CE1"/>
    <w:rsid w:val="00C63395"/>
    <w:rsid w:val="00C639ED"/>
    <w:rsid w:val="00C640B7"/>
    <w:rsid w:val="00C6469C"/>
    <w:rsid w:val="00C64784"/>
    <w:rsid w:val="00C647D4"/>
    <w:rsid w:val="00C647E6"/>
    <w:rsid w:val="00C64A59"/>
    <w:rsid w:val="00C64BA0"/>
    <w:rsid w:val="00C64DEA"/>
    <w:rsid w:val="00C65077"/>
    <w:rsid w:val="00C6519C"/>
    <w:rsid w:val="00C6523E"/>
    <w:rsid w:val="00C653B2"/>
    <w:rsid w:val="00C65AED"/>
    <w:rsid w:val="00C65BFB"/>
    <w:rsid w:val="00C65C47"/>
    <w:rsid w:val="00C65EFA"/>
    <w:rsid w:val="00C65F22"/>
    <w:rsid w:val="00C6699F"/>
    <w:rsid w:val="00C66A18"/>
    <w:rsid w:val="00C66FB1"/>
    <w:rsid w:val="00C67958"/>
    <w:rsid w:val="00C679CE"/>
    <w:rsid w:val="00C67A75"/>
    <w:rsid w:val="00C706C6"/>
    <w:rsid w:val="00C7130F"/>
    <w:rsid w:val="00C716DE"/>
    <w:rsid w:val="00C717CE"/>
    <w:rsid w:val="00C71E97"/>
    <w:rsid w:val="00C722B3"/>
    <w:rsid w:val="00C73094"/>
    <w:rsid w:val="00C7329B"/>
    <w:rsid w:val="00C73A88"/>
    <w:rsid w:val="00C74560"/>
    <w:rsid w:val="00C753C6"/>
    <w:rsid w:val="00C755A8"/>
    <w:rsid w:val="00C75E00"/>
    <w:rsid w:val="00C76379"/>
    <w:rsid w:val="00C76800"/>
    <w:rsid w:val="00C7695D"/>
    <w:rsid w:val="00C76A58"/>
    <w:rsid w:val="00C76C82"/>
    <w:rsid w:val="00C76D38"/>
    <w:rsid w:val="00C7719C"/>
    <w:rsid w:val="00C775FE"/>
    <w:rsid w:val="00C77E3E"/>
    <w:rsid w:val="00C800EF"/>
    <w:rsid w:val="00C8019A"/>
    <w:rsid w:val="00C80347"/>
    <w:rsid w:val="00C803DF"/>
    <w:rsid w:val="00C805B0"/>
    <w:rsid w:val="00C807B9"/>
    <w:rsid w:val="00C80F99"/>
    <w:rsid w:val="00C81237"/>
    <w:rsid w:val="00C81CD3"/>
    <w:rsid w:val="00C81EA5"/>
    <w:rsid w:val="00C81ED9"/>
    <w:rsid w:val="00C82098"/>
    <w:rsid w:val="00C8214E"/>
    <w:rsid w:val="00C823CA"/>
    <w:rsid w:val="00C8241E"/>
    <w:rsid w:val="00C825B7"/>
    <w:rsid w:val="00C82774"/>
    <w:rsid w:val="00C82A17"/>
    <w:rsid w:val="00C82D1A"/>
    <w:rsid w:val="00C82ED6"/>
    <w:rsid w:val="00C83073"/>
    <w:rsid w:val="00C83401"/>
    <w:rsid w:val="00C83587"/>
    <w:rsid w:val="00C83F51"/>
    <w:rsid w:val="00C844FC"/>
    <w:rsid w:val="00C84579"/>
    <w:rsid w:val="00C845F7"/>
    <w:rsid w:val="00C848FF"/>
    <w:rsid w:val="00C8491A"/>
    <w:rsid w:val="00C849F4"/>
    <w:rsid w:val="00C84B68"/>
    <w:rsid w:val="00C85086"/>
    <w:rsid w:val="00C85422"/>
    <w:rsid w:val="00C857BA"/>
    <w:rsid w:val="00C857EB"/>
    <w:rsid w:val="00C859AE"/>
    <w:rsid w:val="00C85C64"/>
    <w:rsid w:val="00C86373"/>
    <w:rsid w:val="00C86394"/>
    <w:rsid w:val="00C8664A"/>
    <w:rsid w:val="00C866E9"/>
    <w:rsid w:val="00C86DA7"/>
    <w:rsid w:val="00C86E59"/>
    <w:rsid w:val="00C875F8"/>
    <w:rsid w:val="00C875FB"/>
    <w:rsid w:val="00C87791"/>
    <w:rsid w:val="00C87941"/>
    <w:rsid w:val="00C90091"/>
    <w:rsid w:val="00C90263"/>
    <w:rsid w:val="00C911E6"/>
    <w:rsid w:val="00C918BF"/>
    <w:rsid w:val="00C91C64"/>
    <w:rsid w:val="00C91F21"/>
    <w:rsid w:val="00C92058"/>
    <w:rsid w:val="00C923E7"/>
    <w:rsid w:val="00C92496"/>
    <w:rsid w:val="00C9264F"/>
    <w:rsid w:val="00C9284D"/>
    <w:rsid w:val="00C92A8A"/>
    <w:rsid w:val="00C92D0A"/>
    <w:rsid w:val="00C92EEA"/>
    <w:rsid w:val="00C92F41"/>
    <w:rsid w:val="00C93C1D"/>
    <w:rsid w:val="00C93D00"/>
    <w:rsid w:val="00C94188"/>
    <w:rsid w:val="00C941A9"/>
    <w:rsid w:val="00C944C3"/>
    <w:rsid w:val="00C947E2"/>
    <w:rsid w:val="00C94840"/>
    <w:rsid w:val="00C94A2B"/>
    <w:rsid w:val="00C94EEA"/>
    <w:rsid w:val="00C952AF"/>
    <w:rsid w:val="00C95625"/>
    <w:rsid w:val="00C95787"/>
    <w:rsid w:val="00C957FC"/>
    <w:rsid w:val="00C95C1B"/>
    <w:rsid w:val="00C95C64"/>
    <w:rsid w:val="00C96DBE"/>
    <w:rsid w:val="00C97254"/>
    <w:rsid w:val="00C97791"/>
    <w:rsid w:val="00C9799E"/>
    <w:rsid w:val="00C97F62"/>
    <w:rsid w:val="00C97F7F"/>
    <w:rsid w:val="00CA040A"/>
    <w:rsid w:val="00CA084E"/>
    <w:rsid w:val="00CA08AF"/>
    <w:rsid w:val="00CA0E8E"/>
    <w:rsid w:val="00CA137F"/>
    <w:rsid w:val="00CA1824"/>
    <w:rsid w:val="00CA23C3"/>
    <w:rsid w:val="00CA23D0"/>
    <w:rsid w:val="00CA25E5"/>
    <w:rsid w:val="00CA29A5"/>
    <w:rsid w:val="00CA2AA0"/>
    <w:rsid w:val="00CA2C13"/>
    <w:rsid w:val="00CA2D59"/>
    <w:rsid w:val="00CA308F"/>
    <w:rsid w:val="00CA3417"/>
    <w:rsid w:val="00CA351D"/>
    <w:rsid w:val="00CA35EA"/>
    <w:rsid w:val="00CA3630"/>
    <w:rsid w:val="00CA39D2"/>
    <w:rsid w:val="00CA40D3"/>
    <w:rsid w:val="00CA465B"/>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FAE"/>
    <w:rsid w:val="00CA722A"/>
    <w:rsid w:val="00CA755D"/>
    <w:rsid w:val="00CA7685"/>
    <w:rsid w:val="00CA77E7"/>
    <w:rsid w:val="00CA7B29"/>
    <w:rsid w:val="00CA7C75"/>
    <w:rsid w:val="00CB0381"/>
    <w:rsid w:val="00CB0871"/>
    <w:rsid w:val="00CB0BE9"/>
    <w:rsid w:val="00CB1A30"/>
    <w:rsid w:val="00CB2253"/>
    <w:rsid w:val="00CB2AEF"/>
    <w:rsid w:val="00CB2F2E"/>
    <w:rsid w:val="00CB35CC"/>
    <w:rsid w:val="00CB3B84"/>
    <w:rsid w:val="00CB4B55"/>
    <w:rsid w:val="00CB4C54"/>
    <w:rsid w:val="00CB5A5A"/>
    <w:rsid w:val="00CB635F"/>
    <w:rsid w:val="00CB639C"/>
    <w:rsid w:val="00CB679B"/>
    <w:rsid w:val="00CB7019"/>
    <w:rsid w:val="00CB766B"/>
    <w:rsid w:val="00CB7957"/>
    <w:rsid w:val="00CB7A74"/>
    <w:rsid w:val="00CB7C75"/>
    <w:rsid w:val="00CB7D58"/>
    <w:rsid w:val="00CB7DDF"/>
    <w:rsid w:val="00CC0466"/>
    <w:rsid w:val="00CC15D8"/>
    <w:rsid w:val="00CC1F5C"/>
    <w:rsid w:val="00CC20B0"/>
    <w:rsid w:val="00CC25BC"/>
    <w:rsid w:val="00CC2B3A"/>
    <w:rsid w:val="00CC2C4D"/>
    <w:rsid w:val="00CC2D63"/>
    <w:rsid w:val="00CC2F55"/>
    <w:rsid w:val="00CC3149"/>
    <w:rsid w:val="00CC3935"/>
    <w:rsid w:val="00CC3AEC"/>
    <w:rsid w:val="00CC3B1D"/>
    <w:rsid w:val="00CC3BFC"/>
    <w:rsid w:val="00CC3D16"/>
    <w:rsid w:val="00CC3E4B"/>
    <w:rsid w:val="00CC4576"/>
    <w:rsid w:val="00CC4B2B"/>
    <w:rsid w:val="00CC511D"/>
    <w:rsid w:val="00CC545B"/>
    <w:rsid w:val="00CC57F6"/>
    <w:rsid w:val="00CC5A9D"/>
    <w:rsid w:val="00CC5AA9"/>
    <w:rsid w:val="00CC6428"/>
    <w:rsid w:val="00CC6A46"/>
    <w:rsid w:val="00CC6B8E"/>
    <w:rsid w:val="00CC6BB7"/>
    <w:rsid w:val="00CC7105"/>
    <w:rsid w:val="00CC720A"/>
    <w:rsid w:val="00CC751D"/>
    <w:rsid w:val="00CC79C6"/>
    <w:rsid w:val="00CC7B93"/>
    <w:rsid w:val="00CD067D"/>
    <w:rsid w:val="00CD0882"/>
    <w:rsid w:val="00CD0F6C"/>
    <w:rsid w:val="00CD168F"/>
    <w:rsid w:val="00CD16F0"/>
    <w:rsid w:val="00CD196D"/>
    <w:rsid w:val="00CD2867"/>
    <w:rsid w:val="00CD2B33"/>
    <w:rsid w:val="00CD2F4C"/>
    <w:rsid w:val="00CD310A"/>
    <w:rsid w:val="00CD3F8F"/>
    <w:rsid w:val="00CD4D06"/>
    <w:rsid w:val="00CD4DDF"/>
    <w:rsid w:val="00CD4ECD"/>
    <w:rsid w:val="00CD4F92"/>
    <w:rsid w:val="00CD54FD"/>
    <w:rsid w:val="00CD5961"/>
    <w:rsid w:val="00CD5B76"/>
    <w:rsid w:val="00CD6156"/>
    <w:rsid w:val="00CD6549"/>
    <w:rsid w:val="00CD68FD"/>
    <w:rsid w:val="00CD6E3F"/>
    <w:rsid w:val="00CD6EEC"/>
    <w:rsid w:val="00CD6FF6"/>
    <w:rsid w:val="00CD70C2"/>
    <w:rsid w:val="00CD74D6"/>
    <w:rsid w:val="00CD7672"/>
    <w:rsid w:val="00CD77D4"/>
    <w:rsid w:val="00CD79E6"/>
    <w:rsid w:val="00CE0D29"/>
    <w:rsid w:val="00CE0E60"/>
    <w:rsid w:val="00CE0F23"/>
    <w:rsid w:val="00CE17E8"/>
    <w:rsid w:val="00CE1C74"/>
    <w:rsid w:val="00CE1F91"/>
    <w:rsid w:val="00CE26A3"/>
    <w:rsid w:val="00CE282C"/>
    <w:rsid w:val="00CE2BA0"/>
    <w:rsid w:val="00CE2C19"/>
    <w:rsid w:val="00CE306B"/>
    <w:rsid w:val="00CE30D5"/>
    <w:rsid w:val="00CE33E2"/>
    <w:rsid w:val="00CE395D"/>
    <w:rsid w:val="00CE3A32"/>
    <w:rsid w:val="00CE3B7C"/>
    <w:rsid w:val="00CE4434"/>
    <w:rsid w:val="00CE4644"/>
    <w:rsid w:val="00CE50E1"/>
    <w:rsid w:val="00CE53DF"/>
    <w:rsid w:val="00CE5404"/>
    <w:rsid w:val="00CE546B"/>
    <w:rsid w:val="00CE5706"/>
    <w:rsid w:val="00CE58AB"/>
    <w:rsid w:val="00CE5ECE"/>
    <w:rsid w:val="00CE6072"/>
    <w:rsid w:val="00CE62A0"/>
    <w:rsid w:val="00CE63BE"/>
    <w:rsid w:val="00CE67C5"/>
    <w:rsid w:val="00CE683F"/>
    <w:rsid w:val="00CE68B5"/>
    <w:rsid w:val="00CE6B93"/>
    <w:rsid w:val="00CE6DA5"/>
    <w:rsid w:val="00CE7023"/>
    <w:rsid w:val="00CE78DB"/>
    <w:rsid w:val="00CF0424"/>
    <w:rsid w:val="00CF06B3"/>
    <w:rsid w:val="00CF0D6D"/>
    <w:rsid w:val="00CF0F28"/>
    <w:rsid w:val="00CF0F2B"/>
    <w:rsid w:val="00CF1962"/>
    <w:rsid w:val="00CF19EC"/>
    <w:rsid w:val="00CF1D1F"/>
    <w:rsid w:val="00CF2395"/>
    <w:rsid w:val="00CF26FE"/>
    <w:rsid w:val="00CF2792"/>
    <w:rsid w:val="00CF283E"/>
    <w:rsid w:val="00CF314B"/>
    <w:rsid w:val="00CF3157"/>
    <w:rsid w:val="00CF338F"/>
    <w:rsid w:val="00CF36FC"/>
    <w:rsid w:val="00CF3C53"/>
    <w:rsid w:val="00CF3DBD"/>
    <w:rsid w:val="00CF46ED"/>
    <w:rsid w:val="00CF4A54"/>
    <w:rsid w:val="00CF4D8B"/>
    <w:rsid w:val="00CF5031"/>
    <w:rsid w:val="00CF5270"/>
    <w:rsid w:val="00CF5867"/>
    <w:rsid w:val="00CF5AE5"/>
    <w:rsid w:val="00CF5BEE"/>
    <w:rsid w:val="00CF5F77"/>
    <w:rsid w:val="00CF658A"/>
    <w:rsid w:val="00CF6A65"/>
    <w:rsid w:val="00CF6E88"/>
    <w:rsid w:val="00CF71C4"/>
    <w:rsid w:val="00CF74BC"/>
    <w:rsid w:val="00CF76B1"/>
    <w:rsid w:val="00CF7FE9"/>
    <w:rsid w:val="00D00131"/>
    <w:rsid w:val="00D0029F"/>
    <w:rsid w:val="00D009F9"/>
    <w:rsid w:val="00D01019"/>
    <w:rsid w:val="00D01756"/>
    <w:rsid w:val="00D02B76"/>
    <w:rsid w:val="00D02B8E"/>
    <w:rsid w:val="00D0314B"/>
    <w:rsid w:val="00D031C8"/>
    <w:rsid w:val="00D036E9"/>
    <w:rsid w:val="00D03B9C"/>
    <w:rsid w:val="00D03C1F"/>
    <w:rsid w:val="00D03D47"/>
    <w:rsid w:val="00D047C2"/>
    <w:rsid w:val="00D04F4C"/>
    <w:rsid w:val="00D0509E"/>
    <w:rsid w:val="00D0539D"/>
    <w:rsid w:val="00D055DF"/>
    <w:rsid w:val="00D056D5"/>
    <w:rsid w:val="00D05C48"/>
    <w:rsid w:val="00D05DCA"/>
    <w:rsid w:val="00D05E01"/>
    <w:rsid w:val="00D05FC5"/>
    <w:rsid w:val="00D0609F"/>
    <w:rsid w:val="00D0686B"/>
    <w:rsid w:val="00D06B60"/>
    <w:rsid w:val="00D06D61"/>
    <w:rsid w:val="00D06D9C"/>
    <w:rsid w:val="00D07308"/>
    <w:rsid w:val="00D0799E"/>
    <w:rsid w:val="00D10982"/>
    <w:rsid w:val="00D109B8"/>
    <w:rsid w:val="00D10C0B"/>
    <w:rsid w:val="00D10C9F"/>
    <w:rsid w:val="00D1100B"/>
    <w:rsid w:val="00D113E6"/>
    <w:rsid w:val="00D11BD3"/>
    <w:rsid w:val="00D12158"/>
    <w:rsid w:val="00D128E8"/>
    <w:rsid w:val="00D12F66"/>
    <w:rsid w:val="00D13359"/>
    <w:rsid w:val="00D135C3"/>
    <w:rsid w:val="00D13804"/>
    <w:rsid w:val="00D13D0D"/>
    <w:rsid w:val="00D1476A"/>
    <w:rsid w:val="00D149B0"/>
    <w:rsid w:val="00D152DC"/>
    <w:rsid w:val="00D155F6"/>
    <w:rsid w:val="00D15781"/>
    <w:rsid w:val="00D15E1D"/>
    <w:rsid w:val="00D163F3"/>
    <w:rsid w:val="00D16517"/>
    <w:rsid w:val="00D16565"/>
    <w:rsid w:val="00D16674"/>
    <w:rsid w:val="00D167D1"/>
    <w:rsid w:val="00D16CBF"/>
    <w:rsid w:val="00D16DC7"/>
    <w:rsid w:val="00D1703E"/>
    <w:rsid w:val="00D172AB"/>
    <w:rsid w:val="00D173C2"/>
    <w:rsid w:val="00D179AC"/>
    <w:rsid w:val="00D17EA8"/>
    <w:rsid w:val="00D20082"/>
    <w:rsid w:val="00D2044F"/>
    <w:rsid w:val="00D204CD"/>
    <w:rsid w:val="00D205F2"/>
    <w:rsid w:val="00D20B19"/>
    <w:rsid w:val="00D20CFE"/>
    <w:rsid w:val="00D20EF6"/>
    <w:rsid w:val="00D21691"/>
    <w:rsid w:val="00D21901"/>
    <w:rsid w:val="00D2199B"/>
    <w:rsid w:val="00D21AB4"/>
    <w:rsid w:val="00D220FE"/>
    <w:rsid w:val="00D223BF"/>
    <w:rsid w:val="00D229D9"/>
    <w:rsid w:val="00D23506"/>
    <w:rsid w:val="00D23546"/>
    <w:rsid w:val="00D2386A"/>
    <w:rsid w:val="00D2467B"/>
    <w:rsid w:val="00D24971"/>
    <w:rsid w:val="00D24BA2"/>
    <w:rsid w:val="00D2571A"/>
    <w:rsid w:val="00D25A39"/>
    <w:rsid w:val="00D25C5A"/>
    <w:rsid w:val="00D25D1F"/>
    <w:rsid w:val="00D266E6"/>
    <w:rsid w:val="00D267AA"/>
    <w:rsid w:val="00D26CB3"/>
    <w:rsid w:val="00D26CF8"/>
    <w:rsid w:val="00D26D12"/>
    <w:rsid w:val="00D26FDA"/>
    <w:rsid w:val="00D272F8"/>
    <w:rsid w:val="00D27767"/>
    <w:rsid w:val="00D30055"/>
    <w:rsid w:val="00D30A18"/>
    <w:rsid w:val="00D30C40"/>
    <w:rsid w:val="00D319DB"/>
    <w:rsid w:val="00D31A37"/>
    <w:rsid w:val="00D31F4E"/>
    <w:rsid w:val="00D32453"/>
    <w:rsid w:val="00D329F3"/>
    <w:rsid w:val="00D32E69"/>
    <w:rsid w:val="00D336CB"/>
    <w:rsid w:val="00D3370E"/>
    <w:rsid w:val="00D338D1"/>
    <w:rsid w:val="00D33F57"/>
    <w:rsid w:val="00D340A5"/>
    <w:rsid w:val="00D346E3"/>
    <w:rsid w:val="00D3474E"/>
    <w:rsid w:val="00D3476B"/>
    <w:rsid w:val="00D3503F"/>
    <w:rsid w:val="00D35255"/>
    <w:rsid w:val="00D3531C"/>
    <w:rsid w:val="00D3582F"/>
    <w:rsid w:val="00D35839"/>
    <w:rsid w:val="00D35C62"/>
    <w:rsid w:val="00D35DF7"/>
    <w:rsid w:val="00D35FC5"/>
    <w:rsid w:val="00D368CE"/>
    <w:rsid w:val="00D3695B"/>
    <w:rsid w:val="00D36FCE"/>
    <w:rsid w:val="00D37555"/>
    <w:rsid w:val="00D37674"/>
    <w:rsid w:val="00D37B32"/>
    <w:rsid w:val="00D37E44"/>
    <w:rsid w:val="00D40305"/>
    <w:rsid w:val="00D405AE"/>
    <w:rsid w:val="00D41213"/>
    <w:rsid w:val="00D42092"/>
    <w:rsid w:val="00D42294"/>
    <w:rsid w:val="00D42839"/>
    <w:rsid w:val="00D42CBC"/>
    <w:rsid w:val="00D42EC4"/>
    <w:rsid w:val="00D4373D"/>
    <w:rsid w:val="00D43755"/>
    <w:rsid w:val="00D44C9F"/>
    <w:rsid w:val="00D457EF"/>
    <w:rsid w:val="00D4589C"/>
    <w:rsid w:val="00D45A7C"/>
    <w:rsid w:val="00D45C95"/>
    <w:rsid w:val="00D45D64"/>
    <w:rsid w:val="00D45E8A"/>
    <w:rsid w:val="00D462F1"/>
    <w:rsid w:val="00D46510"/>
    <w:rsid w:val="00D46AFF"/>
    <w:rsid w:val="00D46E0F"/>
    <w:rsid w:val="00D46E6F"/>
    <w:rsid w:val="00D46F21"/>
    <w:rsid w:val="00D47002"/>
    <w:rsid w:val="00D474DB"/>
    <w:rsid w:val="00D50514"/>
    <w:rsid w:val="00D50697"/>
    <w:rsid w:val="00D50893"/>
    <w:rsid w:val="00D50A4A"/>
    <w:rsid w:val="00D50D5C"/>
    <w:rsid w:val="00D51129"/>
    <w:rsid w:val="00D51AD1"/>
    <w:rsid w:val="00D51CC5"/>
    <w:rsid w:val="00D51EDE"/>
    <w:rsid w:val="00D523F2"/>
    <w:rsid w:val="00D52480"/>
    <w:rsid w:val="00D5305D"/>
    <w:rsid w:val="00D53603"/>
    <w:rsid w:val="00D53A96"/>
    <w:rsid w:val="00D53BE5"/>
    <w:rsid w:val="00D53C59"/>
    <w:rsid w:val="00D53F22"/>
    <w:rsid w:val="00D540F4"/>
    <w:rsid w:val="00D54169"/>
    <w:rsid w:val="00D54849"/>
    <w:rsid w:val="00D54A5F"/>
    <w:rsid w:val="00D54B4A"/>
    <w:rsid w:val="00D55A5B"/>
    <w:rsid w:val="00D55D17"/>
    <w:rsid w:val="00D55D5D"/>
    <w:rsid w:val="00D5623A"/>
    <w:rsid w:val="00D5632F"/>
    <w:rsid w:val="00D56AE5"/>
    <w:rsid w:val="00D56C98"/>
    <w:rsid w:val="00D57434"/>
    <w:rsid w:val="00D57800"/>
    <w:rsid w:val="00D579B3"/>
    <w:rsid w:val="00D57D83"/>
    <w:rsid w:val="00D57E2A"/>
    <w:rsid w:val="00D60BFA"/>
    <w:rsid w:val="00D6112F"/>
    <w:rsid w:val="00D612AF"/>
    <w:rsid w:val="00D61397"/>
    <w:rsid w:val="00D61A8F"/>
    <w:rsid w:val="00D61F38"/>
    <w:rsid w:val="00D62037"/>
    <w:rsid w:val="00D620CC"/>
    <w:rsid w:val="00D622AF"/>
    <w:rsid w:val="00D6263F"/>
    <w:rsid w:val="00D62CD1"/>
    <w:rsid w:val="00D62D3A"/>
    <w:rsid w:val="00D63031"/>
    <w:rsid w:val="00D63484"/>
    <w:rsid w:val="00D635DC"/>
    <w:rsid w:val="00D63AD0"/>
    <w:rsid w:val="00D63B02"/>
    <w:rsid w:val="00D63B10"/>
    <w:rsid w:val="00D63BA4"/>
    <w:rsid w:val="00D63D3E"/>
    <w:rsid w:val="00D63E4A"/>
    <w:rsid w:val="00D63F79"/>
    <w:rsid w:val="00D6409B"/>
    <w:rsid w:val="00D641D9"/>
    <w:rsid w:val="00D64238"/>
    <w:rsid w:val="00D643E8"/>
    <w:rsid w:val="00D64E8B"/>
    <w:rsid w:val="00D64F3E"/>
    <w:rsid w:val="00D6559F"/>
    <w:rsid w:val="00D659BA"/>
    <w:rsid w:val="00D65F6B"/>
    <w:rsid w:val="00D661B6"/>
    <w:rsid w:val="00D665AF"/>
    <w:rsid w:val="00D6672E"/>
    <w:rsid w:val="00D66C4A"/>
    <w:rsid w:val="00D66F4F"/>
    <w:rsid w:val="00D674A3"/>
    <w:rsid w:val="00D6780E"/>
    <w:rsid w:val="00D6794D"/>
    <w:rsid w:val="00D679EB"/>
    <w:rsid w:val="00D67EC9"/>
    <w:rsid w:val="00D67F23"/>
    <w:rsid w:val="00D70364"/>
    <w:rsid w:val="00D7041A"/>
    <w:rsid w:val="00D70836"/>
    <w:rsid w:val="00D708B1"/>
    <w:rsid w:val="00D70A60"/>
    <w:rsid w:val="00D70AB8"/>
    <w:rsid w:val="00D70CB4"/>
    <w:rsid w:val="00D70F98"/>
    <w:rsid w:val="00D71504"/>
    <w:rsid w:val="00D72045"/>
    <w:rsid w:val="00D721C1"/>
    <w:rsid w:val="00D72890"/>
    <w:rsid w:val="00D7296A"/>
    <w:rsid w:val="00D72DA3"/>
    <w:rsid w:val="00D731F0"/>
    <w:rsid w:val="00D738AB"/>
    <w:rsid w:val="00D73CDA"/>
    <w:rsid w:val="00D74014"/>
    <w:rsid w:val="00D74C41"/>
    <w:rsid w:val="00D75A79"/>
    <w:rsid w:val="00D75ABF"/>
    <w:rsid w:val="00D75CA4"/>
    <w:rsid w:val="00D75D18"/>
    <w:rsid w:val="00D75D3E"/>
    <w:rsid w:val="00D761A3"/>
    <w:rsid w:val="00D7634E"/>
    <w:rsid w:val="00D763EF"/>
    <w:rsid w:val="00D76DF8"/>
    <w:rsid w:val="00D8030B"/>
    <w:rsid w:val="00D806CD"/>
    <w:rsid w:val="00D807E1"/>
    <w:rsid w:val="00D80ADB"/>
    <w:rsid w:val="00D80C4F"/>
    <w:rsid w:val="00D80DA6"/>
    <w:rsid w:val="00D81323"/>
    <w:rsid w:val="00D81B2D"/>
    <w:rsid w:val="00D81BB3"/>
    <w:rsid w:val="00D82066"/>
    <w:rsid w:val="00D82182"/>
    <w:rsid w:val="00D82246"/>
    <w:rsid w:val="00D82309"/>
    <w:rsid w:val="00D83040"/>
    <w:rsid w:val="00D83101"/>
    <w:rsid w:val="00D83869"/>
    <w:rsid w:val="00D83A3E"/>
    <w:rsid w:val="00D83A90"/>
    <w:rsid w:val="00D840FC"/>
    <w:rsid w:val="00D84182"/>
    <w:rsid w:val="00D84767"/>
    <w:rsid w:val="00D84C4E"/>
    <w:rsid w:val="00D84FCD"/>
    <w:rsid w:val="00D852B7"/>
    <w:rsid w:val="00D85FF4"/>
    <w:rsid w:val="00D862E5"/>
    <w:rsid w:val="00D865B3"/>
    <w:rsid w:val="00D86B88"/>
    <w:rsid w:val="00D86F2C"/>
    <w:rsid w:val="00D87016"/>
    <w:rsid w:val="00D87044"/>
    <w:rsid w:val="00D872D4"/>
    <w:rsid w:val="00D873C4"/>
    <w:rsid w:val="00D87673"/>
    <w:rsid w:val="00D879AE"/>
    <w:rsid w:val="00D87F0D"/>
    <w:rsid w:val="00D90345"/>
    <w:rsid w:val="00D90348"/>
    <w:rsid w:val="00D906A0"/>
    <w:rsid w:val="00D906A4"/>
    <w:rsid w:val="00D907BE"/>
    <w:rsid w:val="00D90AB3"/>
    <w:rsid w:val="00D90C9B"/>
    <w:rsid w:val="00D915D5"/>
    <w:rsid w:val="00D91696"/>
    <w:rsid w:val="00D9194D"/>
    <w:rsid w:val="00D91AB2"/>
    <w:rsid w:val="00D9260D"/>
    <w:rsid w:val="00D9298D"/>
    <w:rsid w:val="00D92A70"/>
    <w:rsid w:val="00D92B7C"/>
    <w:rsid w:val="00D92BB7"/>
    <w:rsid w:val="00D92E3B"/>
    <w:rsid w:val="00D9338C"/>
    <w:rsid w:val="00D93406"/>
    <w:rsid w:val="00D935B7"/>
    <w:rsid w:val="00D93964"/>
    <w:rsid w:val="00D9398E"/>
    <w:rsid w:val="00D93C8D"/>
    <w:rsid w:val="00D93D35"/>
    <w:rsid w:val="00D942EF"/>
    <w:rsid w:val="00D94434"/>
    <w:rsid w:val="00D94A82"/>
    <w:rsid w:val="00D94D14"/>
    <w:rsid w:val="00D94F60"/>
    <w:rsid w:val="00D955CB"/>
    <w:rsid w:val="00D96241"/>
    <w:rsid w:val="00D9699F"/>
    <w:rsid w:val="00D97030"/>
    <w:rsid w:val="00D97757"/>
    <w:rsid w:val="00D97A3E"/>
    <w:rsid w:val="00D97CB4"/>
    <w:rsid w:val="00D97D88"/>
    <w:rsid w:val="00D97FB5"/>
    <w:rsid w:val="00DA0061"/>
    <w:rsid w:val="00DA0F12"/>
    <w:rsid w:val="00DA115C"/>
    <w:rsid w:val="00DA15D2"/>
    <w:rsid w:val="00DA1ABA"/>
    <w:rsid w:val="00DA1CE3"/>
    <w:rsid w:val="00DA1D37"/>
    <w:rsid w:val="00DA1F53"/>
    <w:rsid w:val="00DA2133"/>
    <w:rsid w:val="00DA28EA"/>
    <w:rsid w:val="00DA3373"/>
    <w:rsid w:val="00DA3500"/>
    <w:rsid w:val="00DA3874"/>
    <w:rsid w:val="00DA391C"/>
    <w:rsid w:val="00DA3934"/>
    <w:rsid w:val="00DA42A7"/>
    <w:rsid w:val="00DA4464"/>
    <w:rsid w:val="00DA4A3F"/>
    <w:rsid w:val="00DA557A"/>
    <w:rsid w:val="00DA5D22"/>
    <w:rsid w:val="00DA5DC5"/>
    <w:rsid w:val="00DA617B"/>
    <w:rsid w:val="00DA61D0"/>
    <w:rsid w:val="00DA6424"/>
    <w:rsid w:val="00DA65BE"/>
    <w:rsid w:val="00DA6E13"/>
    <w:rsid w:val="00DB00D0"/>
    <w:rsid w:val="00DB01FA"/>
    <w:rsid w:val="00DB0273"/>
    <w:rsid w:val="00DB0729"/>
    <w:rsid w:val="00DB0B68"/>
    <w:rsid w:val="00DB10F8"/>
    <w:rsid w:val="00DB1147"/>
    <w:rsid w:val="00DB1259"/>
    <w:rsid w:val="00DB1877"/>
    <w:rsid w:val="00DB1983"/>
    <w:rsid w:val="00DB1A31"/>
    <w:rsid w:val="00DB1C1B"/>
    <w:rsid w:val="00DB21E9"/>
    <w:rsid w:val="00DB255D"/>
    <w:rsid w:val="00DB256B"/>
    <w:rsid w:val="00DB2615"/>
    <w:rsid w:val="00DB279E"/>
    <w:rsid w:val="00DB2C6D"/>
    <w:rsid w:val="00DB393B"/>
    <w:rsid w:val="00DB42F6"/>
    <w:rsid w:val="00DB457F"/>
    <w:rsid w:val="00DB4979"/>
    <w:rsid w:val="00DB4D58"/>
    <w:rsid w:val="00DB5134"/>
    <w:rsid w:val="00DB52E3"/>
    <w:rsid w:val="00DB5339"/>
    <w:rsid w:val="00DB5358"/>
    <w:rsid w:val="00DB580B"/>
    <w:rsid w:val="00DB5F98"/>
    <w:rsid w:val="00DB6119"/>
    <w:rsid w:val="00DB6275"/>
    <w:rsid w:val="00DB62C0"/>
    <w:rsid w:val="00DB6402"/>
    <w:rsid w:val="00DB64D9"/>
    <w:rsid w:val="00DB6A43"/>
    <w:rsid w:val="00DB6C0C"/>
    <w:rsid w:val="00DB6D62"/>
    <w:rsid w:val="00DB6DB3"/>
    <w:rsid w:val="00DB6E7B"/>
    <w:rsid w:val="00DB7081"/>
    <w:rsid w:val="00DB773D"/>
    <w:rsid w:val="00DB7861"/>
    <w:rsid w:val="00DB7B0E"/>
    <w:rsid w:val="00DB7D54"/>
    <w:rsid w:val="00DB7EFA"/>
    <w:rsid w:val="00DC00B3"/>
    <w:rsid w:val="00DC0184"/>
    <w:rsid w:val="00DC03B4"/>
    <w:rsid w:val="00DC0517"/>
    <w:rsid w:val="00DC0910"/>
    <w:rsid w:val="00DC0C75"/>
    <w:rsid w:val="00DC0E1C"/>
    <w:rsid w:val="00DC1108"/>
    <w:rsid w:val="00DC1405"/>
    <w:rsid w:val="00DC144E"/>
    <w:rsid w:val="00DC1C15"/>
    <w:rsid w:val="00DC1EA1"/>
    <w:rsid w:val="00DC24CE"/>
    <w:rsid w:val="00DC2793"/>
    <w:rsid w:val="00DC29A6"/>
    <w:rsid w:val="00DC2B5B"/>
    <w:rsid w:val="00DC2C4A"/>
    <w:rsid w:val="00DC2E57"/>
    <w:rsid w:val="00DC2E88"/>
    <w:rsid w:val="00DC331F"/>
    <w:rsid w:val="00DC36E8"/>
    <w:rsid w:val="00DC37CA"/>
    <w:rsid w:val="00DC38DB"/>
    <w:rsid w:val="00DC3F37"/>
    <w:rsid w:val="00DC43E4"/>
    <w:rsid w:val="00DC4453"/>
    <w:rsid w:val="00DC4890"/>
    <w:rsid w:val="00DC4BCF"/>
    <w:rsid w:val="00DC4FDA"/>
    <w:rsid w:val="00DC5567"/>
    <w:rsid w:val="00DC561A"/>
    <w:rsid w:val="00DC5789"/>
    <w:rsid w:val="00DC5970"/>
    <w:rsid w:val="00DC5CFE"/>
    <w:rsid w:val="00DC5DDA"/>
    <w:rsid w:val="00DC5F17"/>
    <w:rsid w:val="00DC638C"/>
    <w:rsid w:val="00DC6836"/>
    <w:rsid w:val="00DC6E34"/>
    <w:rsid w:val="00DC7501"/>
    <w:rsid w:val="00DC7569"/>
    <w:rsid w:val="00DD009A"/>
    <w:rsid w:val="00DD0AF6"/>
    <w:rsid w:val="00DD0C68"/>
    <w:rsid w:val="00DD0EEC"/>
    <w:rsid w:val="00DD14AD"/>
    <w:rsid w:val="00DD14EE"/>
    <w:rsid w:val="00DD1633"/>
    <w:rsid w:val="00DD1A10"/>
    <w:rsid w:val="00DD329F"/>
    <w:rsid w:val="00DD34F0"/>
    <w:rsid w:val="00DD3B41"/>
    <w:rsid w:val="00DD3CB8"/>
    <w:rsid w:val="00DD4092"/>
    <w:rsid w:val="00DD41E8"/>
    <w:rsid w:val="00DD481F"/>
    <w:rsid w:val="00DD493D"/>
    <w:rsid w:val="00DD4AD8"/>
    <w:rsid w:val="00DD4AE2"/>
    <w:rsid w:val="00DD4C68"/>
    <w:rsid w:val="00DD5717"/>
    <w:rsid w:val="00DD58E7"/>
    <w:rsid w:val="00DD6320"/>
    <w:rsid w:val="00DD66FB"/>
    <w:rsid w:val="00DD67CE"/>
    <w:rsid w:val="00DD7254"/>
    <w:rsid w:val="00DD74BB"/>
    <w:rsid w:val="00DD7A2A"/>
    <w:rsid w:val="00DD7A91"/>
    <w:rsid w:val="00DD7D05"/>
    <w:rsid w:val="00DE02AE"/>
    <w:rsid w:val="00DE0726"/>
    <w:rsid w:val="00DE0916"/>
    <w:rsid w:val="00DE110F"/>
    <w:rsid w:val="00DE13D7"/>
    <w:rsid w:val="00DE1775"/>
    <w:rsid w:val="00DE19DE"/>
    <w:rsid w:val="00DE1D3E"/>
    <w:rsid w:val="00DE20D3"/>
    <w:rsid w:val="00DE20EE"/>
    <w:rsid w:val="00DE2866"/>
    <w:rsid w:val="00DE2C0F"/>
    <w:rsid w:val="00DE2D46"/>
    <w:rsid w:val="00DE2DA7"/>
    <w:rsid w:val="00DE2E97"/>
    <w:rsid w:val="00DE313D"/>
    <w:rsid w:val="00DE3350"/>
    <w:rsid w:val="00DE36E5"/>
    <w:rsid w:val="00DE3834"/>
    <w:rsid w:val="00DE39F9"/>
    <w:rsid w:val="00DE3B24"/>
    <w:rsid w:val="00DE3C0E"/>
    <w:rsid w:val="00DE3F08"/>
    <w:rsid w:val="00DE3F69"/>
    <w:rsid w:val="00DE48E9"/>
    <w:rsid w:val="00DE4CD3"/>
    <w:rsid w:val="00DE5427"/>
    <w:rsid w:val="00DE546F"/>
    <w:rsid w:val="00DE54B1"/>
    <w:rsid w:val="00DE5898"/>
    <w:rsid w:val="00DE5909"/>
    <w:rsid w:val="00DE59BE"/>
    <w:rsid w:val="00DE60EC"/>
    <w:rsid w:val="00DE6AC9"/>
    <w:rsid w:val="00DE6C00"/>
    <w:rsid w:val="00DE75C1"/>
    <w:rsid w:val="00DE78DA"/>
    <w:rsid w:val="00DE7D59"/>
    <w:rsid w:val="00DE7E42"/>
    <w:rsid w:val="00DF02F1"/>
    <w:rsid w:val="00DF0946"/>
    <w:rsid w:val="00DF0B07"/>
    <w:rsid w:val="00DF10F1"/>
    <w:rsid w:val="00DF158F"/>
    <w:rsid w:val="00DF1648"/>
    <w:rsid w:val="00DF1866"/>
    <w:rsid w:val="00DF1A34"/>
    <w:rsid w:val="00DF1AAF"/>
    <w:rsid w:val="00DF1E85"/>
    <w:rsid w:val="00DF2217"/>
    <w:rsid w:val="00DF2259"/>
    <w:rsid w:val="00DF2418"/>
    <w:rsid w:val="00DF263C"/>
    <w:rsid w:val="00DF26FE"/>
    <w:rsid w:val="00DF2901"/>
    <w:rsid w:val="00DF29B5"/>
    <w:rsid w:val="00DF2B95"/>
    <w:rsid w:val="00DF33DA"/>
    <w:rsid w:val="00DF3AB1"/>
    <w:rsid w:val="00DF3D56"/>
    <w:rsid w:val="00DF3DE1"/>
    <w:rsid w:val="00DF405E"/>
    <w:rsid w:val="00DF4208"/>
    <w:rsid w:val="00DF446B"/>
    <w:rsid w:val="00DF4586"/>
    <w:rsid w:val="00DF4A84"/>
    <w:rsid w:val="00DF4F27"/>
    <w:rsid w:val="00DF520A"/>
    <w:rsid w:val="00DF52C9"/>
    <w:rsid w:val="00DF576B"/>
    <w:rsid w:val="00DF5D78"/>
    <w:rsid w:val="00DF5FCE"/>
    <w:rsid w:val="00DF60AC"/>
    <w:rsid w:val="00DF653C"/>
    <w:rsid w:val="00DF6B69"/>
    <w:rsid w:val="00DF6BD7"/>
    <w:rsid w:val="00DF6CE4"/>
    <w:rsid w:val="00DF6F79"/>
    <w:rsid w:val="00DF761B"/>
    <w:rsid w:val="00DF7C65"/>
    <w:rsid w:val="00DF7EFC"/>
    <w:rsid w:val="00DF7F6B"/>
    <w:rsid w:val="00E001B5"/>
    <w:rsid w:val="00E00387"/>
    <w:rsid w:val="00E007E3"/>
    <w:rsid w:val="00E01235"/>
    <w:rsid w:val="00E0129D"/>
    <w:rsid w:val="00E01542"/>
    <w:rsid w:val="00E0177A"/>
    <w:rsid w:val="00E01EFB"/>
    <w:rsid w:val="00E0251E"/>
    <w:rsid w:val="00E0253F"/>
    <w:rsid w:val="00E025BC"/>
    <w:rsid w:val="00E025CC"/>
    <w:rsid w:val="00E027DB"/>
    <w:rsid w:val="00E0295B"/>
    <w:rsid w:val="00E02B22"/>
    <w:rsid w:val="00E02CCB"/>
    <w:rsid w:val="00E03724"/>
    <w:rsid w:val="00E0449C"/>
    <w:rsid w:val="00E04ABE"/>
    <w:rsid w:val="00E0522E"/>
    <w:rsid w:val="00E053D0"/>
    <w:rsid w:val="00E054CD"/>
    <w:rsid w:val="00E05761"/>
    <w:rsid w:val="00E05A87"/>
    <w:rsid w:val="00E05D7D"/>
    <w:rsid w:val="00E06160"/>
    <w:rsid w:val="00E062AA"/>
    <w:rsid w:val="00E0666F"/>
    <w:rsid w:val="00E066B7"/>
    <w:rsid w:val="00E06A10"/>
    <w:rsid w:val="00E06B03"/>
    <w:rsid w:val="00E06BC8"/>
    <w:rsid w:val="00E07383"/>
    <w:rsid w:val="00E074BA"/>
    <w:rsid w:val="00E078DE"/>
    <w:rsid w:val="00E07ED7"/>
    <w:rsid w:val="00E07FD4"/>
    <w:rsid w:val="00E10247"/>
    <w:rsid w:val="00E10397"/>
    <w:rsid w:val="00E1041B"/>
    <w:rsid w:val="00E107DD"/>
    <w:rsid w:val="00E11026"/>
    <w:rsid w:val="00E111E6"/>
    <w:rsid w:val="00E11377"/>
    <w:rsid w:val="00E11380"/>
    <w:rsid w:val="00E113C5"/>
    <w:rsid w:val="00E1173F"/>
    <w:rsid w:val="00E11BAF"/>
    <w:rsid w:val="00E11F4C"/>
    <w:rsid w:val="00E12169"/>
    <w:rsid w:val="00E122FA"/>
    <w:rsid w:val="00E123E6"/>
    <w:rsid w:val="00E12D22"/>
    <w:rsid w:val="00E12F3C"/>
    <w:rsid w:val="00E136F3"/>
    <w:rsid w:val="00E1385F"/>
    <w:rsid w:val="00E139A2"/>
    <w:rsid w:val="00E13A1B"/>
    <w:rsid w:val="00E13E47"/>
    <w:rsid w:val="00E1407A"/>
    <w:rsid w:val="00E141FA"/>
    <w:rsid w:val="00E1423B"/>
    <w:rsid w:val="00E14494"/>
    <w:rsid w:val="00E1468E"/>
    <w:rsid w:val="00E14784"/>
    <w:rsid w:val="00E14C2B"/>
    <w:rsid w:val="00E14FA9"/>
    <w:rsid w:val="00E15236"/>
    <w:rsid w:val="00E15796"/>
    <w:rsid w:val="00E15C20"/>
    <w:rsid w:val="00E15CA4"/>
    <w:rsid w:val="00E15FA0"/>
    <w:rsid w:val="00E160C4"/>
    <w:rsid w:val="00E1622F"/>
    <w:rsid w:val="00E163CD"/>
    <w:rsid w:val="00E1663A"/>
    <w:rsid w:val="00E17052"/>
    <w:rsid w:val="00E1720A"/>
    <w:rsid w:val="00E17273"/>
    <w:rsid w:val="00E20200"/>
    <w:rsid w:val="00E2061A"/>
    <w:rsid w:val="00E211FA"/>
    <w:rsid w:val="00E212F6"/>
    <w:rsid w:val="00E2145E"/>
    <w:rsid w:val="00E2180C"/>
    <w:rsid w:val="00E21A19"/>
    <w:rsid w:val="00E21B17"/>
    <w:rsid w:val="00E21D1E"/>
    <w:rsid w:val="00E223DF"/>
    <w:rsid w:val="00E223E2"/>
    <w:rsid w:val="00E226A9"/>
    <w:rsid w:val="00E22D15"/>
    <w:rsid w:val="00E22DA3"/>
    <w:rsid w:val="00E23014"/>
    <w:rsid w:val="00E2312D"/>
    <w:rsid w:val="00E234E3"/>
    <w:rsid w:val="00E23F2B"/>
    <w:rsid w:val="00E240C3"/>
    <w:rsid w:val="00E2422D"/>
    <w:rsid w:val="00E243D1"/>
    <w:rsid w:val="00E245F8"/>
    <w:rsid w:val="00E24BD5"/>
    <w:rsid w:val="00E25056"/>
    <w:rsid w:val="00E25394"/>
    <w:rsid w:val="00E25437"/>
    <w:rsid w:val="00E255D1"/>
    <w:rsid w:val="00E26183"/>
    <w:rsid w:val="00E26247"/>
    <w:rsid w:val="00E26360"/>
    <w:rsid w:val="00E26821"/>
    <w:rsid w:val="00E269BC"/>
    <w:rsid w:val="00E26B75"/>
    <w:rsid w:val="00E26E6E"/>
    <w:rsid w:val="00E27119"/>
    <w:rsid w:val="00E278DD"/>
    <w:rsid w:val="00E27A1B"/>
    <w:rsid w:val="00E30235"/>
    <w:rsid w:val="00E30460"/>
    <w:rsid w:val="00E304EA"/>
    <w:rsid w:val="00E30866"/>
    <w:rsid w:val="00E30967"/>
    <w:rsid w:val="00E3141B"/>
    <w:rsid w:val="00E31510"/>
    <w:rsid w:val="00E316CA"/>
    <w:rsid w:val="00E3190B"/>
    <w:rsid w:val="00E319A9"/>
    <w:rsid w:val="00E31A07"/>
    <w:rsid w:val="00E31BC3"/>
    <w:rsid w:val="00E32393"/>
    <w:rsid w:val="00E33001"/>
    <w:rsid w:val="00E3318C"/>
    <w:rsid w:val="00E332A2"/>
    <w:rsid w:val="00E33A3E"/>
    <w:rsid w:val="00E33BAA"/>
    <w:rsid w:val="00E33FC7"/>
    <w:rsid w:val="00E3409D"/>
    <w:rsid w:val="00E341A0"/>
    <w:rsid w:val="00E34358"/>
    <w:rsid w:val="00E343A2"/>
    <w:rsid w:val="00E347B4"/>
    <w:rsid w:val="00E348BC"/>
    <w:rsid w:val="00E34BFA"/>
    <w:rsid w:val="00E34DC4"/>
    <w:rsid w:val="00E34E7E"/>
    <w:rsid w:val="00E35E8D"/>
    <w:rsid w:val="00E362A3"/>
    <w:rsid w:val="00E36495"/>
    <w:rsid w:val="00E36554"/>
    <w:rsid w:val="00E36886"/>
    <w:rsid w:val="00E368B6"/>
    <w:rsid w:val="00E368E5"/>
    <w:rsid w:val="00E36B48"/>
    <w:rsid w:val="00E36CC3"/>
    <w:rsid w:val="00E36D54"/>
    <w:rsid w:val="00E372BB"/>
    <w:rsid w:val="00E37BC5"/>
    <w:rsid w:val="00E37F50"/>
    <w:rsid w:val="00E37FB2"/>
    <w:rsid w:val="00E40480"/>
    <w:rsid w:val="00E4090B"/>
    <w:rsid w:val="00E40A4B"/>
    <w:rsid w:val="00E40C5B"/>
    <w:rsid w:val="00E40FAA"/>
    <w:rsid w:val="00E41166"/>
    <w:rsid w:val="00E411E4"/>
    <w:rsid w:val="00E41350"/>
    <w:rsid w:val="00E4146C"/>
    <w:rsid w:val="00E41755"/>
    <w:rsid w:val="00E41AE9"/>
    <w:rsid w:val="00E41BE2"/>
    <w:rsid w:val="00E4213C"/>
    <w:rsid w:val="00E423E7"/>
    <w:rsid w:val="00E42510"/>
    <w:rsid w:val="00E42792"/>
    <w:rsid w:val="00E42C9D"/>
    <w:rsid w:val="00E43100"/>
    <w:rsid w:val="00E43B57"/>
    <w:rsid w:val="00E43CE7"/>
    <w:rsid w:val="00E446B3"/>
    <w:rsid w:val="00E44B6F"/>
    <w:rsid w:val="00E44D3E"/>
    <w:rsid w:val="00E44EA6"/>
    <w:rsid w:val="00E44EBB"/>
    <w:rsid w:val="00E44FC8"/>
    <w:rsid w:val="00E45CC9"/>
    <w:rsid w:val="00E46183"/>
    <w:rsid w:val="00E461D4"/>
    <w:rsid w:val="00E46694"/>
    <w:rsid w:val="00E47015"/>
    <w:rsid w:val="00E470B2"/>
    <w:rsid w:val="00E470F5"/>
    <w:rsid w:val="00E47810"/>
    <w:rsid w:val="00E479D2"/>
    <w:rsid w:val="00E47B41"/>
    <w:rsid w:val="00E47D6C"/>
    <w:rsid w:val="00E50252"/>
    <w:rsid w:val="00E502FB"/>
    <w:rsid w:val="00E508D0"/>
    <w:rsid w:val="00E50FCE"/>
    <w:rsid w:val="00E51843"/>
    <w:rsid w:val="00E523BE"/>
    <w:rsid w:val="00E5273E"/>
    <w:rsid w:val="00E5277F"/>
    <w:rsid w:val="00E52864"/>
    <w:rsid w:val="00E52B78"/>
    <w:rsid w:val="00E52D27"/>
    <w:rsid w:val="00E52F3A"/>
    <w:rsid w:val="00E53135"/>
    <w:rsid w:val="00E5333A"/>
    <w:rsid w:val="00E537E4"/>
    <w:rsid w:val="00E53E98"/>
    <w:rsid w:val="00E548D9"/>
    <w:rsid w:val="00E548EE"/>
    <w:rsid w:val="00E54A1D"/>
    <w:rsid w:val="00E54B91"/>
    <w:rsid w:val="00E551CB"/>
    <w:rsid w:val="00E552C6"/>
    <w:rsid w:val="00E55A1B"/>
    <w:rsid w:val="00E564CC"/>
    <w:rsid w:val="00E56558"/>
    <w:rsid w:val="00E565DA"/>
    <w:rsid w:val="00E56699"/>
    <w:rsid w:val="00E56922"/>
    <w:rsid w:val="00E56931"/>
    <w:rsid w:val="00E56DA9"/>
    <w:rsid w:val="00E56F72"/>
    <w:rsid w:val="00E5730E"/>
    <w:rsid w:val="00E5731F"/>
    <w:rsid w:val="00E575E6"/>
    <w:rsid w:val="00E60245"/>
    <w:rsid w:val="00E608E3"/>
    <w:rsid w:val="00E6096E"/>
    <w:rsid w:val="00E60D67"/>
    <w:rsid w:val="00E610AC"/>
    <w:rsid w:val="00E61267"/>
    <w:rsid w:val="00E6162B"/>
    <w:rsid w:val="00E617A5"/>
    <w:rsid w:val="00E61B10"/>
    <w:rsid w:val="00E61D9C"/>
    <w:rsid w:val="00E62122"/>
    <w:rsid w:val="00E62B8D"/>
    <w:rsid w:val="00E6314B"/>
    <w:rsid w:val="00E631DA"/>
    <w:rsid w:val="00E63354"/>
    <w:rsid w:val="00E63483"/>
    <w:rsid w:val="00E63A79"/>
    <w:rsid w:val="00E63BC7"/>
    <w:rsid w:val="00E63DC8"/>
    <w:rsid w:val="00E63F34"/>
    <w:rsid w:val="00E642D9"/>
    <w:rsid w:val="00E6441C"/>
    <w:rsid w:val="00E647EC"/>
    <w:rsid w:val="00E649D6"/>
    <w:rsid w:val="00E64DCD"/>
    <w:rsid w:val="00E64FA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E7C"/>
    <w:rsid w:val="00E70440"/>
    <w:rsid w:val="00E705CC"/>
    <w:rsid w:val="00E70638"/>
    <w:rsid w:val="00E70AD5"/>
    <w:rsid w:val="00E70B77"/>
    <w:rsid w:val="00E7106C"/>
    <w:rsid w:val="00E713F9"/>
    <w:rsid w:val="00E714F3"/>
    <w:rsid w:val="00E71813"/>
    <w:rsid w:val="00E71AA8"/>
    <w:rsid w:val="00E71EE6"/>
    <w:rsid w:val="00E720F4"/>
    <w:rsid w:val="00E726A0"/>
    <w:rsid w:val="00E728A9"/>
    <w:rsid w:val="00E7343D"/>
    <w:rsid w:val="00E73461"/>
    <w:rsid w:val="00E737A0"/>
    <w:rsid w:val="00E7390F"/>
    <w:rsid w:val="00E73FC8"/>
    <w:rsid w:val="00E743C0"/>
    <w:rsid w:val="00E74891"/>
    <w:rsid w:val="00E74896"/>
    <w:rsid w:val="00E749D9"/>
    <w:rsid w:val="00E74DE2"/>
    <w:rsid w:val="00E75A0D"/>
    <w:rsid w:val="00E75C45"/>
    <w:rsid w:val="00E75D44"/>
    <w:rsid w:val="00E75DC6"/>
    <w:rsid w:val="00E760F5"/>
    <w:rsid w:val="00E761AD"/>
    <w:rsid w:val="00E76497"/>
    <w:rsid w:val="00E76E07"/>
    <w:rsid w:val="00E76E6A"/>
    <w:rsid w:val="00E76FE4"/>
    <w:rsid w:val="00E776EB"/>
    <w:rsid w:val="00E77A30"/>
    <w:rsid w:val="00E8002F"/>
    <w:rsid w:val="00E8045D"/>
    <w:rsid w:val="00E8076C"/>
    <w:rsid w:val="00E80B37"/>
    <w:rsid w:val="00E80E98"/>
    <w:rsid w:val="00E815F6"/>
    <w:rsid w:val="00E816E0"/>
    <w:rsid w:val="00E81D1A"/>
    <w:rsid w:val="00E81DB2"/>
    <w:rsid w:val="00E8235F"/>
    <w:rsid w:val="00E828D2"/>
    <w:rsid w:val="00E828F2"/>
    <w:rsid w:val="00E828F3"/>
    <w:rsid w:val="00E82BCA"/>
    <w:rsid w:val="00E830F6"/>
    <w:rsid w:val="00E8348B"/>
    <w:rsid w:val="00E835E4"/>
    <w:rsid w:val="00E83642"/>
    <w:rsid w:val="00E836FD"/>
    <w:rsid w:val="00E8375F"/>
    <w:rsid w:val="00E83818"/>
    <w:rsid w:val="00E839A9"/>
    <w:rsid w:val="00E839D2"/>
    <w:rsid w:val="00E83B60"/>
    <w:rsid w:val="00E83F51"/>
    <w:rsid w:val="00E84078"/>
    <w:rsid w:val="00E8414C"/>
    <w:rsid w:val="00E84618"/>
    <w:rsid w:val="00E846A4"/>
    <w:rsid w:val="00E846A5"/>
    <w:rsid w:val="00E846B0"/>
    <w:rsid w:val="00E84A19"/>
    <w:rsid w:val="00E84BCF"/>
    <w:rsid w:val="00E84F08"/>
    <w:rsid w:val="00E84FD8"/>
    <w:rsid w:val="00E851C5"/>
    <w:rsid w:val="00E8532F"/>
    <w:rsid w:val="00E864C1"/>
    <w:rsid w:val="00E867FB"/>
    <w:rsid w:val="00E86844"/>
    <w:rsid w:val="00E86861"/>
    <w:rsid w:val="00E86BDA"/>
    <w:rsid w:val="00E86D0A"/>
    <w:rsid w:val="00E86D6C"/>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80E"/>
    <w:rsid w:val="00E948E4"/>
    <w:rsid w:val="00E94D06"/>
    <w:rsid w:val="00E94E6D"/>
    <w:rsid w:val="00E95087"/>
    <w:rsid w:val="00E95E25"/>
    <w:rsid w:val="00E95E34"/>
    <w:rsid w:val="00E960A5"/>
    <w:rsid w:val="00E96275"/>
    <w:rsid w:val="00E96346"/>
    <w:rsid w:val="00E96737"/>
    <w:rsid w:val="00E9678D"/>
    <w:rsid w:val="00E96927"/>
    <w:rsid w:val="00E96E4E"/>
    <w:rsid w:val="00E975C2"/>
    <w:rsid w:val="00EA041A"/>
    <w:rsid w:val="00EA0C6A"/>
    <w:rsid w:val="00EA1197"/>
    <w:rsid w:val="00EA166E"/>
    <w:rsid w:val="00EA1BE9"/>
    <w:rsid w:val="00EA22C9"/>
    <w:rsid w:val="00EA2562"/>
    <w:rsid w:val="00EA2D04"/>
    <w:rsid w:val="00EA30F4"/>
    <w:rsid w:val="00EA3623"/>
    <w:rsid w:val="00EA3670"/>
    <w:rsid w:val="00EA3D41"/>
    <w:rsid w:val="00EA3FF4"/>
    <w:rsid w:val="00EA429F"/>
    <w:rsid w:val="00EA4741"/>
    <w:rsid w:val="00EA516F"/>
    <w:rsid w:val="00EA523F"/>
    <w:rsid w:val="00EA5443"/>
    <w:rsid w:val="00EA56AD"/>
    <w:rsid w:val="00EA5894"/>
    <w:rsid w:val="00EA5E45"/>
    <w:rsid w:val="00EA6122"/>
    <w:rsid w:val="00EA6ABE"/>
    <w:rsid w:val="00EA6D43"/>
    <w:rsid w:val="00EA6F52"/>
    <w:rsid w:val="00EA7364"/>
    <w:rsid w:val="00EA78B9"/>
    <w:rsid w:val="00EA7AF6"/>
    <w:rsid w:val="00EB0206"/>
    <w:rsid w:val="00EB020A"/>
    <w:rsid w:val="00EB045D"/>
    <w:rsid w:val="00EB04C7"/>
    <w:rsid w:val="00EB0BA7"/>
    <w:rsid w:val="00EB0C34"/>
    <w:rsid w:val="00EB0D18"/>
    <w:rsid w:val="00EB1113"/>
    <w:rsid w:val="00EB16AF"/>
    <w:rsid w:val="00EB1875"/>
    <w:rsid w:val="00EB1A08"/>
    <w:rsid w:val="00EB1BC5"/>
    <w:rsid w:val="00EB1C1F"/>
    <w:rsid w:val="00EB1C8F"/>
    <w:rsid w:val="00EB1F01"/>
    <w:rsid w:val="00EB238D"/>
    <w:rsid w:val="00EB248B"/>
    <w:rsid w:val="00EB29BF"/>
    <w:rsid w:val="00EB2B1F"/>
    <w:rsid w:val="00EB2BA0"/>
    <w:rsid w:val="00EB2BB6"/>
    <w:rsid w:val="00EB2BD5"/>
    <w:rsid w:val="00EB2D2F"/>
    <w:rsid w:val="00EB32A5"/>
    <w:rsid w:val="00EB34B4"/>
    <w:rsid w:val="00EB3885"/>
    <w:rsid w:val="00EB3AB3"/>
    <w:rsid w:val="00EB3B05"/>
    <w:rsid w:val="00EB3E34"/>
    <w:rsid w:val="00EB3FB7"/>
    <w:rsid w:val="00EB4558"/>
    <w:rsid w:val="00EB456E"/>
    <w:rsid w:val="00EB4680"/>
    <w:rsid w:val="00EB46C1"/>
    <w:rsid w:val="00EB4856"/>
    <w:rsid w:val="00EB4895"/>
    <w:rsid w:val="00EB4DD3"/>
    <w:rsid w:val="00EB4E93"/>
    <w:rsid w:val="00EB560F"/>
    <w:rsid w:val="00EB565D"/>
    <w:rsid w:val="00EB56F7"/>
    <w:rsid w:val="00EB6E26"/>
    <w:rsid w:val="00EB721B"/>
    <w:rsid w:val="00EB776C"/>
    <w:rsid w:val="00EB7A69"/>
    <w:rsid w:val="00EB7C35"/>
    <w:rsid w:val="00EB7F63"/>
    <w:rsid w:val="00EC0207"/>
    <w:rsid w:val="00EC0278"/>
    <w:rsid w:val="00EC0478"/>
    <w:rsid w:val="00EC0572"/>
    <w:rsid w:val="00EC1276"/>
    <w:rsid w:val="00EC152F"/>
    <w:rsid w:val="00EC2494"/>
    <w:rsid w:val="00EC2E82"/>
    <w:rsid w:val="00EC2F90"/>
    <w:rsid w:val="00EC30A5"/>
    <w:rsid w:val="00EC3389"/>
    <w:rsid w:val="00EC3491"/>
    <w:rsid w:val="00EC372F"/>
    <w:rsid w:val="00EC3D98"/>
    <w:rsid w:val="00EC3E60"/>
    <w:rsid w:val="00EC4188"/>
    <w:rsid w:val="00EC41B1"/>
    <w:rsid w:val="00EC4496"/>
    <w:rsid w:val="00EC44BF"/>
    <w:rsid w:val="00EC5588"/>
    <w:rsid w:val="00EC5B95"/>
    <w:rsid w:val="00EC5D29"/>
    <w:rsid w:val="00EC6883"/>
    <w:rsid w:val="00EC6A3E"/>
    <w:rsid w:val="00EC72C4"/>
    <w:rsid w:val="00EC7595"/>
    <w:rsid w:val="00EC75F2"/>
    <w:rsid w:val="00EC764C"/>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AC0"/>
    <w:rsid w:val="00ED330D"/>
    <w:rsid w:val="00ED3B62"/>
    <w:rsid w:val="00ED3BB5"/>
    <w:rsid w:val="00ED3E55"/>
    <w:rsid w:val="00ED4444"/>
    <w:rsid w:val="00ED4A03"/>
    <w:rsid w:val="00ED4D4A"/>
    <w:rsid w:val="00ED52A4"/>
    <w:rsid w:val="00ED543D"/>
    <w:rsid w:val="00ED57C5"/>
    <w:rsid w:val="00ED5879"/>
    <w:rsid w:val="00ED5AF3"/>
    <w:rsid w:val="00ED6A5F"/>
    <w:rsid w:val="00ED7595"/>
    <w:rsid w:val="00ED75A8"/>
    <w:rsid w:val="00ED783F"/>
    <w:rsid w:val="00ED7A44"/>
    <w:rsid w:val="00ED7E0C"/>
    <w:rsid w:val="00EE037A"/>
    <w:rsid w:val="00EE075B"/>
    <w:rsid w:val="00EE10E5"/>
    <w:rsid w:val="00EE13BC"/>
    <w:rsid w:val="00EE1CDC"/>
    <w:rsid w:val="00EE219C"/>
    <w:rsid w:val="00EE2C04"/>
    <w:rsid w:val="00EE2D41"/>
    <w:rsid w:val="00EE31D7"/>
    <w:rsid w:val="00EE366B"/>
    <w:rsid w:val="00EE3E88"/>
    <w:rsid w:val="00EE4352"/>
    <w:rsid w:val="00EE4540"/>
    <w:rsid w:val="00EE46E5"/>
    <w:rsid w:val="00EE4879"/>
    <w:rsid w:val="00EE4A07"/>
    <w:rsid w:val="00EE529D"/>
    <w:rsid w:val="00EE5CC1"/>
    <w:rsid w:val="00EE6510"/>
    <w:rsid w:val="00EE7195"/>
    <w:rsid w:val="00EE7416"/>
    <w:rsid w:val="00EE748A"/>
    <w:rsid w:val="00EE770C"/>
    <w:rsid w:val="00EE77A3"/>
    <w:rsid w:val="00EE7DB2"/>
    <w:rsid w:val="00EF02AF"/>
    <w:rsid w:val="00EF02E3"/>
    <w:rsid w:val="00EF0619"/>
    <w:rsid w:val="00EF0A05"/>
    <w:rsid w:val="00EF0A59"/>
    <w:rsid w:val="00EF0C13"/>
    <w:rsid w:val="00EF0CDD"/>
    <w:rsid w:val="00EF177B"/>
    <w:rsid w:val="00EF1E34"/>
    <w:rsid w:val="00EF221A"/>
    <w:rsid w:val="00EF2C2E"/>
    <w:rsid w:val="00EF2D8F"/>
    <w:rsid w:val="00EF2DBE"/>
    <w:rsid w:val="00EF2F0C"/>
    <w:rsid w:val="00EF309E"/>
    <w:rsid w:val="00EF32EE"/>
    <w:rsid w:val="00EF3BCB"/>
    <w:rsid w:val="00EF3D6F"/>
    <w:rsid w:val="00EF3E7E"/>
    <w:rsid w:val="00EF3FAA"/>
    <w:rsid w:val="00EF3FB4"/>
    <w:rsid w:val="00EF41E1"/>
    <w:rsid w:val="00EF46D0"/>
    <w:rsid w:val="00EF476D"/>
    <w:rsid w:val="00EF513A"/>
    <w:rsid w:val="00EF554B"/>
    <w:rsid w:val="00EF5666"/>
    <w:rsid w:val="00EF5A22"/>
    <w:rsid w:val="00EF5B93"/>
    <w:rsid w:val="00EF5E52"/>
    <w:rsid w:val="00EF5FF2"/>
    <w:rsid w:val="00EF6168"/>
    <w:rsid w:val="00EF671A"/>
    <w:rsid w:val="00EF677D"/>
    <w:rsid w:val="00EF6B29"/>
    <w:rsid w:val="00EF6E86"/>
    <w:rsid w:val="00EF7262"/>
    <w:rsid w:val="00EF74D8"/>
    <w:rsid w:val="00F00360"/>
    <w:rsid w:val="00F0050F"/>
    <w:rsid w:val="00F00634"/>
    <w:rsid w:val="00F00653"/>
    <w:rsid w:val="00F009DC"/>
    <w:rsid w:val="00F00B4F"/>
    <w:rsid w:val="00F00F13"/>
    <w:rsid w:val="00F016F0"/>
    <w:rsid w:val="00F01A3A"/>
    <w:rsid w:val="00F01B62"/>
    <w:rsid w:val="00F01CF9"/>
    <w:rsid w:val="00F02004"/>
    <w:rsid w:val="00F038BE"/>
    <w:rsid w:val="00F03B30"/>
    <w:rsid w:val="00F04CC7"/>
    <w:rsid w:val="00F04E94"/>
    <w:rsid w:val="00F05335"/>
    <w:rsid w:val="00F05782"/>
    <w:rsid w:val="00F05D76"/>
    <w:rsid w:val="00F05F52"/>
    <w:rsid w:val="00F06330"/>
    <w:rsid w:val="00F06F14"/>
    <w:rsid w:val="00F075A1"/>
    <w:rsid w:val="00F07736"/>
    <w:rsid w:val="00F10101"/>
    <w:rsid w:val="00F109EA"/>
    <w:rsid w:val="00F10D6D"/>
    <w:rsid w:val="00F10E5B"/>
    <w:rsid w:val="00F113F1"/>
    <w:rsid w:val="00F116C2"/>
    <w:rsid w:val="00F11BD4"/>
    <w:rsid w:val="00F11F80"/>
    <w:rsid w:val="00F12084"/>
    <w:rsid w:val="00F12867"/>
    <w:rsid w:val="00F1295C"/>
    <w:rsid w:val="00F13197"/>
    <w:rsid w:val="00F1370A"/>
    <w:rsid w:val="00F137CB"/>
    <w:rsid w:val="00F1392A"/>
    <w:rsid w:val="00F1419E"/>
    <w:rsid w:val="00F143D4"/>
    <w:rsid w:val="00F14883"/>
    <w:rsid w:val="00F14916"/>
    <w:rsid w:val="00F14924"/>
    <w:rsid w:val="00F14AA3"/>
    <w:rsid w:val="00F14B2D"/>
    <w:rsid w:val="00F14DCB"/>
    <w:rsid w:val="00F15104"/>
    <w:rsid w:val="00F152FD"/>
    <w:rsid w:val="00F15B7E"/>
    <w:rsid w:val="00F15F09"/>
    <w:rsid w:val="00F1634B"/>
    <w:rsid w:val="00F16475"/>
    <w:rsid w:val="00F164C6"/>
    <w:rsid w:val="00F168DB"/>
    <w:rsid w:val="00F16F39"/>
    <w:rsid w:val="00F16FE5"/>
    <w:rsid w:val="00F170C1"/>
    <w:rsid w:val="00F1745E"/>
    <w:rsid w:val="00F17E5D"/>
    <w:rsid w:val="00F17F61"/>
    <w:rsid w:val="00F20956"/>
    <w:rsid w:val="00F20ADC"/>
    <w:rsid w:val="00F210DD"/>
    <w:rsid w:val="00F2159C"/>
    <w:rsid w:val="00F2181E"/>
    <w:rsid w:val="00F21A2A"/>
    <w:rsid w:val="00F21A97"/>
    <w:rsid w:val="00F222B7"/>
    <w:rsid w:val="00F22809"/>
    <w:rsid w:val="00F22B6F"/>
    <w:rsid w:val="00F22FF7"/>
    <w:rsid w:val="00F23459"/>
    <w:rsid w:val="00F2345D"/>
    <w:rsid w:val="00F234E0"/>
    <w:rsid w:val="00F237CE"/>
    <w:rsid w:val="00F23ED9"/>
    <w:rsid w:val="00F2401F"/>
    <w:rsid w:val="00F241CD"/>
    <w:rsid w:val="00F245E2"/>
    <w:rsid w:val="00F24739"/>
    <w:rsid w:val="00F2518C"/>
    <w:rsid w:val="00F25775"/>
    <w:rsid w:val="00F25968"/>
    <w:rsid w:val="00F259BF"/>
    <w:rsid w:val="00F2602F"/>
    <w:rsid w:val="00F267E6"/>
    <w:rsid w:val="00F26980"/>
    <w:rsid w:val="00F27A53"/>
    <w:rsid w:val="00F27B84"/>
    <w:rsid w:val="00F304C8"/>
    <w:rsid w:val="00F305D3"/>
    <w:rsid w:val="00F30902"/>
    <w:rsid w:val="00F30B06"/>
    <w:rsid w:val="00F313A2"/>
    <w:rsid w:val="00F31A3A"/>
    <w:rsid w:val="00F31AE7"/>
    <w:rsid w:val="00F3200E"/>
    <w:rsid w:val="00F32309"/>
    <w:rsid w:val="00F32483"/>
    <w:rsid w:val="00F3265E"/>
    <w:rsid w:val="00F32B6D"/>
    <w:rsid w:val="00F334E9"/>
    <w:rsid w:val="00F336DE"/>
    <w:rsid w:val="00F3398A"/>
    <w:rsid w:val="00F339C4"/>
    <w:rsid w:val="00F33AF8"/>
    <w:rsid w:val="00F33DDE"/>
    <w:rsid w:val="00F33EE6"/>
    <w:rsid w:val="00F344A8"/>
    <w:rsid w:val="00F345F5"/>
    <w:rsid w:val="00F34881"/>
    <w:rsid w:val="00F34CA2"/>
    <w:rsid w:val="00F34E9C"/>
    <w:rsid w:val="00F34EA3"/>
    <w:rsid w:val="00F34F43"/>
    <w:rsid w:val="00F3519D"/>
    <w:rsid w:val="00F352EC"/>
    <w:rsid w:val="00F3591E"/>
    <w:rsid w:val="00F35B26"/>
    <w:rsid w:val="00F35CF1"/>
    <w:rsid w:val="00F3624C"/>
    <w:rsid w:val="00F365BD"/>
    <w:rsid w:val="00F36646"/>
    <w:rsid w:val="00F367CE"/>
    <w:rsid w:val="00F36EC1"/>
    <w:rsid w:val="00F374BA"/>
    <w:rsid w:val="00F379CB"/>
    <w:rsid w:val="00F37B4D"/>
    <w:rsid w:val="00F37B77"/>
    <w:rsid w:val="00F37D89"/>
    <w:rsid w:val="00F37E24"/>
    <w:rsid w:val="00F37E2F"/>
    <w:rsid w:val="00F37E6D"/>
    <w:rsid w:val="00F4030C"/>
    <w:rsid w:val="00F40ECF"/>
    <w:rsid w:val="00F41110"/>
    <w:rsid w:val="00F41403"/>
    <w:rsid w:val="00F41740"/>
    <w:rsid w:val="00F418EC"/>
    <w:rsid w:val="00F418FF"/>
    <w:rsid w:val="00F41ADC"/>
    <w:rsid w:val="00F41B17"/>
    <w:rsid w:val="00F42267"/>
    <w:rsid w:val="00F422E1"/>
    <w:rsid w:val="00F422E4"/>
    <w:rsid w:val="00F422E9"/>
    <w:rsid w:val="00F423FC"/>
    <w:rsid w:val="00F42737"/>
    <w:rsid w:val="00F42772"/>
    <w:rsid w:val="00F431E9"/>
    <w:rsid w:val="00F436AA"/>
    <w:rsid w:val="00F436D6"/>
    <w:rsid w:val="00F43B87"/>
    <w:rsid w:val="00F43BE0"/>
    <w:rsid w:val="00F43C37"/>
    <w:rsid w:val="00F43CE4"/>
    <w:rsid w:val="00F44056"/>
    <w:rsid w:val="00F4488B"/>
    <w:rsid w:val="00F44C53"/>
    <w:rsid w:val="00F44DDB"/>
    <w:rsid w:val="00F44ED2"/>
    <w:rsid w:val="00F4512B"/>
    <w:rsid w:val="00F4542B"/>
    <w:rsid w:val="00F45554"/>
    <w:rsid w:val="00F460D6"/>
    <w:rsid w:val="00F46DE3"/>
    <w:rsid w:val="00F47158"/>
    <w:rsid w:val="00F471EA"/>
    <w:rsid w:val="00F47250"/>
    <w:rsid w:val="00F474FD"/>
    <w:rsid w:val="00F476FC"/>
    <w:rsid w:val="00F47ACF"/>
    <w:rsid w:val="00F47AFF"/>
    <w:rsid w:val="00F47D5F"/>
    <w:rsid w:val="00F5005F"/>
    <w:rsid w:val="00F501C2"/>
    <w:rsid w:val="00F50529"/>
    <w:rsid w:val="00F505CA"/>
    <w:rsid w:val="00F50635"/>
    <w:rsid w:val="00F506C8"/>
    <w:rsid w:val="00F50D90"/>
    <w:rsid w:val="00F50E45"/>
    <w:rsid w:val="00F51443"/>
    <w:rsid w:val="00F51831"/>
    <w:rsid w:val="00F5197E"/>
    <w:rsid w:val="00F51AC2"/>
    <w:rsid w:val="00F51B49"/>
    <w:rsid w:val="00F51C19"/>
    <w:rsid w:val="00F520BF"/>
    <w:rsid w:val="00F52330"/>
    <w:rsid w:val="00F525E5"/>
    <w:rsid w:val="00F5321A"/>
    <w:rsid w:val="00F5391E"/>
    <w:rsid w:val="00F53D59"/>
    <w:rsid w:val="00F53EE9"/>
    <w:rsid w:val="00F54441"/>
    <w:rsid w:val="00F54725"/>
    <w:rsid w:val="00F552AA"/>
    <w:rsid w:val="00F558A3"/>
    <w:rsid w:val="00F5615F"/>
    <w:rsid w:val="00F56465"/>
    <w:rsid w:val="00F56638"/>
    <w:rsid w:val="00F56938"/>
    <w:rsid w:val="00F56973"/>
    <w:rsid w:val="00F57003"/>
    <w:rsid w:val="00F5710C"/>
    <w:rsid w:val="00F57F2E"/>
    <w:rsid w:val="00F57F7E"/>
    <w:rsid w:val="00F60035"/>
    <w:rsid w:val="00F601C0"/>
    <w:rsid w:val="00F6098A"/>
    <w:rsid w:val="00F60FDA"/>
    <w:rsid w:val="00F610FC"/>
    <w:rsid w:val="00F6143E"/>
    <w:rsid w:val="00F61ACF"/>
    <w:rsid w:val="00F61BC0"/>
    <w:rsid w:val="00F621A4"/>
    <w:rsid w:val="00F625B8"/>
    <w:rsid w:val="00F6317F"/>
    <w:rsid w:val="00F63C28"/>
    <w:rsid w:val="00F64382"/>
    <w:rsid w:val="00F645DE"/>
    <w:rsid w:val="00F64647"/>
    <w:rsid w:val="00F64A7C"/>
    <w:rsid w:val="00F64AC9"/>
    <w:rsid w:val="00F64E5B"/>
    <w:rsid w:val="00F651B3"/>
    <w:rsid w:val="00F65406"/>
    <w:rsid w:val="00F65858"/>
    <w:rsid w:val="00F65C77"/>
    <w:rsid w:val="00F65CF1"/>
    <w:rsid w:val="00F65CFA"/>
    <w:rsid w:val="00F662B4"/>
    <w:rsid w:val="00F666C3"/>
    <w:rsid w:val="00F66C69"/>
    <w:rsid w:val="00F66E84"/>
    <w:rsid w:val="00F66EC3"/>
    <w:rsid w:val="00F67106"/>
    <w:rsid w:val="00F701F4"/>
    <w:rsid w:val="00F70533"/>
    <w:rsid w:val="00F7070D"/>
    <w:rsid w:val="00F70AD0"/>
    <w:rsid w:val="00F70CAA"/>
    <w:rsid w:val="00F70DFE"/>
    <w:rsid w:val="00F70F96"/>
    <w:rsid w:val="00F7110F"/>
    <w:rsid w:val="00F712B4"/>
    <w:rsid w:val="00F71524"/>
    <w:rsid w:val="00F717B2"/>
    <w:rsid w:val="00F71B84"/>
    <w:rsid w:val="00F71C5D"/>
    <w:rsid w:val="00F72186"/>
    <w:rsid w:val="00F725A8"/>
    <w:rsid w:val="00F7266F"/>
    <w:rsid w:val="00F726CD"/>
    <w:rsid w:val="00F729FA"/>
    <w:rsid w:val="00F736C5"/>
    <w:rsid w:val="00F73838"/>
    <w:rsid w:val="00F738DA"/>
    <w:rsid w:val="00F740A9"/>
    <w:rsid w:val="00F7412C"/>
    <w:rsid w:val="00F74196"/>
    <w:rsid w:val="00F74391"/>
    <w:rsid w:val="00F747DC"/>
    <w:rsid w:val="00F7495E"/>
    <w:rsid w:val="00F74A95"/>
    <w:rsid w:val="00F74CBB"/>
    <w:rsid w:val="00F74E3E"/>
    <w:rsid w:val="00F754C8"/>
    <w:rsid w:val="00F75540"/>
    <w:rsid w:val="00F75690"/>
    <w:rsid w:val="00F75C50"/>
    <w:rsid w:val="00F75F41"/>
    <w:rsid w:val="00F76296"/>
    <w:rsid w:val="00F76474"/>
    <w:rsid w:val="00F76F98"/>
    <w:rsid w:val="00F77819"/>
    <w:rsid w:val="00F77FBE"/>
    <w:rsid w:val="00F8004A"/>
    <w:rsid w:val="00F804FF"/>
    <w:rsid w:val="00F805F8"/>
    <w:rsid w:val="00F81477"/>
    <w:rsid w:val="00F819B0"/>
    <w:rsid w:val="00F81D86"/>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CD6"/>
    <w:rsid w:val="00F8602E"/>
    <w:rsid w:val="00F86067"/>
    <w:rsid w:val="00F8643D"/>
    <w:rsid w:val="00F86686"/>
    <w:rsid w:val="00F86A46"/>
    <w:rsid w:val="00F8709D"/>
    <w:rsid w:val="00F87600"/>
    <w:rsid w:val="00F87686"/>
    <w:rsid w:val="00F8797E"/>
    <w:rsid w:val="00F87B85"/>
    <w:rsid w:val="00F87E5A"/>
    <w:rsid w:val="00F9009F"/>
    <w:rsid w:val="00F90426"/>
    <w:rsid w:val="00F904D0"/>
    <w:rsid w:val="00F907BB"/>
    <w:rsid w:val="00F908F3"/>
    <w:rsid w:val="00F90C35"/>
    <w:rsid w:val="00F90D79"/>
    <w:rsid w:val="00F9108E"/>
    <w:rsid w:val="00F91A93"/>
    <w:rsid w:val="00F91E77"/>
    <w:rsid w:val="00F91EC1"/>
    <w:rsid w:val="00F92278"/>
    <w:rsid w:val="00F923DF"/>
    <w:rsid w:val="00F926AF"/>
    <w:rsid w:val="00F926D0"/>
    <w:rsid w:val="00F929F4"/>
    <w:rsid w:val="00F92D64"/>
    <w:rsid w:val="00F92D83"/>
    <w:rsid w:val="00F92DDC"/>
    <w:rsid w:val="00F93058"/>
    <w:rsid w:val="00F93569"/>
    <w:rsid w:val="00F936F0"/>
    <w:rsid w:val="00F937FC"/>
    <w:rsid w:val="00F93F99"/>
    <w:rsid w:val="00F9400F"/>
    <w:rsid w:val="00F9411C"/>
    <w:rsid w:val="00F9430B"/>
    <w:rsid w:val="00F94BD8"/>
    <w:rsid w:val="00F94CFD"/>
    <w:rsid w:val="00F94E4D"/>
    <w:rsid w:val="00F95445"/>
    <w:rsid w:val="00F9588F"/>
    <w:rsid w:val="00F95ADB"/>
    <w:rsid w:val="00F95EBD"/>
    <w:rsid w:val="00F961A7"/>
    <w:rsid w:val="00F96D77"/>
    <w:rsid w:val="00F96FB5"/>
    <w:rsid w:val="00F972AA"/>
    <w:rsid w:val="00F97884"/>
    <w:rsid w:val="00F978C5"/>
    <w:rsid w:val="00F9BD4F"/>
    <w:rsid w:val="00FA0218"/>
    <w:rsid w:val="00FA0346"/>
    <w:rsid w:val="00FA0D79"/>
    <w:rsid w:val="00FA1470"/>
    <w:rsid w:val="00FA16D9"/>
    <w:rsid w:val="00FA233A"/>
    <w:rsid w:val="00FA2620"/>
    <w:rsid w:val="00FA2DC8"/>
    <w:rsid w:val="00FA2FAE"/>
    <w:rsid w:val="00FA311F"/>
    <w:rsid w:val="00FA4462"/>
    <w:rsid w:val="00FA4A18"/>
    <w:rsid w:val="00FA4BB8"/>
    <w:rsid w:val="00FA4DBA"/>
    <w:rsid w:val="00FA4E90"/>
    <w:rsid w:val="00FA4ED4"/>
    <w:rsid w:val="00FA5CED"/>
    <w:rsid w:val="00FA5F06"/>
    <w:rsid w:val="00FA6085"/>
    <w:rsid w:val="00FA64A7"/>
    <w:rsid w:val="00FA65EB"/>
    <w:rsid w:val="00FA664A"/>
    <w:rsid w:val="00FA6811"/>
    <w:rsid w:val="00FA6D66"/>
    <w:rsid w:val="00FA7531"/>
    <w:rsid w:val="00FA75CF"/>
    <w:rsid w:val="00FA7AC7"/>
    <w:rsid w:val="00FB0718"/>
    <w:rsid w:val="00FB0CB2"/>
    <w:rsid w:val="00FB0EF3"/>
    <w:rsid w:val="00FB12D6"/>
    <w:rsid w:val="00FB16FD"/>
    <w:rsid w:val="00FB1D31"/>
    <w:rsid w:val="00FB2298"/>
    <w:rsid w:val="00FB2781"/>
    <w:rsid w:val="00FB2837"/>
    <w:rsid w:val="00FB2D77"/>
    <w:rsid w:val="00FB2EEE"/>
    <w:rsid w:val="00FB3246"/>
    <w:rsid w:val="00FB393E"/>
    <w:rsid w:val="00FB4044"/>
    <w:rsid w:val="00FB42B0"/>
    <w:rsid w:val="00FB4714"/>
    <w:rsid w:val="00FB47EC"/>
    <w:rsid w:val="00FB49B6"/>
    <w:rsid w:val="00FB4AFE"/>
    <w:rsid w:val="00FB4B76"/>
    <w:rsid w:val="00FB4E54"/>
    <w:rsid w:val="00FB504F"/>
    <w:rsid w:val="00FB517D"/>
    <w:rsid w:val="00FB5930"/>
    <w:rsid w:val="00FB5977"/>
    <w:rsid w:val="00FB62B7"/>
    <w:rsid w:val="00FB63C7"/>
    <w:rsid w:val="00FB6816"/>
    <w:rsid w:val="00FB689C"/>
    <w:rsid w:val="00FB6A10"/>
    <w:rsid w:val="00FB6A99"/>
    <w:rsid w:val="00FB6FA2"/>
    <w:rsid w:val="00FB71DA"/>
    <w:rsid w:val="00FB71FD"/>
    <w:rsid w:val="00FB7469"/>
    <w:rsid w:val="00FB75B3"/>
    <w:rsid w:val="00FB7650"/>
    <w:rsid w:val="00FB7804"/>
    <w:rsid w:val="00FB7C5E"/>
    <w:rsid w:val="00FB7D8D"/>
    <w:rsid w:val="00FC0010"/>
    <w:rsid w:val="00FC06C9"/>
    <w:rsid w:val="00FC0A02"/>
    <w:rsid w:val="00FC101B"/>
    <w:rsid w:val="00FC1740"/>
    <w:rsid w:val="00FC179E"/>
    <w:rsid w:val="00FC17EE"/>
    <w:rsid w:val="00FC18CB"/>
    <w:rsid w:val="00FC1970"/>
    <w:rsid w:val="00FC2208"/>
    <w:rsid w:val="00FC26AB"/>
    <w:rsid w:val="00FC27A0"/>
    <w:rsid w:val="00FC2EDD"/>
    <w:rsid w:val="00FC3483"/>
    <w:rsid w:val="00FC36F4"/>
    <w:rsid w:val="00FC4A7C"/>
    <w:rsid w:val="00FC4B82"/>
    <w:rsid w:val="00FC4BF9"/>
    <w:rsid w:val="00FC4DB4"/>
    <w:rsid w:val="00FC60A7"/>
    <w:rsid w:val="00FC60FB"/>
    <w:rsid w:val="00FC6116"/>
    <w:rsid w:val="00FC68C0"/>
    <w:rsid w:val="00FC70B4"/>
    <w:rsid w:val="00FC70C9"/>
    <w:rsid w:val="00FC72F5"/>
    <w:rsid w:val="00FC76D2"/>
    <w:rsid w:val="00FC788E"/>
    <w:rsid w:val="00FC7D34"/>
    <w:rsid w:val="00FC7F1B"/>
    <w:rsid w:val="00FD0249"/>
    <w:rsid w:val="00FD0594"/>
    <w:rsid w:val="00FD0A93"/>
    <w:rsid w:val="00FD0D4F"/>
    <w:rsid w:val="00FD1323"/>
    <w:rsid w:val="00FD1352"/>
    <w:rsid w:val="00FD155F"/>
    <w:rsid w:val="00FD1B18"/>
    <w:rsid w:val="00FD1DA7"/>
    <w:rsid w:val="00FD2DCE"/>
    <w:rsid w:val="00FD333D"/>
    <w:rsid w:val="00FD37F7"/>
    <w:rsid w:val="00FD3A91"/>
    <w:rsid w:val="00FD3F10"/>
    <w:rsid w:val="00FD40A5"/>
    <w:rsid w:val="00FD4684"/>
    <w:rsid w:val="00FD49D2"/>
    <w:rsid w:val="00FD4B9B"/>
    <w:rsid w:val="00FD4E04"/>
    <w:rsid w:val="00FD5238"/>
    <w:rsid w:val="00FD624E"/>
    <w:rsid w:val="00FD62FC"/>
    <w:rsid w:val="00FD667B"/>
    <w:rsid w:val="00FD675F"/>
    <w:rsid w:val="00FD68CA"/>
    <w:rsid w:val="00FD6A06"/>
    <w:rsid w:val="00FD7276"/>
    <w:rsid w:val="00FD7337"/>
    <w:rsid w:val="00FD763D"/>
    <w:rsid w:val="00FD7702"/>
    <w:rsid w:val="00FD77DE"/>
    <w:rsid w:val="00FD7AB3"/>
    <w:rsid w:val="00FD7AD5"/>
    <w:rsid w:val="00FD7B71"/>
    <w:rsid w:val="00FE01BF"/>
    <w:rsid w:val="00FE02A0"/>
    <w:rsid w:val="00FE03D6"/>
    <w:rsid w:val="00FE0444"/>
    <w:rsid w:val="00FE0757"/>
    <w:rsid w:val="00FE07BC"/>
    <w:rsid w:val="00FE0AD0"/>
    <w:rsid w:val="00FE0E6D"/>
    <w:rsid w:val="00FE11D5"/>
    <w:rsid w:val="00FE138C"/>
    <w:rsid w:val="00FE19FA"/>
    <w:rsid w:val="00FE1DDA"/>
    <w:rsid w:val="00FE200B"/>
    <w:rsid w:val="00FE21D9"/>
    <w:rsid w:val="00FE25DA"/>
    <w:rsid w:val="00FE2B15"/>
    <w:rsid w:val="00FE2B1C"/>
    <w:rsid w:val="00FE2C35"/>
    <w:rsid w:val="00FE2F12"/>
    <w:rsid w:val="00FE3B63"/>
    <w:rsid w:val="00FE3C81"/>
    <w:rsid w:val="00FE3C9C"/>
    <w:rsid w:val="00FE3EF7"/>
    <w:rsid w:val="00FE45FC"/>
    <w:rsid w:val="00FE48B1"/>
    <w:rsid w:val="00FE4B88"/>
    <w:rsid w:val="00FE4D7E"/>
    <w:rsid w:val="00FE523E"/>
    <w:rsid w:val="00FE555D"/>
    <w:rsid w:val="00FE57E8"/>
    <w:rsid w:val="00FE5A37"/>
    <w:rsid w:val="00FE71EC"/>
    <w:rsid w:val="00FE722E"/>
    <w:rsid w:val="00FE7AB4"/>
    <w:rsid w:val="00FE7E48"/>
    <w:rsid w:val="00FF0599"/>
    <w:rsid w:val="00FF07CC"/>
    <w:rsid w:val="00FF0D9B"/>
    <w:rsid w:val="00FF0E15"/>
    <w:rsid w:val="00FF0E71"/>
    <w:rsid w:val="00FF0F91"/>
    <w:rsid w:val="00FF0FA7"/>
    <w:rsid w:val="00FF1662"/>
    <w:rsid w:val="00FF1C56"/>
    <w:rsid w:val="00FF1D2E"/>
    <w:rsid w:val="00FF2773"/>
    <w:rsid w:val="00FF2855"/>
    <w:rsid w:val="00FF2A2F"/>
    <w:rsid w:val="00FF2DFD"/>
    <w:rsid w:val="00FF3353"/>
    <w:rsid w:val="00FF344F"/>
    <w:rsid w:val="00FF399F"/>
    <w:rsid w:val="00FF4133"/>
    <w:rsid w:val="00FF41E1"/>
    <w:rsid w:val="00FF4DE3"/>
    <w:rsid w:val="00FF52C0"/>
    <w:rsid w:val="00FF5464"/>
    <w:rsid w:val="00FF5627"/>
    <w:rsid w:val="00FF627D"/>
    <w:rsid w:val="00FF6499"/>
    <w:rsid w:val="00FF6787"/>
    <w:rsid w:val="00FF6809"/>
    <w:rsid w:val="00FF6B1E"/>
    <w:rsid w:val="00FF6B90"/>
    <w:rsid w:val="00FF6C31"/>
    <w:rsid w:val="00FF6E5F"/>
    <w:rsid w:val="00FF7025"/>
    <w:rsid w:val="00FF7344"/>
    <w:rsid w:val="00FF7864"/>
    <w:rsid w:val="00FF7CB1"/>
    <w:rsid w:val="01BB1580"/>
    <w:rsid w:val="020D8B9F"/>
    <w:rsid w:val="02112809"/>
    <w:rsid w:val="02139E2A"/>
    <w:rsid w:val="0228D1E5"/>
    <w:rsid w:val="0242F9AD"/>
    <w:rsid w:val="02442D7D"/>
    <w:rsid w:val="024BFAAB"/>
    <w:rsid w:val="024E2F76"/>
    <w:rsid w:val="025CCCDE"/>
    <w:rsid w:val="02905192"/>
    <w:rsid w:val="02AF0FA6"/>
    <w:rsid w:val="02B7F3F0"/>
    <w:rsid w:val="02CD3151"/>
    <w:rsid w:val="02F09D9E"/>
    <w:rsid w:val="03ABFDF2"/>
    <w:rsid w:val="03B1C4A3"/>
    <w:rsid w:val="0403FE3C"/>
    <w:rsid w:val="0409B6C2"/>
    <w:rsid w:val="0429A757"/>
    <w:rsid w:val="04A49B23"/>
    <w:rsid w:val="04AF1DC4"/>
    <w:rsid w:val="04C28B19"/>
    <w:rsid w:val="04E20A52"/>
    <w:rsid w:val="04F1433D"/>
    <w:rsid w:val="051D02D1"/>
    <w:rsid w:val="052325F2"/>
    <w:rsid w:val="0523F517"/>
    <w:rsid w:val="052955A6"/>
    <w:rsid w:val="055DB74F"/>
    <w:rsid w:val="0566C66E"/>
    <w:rsid w:val="05693594"/>
    <w:rsid w:val="05A4FD0A"/>
    <w:rsid w:val="05AFC214"/>
    <w:rsid w:val="05C1FFDF"/>
    <w:rsid w:val="05E25243"/>
    <w:rsid w:val="05E32B89"/>
    <w:rsid w:val="05E66824"/>
    <w:rsid w:val="05F36545"/>
    <w:rsid w:val="05F47121"/>
    <w:rsid w:val="062AEA5D"/>
    <w:rsid w:val="064BC658"/>
    <w:rsid w:val="066274A5"/>
    <w:rsid w:val="066A2DC6"/>
    <w:rsid w:val="0670B328"/>
    <w:rsid w:val="06A17EEA"/>
    <w:rsid w:val="072200BE"/>
    <w:rsid w:val="072A1965"/>
    <w:rsid w:val="0731FA3C"/>
    <w:rsid w:val="075170CA"/>
    <w:rsid w:val="07900169"/>
    <w:rsid w:val="07BAB1AE"/>
    <w:rsid w:val="08283812"/>
    <w:rsid w:val="089ECA1A"/>
    <w:rsid w:val="08B3D990"/>
    <w:rsid w:val="08C64EF8"/>
    <w:rsid w:val="08DAE595"/>
    <w:rsid w:val="09311054"/>
    <w:rsid w:val="094EFD69"/>
    <w:rsid w:val="099416E6"/>
    <w:rsid w:val="09B7179F"/>
    <w:rsid w:val="09EA79A8"/>
    <w:rsid w:val="09F6B2E0"/>
    <w:rsid w:val="0A041BDC"/>
    <w:rsid w:val="0A210F34"/>
    <w:rsid w:val="0A40C5EE"/>
    <w:rsid w:val="0A67E08F"/>
    <w:rsid w:val="0A68C6ED"/>
    <w:rsid w:val="0A7D60E9"/>
    <w:rsid w:val="0A8E593B"/>
    <w:rsid w:val="0AA72FF9"/>
    <w:rsid w:val="0ACCF92E"/>
    <w:rsid w:val="0ADF0DF7"/>
    <w:rsid w:val="0AE00208"/>
    <w:rsid w:val="0AE244FF"/>
    <w:rsid w:val="0AEA41DB"/>
    <w:rsid w:val="0B0FB779"/>
    <w:rsid w:val="0B338772"/>
    <w:rsid w:val="0B53BE52"/>
    <w:rsid w:val="0B67A5E0"/>
    <w:rsid w:val="0B69D4FD"/>
    <w:rsid w:val="0BA7C59A"/>
    <w:rsid w:val="0C24B4E0"/>
    <w:rsid w:val="0C34F967"/>
    <w:rsid w:val="0C4127DF"/>
    <w:rsid w:val="0C77130C"/>
    <w:rsid w:val="0C97910B"/>
    <w:rsid w:val="0CC1880E"/>
    <w:rsid w:val="0CD18E3B"/>
    <w:rsid w:val="0CD5A83D"/>
    <w:rsid w:val="0CDA4ADA"/>
    <w:rsid w:val="0D78778B"/>
    <w:rsid w:val="0D794ABE"/>
    <w:rsid w:val="0DD2FF6F"/>
    <w:rsid w:val="0DF2DACF"/>
    <w:rsid w:val="0E0601DE"/>
    <w:rsid w:val="0E2E093C"/>
    <w:rsid w:val="0E55073D"/>
    <w:rsid w:val="0ED70157"/>
    <w:rsid w:val="0F4AF0FA"/>
    <w:rsid w:val="0F833B8F"/>
    <w:rsid w:val="0FB01F00"/>
    <w:rsid w:val="0FDE8E9A"/>
    <w:rsid w:val="0FFE1220"/>
    <w:rsid w:val="1042ECDB"/>
    <w:rsid w:val="10450401"/>
    <w:rsid w:val="11083D2C"/>
    <w:rsid w:val="111FBA64"/>
    <w:rsid w:val="112C4EA4"/>
    <w:rsid w:val="1131AFE1"/>
    <w:rsid w:val="114584B1"/>
    <w:rsid w:val="114D5FB9"/>
    <w:rsid w:val="1159FB78"/>
    <w:rsid w:val="115ACC38"/>
    <w:rsid w:val="116214F7"/>
    <w:rsid w:val="11674531"/>
    <w:rsid w:val="11683DAB"/>
    <w:rsid w:val="118B29D4"/>
    <w:rsid w:val="11939EFA"/>
    <w:rsid w:val="11A228E8"/>
    <w:rsid w:val="11BEBE72"/>
    <w:rsid w:val="11C372D0"/>
    <w:rsid w:val="11D44F67"/>
    <w:rsid w:val="11FA3444"/>
    <w:rsid w:val="11FB49E8"/>
    <w:rsid w:val="12885BBD"/>
    <w:rsid w:val="12A7B2CD"/>
    <w:rsid w:val="12CE38F4"/>
    <w:rsid w:val="12D83E89"/>
    <w:rsid w:val="130E6CB1"/>
    <w:rsid w:val="1328527D"/>
    <w:rsid w:val="13556F71"/>
    <w:rsid w:val="135A0B6B"/>
    <w:rsid w:val="1371DC75"/>
    <w:rsid w:val="13755BDA"/>
    <w:rsid w:val="1377E865"/>
    <w:rsid w:val="137CAD2B"/>
    <w:rsid w:val="13A935B3"/>
    <w:rsid w:val="13CE9137"/>
    <w:rsid w:val="13D3FCBA"/>
    <w:rsid w:val="13D8404D"/>
    <w:rsid w:val="13E4C841"/>
    <w:rsid w:val="14115DB4"/>
    <w:rsid w:val="1477EC6E"/>
    <w:rsid w:val="14A4BF76"/>
    <w:rsid w:val="14B3C625"/>
    <w:rsid w:val="14EFDE2C"/>
    <w:rsid w:val="1500DB75"/>
    <w:rsid w:val="15451349"/>
    <w:rsid w:val="154841B4"/>
    <w:rsid w:val="1568D24F"/>
    <w:rsid w:val="156FAEED"/>
    <w:rsid w:val="15B609F2"/>
    <w:rsid w:val="15CD308C"/>
    <w:rsid w:val="15E9B6FC"/>
    <w:rsid w:val="15ECA4DC"/>
    <w:rsid w:val="16055E49"/>
    <w:rsid w:val="163A5443"/>
    <w:rsid w:val="164167AE"/>
    <w:rsid w:val="16461569"/>
    <w:rsid w:val="166D60CE"/>
    <w:rsid w:val="16875B48"/>
    <w:rsid w:val="169D7D8F"/>
    <w:rsid w:val="16C48EAA"/>
    <w:rsid w:val="16C7C7DC"/>
    <w:rsid w:val="16F5316A"/>
    <w:rsid w:val="17B321E0"/>
    <w:rsid w:val="17B68124"/>
    <w:rsid w:val="17DC9A08"/>
    <w:rsid w:val="180D7A27"/>
    <w:rsid w:val="181C2934"/>
    <w:rsid w:val="182C806F"/>
    <w:rsid w:val="1830D259"/>
    <w:rsid w:val="1841B04F"/>
    <w:rsid w:val="18836370"/>
    <w:rsid w:val="18884301"/>
    <w:rsid w:val="18976FA6"/>
    <w:rsid w:val="18A05B5A"/>
    <w:rsid w:val="18ABFE9A"/>
    <w:rsid w:val="18EBC18E"/>
    <w:rsid w:val="1903550D"/>
    <w:rsid w:val="190623CA"/>
    <w:rsid w:val="194A834D"/>
    <w:rsid w:val="194AD56F"/>
    <w:rsid w:val="194F0ADE"/>
    <w:rsid w:val="195338F5"/>
    <w:rsid w:val="198BD7D9"/>
    <w:rsid w:val="199EAA50"/>
    <w:rsid w:val="19A6C81E"/>
    <w:rsid w:val="19C343AD"/>
    <w:rsid w:val="1A56F8E3"/>
    <w:rsid w:val="1A5D0E44"/>
    <w:rsid w:val="1AB917AB"/>
    <w:rsid w:val="1AEC4189"/>
    <w:rsid w:val="1B078F61"/>
    <w:rsid w:val="1B1CBB0F"/>
    <w:rsid w:val="1B6FA5DA"/>
    <w:rsid w:val="1BBC3200"/>
    <w:rsid w:val="1BC2CE7D"/>
    <w:rsid w:val="1BCF83F2"/>
    <w:rsid w:val="1C10DE9D"/>
    <w:rsid w:val="1C218FD9"/>
    <w:rsid w:val="1CAD9DF5"/>
    <w:rsid w:val="1CAE1EED"/>
    <w:rsid w:val="1CE8FA4D"/>
    <w:rsid w:val="1CEAC1BC"/>
    <w:rsid w:val="1D1D37B5"/>
    <w:rsid w:val="1D3995D0"/>
    <w:rsid w:val="1DD91752"/>
    <w:rsid w:val="1DE9E443"/>
    <w:rsid w:val="1DEEFDEA"/>
    <w:rsid w:val="1DF32E7B"/>
    <w:rsid w:val="1E0E2998"/>
    <w:rsid w:val="1E2B5125"/>
    <w:rsid w:val="1EADF6F3"/>
    <w:rsid w:val="1EF111E7"/>
    <w:rsid w:val="1EF9D250"/>
    <w:rsid w:val="1F0458E4"/>
    <w:rsid w:val="1F06BD28"/>
    <w:rsid w:val="1F0AA421"/>
    <w:rsid w:val="1F0CFC4C"/>
    <w:rsid w:val="1F24ADA0"/>
    <w:rsid w:val="1F3409D9"/>
    <w:rsid w:val="1F9E8B36"/>
    <w:rsid w:val="1FE958AC"/>
    <w:rsid w:val="1FF5B81A"/>
    <w:rsid w:val="201B6347"/>
    <w:rsid w:val="201E2BFF"/>
    <w:rsid w:val="201E5D5D"/>
    <w:rsid w:val="202BD7D8"/>
    <w:rsid w:val="203A0CB2"/>
    <w:rsid w:val="207E50B8"/>
    <w:rsid w:val="20A34B97"/>
    <w:rsid w:val="20A54141"/>
    <w:rsid w:val="20A879A2"/>
    <w:rsid w:val="20B7E4A1"/>
    <w:rsid w:val="20DBED1B"/>
    <w:rsid w:val="20F35EE3"/>
    <w:rsid w:val="21027011"/>
    <w:rsid w:val="21138280"/>
    <w:rsid w:val="211F67F8"/>
    <w:rsid w:val="21299BCB"/>
    <w:rsid w:val="216E1392"/>
    <w:rsid w:val="2182ED7F"/>
    <w:rsid w:val="21853E79"/>
    <w:rsid w:val="219DC499"/>
    <w:rsid w:val="21B79E30"/>
    <w:rsid w:val="21D21404"/>
    <w:rsid w:val="21F33F35"/>
    <w:rsid w:val="2217E1AF"/>
    <w:rsid w:val="222CF912"/>
    <w:rsid w:val="2235186E"/>
    <w:rsid w:val="228A0734"/>
    <w:rsid w:val="228B1CAD"/>
    <w:rsid w:val="228FC965"/>
    <w:rsid w:val="22D211E5"/>
    <w:rsid w:val="230AE899"/>
    <w:rsid w:val="23125461"/>
    <w:rsid w:val="23139228"/>
    <w:rsid w:val="2369BFB3"/>
    <w:rsid w:val="23B635F6"/>
    <w:rsid w:val="23BC0BD0"/>
    <w:rsid w:val="23DCEFEA"/>
    <w:rsid w:val="23FAAA2F"/>
    <w:rsid w:val="244EF1A5"/>
    <w:rsid w:val="248DA9D4"/>
    <w:rsid w:val="2491D76C"/>
    <w:rsid w:val="2493387F"/>
    <w:rsid w:val="24A45A1D"/>
    <w:rsid w:val="24A6E42A"/>
    <w:rsid w:val="24C090E7"/>
    <w:rsid w:val="24D2FE64"/>
    <w:rsid w:val="24DBBD7C"/>
    <w:rsid w:val="250E5A79"/>
    <w:rsid w:val="251C100A"/>
    <w:rsid w:val="253315FB"/>
    <w:rsid w:val="253963F2"/>
    <w:rsid w:val="253B5B35"/>
    <w:rsid w:val="25496BA4"/>
    <w:rsid w:val="2555C065"/>
    <w:rsid w:val="2556F3DE"/>
    <w:rsid w:val="25A4011D"/>
    <w:rsid w:val="25D6C228"/>
    <w:rsid w:val="261F67FB"/>
    <w:rsid w:val="26402C5F"/>
    <w:rsid w:val="26570FAA"/>
    <w:rsid w:val="266F0460"/>
    <w:rsid w:val="2689654E"/>
    <w:rsid w:val="26960425"/>
    <w:rsid w:val="27088619"/>
    <w:rsid w:val="273F8CE8"/>
    <w:rsid w:val="274D4532"/>
    <w:rsid w:val="275C9717"/>
    <w:rsid w:val="2785FEF8"/>
    <w:rsid w:val="27F0509C"/>
    <w:rsid w:val="27F7D7BE"/>
    <w:rsid w:val="27FAF656"/>
    <w:rsid w:val="281C5DD2"/>
    <w:rsid w:val="28240AF7"/>
    <w:rsid w:val="282D68FC"/>
    <w:rsid w:val="2831816D"/>
    <w:rsid w:val="283753F5"/>
    <w:rsid w:val="28428406"/>
    <w:rsid w:val="2848299F"/>
    <w:rsid w:val="28B4AC61"/>
    <w:rsid w:val="28D3F0D0"/>
    <w:rsid w:val="28EB350F"/>
    <w:rsid w:val="2938440E"/>
    <w:rsid w:val="2957E433"/>
    <w:rsid w:val="29A2D2C1"/>
    <w:rsid w:val="29B4E713"/>
    <w:rsid w:val="29EF0CC9"/>
    <w:rsid w:val="29F4DD4D"/>
    <w:rsid w:val="2A211863"/>
    <w:rsid w:val="2A382ACA"/>
    <w:rsid w:val="2A52CCF8"/>
    <w:rsid w:val="2A6531C8"/>
    <w:rsid w:val="2A825A13"/>
    <w:rsid w:val="2A8A7B0A"/>
    <w:rsid w:val="2A913DE3"/>
    <w:rsid w:val="2ADE5D2E"/>
    <w:rsid w:val="2AE420E6"/>
    <w:rsid w:val="2AE80E6F"/>
    <w:rsid w:val="2B0C8455"/>
    <w:rsid w:val="2B23CABB"/>
    <w:rsid w:val="2B267772"/>
    <w:rsid w:val="2B3239C6"/>
    <w:rsid w:val="2B3D2981"/>
    <w:rsid w:val="2B44AE9B"/>
    <w:rsid w:val="2BB1701A"/>
    <w:rsid w:val="2BC0F0D7"/>
    <w:rsid w:val="2BD49096"/>
    <w:rsid w:val="2BE6D4F6"/>
    <w:rsid w:val="2BE9604C"/>
    <w:rsid w:val="2C163CDD"/>
    <w:rsid w:val="2C166E5C"/>
    <w:rsid w:val="2C1829A6"/>
    <w:rsid w:val="2C1AB6EB"/>
    <w:rsid w:val="2C29C919"/>
    <w:rsid w:val="2C33BD14"/>
    <w:rsid w:val="2C8E81E6"/>
    <w:rsid w:val="2C918236"/>
    <w:rsid w:val="2C97CA5C"/>
    <w:rsid w:val="2C9D2D82"/>
    <w:rsid w:val="2CCF0D1F"/>
    <w:rsid w:val="2D53393A"/>
    <w:rsid w:val="2D728BF9"/>
    <w:rsid w:val="2DE6DC4B"/>
    <w:rsid w:val="2DFE011B"/>
    <w:rsid w:val="2E15A8E1"/>
    <w:rsid w:val="2E39F27A"/>
    <w:rsid w:val="2E3D0787"/>
    <w:rsid w:val="2E54A7CD"/>
    <w:rsid w:val="2E5F9220"/>
    <w:rsid w:val="2E6C80AF"/>
    <w:rsid w:val="2E73910C"/>
    <w:rsid w:val="2E793D6F"/>
    <w:rsid w:val="2E7B9C6B"/>
    <w:rsid w:val="2EADC07D"/>
    <w:rsid w:val="2ED829A3"/>
    <w:rsid w:val="2EEB7F60"/>
    <w:rsid w:val="2F2967C9"/>
    <w:rsid w:val="2F4A6134"/>
    <w:rsid w:val="2F848369"/>
    <w:rsid w:val="2F99AE28"/>
    <w:rsid w:val="2F9BA641"/>
    <w:rsid w:val="2FCB3DB7"/>
    <w:rsid w:val="300045EC"/>
    <w:rsid w:val="3002E1D4"/>
    <w:rsid w:val="30865F3A"/>
    <w:rsid w:val="308A478C"/>
    <w:rsid w:val="30CA8975"/>
    <w:rsid w:val="30CDA40F"/>
    <w:rsid w:val="30D2B42F"/>
    <w:rsid w:val="30D67FB2"/>
    <w:rsid w:val="30E07896"/>
    <w:rsid w:val="3105FD0D"/>
    <w:rsid w:val="310649BA"/>
    <w:rsid w:val="3174A849"/>
    <w:rsid w:val="317C220C"/>
    <w:rsid w:val="319042D3"/>
    <w:rsid w:val="3195A253"/>
    <w:rsid w:val="31AA3279"/>
    <w:rsid w:val="31B4237D"/>
    <w:rsid w:val="31C659B6"/>
    <w:rsid w:val="31DC5013"/>
    <w:rsid w:val="31F78E5C"/>
    <w:rsid w:val="3203F2DF"/>
    <w:rsid w:val="3220D30D"/>
    <w:rsid w:val="323CFA99"/>
    <w:rsid w:val="32983C0B"/>
    <w:rsid w:val="32C895F4"/>
    <w:rsid w:val="32DAA8BD"/>
    <w:rsid w:val="33385F56"/>
    <w:rsid w:val="333AF0C9"/>
    <w:rsid w:val="33577ACC"/>
    <w:rsid w:val="342782D0"/>
    <w:rsid w:val="34480C32"/>
    <w:rsid w:val="346A8C78"/>
    <w:rsid w:val="3481DF20"/>
    <w:rsid w:val="34A5804D"/>
    <w:rsid w:val="34B727CB"/>
    <w:rsid w:val="34C50BC6"/>
    <w:rsid w:val="34E49F95"/>
    <w:rsid w:val="3517B26C"/>
    <w:rsid w:val="352CF133"/>
    <w:rsid w:val="3555F91F"/>
    <w:rsid w:val="356AA026"/>
    <w:rsid w:val="357C3906"/>
    <w:rsid w:val="35833924"/>
    <w:rsid w:val="3631FBDD"/>
    <w:rsid w:val="3655DEAD"/>
    <w:rsid w:val="3665CA76"/>
    <w:rsid w:val="366B966B"/>
    <w:rsid w:val="367645DE"/>
    <w:rsid w:val="3682094D"/>
    <w:rsid w:val="36EACEF5"/>
    <w:rsid w:val="37097378"/>
    <w:rsid w:val="37274F7F"/>
    <w:rsid w:val="3729CC64"/>
    <w:rsid w:val="373FA9E1"/>
    <w:rsid w:val="375FB2D3"/>
    <w:rsid w:val="37B0AF0E"/>
    <w:rsid w:val="37DD63E5"/>
    <w:rsid w:val="37E360C6"/>
    <w:rsid w:val="381EF975"/>
    <w:rsid w:val="3832ACA3"/>
    <w:rsid w:val="383521B5"/>
    <w:rsid w:val="383DB1E1"/>
    <w:rsid w:val="3852F17C"/>
    <w:rsid w:val="386CE296"/>
    <w:rsid w:val="38858566"/>
    <w:rsid w:val="39172737"/>
    <w:rsid w:val="391A23E5"/>
    <w:rsid w:val="39248D3D"/>
    <w:rsid w:val="3967194F"/>
    <w:rsid w:val="397115E7"/>
    <w:rsid w:val="397F67B1"/>
    <w:rsid w:val="398709D3"/>
    <w:rsid w:val="39CCE96A"/>
    <w:rsid w:val="39D12BD2"/>
    <w:rsid w:val="39F24FE3"/>
    <w:rsid w:val="39FF039F"/>
    <w:rsid w:val="3A0C9E7D"/>
    <w:rsid w:val="3A80F952"/>
    <w:rsid w:val="3A95F553"/>
    <w:rsid w:val="3AAB340B"/>
    <w:rsid w:val="3AB72F08"/>
    <w:rsid w:val="3AF7CD83"/>
    <w:rsid w:val="3B6B2AB4"/>
    <w:rsid w:val="3B6EF648"/>
    <w:rsid w:val="3BA2891F"/>
    <w:rsid w:val="3BC5E85D"/>
    <w:rsid w:val="3BD97D95"/>
    <w:rsid w:val="3BDCD388"/>
    <w:rsid w:val="3BE96F1B"/>
    <w:rsid w:val="3C188CDA"/>
    <w:rsid w:val="3C31E1F1"/>
    <w:rsid w:val="3CBF565B"/>
    <w:rsid w:val="3CC03902"/>
    <w:rsid w:val="3CC26D61"/>
    <w:rsid w:val="3CCCB914"/>
    <w:rsid w:val="3CCCBAD8"/>
    <w:rsid w:val="3CDFAE09"/>
    <w:rsid w:val="3D08D11C"/>
    <w:rsid w:val="3D185D9A"/>
    <w:rsid w:val="3D2C9035"/>
    <w:rsid w:val="3D331582"/>
    <w:rsid w:val="3D352474"/>
    <w:rsid w:val="3D6CD07F"/>
    <w:rsid w:val="3DAF7570"/>
    <w:rsid w:val="3DB89A14"/>
    <w:rsid w:val="3DB8ACE8"/>
    <w:rsid w:val="3DCCF842"/>
    <w:rsid w:val="3E2A98D8"/>
    <w:rsid w:val="3E602AAE"/>
    <w:rsid w:val="3E69C0AD"/>
    <w:rsid w:val="3E7B6B97"/>
    <w:rsid w:val="3E7EEC00"/>
    <w:rsid w:val="3E882841"/>
    <w:rsid w:val="3E959B20"/>
    <w:rsid w:val="3EA5C6C9"/>
    <w:rsid w:val="3EA8BF1F"/>
    <w:rsid w:val="3EACFC1A"/>
    <w:rsid w:val="3EDA273E"/>
    <w:rsid w:val="3F00C663"/>
    <w:rsid w:val="3F052C9F"/>
    <w:rsid w:val="3F0BA74B"/>
    <w:rsid w:val="3F5AF63A"/>
    <w:rsid w:val="3F7C57A5"/>
    <w:rsid w:val="3FAD40DC"/>
    <w:rsid w:val="3FDFC2CB"/>
    <w:rsid w:val="400B81CD"/>
    <w:rsid w:val="401C3507"/>
    <w:rsid w:val="402A2B9E"/>
    <w:rsid w:val="4053429A"/>
    <w:rsid w:val="405D2774"/>
    <w:rsid w:val="4089D4AA"/>
    <w:rsid w:val="40B44B52"/>
    <w:rsid w:val="40D7E558"/>
    <w:rsid w:val="4116F90D"/>
    <w:rsid w:val="41520E7E"/>
    <w:rsid w:val="4156B713"/>
    <w:rsid w:val="41598978"/>
    <w:rsid w:val="415FB2EA"/>
    <w:rsid w:val="417C4604"/>
    <w:rsid w:val="41AF65C5"/>
    <w:rsid w:val="41C7E41B"/>
    <w:rsid w:val="41DB9699"/>
    <w:rsid w:val="41E3164B"/>
    <w:rsid w:val="41EBCEBD"/>
    <w:rsid w:val="41FB09A2"/>
    <w:rsid w:val="4235DEEC"/>
    <w:rsid w:val="424A7671"/>
    <w:rsid w:val="4261F47D"/>
    <w:rsid w:val="4272E2DA"/>
    <w:rsid w:val="4284909C"/>
    <w:rsid w:val="42866E11"/>
    <w:rsid w:val="428D6D33"/>
    <w:rsid w:val="42AD007C"/>
    <w:rsid w:val="42AFA8E3"/>
    <w:rsid w:val="42D5AB4D"/>
    <w:rsid w:val="432849CF"/>
    <w:rsid w:val="432C4880"/>
    <w:rsid w:val="433BA089"/>
    <w:rsid w:val="437BB221"/>
    <w:rsid w:val="43870B10"/>
    <w:rsid w:val="438B4E8D"/>
    <w:rsid w:val="43BB8A6E"/>
    <w:rsid w:val="43C6BA5A"/>
    <w:rsid w:val="43D2BF9A"/>
    <w:rsid w:val="43F3D224"/>
    <w:rsid w:val="43FA4F34"/>
    <w:rsid w:val="43FB9131"/>
    <w:rsid w:val="44096DDB"/>
    <w:rsid w:val="443E596B"/>
    <w:rsid w:val="444160E1"/>
    <w:rsid w:val="44625901"/>
    <w:rsid w:val="44A22907"/>
    <w:rsid w:val="44ADE2ED"/>
    <w:rsid w:val="44B5E994"/>
    <w:rsid w:val="44D59210"/>
    <w:rsid w:val="44E3B191"/>
    <w:rsid w:val="44F8CF37"/>
    <w:rsid w:val="45034D5F"/>
    <w:rsid w:val="4507F202"/>
    <w:rsid w:val="4532B582"/>
    <w:rsid w:val="45539F62"/>
    <w:rsid w:val="45576766"/>
    <w:rsid w:val="455C1C08"/>
    <w:rsid w:val="459D076B"/>
    <w:rsid w:val="45BF6CE0"/>
    <w:rsid w:val="45D0A775"/>
    <w:rsid w:val="4604D898"/>
    <w:rsid w:val="463A19E8"/>
    <w:rsid w:val="463E6BC5"/>
    <w:rsid w:val="464149B2"/>
    <w:rsid w:val="4666607E"/>
    <w:rsid w:val="4672252C"/>
    <w:rsid w:val="46960F06"/>
    <w:rsid w:val="46B6F74E"/>
    <w:rsid w:val="46C82126"/>
    <w:rsid w:val="46CD4640"/>
    <w:rsid w:val="47A088FC"/>
    <w:rsid w:val="47B982FC"/>
    <w:rsid w:val="47CCC27A"/>
    <w:rsid w:val="47E1B819"/>
    <w:rsid w:val="48165C27"/>
    <w:rsid w:val="484460F2"/>
    <w:rsid w:val="4876E0EE"/>
    <w:rsid w:val="48930D46"/>
    <w:rsid w:val="48ABC3E5"/>
    <w:rsid w:val="48C8DE54"/>
    <w:rsid w:val="48D4A82D"/>
    <w:rsid w:val="48DD89D7"/>
    <w:rsid w:val="49A0CFC0"/>
    <w:rsid w:val="49B8C11E"/>
    <w:rsid w:val="4A15E6AC"/>
    <w:rsid w:val="4A38D5A5"/>
    <w:rsid w:val="4A45711E"/>
    <w:rsid w:val="4A7BC7B9"/>
    <w:rsid w:val="4AD6001B"/>
    <w:rsid w:val="4AF6277F"/>
    <w:rsid w:val="4B220013"/>
    <w:rsid w:val="4B43A7F1"/>
    <w:rsid w:val="4B506FB4"/>
    <w:rsid w:val="4B578577"/>
    <w:rsid w:val="4BBC103E"/>
    <w:rsid w:val="4BBCF542"/>
    <w:rsid w:val="4BDACC0F"/>
    <w:rsid w:val="4C43E14E"/>
    <w:rsid w:val="4C4452A0"/>
    <w:rsid w:val="4C491481"/>
    <w:rsid w:val="4C7E72B9"/>
    <w:rsid w:val="4C9E19FC"/>
    <w:rsid w:val="4CB569D2"/>
    <w:rsid w:val="4CC9A16C"/>
    <w:rsid w:val="4D2B0466"/>
    <w:rsid w:val="4D2C4EBD"/>
    <w:rsid w:val="4D2D9E0A"/>
    <w:rsid w:val="4D692C38"/>
    <w:rsid w:val="4D727309"/>
    <w:rsid w:val="4D8BEAF8"/>
    <w:rsid w:val="4D962F00"/>
    <w:rsid w:val="4DCA0902"/>
    <w:rsid w:val="4E226A65"/>
    <w:rsid w:val="4E302338"/>
    <w:rsid w:val="4E61F70B"/>
    <w:rsid w:val="4E88D59A"/>
    <w:rsid w:val="4ED14FAC"/>
    <w:rsid w:val="4ED28E10"/>
    <w:rsid w:val="4EF3377F"/>
    <w:rsid w:val="4EFF7923"/>
    <w:rsid w:val="4F09DA97"/>
    <w:rsid w:val="4F26A69D"/>
    <w:rsid w:val="4F519356"/>
    <w:rsid w:val="4F77987D"/>
    <w:rsid w:val="4F943A58"/>
    <w:rsid w:val="4F959C19"/>
    <w:rsid w:val="4FB86BD6"/>
    <w:rsid w:val="4FC80FE5"/>
    <w:rsid w:val="502612DF"/>
    <w:rsid w:val="5032E08A"/>
    <w:rsid w:val="503344E8"/>
    <w:rsid w:val="50409A2B"/>
    <w:rsid w:val="50497BCD"/>
    <w:rsid w:val="5070A6E9"/>
    <w:rsid w:val="507FE887"/>
    <w:rsid w:val="5092E015"/>
    <w:rsid w:val="50E31EFA"/>
    <w:rsid w:val="50F79CC9"/>
    <w:rsid w:val="50FFC8AA"/>
    <w:rsid w:val="511506FB"/>
    <w:rsid w:val="51895B1A"/>
    <w:rsid w:val="51A2E81B"/>
    <w:rsid w:val="51DC234D"/>
    <w:rsid w:val="51E388E6"/>
    <w:rsid w:val="51FEEF86"/>
    <w:rsid w:val="5258733E"/>
    <w:rsid w:val="531B3DEB"/>
    <w:rsid w:val="532B86B4"/>
    <w:rsid w:val="532C6D76"/>
    <w:rsid w:val="533EB0C4"/>
    <w:rsid w:val="53EFA044"/>
    <w:rsid w:val="53F61D6E"/>
    <w:rsid w:val="5406022F"/>
    <w:rsid w:val="54155F8B"/>
    <w:rsid w:val="541BC420"/>
    <w:rsid w:val="544465B2"/>
    <w:rsid w:val="5459A044"/>
    <w:rsid w:val="54E8D84A"/>
    <w:rsid w:val="550E5236"/>
    <w:rsid w:val="5513F4FC"/>
    <w:rsid w:val="5532F0EA"/>
    <w:rsid w:val="553C312A"/>
    <w:rsid w:val="554CB6EB"/>
    <w:rsid w:val="557963A9"/>
    <w:rsid w:val="55970F3F"/>
    <w:rsid w:val="55A5A43E"/>
    <w:rsid w:val="55CF4E46"/>
    <w:rsid w:val="5603BADD"/>
    <w:rsid w:val="561E4C39"/>
    <w:rsid w:val="56818B62"/>
    <w:rsid w:val="56A0F66D"/>
    <w:rsid w:val="56A9DA98"/>
    <w:rsid w:val="56BC3D59"/>
    <w:rsid w:val="56F5C7DE"/>
    <w:rsid w:val="5707E412"/>
    <w:rsid w:val="57224A5B"/>
    <w:rsid w:val="572266CB"/>
    <w:rsid w:val="5726DAAB"/>
    <w:rsid w:val="572971E8"/>
    <w:rsid w:val="576D8D14"/>
    <w:rsid w:val="57C3E28B"/>
    <w:rsid w:val="58018E6F"/>
    <w:rsid w:val="5810464C"/>
    <w:rsid w:val="5842B0EE"/>
    <w:rsid w:val="58D5EED9"/>
    <w:rsid w:val="58F29FD3"/>
    <w:rsid w:val="58FB69BD"/>
    <w:rsid w:val="591DBFA4"/>
    <w:rsid w:val="592AD489"/>
    <w:rsid w:val="59324AE1"/>
    <w:rsid w:val="59593D29"/>
    <w:rsid w:val="59F842AF"/>
    <w:rsid w:val="59F9D3C6"/>
    <w:rsid w:val="5A0F0431"/>
    <w:rsid w:val="5A136BE0"/>
    <w:rsid w:val="5A401A68"/>
    <w:rsid w:val="5AC1E38C"/>
    <w:rsid w:val="5AD24BBC"/>
    <w:rsid w:val="5AD3E014"/>
    <w:rsid w:val="5B25761E"/>
    <w:rsid w:val="5B39D118"/>
    <w:rsid w:val="5BA277CD"/>
    <w:rsid w:val="5BBA8922"/>
    <w:rsid w:val="5BC702BD"/>
    <w:rsid w:val="5BCC3117"/>
    <w:rsid w:val="5BD05419"/>
    <w:rsid w:val="5BE266C7"/>
    <w:rsid w:val="5BF58265"/>
    <w:rsid w:val="5C0E88A8"/>
    <w:rsid w:val="5C1A2630"/>
    <w:rsid w:val="5C44161C"/>
    <w:rsid w:val="5C4FFAAD"/>
    <w:rsid w:val="5C52DE67"/>
    <w:rsid w:val="5C61FD37"/>
    <w:rsid w:val="5C7BBD5F"/>
    <w:rsid w:val="5CF6635D"/>
    <w:rsid w:val="5CFEAC28"/>
    <w:rsid w:val="5D13491B"/>
    <w:rsid w:val="5D137A1A"/>
    <w:rsid w:val="5D57B46F"/>
    <w:rsid w:val="5D746226"/>
    <w:rsid w:val="5D8F8ABF"/>
    <w:rsid w:val="5DB36C28"/>
    <w:rsid w:val="5DB9E3EA"/>
    <w:rsid w:val="5DC96FFE"/>
    <w:rsid w:val="5DDE157D"/>
    <w:rsid w:val="5DE263BD"/>
    <w:rsid w:val="5DE5FC88"/>
    <w:rsid w:val="5E36F8B7"/>
    <w:rsid w:val="5E691AA1"/>
    <w:rsid w:val="5EA669F3"/>
    <w:rsid w:val="5EAC7C50"/>
    <w:rsid w:val="5EE02982"/>
    <w:rsid w:val="5F10DBE3"/>
    <w:rsid w:val="5F27DD5E"/>
    <w:rsid w:val="5F2C45B0"/>
    <w:rsid w:val="5F6047E2"/>
    <w:rsid w:val="5FA71ECC"/>
    <w:rsid w:val="5FE0BBFE"/>
    <w:rsid w:val="6028BDE0"/>
    <w:rsid w:val="603A2B32"/>
    <w:rsid w:val="605C03A1"/>
    <w:rsid w:val="60AA4044"/>
    <w:rsid w:val="60C99693"/>
    <w:rsid w:val="6105DE57"/>
    <w:rsid w:val="610F1B24"/>
    <w:rsid w:val="611DF759"/>
    <w:rsid w:val="614721BD"/>
    <w:rsid w:val="614D13AA"/>
    <w:rsid w:val="61743A32"/>
    <w:rsid w:val="619F2311"/>
    <w:rsid w:val="61B5735E"/>
    <w:rsid w:val="61B72892"/>
    <w:rsid w:val="61DD6110"/>
    <w:rsid w:val="61F7EFDF"/>
    <w:rsid w:val="62082C2A"/>
    <w:rsid w:val="62131044"/>
    <w:rsid w:val="6274FC53"/>
    <w:rsid w:val="628199BE"/>
    <w:rsid w:val="62B1C973"/>
    <w:rsid w:val="62B8C121"/>
    <w:rsid w:val="62F1E064"/>
    <w:rsid w:val="62F6B680"/>
    <w:rsid w:val="62FBD38F"/>
    <w:rsid w:val="6342E6A4"/>
    <w:rsid w:val="6380A8AC"/>
    <w:rsid w:val="63B9199C"/>
    <w:rsid w:val="63E10D91"/>
    <w:rsid w:val="63F9CD42"/>
    <w:rsid w:val="63FC90AE"/>
    <w:rsid w:val="644466F7"/>
    <w:rsid w:val="644894FE"/>
    <w:rsid w:val="64652930"/>
    <w:rsid w:val="64B4C499"/>
    <w:rsid w:val="64C64A5D"/>
    <w:rsid w:val="64F88C98"/>
    <w:rsid w:val="64FF7D04"/>
    <w:rsid w:val="651AC8FA"/>
    <w:rsid w:val="652BC052"/>
    <w:rsid w:val="65513F11"/>
    <w:rsid w:val="655BAC20"/>
    <w:rsid w:val="655E6E12"/>
    <w:rsid w:val="65615380"/>
    <w:rsid w:val="656BD827"/>
    <w:rsid w:val="6592E1BA"/>
    <w:rsid w:val="65A8BBE4"/>
    <w:rsid w:val="65CE2C3B"/>
    <w:rsid w:val="65EEF846"/>
    <w:rsid w:val="65EF261D"/>
    <w:rsid w:val="65EFAAAC"/>
    <w:rsid w:val="66044E8C"/>
    <w:rsid w:val="6610F5CF"/>
    <w:rsid w:val="6630AEAD"/>
    <w:rsid w:val="663BF3AD"/>
    <w:rsid w:val="665C836E"/>
    <w:rsid w:val="666403AA"/>
    <w:rsid w:val="668A1D26"/>
    <w:rsid w:val="66A47141"/>
    <w:rsid w:val="66B48918"/>
    <w:rsid w:val="66E97FA6"/>
    <w:rsid w:val="6707D91A"/>
    <w:rsid w:val="67115D2F"/>
    <w:rsid w:val="6723648A"/>
    <w:rsid w:val="674FE552"/>
    <w:rsid w:val="675D3179"/>
    <w:rsid w:val="6775EAF8"/>
    <w:rsid w:val="67A37CDE"/>
    <w:rsid w:val="67A75025"/>
    <w:rsid w:val="6835C798"/>
    <w:rsid w:val="689F5A44"/>
    <w:rsid w:val="68DDE1B9"/>
    <w:rsid w:val="690051EB"/>
    <w:rsid w:val="69457B03"/>
    <w:rsid w:val="696CE7E4"/>
    <w:rsid w:val="697FFD3D"/>
    <w:rsid w:val="69E05E6C"/>
    <w:rsid w:val="69FCC632"/>
    <w:rsid w:val="6A1EF514"/>
    <w:rsid w:val="6A63DA06"/>
    <w:rsid w:val="6AAE0FE4"/>
    <w:rsid w:val="6AEEC5D9"/>
    <w:rsid w:val="6AFCDEBF"/>
    <w:rsid w:val="6B23B601"/>
    <w:rsid w:val="6B314CF7"/>
    <w:rsid w:val="6BD624AA"/>
    <w:rsid w:val="6BE0DEAD"/>
    <w:rsid w:val="6BFCB846"/>
    <w:rsid w:val="6BFD7D3D"/>
    <w:rsid w:val="6C1968B5"/>
    <w:rsid w:val="6C6057F3"/>
    <w:rsid w:val="6C6308A2"/>
    <w:rsid w:val="6D20C1EE"/>
    <w:rsid w:val="6D231B28"/>
    <w:rsid w:val="6D24311D"/>
    <w:rsid w:val="6D359163"/>
    <w:rsid w:val="6D3FABC7"/>
    <w:rsid w:val="6D45C045"/>
    <w:rsid w:val="6D510DEB"/>
    <w:rsid w:val="6D5F432D"/>
    <w:rsid w:val="6D63E413"/>
    <w:rsid w:val="6DC966D4"/>
    <w:rsid w:val="6DE52C7C"/>
    <w:rsid w:val="6DE7845F"/>
    <w:rsid w:val="6E2CCDCC"/>
    <w:rsid w:val="6E3F7968"/>
    <w:rsid w:val="6E5A58EC"/>
    <w:rsid w:val="6EC03651"/>
    <w:rsid w:val="6EC46531"/>
    <w:rsid w:val="6EC6AA4F"/>
    <w:rsid w:val="6EE06343"/>
    <w:rsid w:val="6F01F9F5"/>
    <w:rsid w:val="6F28A89E"/>
    <w:rsid w:val="6F80FCDD"/>
    <w:rsid w:val="6FBE3EB9"/>
    <w:rsid w:val="6FC7C9C6"/>
    <w:rsid w:val="6FD290FE"/>
    <w:rsid w:val="6FDDE275"/>
    <w:rsid w:val="70442C06"/>
    <w:rsid w:val="7053A9ED"/>
    <w:rsid w:val="70647854"/>
    <w:rsid w:val="706E5325"/>
    <w:rsid w:val="70ABCE85"/>
    <w:rsid w:val="7107AB43"/>
    <w:rsid w:val="716825B7"/>
    <w:rsid w:val="7169ADBB"/>
    <w:rsid w:val="7174F1D6"/>
    <w:rsid w:val="718256CD"/>
    <w:rsid w:val="71F706BF"/>
    <w:rsid w:val="72179BB5"/>
    <w:rsid w:val="7268FC8D"/>
    <w:rsid w:val="7275D551"/>
    <w:rsid w:val="727969AB"/>
    <w:rsid w:val="727B6D67"/>
    <w:rsid w:val="727BE976"/>
    <w:rsid w:val="729C3FDD"/>
    <w:rsid w:val="72C4C3A2"/>
    <w:rsid w:val="72D5335F"/>
    <w:rsid w:val="72DC7D41"/>
    <w:rsid w:val="73044EDF"/>
    <w:rsid w:val="732C4E6E"/>
    <w:rsid w:val="73CF8981"/>
    <w:rsid w:val="742F70BF"/>
    <w:rsid w:val="74609403"/>
    <w:rsid w:val="74C422FA"/>
    <w:rsid w:val="7533A6B5"/>
    <w:rsid w:val="755E66D5"/>
    <w:rsid w:val="75AEE972"/>
    <w:rsid w:val="75B5AFA3"/>
    <w:rsid w:val="75C1251C"/>
    <w:rsid w:val="75E0A1B9"/>
    <w:rsid w:val="75FECC44"/>
    <w:rsid w:val="760FFDDD"/>
    <w:rsid w:val="7627FD48"/>
    <w:rsid w:val="762FFF81"/>
    <w:rsid w:val="7646CA97"/>
    <w:rsid w:val="7647D4A5"/>
    <w:rsid w:val="764BA007"/>
    <w:rsid w:val="765C0990"/>
    <w:rsid w:val="76878596"/>
    <w:rsid w:val="76903045"/>
    <w:rsid w:val="76C41981"/>
    <w:rsid w:val="76CE5F0F"/>
    <w:rsid w:val="76E1B3F4"/>
    <w:rsid w:val="7727A2E0"/>
    <w:rsid w:val="774B6F11"/>
    <w:rsid w:val="775D50A7"/>
    <w:rsid w:val="77636420"/>
    <w:rsid w:val="777F6677"/>
    <w:rsid w:val="77BCB871"/>
    <w:rsid w:val="77D5CC61"/>
    <w:rsid w:val="77D6057A"/>
    <w:rsid w:val="77DCF14D"/>
    <w:rsid w:val="78313221"/>
    <w:rsid w:val="785FE5EC"/>
    <w:rsid w:val="7865FF88"/>
    <w:rsid w:val="78D69FFE"/>
    <w:rsid w:val="78E7D6EA"/>
    <w:rsid w:val="7923BF85"/>
    <w:rsid w:val="79906680"/>
    <w:rsid w:val="79959860"/>
    <w:rsid w:val="799F1C59"/>
    <w:rsid w:val="79A4B275"/>
    <w:rsid w:val="79BC4DCF"/>
    <w:rsid w:val="79D3DE3B"/>
    <w:rsid w:val="79F381D1"/>
    <w:rsid w:val="7A5DA8AF"/>
    <w:rsid w:val="7A692E00"/>
    <w:rsid w:val="7A6F7559"/>
    <w:rsid w:val="7A96398A"/>
    <w:rsid w:val="7AA57E85"/>
    <w:rsid w:val="7ADEBA66"/>
    <w:rsid w:val="7B4834EC"/>
    <w:rsid w:val="7B4B2B72"/>
    <w:rsid w:val="7B53448D"/>
    <w:rsid w:val="7B751B11"/>
    <w:rsid w:val="7B80BB51"/>
    <w:rsid w:val="7BB7DFB4"/>
    <w:rsid w:val="7BBF2B81"/>
    <w:rsid w:val="7BECBF29"/>
    <w:rsid w:val="7C4B4F30"/>
    <w:rsid w:val="7C5F66A7"/>
    <w:rsid w:val="7C653CAE"/>
    <w:rsid w:val="7CBD487A"/>
    <w:rsid w:val="7CEEF1D4"/>
    <w:rsid w:val="7D1F1BAA"/>
    <w:rsid w:val="7D40A641"/>
    <w:rsid w:val="7D4826DF"/>
    <w:rsid w:val="7D6F37B2"/>
    <w:rsid w:val="7DB7B81B"/>
    <w:rsid w:val="7DB982A0"/>
    <w:rsid w:val="7E01F9D1"/>
    <w:rsid w:val="7E25AA4B"/>
    <w:rsid w:val="7E2A0D56"/>
    <w:rsid w:val="7E61A335"/>
    <w:rsid w:val="7E676E30"/>
    <w:rsid w:val="7E7AAA90"/>
    <w:rsid w:val="7E7F5DD2"/>
    <w:rsid w:val="7EA384FE"/>
    <w:rsid w:val="7EA86575"/>
    <w:rsid w:val="7EC1DFE9"/>
    <w:rsid w:val="7ECBB2B3"/>
    <w:rsid w:val="7EE31841"/>
    <w:rsid w:val="7EF74A48"/>
    <w:rsid w:val="7EFD401F"/>
    <w:rsid w:val="7F38E4CE"/>
    <w:rsid w:val="7F46B05D"/>
    <w:rsid w:val="7F726BDA"/>
    <w:rsid w:val="7F84B98D"/>
    <w:rsid w:val="7F89DB00"/>
    <w:rsid w:val="7FB47F7F"/>
    <w:rsid w:val="7FC06CBC"/>
    <w:rsid w:val="7FDAE17D"/>
    <w:rsid w:val="7FE0AC18"/>
    <w:rsid w:val="7FE7E3E7"/>
    <w:rsid w:val="7FECEA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C13B6FF4-3A75-4A47-9083-8A311737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590524"/>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A31DE2"/>
    <w:pPr>
      <w:spacing w:after="0" w:line="240" w:lineRule="auto"/>
    </w:pPr>
    <w:rPr>
      <w:rFonts w:cs="Times New Roman"/>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A31D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lnBullet1">
    <w:name w:val="Vln Bullet 1"/>
    <w:basedOn w:val="BodyText"/>
    <w:qFormat/>
    <w:rsid w:val="00FA75CF"/>
    <w:pPr>
      <w:numPr>
        <w:numId w:val="13"/>
      </w:numPr>
      <w:spacing w:after="160" w:line="259" w:lineRule="auto"/>
      <w:contextualSpacing/>
    </w:pPr>
    <w:rPr>
      <w:rFonts w:cstheme="minorHAnsi"/>
      <w:sz w:val="24"/>
      <w:szCs w:val="24"/>
    </w:rPr>
  </w:style>
  <w:style w:type="paragraph" w:customStyle="1" w:styleId="VlnBullet2">
    <w:name w:val="Vln Bullet 2"/>
    <w:basedOn w:val="VlnBullet1"/>
    <w:qFormat/>
    <w:rsid w:val="00FA75CF"/>
    <w:pPr>
      <w:numPr>
        <w:ilvl w:val="1"/>
      </w:numPr>
    </w:pPr>
    <w:rPr>
      <w:rFonts w:eastAsia="Times New Roman" w:cs="Times New Roman"/>
    </w:rPr>
  </w:style>
  <w:style w:type="paragraph" w:customStyle="1" w:styleId="VlnBullet3">
    <w:name w:val="Vln Bullet 3"/>
    <w:basedOn w:val="VlnBullet1"/>
    <w:qFormat/>
    <w:rsid w:val="00FA75CF"/>
    <w:pPr>
      <w:numPr>
        <w:ilvl w:val="2"/>
      </w:numPr>
    </w:pPr>
  </w:style>
  <w:style w:type="paragraph" w:customStyle="1" w:styleId="VlnBullet4">
    <w:name w:val="Vln Bullet 4"/>
    <w:basedOn w:val="VlnBullet1"/>
    <w:qFormat/>
    <w:rsid w:val="00FA75CF"/>
    <w:pPr>
      <w:numPr>
        <w:ilvl w:val="3"/>
      </w:numPr>
    </w:pPr>
  </w:style>
  <w:style w:type="paragraph" w:customStyle="1" w:styleId="VlnBullet5">
    <w:name w:val="Vln Bullet 5"/>
    <w:basedOn w:val="VlnBullet1"/>
    <w:qFormat/>
    <w:rsid w:val="00FA75CF"/>
    <w:pPr>
      <w:numPr>
        <w:ilvl w:val="4"/>
      </w:numPr>
    </w:pPr>
  </w:style>
  <w:style w:type="paragraph" w:customStyle="1" w:styleId="VlnList1">
    <w:name w:val="Vln List 1"/>
    <w:basedOn w:val="Normal"/>
    <w:qFormat/>
    <w:rsid w:val="00FA75CF"/>
    <w:pPr>
      <w:numPr>
        <w:numId w:val="12"/>
      </w:numPr>
      <w:spacing w:after="160" w:line="259" w:lineRule="auto"/>
      <w:contextualSpacing/>
    </w:pPr>
    <w:rPr>
      <w:rFonts w:eastAsia="Times New Roman" w:cs="Times New Roman"/>
    </w:rPr>
  </w:style>
  <w:style w:type="paragraph" w:customStyle="1" w:styleId="VlnList2">
    <w:name w:val="Vln List 2"/>
    <w:basedOn w:val="VlnList1"/>
    <w:qFormat/>
    <w:rsid w:val="00FA75CF"/>
    <w:pPr>
      <w:numPr>
        <w:ilvl w:val="1"/>
      </w:numPr>
    </w:pPr>
  </w:style>
  <w:style w:type="paragraph" w:customStyle="1" w:styleId="VlnList3">
    <w:name w:val="Vln List 3"/>
    <w:basedOn w:val="VlnList1"/>
    <w:qFormat/>
    <w:rsid w:val="00FA75CF"/>
    <w:pPr>
      <w:numPr>
        <w:ilvl w:val="2"/>
      </w:numPr>
    </w:pPr>
  </w:style>
  <w:style w:type="paragraph" w:customStyle="1" w:styleId="VlnList4">
    <w:name w:val="Vln List 4"/>
    <w:basedOn w:val="VlnList1"/>
    <w:qFormat/>
    <w:rsid w:val="00FA75CF"/>
    <w:pPr>
      <w:numPr>
        <w:ilvl w:val="3"/>
      </w:numPr>
    </w:pPr>
  </w:style>
  <w:style w:type="paragraph" w:customStyle="1" w:styleId="VlnList5">
    <w:name w:val="Vln List 5"/>
    <w:basedOn w:val="VlnList1"/>
    <w:qFormat/>
    <w:rsid w:val="00FA75CF"/>
    <w:pPr>
      <w:numPr>
        <w:ilvl w:val="4"/>
      </w:numPr>
    </w:pPr>
  </w:style>
  <w:style w:type="numbering" w:customStyle="1" w:styleId="VlnBullets">
    <w:name w:val="Vln Bullets"/>
    <w:uiPriority w:val="99"/>
    <w:rsid w:val="00FA75CF"/>
    <w:pPr>
      <w:numPr>
        <w:numId w:val="13"/>
      </w:numPr>
    </w:pPr>
  </w:style>
  <w:style w:type="character" w:styleId="Mention">
    <w:name w:val="Mention"/>
    <w:basedOn w:val="DefaultParagraphFont"/>
    <w:uiPriority w:val="99"/>
    <w:unhideWhenUsed/>
    <w:rsid w:val="00C264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687">
      <w:bodyDiv w:val="1"/>
      <w:marLeft w:val="0"/>
      <w:marRight w:val="0"/>
      <w:marTop w:val="0"/>
      <w:marBottom w:val="0"/>
      <w:divBdr>
        <w:top w:val="none" w:sz="0" w:space="0" w:color="auto"/>
        <w:left w:val="none" w:sz="0" w:space="0" w:color="auto"/>
        <w:bottom w:val="none" w:sz="0" w:space="0" w:color="auto"/>
        <w:right w:val="none" w:sz="0" w:space="0" w:color="auto"/>
      </w:divBdr>
    </w:div>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60102502">
      <w:bodyDiv w:val="1"/>
      <w:marLeft w:val="0"/>
      <w:marRight w:val="0"/>
      <w:marTop w:val="0"/>
      <w:marBottom w:val="0"/>
      <w:divBdr>
        <w:top w:val="none" w:sz="0" w:space="0" w:color="auto"/>
        <w:left w:val="none" w:sz="0" w:space="0" w:color="auto"/>
        <w:bottom w:val="none" w:sz="0" w:space="0" w:color="auto"/>
        <w:right w:val="none" w:sz="0" w:space="0" w:color="auto"/>
      </w:divBdr>
    </w:div>
    <w:div w:id="66146821">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26819132">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20099659">
      <w:bodyDiv w:val="1"/>
      <w:marLeft w:val="0"/>
      <w:marRight w:val="0"/>
      <w:marTop w:val="0"/>
      <w:marBottom w:val="0"/>
      <w:divBdr>
        <w:top w:val="none" w:sz="0" w:space="0" w:color="auto"/>
        <w:left w:val="none" w:sz="0" w:space="0" w:color="auto"/>
        <w:bottom w:val="none" w:sz="0" w:space="0" w:color="auto"/>
        <w:right w:val="none" w:sz="0" w:space="0" w:color="auto"/>
      </w:divBdr>
    </w:div>
    <w:div w:id="226376450">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70474734">
      <w:bodyDiv w:val="1"/>
      <w:marLeft w:val="0"/>
      <w:marRight w:val="0"/>
      <w:marTop w:val="0"/>
      <w:marBottom w:val="0"/>
      <w:divBdr>
        <w:top w:val="none" w:sz="0" w:space="0" w:color="auto"/>
        <w:left w:val="none" w:sz="0" w:space="0" w:color="auto"/>
        <w:bottom w:val="none" w:sz="0" w:space="0" w:color="auto"/>
        <w:right w:val="none" w:sz="0" w:space="0" w:color="auto"/>
      </w:divBdr>
    </w:div>
    <w:div w:id="273948524">
      <w:bodyDiv w:val="1"/>
      <w:marLeft w:val="0"/>
      <w:marRight w:val="0"/>
      <w:marTop w:val="0"/>
      <w:marBottom w:val="0"/>
      <w:divBdr>
        <w:top w:val="none" w:sz="0" w:space="0" w:color="auto"/>
        <w:left w:val="none" w:sz="0" w:space="0" w:color="auto"/>
        <w:bottom w:val="none" w:sz="0" w:space="0" w:color="auto"/>
        <w:right w:val="none" w:sz="0" w:space="0" w:color="auto"/>
      </w:divBdr>
    </w:div>
    <w:div w:id="274409676">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10403987">
      <w:bodyDiv w:val="1"/>
      <w:marLeft w:val="0"/>
      <w:marRight w:val="0"/>
      <w:marTop w:val="0"/>
      <w:marBottom w:val="0"/>
      <w:divBdr>
        <w:top w:val="none" w:sz="0" w:space="0" w:color="auto"/>
        <w:left w:val="none" w:sz="0" w:space="0" w:color="auto"/>
        <w:bottom w:val="none" w:sz="0" w:space="0" w:color="auto"/>
        <w:right w:val="none" w:sz="0" w:space="0" w:color="auto"/>
      </w:divBdr>
    </w:div>
    <w:div w:id="330908668">
      <w:bodyDiv w:val="1"/>
      <w:marLeft w:val="0"/>
      <w:marRight w:val="0"/>
      <w:marTop w:val="0"/>
      <w:marBottom w:val="0"/>
      <w:divBdr>
        <w:top w:val="none" w:sz="0" w:space="0" w:color="auto"/>
        <w:left w:val="none" w:sz="0" w:space="0" w:color="auto"/>
        <w:bottom w:val="none" w:sz="0" w:space="0" w:color="auto"/>
        <w:right w:val="none" w:sz="0" w:space="0" w:color="auto"/>
      </w:divBdr>
    </w:div>
    <w:div w:id="349767249">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2363201">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38108575">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60079067">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3641482">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68731821">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4168641">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28701811">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5743739">
      <w:bodyDiv w:val="1"/>
      <w:marLeft w:val="0"/>
      <w:marRight w:val="0"/>
      <w:marTop w:val="0"/>
      <w:marBottom w:val="0"/>
      <w:divBdr>
        <w:top w:val="none" w:sz="0" w:space="0" w:color="auto"/>
        <w:left w:val="none" w:sz="0" w:space="0" w:color="auto"/>
        <w:bottom w:val="none" w:sz="0" w:space="0" w:color="auto"/>
        <w:right w:val="none" w:sz="0" w:space="0" w:color="auto"/>
      </w:divBdr>
    </w:div>
    <w:div w:id="665788391">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5735421">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58332919">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67038819">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27940914">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5637427">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2449">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0827931">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0947100">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09677760">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16230849">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053887285">
      <w:bodyDiv w:val="1"/>
      <w:marLeft w:val="0"/>
      <w:marRight w:val="0"/>
      <w:marTop w:val="0"/>
      <w:marBottom w:val="0"/>
      <w:divBdr>
        <w:top w:val="none" w:sz="0" w:space="0" w:color="auto"/>
        <w:left w:val="none" w:sz="0" w:space="0" w:color="auto"/>
        <w:bottom w:val="none" w:sz="0" w:space="0" w:color="auto"/>
        <w:right w:val="none" w:sz="0" w:space="0" w:color="auto"/>
      </w:divBdr>
    </w:div>
    <w:div w:id="1170561823">
      <w:bodyDiv w:val="1"/>
      <w:marLeft w:val="0"/>
      <w:marRight w:val="0"/>
      <w:marTop w:val="0"/>
      <w:marBottom w:val="0"/>
      <w:divBdr>
        <w:top w:val="none" w:sz="0" w:space="0" w:color="auto"/>
        <w:left w:val="none" w:sz="0" w:space="0" w:color="auto"/>
        <w:bottom w:val="none" w:sz="0" w:space="0" w:color="auto"/>
        <w:right w:val="none" w:sz="0" w:space="0" w:color="auto"/>
      </w:divBdr>
    </w:div>
    <w:div w:id="1175069846">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04831955">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5139851">
      <w:bodyDiv w:val="1"/>
      <w:marLeft w:val="0"/>
      <w:marRight w:val="0"/>
      <w:marTop w:val="0"/>
      <w:marBottom w:val="0"/>
      <w:divBdr>
        <w:top w:val="none" w:sz="0" w:space="0" w:color="auto"/>
        <w:left w:val="none" w:sz="0" w:space="0" w:color="auto"/>
        <w:bottom w:val="none" w:sz="0" w:space="0" w:color="auto"/>
        <w:right w:val="none" w:sz="0" w:space="0" w:color="auto"/>
      </w:divBdr>
    </w:div>
    <w:div w:id="1226531976">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3681189">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03260077">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66194386">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0456">
      <w:bodyDiv w:val="1"/>
      <w:marLeft w:val="0"/>
      <w:marRight w:val="0"/>
      <w:marTop w:val="0"/>
      <w:marBottom w:val="0"/>
      <w:divBdr>
        <w:top w:val="none" w:sz="0" w:space="0" w:color="auto"/>
        <w:left w:val="none" w:sz="0" w:space="0" w:color="auto"/>
        <w:bottom w:val="none" w:sz="0" w:space="0" w:color="auto"/>
        <w:right w:val="none" w:sz="0" w:space="0" w:color="auto"/>
      </w:divBdr>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35800527">
      <w:bodyDiv w:val="1"/>
      <w:marLeft w:val="0"/>
      <w:marRight w:val="0"/>
      <w:marTop w:val="0"/>
      <w:marBottom w:val="0"/>
      <w:divBdr>
        <w:top w:val="none" w:sz="0" w:space="0" w:color="auto"/>
        <w:left w:val="none" w:sz="0" w:space="0" w:color="auto"/>
        <w:bottom w:val="none" w:sz="0" w:space="0" w:color="auto"/>
        <w:right w:val="none" w:sz="0" w:space="0" w:color="auto"/>
      </w:divBdr>
    </w:div>
    <w:div w:id="1541937440">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59442010">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581401236">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62810257">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01456633">
      <w:bodyDiv w:val="1"/>
      <w:marLeft w:val="0"/>
      <w:marRight w:val="0"/>
      <w:marTop w:val="0"/>
      <w:marBottom w:val="0"/>
      <w:divBdr>
        <w:top w:val="none" w:sz="0" w:space="0" w:color="auto"/>
        <w:left w:val="none" w:sz="0" w:space="0" w:color="auto"/>
        <w:bottom w:val="none" w:sz="0" w:space="0" w:color="auto"/>
        <w:right w:val="none" w:sz="0" w:space="0" w:color="auto"/>
      </w:divBdr>
    </w:div>
    <w:div w:id="1803843171">
      <w:bodyDiv w:val="1"/>
      <w:marLeft w:val="0"/>
      <w:marRight w:val="0"/>
      <w:marTop w:val="0"/>
      <w:marBottom w:val="0"/>
      <w:divBdr>
        <w:top w:val="none" w:sz="0" w:space="0" w:color="auto"/>
        <w:left w:val="none" w:sz="0" w:space="0" w:color="auto"/>
        <w:bottom w:val="none" w:sz="0" w:space="0" w:color="auto"/>
        <w:right w:val="none" w:sz="0" w:space="0" w:color="auto"/>
      </w:divBdr>
    </w:div>
    <w:div w:id="1820611364">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9658435">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74926354">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70892318">
      <w:bodyDiv w:val="1"/>
      <w:marLeft w:val="0"/>
      <w:marRight w:val="0"/>
      <w:marTop w:val="0"/>
      <w:marBottom w:val="0"/>
      <w:divBdr>
        <w:top w:val="none" w:sz="0" w:space="0" w:color="auto"/>
        <w:left w:val="none" w:sz="0" w:space="0" w:color="auto"/>
        <w:bottom w:val="none" w:sz="0" w:space="0" w:color="auto"/>
        <w:right w:val="none" w:sz="0" w:space="0" w:color="auto"/>
      </w:divBdr>
    </w:div>
    <w:div w:id="1979455154">
      <w:bodyDiv w:val="1"/>
      <w:marLeft w:val="0"/>
      <w:marRight w:val="0"/>
      <w:marTop w:val="0"/>
      <w:marBottom w:val="0"/>
      <w:divBdr>
        <w:top w:val="none" w:sz="0" w:space="0" w:color="auto"/>
        <w:left w:val="none" w:sz="0" w:space="0" w:color="auto"/>
        <w:bottom w:val="none" w:sz="0" w:space="0" w:color="auto"/>
        <w:right w:val="none" w:sz="0" w:space="0" w:color="auto"/>
      </w:divBdr>
    </w:div>
    <w:div w:id="1994026315">
      <w:bodyDiv w:val="1"/>
      <w:marLeft w:val="0"/>
      <w:marRight w:val="0"/>
      <w:marTop w:val="0"/>
      <w:marBottom w:val="0"/>
      <w:divBdr>
        <w:top w:val="none" w:sz="0" w:space="0" w:color="auto"/>
        <w:left w:val="none" w:sz="0" w:space="0" w:color="auto"/>
        <w:bottom w:val="none" w:sz="0" w:space="0" w:color="auto"/>
        <w:right w:val="none" w:sz="0" w:space="0" w:color="auto"/>
      </w:divBdr>
    </w:div>
    <w:div w:id="2013219584">
      <w:bodyDiv w:val="1"/>
      <w:marLeft w:val="0"/>
      <w:marRight w:val="0"/>
      <w:marTop w:val="0"/>
      <w:marBottom w:val="0"/>
      <w:divBdr>
        <w:top w:val="none" w:sz="0" w:space="0" w:color="auto"/>
        <w:left w:val="none" w:sz="0" w:space="0" w:color="auto"/>
        <w:bottom w:val="none" w:sz="0" w:space="0" w:color="auto"/>
        <w:right w:val="none" w:sz="0" w:space="0" w:color="auto"/>
      </w:divBdr>
    </w:div>
    <w:div w:id="2017994649">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4648398">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 w:id="213805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ngrants@hria.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CHI@Mas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endnotes.xml.rels><?xml version="1.0" encoding="UTF-8" standalone="yes"?>
<Relationships xmlns="http://schemas.openxmlformats.org/package/2006/relationships"><Relationship Id="rId8" Type="http://schemas.openxmlformats.org/officeDocument/2006/relationships/hyperlink" Target="https://www.cfaortho.com/media/news/2017/06/the-benefits-of-outpatient-surgical-centers" TargetMode="External"/><Relationship Id="rId13" Type="http://schemas.openxmlformats.org/officeDocument/2006/relationships/hyperlink" Target="https://www.ncbi.nlm.nih.gov/pmc/articles/PMC9998099/" TargetMode="External"/><Relationship Id="rId18" Type="http://schemas.openxmlformats.org/officeDocument/2006/relationships/hyperlink" Target="https://bcpsc.yitech.in/wp-content/uploads/2021/01/Grisel_2009.pdf" TargetMode="External"/><Relationship Id="rId3" Type="http://schemas.openxmlformats.org/officeDocument/2006/relationships/hyperlink" Target="https://jamanetwork.com/journals/jama/article-abstract/408575" TargetMode="External"/><Relationship Id="rId21" Type="http://schemas.openxmlformats.org/officeDocument/2006/relationships/hyperlink" Target="https://www.ascassociation.org/asca/about-ascs/savings/medicare-cost-savings/reducing-medicare-costs?_gl=1*1uyzq16*_ga*MTYxMjE1MzMyMy4xNzExNTQ5NTgw*_ga_5DE4L5HXFY*MTcxMTYzNTM1Ny41LjEuMTcxMTYzNjU2NS40MC4wLjA" TargetMode="External"/><Relationship Id="rId7" Type="http://schemas.openxmlformats.org/officeDocument/2006/relationships/hyperlink" Target="https://www.ingentaconnect.com/content/wk/mcar/2023/00000061/00000005/art00010" TargetMode="External"/><Relationship Id="rId12" Type="http://schemas.openxmlformats.org/officeDocument/2006/relationships/hyperlink" Target="https://www.ncbi.nlm.nih.gov/pmc/articles/PMC9998099/" TargetMode="External"/><Relationship Id="rId17" Type="http://schemas.openxmlformats.org/officeDocument/2006/relationships/hyperlink" Target="https://www.ncbi.nlm.nih.gov/pmc/articles/PMC3839960/" TargetMode="External"/><Relationship Id="rId2" Type="http://schemas.openxmlformats.org/officeDocument/2006/relationships/hyperlink" Target="https://www.mass.gov/files/documents/2016/07/wb/healthy-aging-data-report.pdf" TargetMode="External"/><Relationship Id="rId16" Type="http://schemas.openxmlformats.org/officeDocument/2006/relationships/hyperlink" Target="https://www.ncbi.nlm.nih.gov/pmc/articles/PMC3839960/" TargetMode="External"/><Relationship Id="rId20" Type="http://schemas.openxmlformats.org/officeDocument/2006/relationships/hyperlink" Target="https://www.mass.gov/files/documents/2018/12/31/jud-lib-105cmr100.pdf" TargetMode="External"/><Relationship Id="rId1" Type="http://schemas.openxmlformats.org/officeDocument/2006/relationships/hyperlink" Target="https://www.mass.gov/files/documents/2016/07/wb/healthy-aging-data-report.pdf" TargetMode="External"/><Relationship Id="rId6" Type="http://schemas.openxmlformats.org/officeDocument/2006/relationships/hyperlink" Target="https://www.ingentaconnect.com/content/wk/mcar/2023/00000061/00000005/art00010" TargetMode="External"/><Relationship Id="rId11" Type="http://schemas.openxmlformats.org/officeDocument/2006/relationships/hyperlink" Target="https://www.healthaffairs.org/doi/full/10.1377/hlthaff.2013.1281" TargetMode="External"/><Relationship Id="rId5" Type="http://schemas.openxmlformats.org/officeDocument/2006/relationships/hyperlink" Target="https://jamanetwork.com/journals/jama/article-abstract/408575" TargetMode="External"/><Relationship Id="rId15" Type="http://schemas.openxmlformats.org/officeDocument/2006/relationships/hyperlink" Target="https://www.hkmj.org/system/files/hkm1202p5.pdf" TargetMode="External"/><Relationship Id="rId10" Type="http://schemas.openxmlformats.org/officeDocument/2006/relationships/hyperlink" Target="https://www.healthaffairs.org/doi/full/10.1377/hlthaff.2013.1281)." TargetMode="External"/><Relationship Id="rId19" Type="http://schemas.openxmlformats.org/officeDocument/2006/relationships/hyperlink" Target="https://www.mass.gov/files/documents/2018/12/31/jud-lib-105cmr100.pdf" TargetMode="External"/><Relationship Id="rId4" Type="http://schemas.openxmlformats.org/officeDocument/2006/relationships/hyperlink" Target="https://jamanetwork.com/journals/jama/article-abstract/408575" TargetMode="External"/><Relationship Id="rId9" Type="http://schemas.openxmlformats.org/officeDocument/2006/relationships/hyperlink" Target="https://www.cfaortho.com/media/news/2017/06/the-benefits-of-outpatient-surgical-centers" TargetMode="External"/><Relationship Id="rId14" Type="http://schemas.openxmlformats.org/officeDocument/2006/relationships/hyperlink" Target="https://www.hkmj.org/system/files/hkm1202p5.pdf" TargetMode="External"/><Relationship Id="rId22" Type="http://schemas.openxmlformats.org/officeDocument/2006/relationships/hyperlink" Target="https://www.ascassociation.org/asca/about-ascs/savings/medicare-cost-savings/reducing-medicare-costs?_gl=1*1uyzq16*_ga*MTYxMjE1MzMyMy4xNzExNTQ5NTgw*_ga_5DE4L5HXFY*MTcxMTYzNTM1Ny41LjEuMTcxMTYzNjU2NS40MC4wLjA"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mass.gov/doc/minutes-from-june-7-2023-board-meeting/download)" TargetMode="External"/><Relationship Id="rId18" Type="http://schemas.openxmlformats.org/officeDocument/2006/relationships/hyperlink" Target="https://www.mass.gov/doc/2023-health-care-cost-trends-report/download" TargetMode="External"/><Relationship Id="rId26" Type="http://schemas.openxmlformats.org/officeDocument/2006/relationships/hyperlink" Target="https://www.mass.gov/doc/2022-cost-trends-report-chartpack/download" TargetMode="External"/><Relationship Id="rId3" Type="http://schemas.openxmlformats.org/officeDocument/2006/relationships/hyperlink" Target="https://www.mass.gov/doc/presentation-board-meeting-june-7-2023/download" TargetMode="External"/><Relationship Id="rId21" Type="http://schemas.openxmlformats.org/officeDocument/2006/relationships/hyperlink" Target="https://www.medpac.gov/document/march-2021-report-to-the-congress-medicare-payment-policy/" TargetMode="External"/><Relationship Id="rId34" Type="http://schemas.openxmlformats.org/officeDocument/2006/relationships/hyperlink" Target="https://www.mass.gov/doc/2021-cost-trends-report-chartpack/download" TargetMode="External"/><Relationship Id="rId7" Type="http://schemas.openxmlformats.org/officeDocument/2006/relationships/hyperlink" Target="https://www.mintz.com/sites/default/files/viewpoints/orig/8/2017/01/DPH-Final-PHC-Memo-Determination-of-Need-105-CMR-100.000-FINAL-1-11-17.pdf" TargetMode="External"/><Relationship Id="rId12" Type="http://schemas.openxmlformats.org/officeDocument/2006/relationships/hyperlink" Target="https://www.mass.gov/doc/2021-health-care-cost-trends-report/download" TargetMode="External"/><Relationship Id="rId17" Type="http://schemas.openxmlformats.org/officeDocument/2006/relationships/hyperlink" Target="https://www.mass.gov/doc/2023-health-care-cost-trends-report/download" TargetMode="External"/><Relationship Id="rId25" Type="http://schemas.openxmlformats.org/officeDocument/2006/relationships/hyperlink" Target="https://www.mass.gov/doc/2022-cost-trends-report-chartpack/download" TargetMode="External"/><Relationship Id="rId33" Type="http://schemas.openxmlformats.org/officeDocument/2006/relationships/hyperlink" Target="https://www.mass.gov/doc/2021-cost-trends-report-chartpack/download" TargetMode="External"/><Relationship Id="rId2" Type="http://schemas.openxmlformats.org/officeDocument/2006/relationships/hyperlink" Target="https://www.mass.gov/info-details/hpc-datapoints-issue-26" TargetMode="External"/><Relationship Id="rId16" Type="http://schemas.openxmlformats.org/officeDocument/2006/relationships/hyperlink" Target="https://www.beckersasc.com/asc-news/optum-vs-tenet-comparison-of-asc-networks.html?utm_campaign=asc&amp;utm_source=website&amp;utm_content=most-read" TargetMode="External"/><Relationship Id="rId20" Type="http://schemas.openxmlformats.org/officeDocument/2006/relationships/hyperlink" Target="https://www.medpac.gov/document/march-2022-report-to-the-congress-medicare-payment-policy/" TargetMode="External"/><Relationship Id="rId29" Type="http://schemas.openxmlformats.org/officeDocument/2006/relationships/hyperlink" Target="https://www.cms.gov/Medicare/Medicare-Fee-for-Service-Payment/HospitalOutpatientPPS/Downloads/CMS-1678-FC-2018-OPPS-FR-Claims-Accounting.pdf" TargetMode="External"/><Relationship Id="rId1" Type="http://schemas.openxmlformats.org/officeDocument/2006/relationships/hyperlink" Target="https://www.mass.gov/info-details/hpc-datapoints-issue-26" TargetMode="External"/><Relationship Id="rId6" Type="http://schemas.openxmlformats.org/officeDocument/2006/relationships/hyperlink" Target="https://www.mintz.com/sites/default/files/viewpoints/orig/8/2016/08/Proposed-Revision-Presentation-8.23.16.pdf" TargetMode="External"/><Relationship Id="rId11" Type="http://schemas.openxmlformats.org/officeDocument/2006/relationships/hyperlink" Target="https://www.mass.gov/doc/2021-health-care-cost-trends-report/download" TargetMode="External"/><Relationship Id="rId24" Type="http://schemas.openxmlformats.org/officeDocument/2006/relationships/hyperlink" Target="https://www.mass.gov/doc/2021-cost-trends-report-chartpack/download" TargetMode="External"/><Relationship Id="rId32" Type="http://schemas.openxmlformats.org/officeDocument/2006/relationships/hyperlink" Target="https://www.mass.gov/doc/presentation-board-meeting-june-8-2022/download" TargetMode="External"/><Relationship Id="rId5" Type="http://schemas.openxmlformats.org/officeDocument/2006/relationships/hyperlink" Target="https://www.mintz.com/sites/default/files/viewpoints/orig/8/2016/08/Proposed-Revision-Presentation-8.23.16.pdf" TargetMode="External"/><Relationship Id="rId15" Type="http://schemas.openxmlformats.org/officeDocument/2006/relationships/hyperlink" Target="https://www.beckersasc.com/asc-transactions-and-valuation-issues/uspi-hca-more-5-year-asc-company-growth-breakdown.html" TargetMode="External"/><Relationship Id="rId23" Type="http://schemas.openxmlformats.org/officeDocument/2006/relationships/hyperlink" Target="https://www.mass.gov/doc/2021-cost-trends-report-chartpack/download" TargetMode="External"/><Relationship Id="rId28" Type="http://schemas.openxmlformats.org/officeDocument/2006/relationships/hyperlink" Target="https://www.mass.gov/doc/2023-health-care-cost-trends-report/download" TargetMode="External"/><Relationship Id="rId36" Type="http://schemas.openxmlformats.org/officeDocument/2006/relationships/hyperlink" Target="https://www.mass.gov/doc/2022-cost-trends-report-chartpack/download" TargetMode="External"/><Relationship Id="rId10" Type="http://schemas.openxmlformats.org/officeDocument/2006/relationships/hyperlink" Target="https://www.mass.gov/info-details/masshealth-redetermination-dashboard" TargetMode="External"/><Relationship Id="rId19" Type="http://schemas.openxmlformats.org/officeDocument/2006/relationships/hyperlink" Target="https://www.medpac.gov/document/march-2022-report-to-the-congress-medicare-payment-policy/" TargetMode="External"/><Relationship Id="rId31" Type="http://schemas.openxmlformats.org/officeDocument/2006/relationships/hyperlink" Target="https://www.mass.gov/doc/presentation-board-meeting-june-8-2022/download" TargetMode="External"/><Relationship Id="rId4" Type="http://schemas.openxmlformats.org/officeDocument/2006/relationships/hyperlink" Target="https://www.mass.gov/doc/presentation-board-meeting-june-7-2023/download" TargetMode="External"/><Relationship Id="rId9" Type="http://schemas.openxmlformats.org/officeDocument/2006/relationships/hyperlink" Target="https://www.mass.gov/info-details/masshealth-redetermination-dashboard" TargetMode="External"/><Relationship Id="rId14" Type="http://schemas.openxmlformats.org/officeDocument/2006/relationships/hyperlink" Target="https://www.mass.gov/doc/minutes-from-june-7-2023-board-meeting/download" TargetMode="External"/><Relationship Id="rId22" Type="http://schemas.openxmlformats.org/officeDocument/2006/relationships/hyperlink" Target="https://www.medpac.gov/document/march-2021-report-to-the-congress-medicare-payment-policy/" TargetMode="External"/><Relationship Id="rId27" Type="http://schemas.openxmlformats.org/officeDocument/2006/relationships/hyperlink" Target="https://www.mass.gov/doc/2023-health-care-cost-trends-report/download" TargetMode="External"/><Relationship Id="rId30" Type="http://schemas.openxmlformats.org/officeDocument/2006/relationships/hyperlink" Target="https://www.cms.gov/Medicare/Medicare-Fee-for-Service-Payment/HospitalOutpatientPPS/Downloads/CMS-1678-FC-2018-OPPS-FR-Claims-Accounting.pdf" TargetMode="External"/><Relationship Id="rId35" Type="http://schemas.openxmlformats.org/officeDocument/2006/relationships/hyperlink" Target="https://www.mass.gov/doc/2022-cost-trends-report-chartpack/download" TargetMode="External"/><Relationship Id="rId8" Type="http://schemas.openxmlformats.org/officeDocument/2006/relationships/hyperlink" Target="https://www.mintz.com/sites/default/files/viewpoints/orig/8/2017/01/DPH-Final-PHC-Memo-Determination-of-Need-105-CMR-100.000-FINAL-1-11-17.pdf" TargetMode="External"/></Relationships>
</file>

<file path=word/documenttasks/documenttasks1.xml><?xml version="1.0" encoding="utf-8"?>
<t:Tasks xmlns:t="http://schemas.microsoft.com/office/tasks/2019/documenttasks" xmlns:oel="http://schemas.microsoft.com/office/2019/extlst">
  <t:Task id="{DF73107E-6443-4059-961B-4EC4124C4019}">
    <t:Anchor>
      <t:Comment id="2057856097"/>
    </t:Anchor>
    <t:History>
      <t:Event id="{AABF44DE-DA24-466E-8642-45F4890DA1D5}" time="2024-11-20T15:29:04.161Z">
        <t:Attribution userId="S::lynn.conover@mass.gov::80fca536-9167-4724-8ea0-25041d209e9d" userProvider="AD" userName="Conover, Lynn (DPH)"/>
        <t:Anchor>
          <t:Comment id="1415948491"/>
        </t:Anchor>
        <t:Create/>
      </t:Event>
      <t:Event id="{E75A8AE9-CA05-441C-80A1-5FE8A55189F4}" time="2024-11-20T15:29:04.161Z">
        <t:Attribution userId="S::lynn.conover@mass.gov::80fca536-9167-4724-8ea0-25041d209e9d" userProvider="AD" userName="Conover, Lynn (DPH)"/>
        <t:Anchor>
          <t:Comment id="1415948491"/>
        </t:Anchor>
        <t:Assign userId="S::Torey.McNamara@mass.gov::b32fb533-af4f-4b36-a14b-9287fe83d78b" userProvider="AD" userName="McNamara, Torey (DPH)"/>
      </t:Event>
      <t:Event id="{6D358492-8E4F-4572-ABCE-71F139D35760}" time="2024-11-20T15:29:04.161Z">
        <t:Attribution userId="S::lynn.conover@mass.gov::80fca536-9167-4724-8ea0-25041d209e9d" userProvider="AD" userName="Conover, Lynn (DPH)"/>
        <t:Anchor>
          <t:Comment id="1415948491"/>
        </t:Anchor>
        <t:SetTitle title="@McNamara, Torey (DPH) I'm sorry, I don't understand the question, because the paragraph doesn't mention HOPD?"/>
      </t:Event>
    </t:History>
  </t:Task>
</t:Task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195</TotalTime>
  <Pages>28</Pages>
  <Words>9487</Words>
  <Characters>54078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52</cp:revision>
  <cp:lastPrinted>2024-11-01T16:31:00Z</cp:lastPrinted>
  <dcterms:created xsi:type="dcterms:W3CDTF">2024-12-05T21:33:00Z</dcterms:created>
  <dcterms:modified xsi:type="dcterms:W3CDTF">2024-12-17T18:50:00Z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