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05" w:type="dxa"/>
        <w:tblInd w:w="445" w:type="dxa"/>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Shields PET-CT at &#10;Heywood Healthcare, LLC&#10;Applicant Address  700 Congress Street, Suite 204&#10;Quincy, MA 02169 &#10;Filing Date July 29, 2021&#10;Type of DoN Application Substantial Change in Service – &#10;DoN-Required Equipment&#10;Total Value $2,570,562.00 &#10;Project Number 21021213-HS&#10;Ten Taxpayer Group (TTG) None&#10;Community Health Initiative (CHI)  $128,528.10&#10;Staff Recommendation Approval &#10;Delegated Review Commissioner Approval&#10;Project Summary and Regulatory Review&#10;Shields PET-CT at Heywood Healthcare, LLC (Applicant) submitted a DoN Application for a Substantial Change in Service to establish a licensed clinic to provide magnetic &#10;resonance imaging (MRI) services at Heywood Hospital six days a week and mobile positron emission tomography-computed tomography (PET-CT) imaging services at Athol Hospital one day a week. The Applicant is a newly formed joint venture between Shields Health Care Group, Inc. and Heywood Healthcare, Inc. that replaces an existing contract with an imaging vendor for the same service. The existing contract with the imaging vendor is ending and the Applicant seeks to fulfill the need for MRI and PET-CT services. The capital expenditure for the Proposed Project is $2,570,562.00; the Community Health Initiatives (CHI) contribution is $128,528.10.&#10;&#10;This DoN application falls within the definition of Substantial Change in Servic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
      </w:tblPr>
      <w:tblGrid>
        <w:gridCol w:w="4135"/>
        <w:gridCol w:w="4770"/>
      </w:tblGrid>
      <w:tr w:rsidR="00C67E7D" w:rsidRPr="007B1C0B" w14:paraId="2C2C53A7" w14:textId="77777777" w:rsidTr="00A62C5B">
        <w:trPr>
          <w:trHeight w:val="620"/>
          <w:tblHeader/>
        </w:trPr>
        <w:tc>
          <w:tcPr>
            <w:tcW w:w="8905" w:type="dxa"/>
            <w:gridSpan w:val="2"/>
            <w:shd w:val="clear" w:color="auto" w:fill="EBFFFF"/>
            <w:vAlign w:val="center"/>
          </w:tcPr>
          <w:p w14:paraId="1D038C5B" w14:textId="63040787" w:rsidR="00C67E7D" w:rsidRPr="00515206" w:rsidRDefault="00C67E7D" w:rsidP="00A62C5B">
            <w:pPr>
              <w:pStyle w:val="Header"/>
              <w:tabs>
                <w:tab w:val="clear" w:pos="9360"/>
                <w:tab w:val="right" w:pos="8702"/>
              </w:tabs>
              <w:ind w:right="-15"/>
              <w:contextualSpacing/>
              <w:jc w:val="center"/>
              <w:rPr>
                <w:rFonts w:cstheme="minorHAnsi"/>
                <w:b/>
                <w:sz w:val="24"/>
                <w:szCs w:val="24"/>
              </w:rPr>
            </w:pPr>
            <w:r w:rsidRPr="00515206">
              <w:rPr>
                <w:rFonts w:cstheme="minorHAnsi"/>
                <w:b/>
                <w:sz w:val="24"/>
                <w:szCs w:val="24"/>
              </w:rPr>
              <w:t xml:space="preserve">STAFF </w:t>
            </w:r>
            <w:r>
              <w:rPr>
                <w:rFonts w:cstheme="minorHAnsi"/>
                <w:b/>
                <w:sz w:val="24"/>
                <w:szCs w:val="24"/>
              </w:rPr>
              <w:t xml:space="preserve">MEMORANDUM </w:t>
            </w:r>
            <w:r w:rsidRPr="00515206">
              <w:rPr>
                <w:rFonts w:cstheme="minorHAnsi"/>
                <w:b/>
                <w:sz w:val="24"/>
                <w:szCs w:val="24"/>
              </w:rPr>
              <w:t xml:space="preserve">TO THE </w:t>
            </w:r>
            <w:r>
              <w:rPr>
                <w:rFonts w:cstheme="minorHAnsi"/>
                <w:b/>
                <w:sz w:val="24"/>
                <w:szCs w:val="24"/>
              </w:rPr>
              <w:t>COMMISSIONER FOR DETERMINATION OF NEED</w:t>
            </w:r>
          </w:p>
        </w:tc>
      </w:tr>
      <w:tr w:rsidR="00D56F42" w:rsidRPr="007B1C0B" w14:paraId="7F32B9E5" w14:textId="77777777" w:rsidTr="00A62C5B">
        <w:trPr>
          <w:trHeight w:val="413"/>
        </w:trPr>
        <w:tc>
          <w:tcPr>
            <w:tcW w:w="4135" w:type="dxa"/>
            <w:shd w:val="clear" w:color="auto" w:fill="auto"/>
            <w:vAlign w:val="center"/>
          </w:tcPr>
          <w:p w14:paraId="3B920A48" w14:textId="77777777" w:rsidR="00160AB0" w:rsidRPr="00515206" w:rsidRDefault="00160AB0" w:rsidP="00A62C5B">
            <w:pPr>
              <w:ind w:right="540"/>
              <w:contextualSpacing/>
              <w:rPr>
                <w:rFonts w:cstheme="minorHAnsi"/>
                <w:sz w:val="24"/>
                <w:szCs w:val="24"/>
              </w:rPr>
            </w:pPr>
            <w:r w:rsidRPr="00515206">
              <w:rPr>
                <w:rFonts w:cstheme="minorHAnsi"/>
                <w:sz w:val="24"/>
                <w:szCs w:val="24"/>
              </w:rPr>
              <w:t xml:space="preserve">Applicant Name </w:t>
            </w:r>
          </w:p>
        </w:tc>
        <w:tc>
          <w:tcPr>
            <w:tcW w:w="4770" w:type="dxa"/>
            <w:shd w:val="clear" w:color="auto" w:fill="auto"/>
            <w:vAlign w:val="center"/>
          </w:tcPr>
          <w:p w14:paraId="6CA1331C" w14:textId="36E4123D" w:rsidR="00160AB0" w:rsidRPr="00515206" w:rsidRDefault="00C67E7D" w:rsidP="00A62C5B">
            <w:pPr>
              <w:ind w:right="540"/>
              <w:contextualSpacing/>
              <w:rPr>
                <w:rFonts w:cstheme="minorHAnsi"/>
                <w:sz w:val="24"/>
                <w:szCs w:val="24"/>
              </w:rPr>
            </w:pPr>
            <w:r>
              <w:rPr>
                <w:rFonts w:cstheme="minorHAnsi"/>
                <w:sz w:val="24"/>
                <w:szCs w:val="24"/>
              </w:rPr>
              <w:t>Atrius Health</w:t>
            </w:r>
            <w:r w:rsidR="00AA738A">
              <w:rPr>
                <w:rFonts w:cstheme="minorHAnsi"/>
                <w:sz w:val="24"/>
                <w:szCs w:val="24"/>
              </w:rPr>
              <w:t>, Inc.</w:t>
            </w:r>
          </w:p>
        </w:tc>
      </w:tr>
      <w:tr w:rsidR="00D56F42" w:rsidRPr="007B1C0B" w14:paraId="609833F3" w14:textId="77777777" w:rsidTr="00A62C5B">
        <w:trPr>
          <w:trHeight w:val="357"/>
        </w:trPr>
        <w:tc>
          <w:tcPr>
            <w:tcW w:w="4135" w:type="dxa"/>
            <w:shd w:val="clear" w:color="auto" w:fill="auto"/>
            <w:vAlign w:val="center"/>
          </w:tcPr>
          <w:p w14:paraId="581288CA" w14:textId="77777777" w:rsidR="00160AB0" w:rsidRPr="00515206" w:rsidRDefault="00160AB0" w:rsidP="00A62C5B">
            <w:pPr>
              <w:ind w:right="540"/>
              <w:contextualSpacing/>
              <w:rPr>
                <w:rFonts w:cstheme="minorHAnsi"/>
                <w:sz w:val="24"/>
                <w:szCs w:val="24"/>
              </w:rPr>
            </w:pPr>
            <w:r w:rsidRPr="00515206">
              <w:rPr>
                <w:rFonts w:cstheme="minorHAnsi"/>
                <w:sz w:val="24"/>
                <w:szCs w:val="24"/>
              </w:rPr>
              <w:t xml:space="preserve">Applicant Address </w:t>
            </w:r>
          </w:p>
        </w:tc>
        <w:tc>
          <w:tcPr>
            <w:tcW w:w="4770" w:type="dxa"/>
            <w:shd w:val="clear" w:color="auto" w:fill="auto"/>
            <w:vAlign w:val="center"/>
          </w:tcPr>
          <w:p w14:paraId="30C3BF8C" w14:textId="293450DE" w:rsidR="002F7433" w:rsidRPr="00515206" w:rsidRDefault="00C67E7D" w:rsidP="00A62C5B">
            <w:pPr>
              <w:ind w:right="540"/>
              <w:contextualSpacing/>
              <w:rPr>
                <w:rFonts w:cstheme="minorHAnsi"/>
                <w:sz w:val="24"/>
                <w:szCs w:val="24"/>
                <w:lang w:val="fr-FR"/>
              </w:rPr>
            </w:pPr>
            <w:r w:rsidRPr="00C67E7D">
              <w:rPr>
                <w:rFonts w:cstheme="minorHAnsi"/>
                <w:sz w:val="24"/>
                <w:szCs w:val="24"/>
                <w:lang w:val="fr-FR"/>
              </w:rPr>
              <w:t xml:space="preserve">36 Shops at 5 </w:t>
            </w:r>
            <w:proofErr w:type="spellStart"/>
            <w:r w:rsidRPr="00C67E7D">
              <w:rPr>
                <w:rFonts w:cstheme="minorHAnsi"/>
                <w:sz w:val="24"/>
                <w:szCs w:val="24"/>
                <w:lang w:val="fr-FR"/>
              </w:rPr>
              <w:t>Way</w:t>
            </w:r>
            <w:proofErr w:type="spellEnd"/>
            <w:r>
              <w:rPr>
                <w:rFonts w:cstheme="minorHAnsi"/>
                <w:sz w:val="24"/>
                <w:szCs w:val="24"/>
                <w:lang w:val="fr-FR"/>
              </w:rPr>
              <w:t xml:space="preserve">, Plymouth, MA </w:t>
            </w:r>
            <w:r w:rsidRPr="00C67E7D">
              <w:rPr>
                <w:rFonts w:cstheme="minorHAnsi"/>
                <w:sz w:val="24"/>
                <w:szCs w:val="24"/>
                <w:lang w:val="fr-FR"/>
              </w:rPr>
              <w:t>02360</w:t>
            </w:r>
          </w:p>
        </w:tc>
      </w:tr>
      <w:tr w:rsidR="00D56F42" w:rsidRPr="007B1C0B" w14:paraId="4C4B7FF5" w14:textId="77777777" w:rsidTr="00A62C5B">
        <w:trPr>
          <w:trHeight w:val="377"/>
        </w:trPr>
        <w:tc>
          <w:tcPr>
            <w:tcW w:w="4135" w:type="dxa"/>
            <w:shd w:val="clear" w:color="auto" w:fill="auto"/>
            <w:vAlign w:val="center"/>
          </w:tcPr>
          <w:p w14:paraId="4A0DE62A" w14:textId="77777777" w:rsidR="00160AB0" w:rsidRPr="00515206" w:rsidRDefault="00160AB0" w:rsidP="00A62C5B">
            <w:pPr>
              <w:ind w:right="540"/>
              <w:contextualSpacing/>
              <w:rPr>
                <w:rFonts w:cstheme="minorHAnsi"/>
                <w:sz w:val="24"/>
                <w:szCs w:val="24"/>
              </w:rPr>
            </w:pPr>
            <w:r w:rsidRPr="00515206">
              <w:rPr>
                <w:rFonts w:cstheme="minorHAnsi"/>
                <w:sz w:val="24"/>
                <w:szCs w:val="24"/>
              </w:rPr>
              <w:t>Filing Date</w:t>
            </w:r>
          </w:p>
        </w:tc>
        <w:tc>
          <w:tcPr>
            <w:tcW w:w="4770" w:type="dxa"/>
            <w:shd w:val="clear" w:color="auto" w:fill="auto"/>
            <w:vAlign w:val="center"/>
          </w:tcPr>
          <w:p w14:paraId="1243C0E3" w14:textId="0DEF4178" w:rsidR="00160AB0" w:rsidRPr="00515206" w:rsidRDefault="005C43DE" w:rsidP="00A62C5B">
            <w:pPr>
              <w:ind w:right="-20"/>
              <w:contextualSpacing/>
              <w:rPr>
                <w:rFonts w:cstheme="minorHAnsi"/>
                <w:sz w:val="24"/>
                <w:szCs w:val="24"/>
              </w:rPr>
            </w:pPr>
            <w:r>
              <w:rPr>
                <w:rFonts w:cstheme="minorHAnsi"/>
                <w:sz w:val="24"/>
                <w:szCs w:val="24"/>
              </w:rPr>
              <w:t>January 5, 2023</w:t>
            </w:r>
          </w:p>
        </w:tc>
      </w:tr>
      <w:tr w:rsidR="00D56F42" w:rsidRPr="007B1C0B" w14:paraId="1B0D35F0" w14:textId="77777777" w:rsidTr="00A62C5B">
        <w:trPr>
          <w:trHeight w:val="350"/>
        </w:trPr>
        <w:tc>
          <w:tcPr>
            <w:tcW w:w="4135" w:type="dxa"/>
            <w:shd w:val="clear" w:color="auto" w:fill="auto"/>
            <w:vAlign w:val="center"/>
          </w:tcPr>
          <w:p w14:paraId="0778BC63" w14:textId="77777777" w:rsidR="00160AB0" w:rsidRPr="00515206" w:rsidRDefault="00160AB0" w:rsidP="00A62C5B">
            <w:pPr>
              <w:ind w:right="540"/>
              <w:contextualSpacing/>
              <w:rPr>
                <w:rFonts w:cstheme="minorHAnsi"/>
                <w:sz w:val="24"/>
                <w:szCs w:val="24"/>
              </w:rPr>
            </w:pPr>
            <w:r w:rsidRPr="00515206">
              <w:rPr>
                <w:rFonts w:cstheme="minorHAnsi"/>
                <w:sz w:val="24"/>
                <w:szCs w:val="24"/>
              </w:rPr>
              <w:t>Type of DoN Application</w:t>
            </w:r>
          </w:p>
        </w:tc>
        <w:tc>
          <w:tcPr>
            <w:tcW w:w="4770" w:type="dxa"/>
            <w:shd w:val="clear" w:color="auto" w:fill="auto"/>
            <w:vAlign w:val="center"/>
          </w:tcPr>
          <w:p w14:paraId="51E36101" w14:textId="7E9D4600" w:rsidR="00160AB0" w:rsidRPr="00515206" w:rsidRDefault="002F7433" w:rsidP="00A62C5B">
            <w:pPr>
              <w:ind w:right="-110"/>
              <w:contextualSpacing/>
              <w:rPr>
                <w:rFonts w:cstheme="minorHAnsi"/>
                <w:sz w:val="24"/>
                <w:szCs w:val="24"/>
              </w:rPr>
            </w:pPr>
            <w:r>
              <w:rPr>
                <w:rFonts w:cstheme="minorHAnsi"/>
                <w:sz w:val="24"/>
                <w:szCs w:val="24"/>
              </w:rPr>
              <w:t>DoN-</w:t>
            </w:r>
            <w:r w:rsidR="003A18FD">
              <w:rPr>
                <w:rFonts w:cstheme="minorHAnsi"/>
                <w:sz w:val="24"/>
                <w:szCs w:val="24"/>
              </w:rPr>
              <w:t>R</w:t>
            </w:r>
            <w:r>
              <w:rPr>
                <w:rFonts w:cstheme="minorHAnsi"/>
                <w:sz w:val="24"/>
                <w:szCs w:val="24"/>
              </w:rPr>
              <w:t xml:space="preserve">equired </w:t>
            </w:r>
            <w:r w:rsidR="005C43DE">
              <w:rPr>
                <w:rFonts w:cstheme="minorHAnsi"/>
                <w:sz w:val="24"/>
                <w:szCs w:val="24"/>
              </w:rPr>
              <w:t>E</w:t>
            </w:r>
            <w:r>
              <w:rPr>
                <w:rFonts w:cstheme="minorHAnsi"/>
                <w:sz w:val="24"/>
                <w:szCs w:val="24"/>
              </w:rPr>
              <w:t>quipment</w:t>
            </w:r>
          </w:p>
        </w:tc>
      </w:tr>
      <w:tr w:rsidR="00D56F42" w:rsidRPr="007B1C0B" w14:paraId="5731A9F2" w14:textId="77777777" w:rsidTr="00A62C5B">
        <w:trPr>
          <w:trHeight w:val="350"/>
        </w:trPr>
        <w:tc>
          <w:tcPr>
            <w:tcW w:w="4135" w:type="dxa"/>
            <w:shd w:val="clear" w:color="auto" w:fill="auto"/>
            <w:vAlign w:val="center"/>
          </w:tcPr>
          <w:p w14:paraId="64DAF21B" w14:textId="7CE17D86" w:rsidR="00160AB0" w:rsidRPr="00515206" w:rsidRDefault="00160AB0" w:rsidP="00A62C5B">
            <w:pPr>
              <w:ind w:right="540"/>
              <w:contextualSpacing/>
              <w:rPr>
                <w:rFonts w:cstheme="minorHAnsi"/>
                <w:sz w:val="24"/>
                <w:szCs w:val="24"/>
              </w:rPr>
            </w:pPr>
            <w:r w:rsidRPr="00515206">
              <w:rPr>
                <w:rFonts w:cstheme="minorHAnsi"/>
                <w:sz w:val="24"/>
                <w:szCs w:val="24"/>
              </w:rPr>
              <w:t>Total Value</w:t>
            </w:r>
          </w:p>
        </w:tc>
        <w:tc>
          <w:tcPr>
            <w:tcW w:w="4770" w:type="dxa"/>
            <w:shd w:val="clear" w:color="auto" w:fill="auto"/>
            <w:vAlign w:val="center"/>
          </w:tcPr>
          <w:p w14:paraId="3E86DF4F" w14:textId="001F1CFE" w:rsidR="00160AB0" w:rsidRPr="005C43DE" w:rsidRDefault="00C67E7D" w:rsidP="00A62C5B">
            <w:pPr>
              <w:ind w:right="540"/>
              <w:contextualSpacing/>
              <w:rPr>
                <w:rFonts w:cstheme="minorHAnsi"/>
                <w:sz w:val="24"/>
                <w:szCs w:val="24"/>
              </w:rPr>
            </w:pPr>
            <w:r w:rsidRPr="005C43DE">
              <w:rPr>
                <w:rFonts w:cstheme="minorHAnsi"/>
                <w:sz w:val="24"/>
                <w:szCs w:val="24"/>
              </w:rPr>
              <w:t>$978,000.00</w:t>
            </w:r>
          </w:p>
        </w:tc>
      </w:tr>
      <w:tr w:rsidR="00D56F42" w:rsidRPr="007B1C0B" w14:paraId="2AFF7358" w14:textId="77777777" w:rsidTr="00A62C5B">
        <w:trPr>
          <w:trHeight w:val="350"/>
        </w:trPr>
        <w:tc>
          <w:tcPr>
            <w:tcW w:w="4135" w:type="dxa"/>
            <w:shd w:val="clear" w:color="auto" w:fill="auto"/>
            <w:vAlign w:val="center"/>
          </w:tcPr>
          <w:p w14:paraId="2751975C" w14:textId="77777777" w:rsidR="00160AB0" w:rsidRPr="00515206" w:rsidRDefault="00160AB0" w:rsidP="00A62C5B">
            <w:pPr>
              <w:ind w:right="540"/>
              <w:contextualSpacing/>
              <w:rPr>
                <w:rFonts w:cstheme="minorHAnsi"/>
                <w:sz w:val="24"/>
                <w:szCs w:val="24"/>
              </w:rPr>
            </w:pPr>
            <w:r w:rsidRPr="00515206">
              <w:rPr>
                <w:rFonts w:cstheme="minorHAnsi"/>
                <w:sz w:val="24"/>
                <w:szCs w:val="24"/>
              </w:rPr>
              <w:t>Project Number</w:t>
            </w:r>
          </w:p>
        </w:tc>
        <w:tc>
          <w:tcPr>
            <w:tcW w:w="4770" w:type="dxa"/>
            <w:shd w:val="clear" w:color="auto" w:fill="auto"/>
            <w:vAlign w:val="center"/>
          </w:tcPr>
          <w:p w14:paraId="0028743A" w14:textId="4324DFE7" w:rsidR="00160AB0" w:rsidRPr="00515206" w:rsidRDefault="00C67E7D" w:rsidP="00A62C5B">
            <w:pPr>
              <w:ind w:right="540"/>
              <w:contextualSpacing/>
              <w:rPr>
                <w:rFonts w:cstheme="minorHAnsi"/>
                <w:sz w:val="24"/>
                <w:szCs w:val="24"/>
              </w:rPr>
            </w:pPr>
            <w:r w:rsidRPr="00C67E7D">
              <w:rPr>
                <w:rFonts w:cstheme="minorHAnsi"/>
                <w:sz w:val="24"/>
                <w:szCs w:val="24"/>
              </w:rPr>
              <w:t>-22101711-RE</w:t>
            </w:r>
          </w:p>
        </w:tc>
      </w:tr>
      <w:tr w:rsidR="00D56F42" w:rsidRPr="007B1C0B" w14:paraId="4807841F" w14:textId="77777777" w:rsidTr="00A62C5B">
        <w:trPr>
          <w:trHeight w:val="350"/>
        </w:trPr>
        <w:tc>
          <w:tcPr>
            <w:tcW w:w="4135" w:type="dxa"/>
            <w:shd w:val="clear" w:color="auto" w:fill="auto"/>
            <w:vAlign w:val="center"/>
          </w:tcPr>
          <w:p w14:paraId="24F8B922" w14:textId="458382D3" w:rsidR="00160AB0" w:rsidRPr="00515206" w:rsidRDefault="00160AB0" w:rsidP="00A62C5B">
            <w:pPr>
              <w:ind w:right="-110"/>
              <w:contextualSpacing/>
              <w:rPr>
                <w:rFonts w:cstheme="minorHAnsi"/>
                <w:sz w:val="24"/>
                <w:szCs w:val="24"/>
              </w:rPr>
            </w:pPr>
            <w:r w:rsidRPr="00515206">
              <w:rPr>
                <w:rFonts w:cstheme="minorHAnsi"/>
                <w:sz w:val="24"/>
                <w:szCs w:val="24"/>
              </w:rPr>
              <w:t>Ten Taxpayer Group</w:t>
            </w:r>
          </w:p>
        </w:tc>
        <w:tc>
          <w:tcPr>
            <w:tcW w:w="4770" w:type="dxa"/>
            <w:shd w:val="clear" w:color="auto" w:fill="auto"/>
            <w:vAlign w:val="center"/>
          </w:tcPr>
          <w:p w14:paraId="74E31E1F" w14:textId="6CB33F39" w:rsidR="00160AB0" w:rsidRPr="00515206" w:rsidRDefault="009C026F" w:rsidP="00A62C5B">
            <w:pPr>
              <w:ind w:right="540"/>
              <w:contextualSpacing/>
              <w:rPr>
                <w:rFonts w:cstheme="minorHAnsi"/>
                <w:sz w:val="24"/>
                <w:szCs w:val="24"/>
              </w:rPr>
            </w:pPr>
            <w:r>
              <w:rPr>
                <w:rFonts w:cstheme="minorHAnsi"/>
                <w:sz w:val="24"/>
                <w:szCs w:val="24"/>
              </w:rPr>
              <w:t>None</w:t>
            </w:r>
          </w:p>
        </w:tc>
      </w:tr>
      <w:tr w:rsidR="00D56F42" w:rsidRPr="007B1C0B" w14:paraId="556CA2F1" w14:textId="77777777" w:rsidTr="00A62C5B">
        <w:trPr>
          <w:trHeight w:val="350"/>
        </w:trPr>
        <w:tc>
          <w:tcPr>
            <w:tcW w:w="4135" w:type="dxa"/>
            <w:shd w:val="clear" w:color="auto" w:fill="auto"/>
            <w:vAlign w:val="center"/>
          </w:tcPr>
          <w:p w14:paraId="636472A6" w14:textId="66C6866E" w:rsidR="00160AB0" w:rsidRPr="00515206" w:rsidRDefault="00160AB0" w:rsidP="00A62C5B">
            <w:pPr>
              <w:ind w:right="540"/>
              <w:contextualSpacing/>
              <w:rPr>
                <w:rFonts w:cstheme="minorHAnsi"/>
                <w:sz w:val="24"/>
                <w:szCs w:val="24"/>
              </w:rPr>
            </w:pPr>
            <w:r w:rsidRPr="00515206">
              <w:rPr>
                <w:rFonts w:cstheme="minorHAnsi"/>
                <w:sz w:val="24"/>
                <w:szCs w:val="24"/>
              </w:rPr>
              <w:t xml:space="preserve">Community Health Initiative </w:t>
            </w:r>
          </w:p>
        </w:tc>
        <w:tc>
          <w:tcPr>
            <w:tcW w:w="4770" w:type="dxa"/>
            <w:shd w:val="clear" w:color="auto" w:fill="auto"/>
            <w:vAlign w:val="center"/>
          </w:tcPr>
          <w:p w14:paraId="1F8F3EE5" w14:textId="07557221" w:rsidR="00160AB0" w:rsidRPr="00515206" w:rsidRDefault="00C67E7D" w:rsidP="00A62C5B">
            <w:pPr>
              <w:ind w:right="540"/>
              <w:contextualSpacing/>
              <w:rPr>
                <w:rFonts w:cstheme="minorHAnsi"/>
                <w:sz w:val="24"/>
                <w:szCs w:val="24"/>
              </w:rPr>
            </w:pPr>
            <w:r w:rsidRPr="005C43DE">
              <w:rPr>
                <w:rFonts w:cstheme="minorHAnsi"/>
                <w:sz w:val="24"/>
                <w:szCs w:val="24"/>
              </w:rPr>
              <w:t>$48,900.00</w:t>
            </w:r>
          </w:p>
        </w:tc>
      </w:tr>
      <w:tr w:rsidR="00D56F42" w:rsidRPr="007B1C0B" w14:paraId="49280AA3" w14:textId="77777777" w:rsidTr="00A62C5B">
        <w:trPr>
          <w:trHeight w:val="350"/>
        </w:trPr>
        <w:tc>
          <w:tcPr>
            <w:tcW w:w="4135" w:type="dxa"/>
            <w:shd w:val="clear" w:color="auto" w:fill="auto"/>
            <w:vAlign w:val="center"/>
          </w:tcPr>
          <w:p w14:paraId="43B3E9E4" w14:textId="77777777" w:rsidR="00160AB0" w:rsidRPr="00515206" w:rsidRDefault="00160AB0" w:rsidP="00A62C5B">
            <w:pPr>
              <w:ind w:right="540"/>
              <w:contextualSpacing/>
              <w:rPr>
                <w:rFonts w:cstheme="minorHAnsi"/>
                <w:sz w:val="24"/>
                <w:szCs w:val="24"/>
              </w:rPr>
            </w:pPr>
            <w:r w:rsidRPr="00515206">
              <w:rPr>
                <w:rFonts w:cstheme="minorHAnsi"/>
                <w:sz w:val="24"/>
                <w:szCs w:val="24"/>
              </w:rPr>
              <w:t>Staff Recommendation</w:t>
            </w:r>
          </w:p>
        </w:tc>
        <w:tc>
          <w:tcPr>
            <w:tcW w:w="4770" w:type="dxa"/>
            <w:shd w:val="clear" w:color="auto" w:fill="auto"/>
            <w:vAlign w:val="center"/>
          </w:tcPr>
          <w:p w14:paraId="6820B0B5" w14:textId="058E7F68" w:rsidR="00160AB0" w:rsidRPr="00515206" w:rsidRDefault="002F7433" w:rsidP="00A62C5B">
            <w:pPr>
              <w:ind w:right="540"/>
              <w:contextualSpacing/>
              <w:rPr>
                <w:rFonts w:cstheme="minorHAnsi"/>
                <w:sz w:val="24"/>
                <w:szCs w:val="24"/>
              </w:rPr>
            </w:pPr>
            <w:r>
              <w:rPr>
                <w:rFonts w:cstheme="minorHAnsi"/>
                <w:sz w:val="24"/>
                <w:szCs w:val="24"/>
              </w:rPr>
              <w:t xml:space="preserve">Approval </w:t>
            </w:r>
          </w:p>
        </w:tc>
      </w:tr>
      <w:tr w:rsidR="00D56F42" w:rsidRPr="007B1C0B" w14:paraId="4931B4FD" w14:textId="77777777" w:rsidTr="00A62C5B">
        <w:trPr>
          <w:trHeight w:val="350"/>
        </w:trPr>
        <w:tc>
          <w:tcPr>
            <w:tcW w:w="4135" w:type="dxa"/>
            <w:shd w:val="clear" w:color="auto" w:fill="auto"/>
            <w:vAlign w:val="center"/>
          </w:tcPr>
          <w:p w14:paraId="202CE4DC" w14:textId="117619B0" w:rsidR="00160AB0" w:rsidRPr="00515206" w:rsidRDefault="00DF6160" w:rsidP="00A62C5B">
            <w:pPr>
              <w:ind w:right="540"/>
              <w:contextualSpacing/>
              <w:rPr>
                <w:rFonts w:cstheme="minorHAnsi"/>
                <w:sz w:val="24"/>
                <w:szCs w:val="24"/>
              </w:rPr>
            </w:pPr>
            <w:r>
              <w:rPr>
                <w:rFonts w:cstheme="minorHAnsi"/>
                <w:sz w:val="24"/>
                <w:szCs w:val="24"/>
              </w:rPr>
              <w:t xml:space="preserve">Type of </w:t>
            </w:r>
            <w:r w:rsidR="002F7433">
              <w:rPr>
                <w:rFonts w:cstheme="minorHAnsi"/>
                <w:sz w:val="24"/>
                <w:szCs w:val="24"/>
              </w:rPr>
              <w:t>Review</w:t>
            </w:r>
          </w:p>
        </w:tc>
        <w:tc>
          <w:tcPr>
            <w:tcW w:w="4770" w:type="dxa"/>
            <w:shd w:val="clear" w:color="auto" w:fill="auto"/>
            <w:vAlign w:val="center"/>
          </w:tcPr>
          <w:p w14:paraId="755496FF" w14:textId="17539136" w:rsidR="00160AB0" w:rsidRPr="00515206" w:rsidRDefault="00DF6160" w:rsidP="00A62C5B">
            <w:pPr>
              <w:ind w:right="540"/>
              <w:contextualSpacing/>
              <w:rPr>
                <w:rFonts w:cstheme="minorHAnsi"/>
                <w:sz w:val="24"/>
                <w:szCs w:val="24"/>
              </w:rPr>
            </w:pPr>
            <w:r>
              <w:rPr>
                <w:rFonts w:cstheme="minorHAnsi"/>
                <w:sz w:val="24"/>
                <w:szCs w:val="24"/>
              </w:rPr>
              <w:t>Delegated</w:t>
            </w:r>
          </w:p>
        </w:tc>
      </w:tr>
      <w:tr w:rsidR="00160AB0" w:rsidRPr="007B1C0B" w14:paraId="29258E59" w14:textId="77777777" w:rsidTr="00A62C5B">
        <w:trPr>
          <w:trHeight w:val="2436"/>
        </w:trPr>
        <w:tc>
          <w:tcPr>
            <w:tcW w:w="8905" w:type="dxa"/>
            <w:gridSpan w:val="2"/>
            <w:shd w:val="clear" w:color="auto" w:fill="auto"/>
            <w:vAlign w:val="center"/>
          </w:tcPr>
          <w:p w14:paraId="5AFA9818" w14:textId="77777777" w:rsidR="00DF6160" w:rsidRDefault="00DF6160" w:rsidP="00A62C5B">
            <w:pPr>
              <w:pStyle w:val="NoSpacing"/>
              <w:ind w:right="540"/>
              <w:contextualSpacing/>
              <w:rPr>
                <w:rFonts w:cstheme="minorHAnsi"/>
                <w:sz w:val="24"/>
                <w:szCs w:val="24"/>
                <w:u w:val="single"/>
              </w:rPr>
            </w:pPr>
          </w:p>
          <w:p w14:paraId="12F92D99" w14:textId="5CDB0FD0" w:rsidR="00160AB0" w:rsidRDefault="00160AB0" w:rsidP="00A62C5B">
            <w:pPr>
              <w:pStyle w:val="NoSpacing"/>
              <w:ind w:right="540"/>
              <w:contextualSpacing/>
              <w:rPr>
                <w:rFonts w:cstheme="minorHAnsi"/>
                <w:sz w:val="24"/>
                <w:szCs w:val="24"/>
                <w:u w:val="single"/>
              </w:rPr>
            </w:pPr>
            <w:r w:rsidRPr="00515206">
              <w:rPr>
                <w:rFonts w:cstheme="minorHAnsi"/>
                <w:sz w:val="24"/>
                <w:szCs w:val="24"/>
                <w:u w:val="single"/>
              </w:rPr>
              <w:t>Project Summary and Regulatory Review</w:t>
            </w:r>
          </w:p>
          <w:p w14:paraId="3CF34CEE" w14:textId="77777777" w:rsidR="00DF6160" w:rsidRPr="00515206" w:rsidRDefault="00DF6160" w:rsidP="00A62C5B">
            <w:pPr>
              <w:pStyle w:val="NoSpacing"/>
              <w:ind w:right="540"/>
              <w:contextualSpacing/>
              <w:rPr>
                <w:rFonts w:cstheme="minorHAnsi"/>
                <w:sz w:val="24"/>
                <w:szCs w:val="24"/>
              </w:rPr>
            </w:pPr>
          </w:p>
          <w:p w14:paraId="3FB424A5" w14:textId="68979A2F" w:rsidR="00FC6BE0" w:rsidRDefault="00CC45C8" w:rsidP="00A62C5B">
            <w:pPr>
              <w:pStyle w:val="NoSpacing"/>
              <w:contextualSpacing/>
              <w:rPr>
                <w:rFonts w:cstheme="minorHAnsi"/>
                <w:sz w:val="24"/>
                <w:szCs w:val="24"/>
              </w:rPr>
            </w:pPr>
            <w:r w:rsidRPr="00CC45C8">
              <w:rPr>
                <w:rFonts w:cstheme="minorHAnsi"/>
                <w:sz w:val="24"/>
                <w:szCs w:val="24"/>
              </w:rPr>
              <w:t>Atrius Health</w:t>
            </w:r>
            <w:r w:rsidR="00802ED8">
              <w:rPr>
                <w:rFonts w:cstheme="minorHAnsi"/>
                <w:sz w:val="24"/>
                <w:szCs w:val="24"/>
              </w:rPr>
              <w:t>, Inc.</w:t>
            </w:r>
            <w:r w:rsidRPr="00CC45C8">
              <w:rPr>
                <w:rFonts w:cstheme="minorHAnsi"/>
                <w:sz w:val="24"/>
                <w:szCs w:val="24"/>
              </w:rPr>
              <w:t xml:space="preserve"> </w:t>
            </w:r>
            <w:r w:rsidR="00FC6BE0">
              <w:rPr>
                <w:rFonts w:cstheme="minorHAnsi"/>
                <w:sz w:val="24"/>
                <w:szCs w:val="24"/>
              </w:rPr>
              <w:t>(Applicant</w:t>
            </w:r>
            <w:r w:rsidR="001C615E">
              <w:rPr>
                <w:rFonts w:cstheme="minorHAnsi"/>
                <w:sz w:val="24"/>
                <w:szCs w:val="24"/>
              </w:rPr>
              <w:t>, Atrius</w:t>
            </w:r>
            <w:r w:rsidR="00954166">
              <w:rPr>
                <w:rFonts w:cstheme="minorHAnsi"/>
                <w:sz w:val="24"/>
                <w:szCs w:val="24"/>
              </w:rPr>
              <w:t xml:space="preserve"> Health</w:t>
            </w:r>
            <w:r w:rsidR="00FC6BE0">
              <w:rPr>
                <w:rFonts w:cstheme="minorHAnsi"/>
                <w:sz w:val="24"/>
                <w:szCs w:val="24"/>
              </w:rPr>
              <w:t>)</w:t>
            </w:r>
            <w:r w:rsidR="00FC6BE0" w:rsidRPr="00FC6BE0">
              <w:rPr>
                <w:rFonts w:cstheme="minorHAnsi"/>
                <w:sz w:val="24"/>
                <w:szCs w:val="24"/>
              </w:rPr>
              <w:t xml:space="preserve"> submitted a DoN Application for a</w:t>
            </w:r>
            <w:r w:rsidR="00FC6BE0">
              <w:rPr>
                <w:rFonts w:cstheme="minorHAnsi"/>
                <w:sz w:val="24"/>
                <w:szCs w:val="24"/>
              </w:rPr>
              <w:t xml:space="preserve"> </w:t>
            </w:r>
            <w:r w:rsidR="00EB6BB2">
              <w:rPr>
                <w:rFonts w:cstheme="minorHAnsi"/>
                <w:sz w:val="24"/>
                <w:szCs w:val="24"/>
              </w:rPr>
              <w:t>S</w:t>
            </w:r>
            <w:r w:rsidR="00CB09D9">
              <w:rPr>
                <w:rFonts w:cstheme="minorHAnsi"/>
                <w:sz w:val="24"/>
                <w:szCs w:val="24"/>
              </w:rPr>
              <w:t xml:space="preserve">ubstantial </w:t>
            </w:r>
            <w:r w:rsidR="00EB6BB2">
              <w:rPr>
                <w:rFonts w:cstheme="minorHAnsi"/>
                <w:sz w:val="24"/>
                <w:szCs w:val="24"/>
              </w:rPr>
              <w:t>C</w:t>
            </w:r>
            <w:r w:rsidR="00CB09D9">
              <w:rPr>
                <w:rFonts w:cstheme="minorHAnsi"/>
                <w:sz w:val="24"/>
                <w:szCs w:val="24"/>
              </w:rPr>
              <w:t xml:space="preserve">hange in </w:t>
            </w:r>
            <w:r w:rsidR="00EB6BB2">
              <w:rPr>
                <w:rFonts w:cstheme="minorHAnsi"/>
                <w:sz w:val="24"/>
                <w:szCs w:val="24"/>
              </w:rPr>
              <w:t>S</w:t>
            </w:r>
            <w:r w:rsidR="00CB09D9">
              <w:rPr>
                <w:rFonts w:cstheme="minorHAnsi"/>
                <w:sz w:val="24"/>
                <w:szCs w:val="24"/>
              </w:rPr>
              <w:t xml:space="preserve">ervice to </w:t>
            </w:r>
            <w:r w:rsidR="00972EA8">
              <w:rPr>
                <w:rFonts w:cstheme="minorHAnsi"/>
                <w:sz w:val="24"/>
                <w:szCs w:val="24"/>
              </w:rPr>
              <w:t xml:space="preserve">provide </w:t>
            </w:r>
            <w:r>
              <w:rPr>
                <w:rFonts w:cstheme="minorHAnsi"/>
                <w:sz w:val="24"/>
                <w:szCs w:val="24"/>
              </w:rPr>
              <w:t>mobile magnetic resonance imaging (</w:t>
            </w:r>
            <w:r w:rsidRPr="00CC45C8">
              <w:rPr>
                <w:rFonts w:cstheme="minorHAnsi"/>
                <w:sz w:val="24"/>
                <w:szCs w:val="24"/>
              </w:rPr>
              <w:t>MRI</w:t>
            </w:r>
            <w:r>
              <w:rPr>
                <w:rFonts w:cstheme="minorHAnsi"/>
                <w:sz w:val="24"/>
                <w:szCs w:val="24"/>
              </w:rPr>
              <w:t>) service two days per week</w:t>
            </w:r>
            <w:r w:rsidR="00802ED8">
              <w:rPr>
                <w:rFonts w:cstheme="minorHAnsi"/>
                <w:sz w:val="24"/>
                <w:szCs w:val="24"/>
              </w:rPr>
              <w:t>,</w:t>
            </w:r>
            <w:r>
              <w:rPr>
                <w:rFonts w:cstheme="minorHAnsi"/>
                <w:sz w:val="24"/>
                <w:szCs w:val="24"/>
              </w:rPr>
              <w:t xml:space="preserve"> </w:t>
            </w:r>
            <w:r w:rsidRPr="00CC45C8">
              <w:rPr>
                <w:rFonts w:cstheme="minorHAnsi"/>
                <w:sz w:val="24"/>
                <w:szCs w:val="24"/>
              </w:rPr>
              <w:t xml:space="preserve">and </w:t>
            </w:r>
            <w:r>
              <w:rPr>
                <w:rFonts w:cstheme="minorHAnsi"/>
                <w:sz w:val="24"/>
                <w:szCs w:val="24"/>
              </w:rPr>
              <w:t xml:space="preserve">a fixed </w:t>
            </w:r>
            <w:r w:rsidRPr="00CC45C8">
              <w:rPr>
                <w:rFonts w:cstheme="minorHAnsi"/>
                <w:sz w:val="24"/>
                <w:szCs w:val="24"/>
              </w:rPr>
              <w:t xml:space="preserve">Computerized Tomography (CT) </w:t>
            </w:r>
            <w:r>
              <w:rPr>
                <w:rFonts w:cstheme="minorHAnsi"/>
                <w:sz w:val="24"/>
                <w:szCs w:val="24"/>
              </w:rPr>
              <w:t xml:space="preserve">unit </w:t>
            </w:r>
            <w:r w:rsidRPr="00CC45C8">
              <w:rPr>
                <w:rFonts w:cstheme="minorHAnsi"/>
                <w:sz w:val="24"/>
                <w:szCs w:val="24"/>
              </w:rPr>
              <w:t>at</w:t>
            </w:r>
            <w:r>
              <w:rPr>
                <w:rFonts w:cstheme="minorHAnsi"/>
                <w:sz w:val="24"/>
                <w:szCs w:val="24"/>
              </w:rPr>
              <w:t xml:space="preserve"> </w:t>
            </w:r>
            <w:r w:rsidR="00DF6160">
              <w:rPr>
                <w:rFonts w:cstheme="minorHAnsi"/>
                <w:sz w:val="24"/>
                <w:szCs w:val="24"/>
              </w:rPr>
              <w:t xml:space="preserve">a new satellite clinic located at </w:t>
            </w:r>
            <w:r w:rsidR="00AA738A" w:rsidRPr="00AA738A">
              <w:rPr>
                <w:rFonts w:cstheme="minorHAnsi"/>
                <w:sz w:val="24"/>
                <w:szCs w:val="24"/>
              </w:rPr>
              <w:t>36 Shops at 5 Way, Plymouth, MA 02360</w:t>
            </w:r>
            <w:r w:rsidR="00AA738A">
              <w:rPr>
                <w:rFonts w:cstheme="minorHAnsi"/>
                <w:sz w:val="24"/>
                <w:szCs w:val="24"/>
              </w:rPr>
              <w:t>.</w:t>
            </w:r>
            <w:r w:rsidRPr="00CC45C8">
              <w:rPr>
                <w:rFonts w:cstheme="minorHAnsi"/>
                <w:sz w:val="24"/>
                <w:szCs w:val="24"/>
              </w:rPr>
              <w:t xml:space="preserve"> </w:t>
            </w:r>
            <w:r w:rsidR="00AA738A">
              <w:rPr>
                <w:rFonts w:cstheme="minorHAnsi"/>
                <w:sz w:val="24"/>
                <w:szCs w:val="24"/>
              </w:rPr>
              <w:t>T</w:t>
            </w:r>
            <w:r w:rsidR="00FC6BE0" w:rsidRPr="00FC6BE0">
              <w:rPr>
                <w:rFonts w:cstheme="minorHAnsi"/>
                <w:sz w:val="24"/>
                <w:szCs w:val="24"/>
              </w:rPr>
              <w:t xml:space="preserve">he capital expenditure for the Proposed Project is </w:t>
            </w:r>
            <w:r w:rsidR="00FC6BE0" w:rsidRPr="005C43DE">
              <w:rPr>
                <w:rFonts w:cstheme="minorHAnsi"/>
                <w:sz w:val="24"/>
                <w:szCs w:val="24"/>
              </w:rPr>
              <w:t>$</w:t>
            </w:r>
            <w:r w:rsidR="005C43DE" w:rsidRPr="005C43DE">
              <w:rPr>
                <w:rFonts w:cstheme="minorHAnsi"/>
                <w:sz w:val="24"/>
                <w:szCs w:val="24"/>
              </w:rPr>
              <w:t>978,000</w:t>
            </w:r>
            <w:r w:rsidR="00FC6BE0" w:rsidRPr="00FC6BE0">
              <w:rPr>
                <w:rFonts w:cstheme="minorHAnsi"/>
                <w:sz w:val="24"/>
                <w:szCs w:val="24"/>
              </w:rPr>
              <w:t xml:space="preserve">; the Community Health Initiatives (CHI) contribution is </w:t>
            </w:r>
            <w:r w:rsidR="005C43DE">
              <w:rPr>
                <w:rFonts w:cstheme="minorHAnsi"/>
                <w:sz w:val="24"/>
                <w:szCs w:val="24"/>
              </w:rPr>
              <w:t>$48,900.</w:t>
            </w:r>
          </w:p>
          <w:p w14:paraId="51DC68F5" w14:textId="77777777" w:rsidR="00FC6BE0" w:rsidRDefault="00FC6BE0" w:rsidP="00A62C5B">
            <w:pPr>
              <w:pStyle w:val="NoSpacing"/>
              <w:contextualSpacing/>
              <w:rPr>
                <w:rFonts w:cstheme="minorHAnsi"/>
                <w:sz w:val="24"/>
                <w:szCs w:val="24"/>
              </w:rPr>
            </w:pPr>
          </w:p>
          <w:p w14:paraId="757D8AEB" w14:textId="7568552A" w:rsidR="00160AB0" w:rsidRDefault="00160AB0" w:rsidP="00A62C5B">
            <w:pPr>
              <w:pStyle w:val="NoSpacing"/>
              <w:contextualSpacing/>
              <w:rPr>
                <w:rFonts w:cstheme="minorHAnsi"/>
                <w:sz w:val="24"/>
                <w:szCs w:val="24"/>
              </w:rPr>
            </w:pPr>
            <w:r w:rsidRPr="00D63B4A">
              <w:rPr>
                <w:rFonts w:cstheme="minorHAnsi"/>
                <w:sz w:val="24"/>
                <w:szCs w:val="24"/>
              </w:rPr>
              <w:t xml:space="preserve">This DoN application falls within the definition of </w:t>
            </w:r>
            <w:r w:rsidR="00802ED8">
              <w:rPr>
                <w:rFonts w:cstheme="minorHAnsi"/>
                <w:sz w:val="24"/>
                <w:szCs w:val="24"/>
              </w:rPr>
              <w:t xml:space="preserve">DoN Required Equipment, </w:t>
            </w:r>
            <w:r w:rsidRPr="00D63B4A">
              <w:rPr>
                <w:rFonts w:cstheme="minorHAnsi"/>
                <w:sz w:val="24"/>
                <w:szCs w:val="24"/>
              </w:rPr>
              <w:t xml:space="preserve">which </w:t>
            </w:r>
            <w:r w:rsidR="00802ED8">
              <w:rPr>
                <w:rFonts w:cstheme="minorHAnsi"/>
                <w:sz w:val="24"/>
                <w:szCs w:val="24"/>
              </w:rPr>
              <w:t>is</w:t>
            </w:r>
            <w:r w:rsidRPr="00D63B4A">
              <w:rPr>
                <w:rFonts w:cstheme="minorHAnsi"/>
                <w:sz w:val="24"/>
                <w:szCs w:val="24"/>
              </w:rPr>
              <w:t xml:space="preserve"> reviewed under the DoN regulation 105 CMR 100.000</w:t>
            </w:r>
            <w:r w:rsidR="00802ED8">
              <w:rPr>
                <w:rFonts w:cstheme="minorHAnsi"/>
                <w:sz w:val="24"/>
                <w:szCs w:val="24"/>
              </w:rPr>
              <w:t xml:space="preserve"> and falls under Delegated Review.</w:t>
            </w:r>
            <w:r w:rsidRPr="00D63B4A">
              <w:rPr>
                <w:rFonts w:cstheme="minorHAnsi"/>
                <w:sz w:val="24"/>
                <w:szCs w:val="24"/>
              </w:rPr>
              <w:t xml:space="preserve">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Pr>
                <w:rFonts w:cstheme="minorHAnsi"/>
                <w:sz w:val="24"/>
                <w:szCs w:val="24"/>
              </w:rPr>
              <w:t>.</w:t>
            </w:r>
          </w:p>
          <w:p w14:paraId="39C0811A" w14:textId="575F138A" w:rsidR="005C43DE" w:rsidRPr="00515206" w:rsidRDefault="005C43DE" w:rsidP="00A62C5B">
            <w:pPr>
              <w:pStyle w:val="NoSpacing"/>
              <w:contextualSpacing/>
              <w:rPr>
                <w:rFonts w:cstheme="minorHAnsi"/>
                <w:sz w:val="24"/>
                <w:szCs w:val="24"/>
              </w:rPr>
            </w:pPr>
          </w:p>
        </w:tc>
      </w:tr>
    </w:tbl>
    <w:p w14:paraId="2BBE7933" w14:textId="77777777" w:rsidR="00272CB1" w:rsidRDefault="00272CB1" w:rsidP="00C62459">
      <w:pPr>
        <w:spacing w:after="0" w:line="240" w:lineRule="auto"/>
        <w:rPr>
          <w:b/>
          <w:bCs/>
          <w:sz w:val="24"/>
          <w:szCs w:val="24"/>
        </w:rPr>
      </w:pPr>
    </w:p>
    <w:p w14:paraId="7D2F9134" w14:textId="7EE82ACA" w:rsidR="00272CB1" w:rsidRPr="00C62459" w:rsidRDefault="00272CB1" w:rsidP="00C62459">
      <w:pPr>
        <w:spacing w:after="0" w:line="240" w:lineRule="auto"/>
        <w:rPr>
          <w:b/>
          <w:bCs/>
          <w:sz w:val="24"/>
          <w:szCs w:val="24"/>
        </w:rPr>
        <w:sectPr w:rsidR="00272CB1" w:rsidRPr="00C62459">
          <w:footerReference w:type="default" r:id="rId8"/>
          <w:pgSz w:w="12240" w:h="15840"/>
          <w:pgMar w:top="1440" w:right="1440" w:bottom="1440" w:left="1440" w:header="720" w:footer="720" w:gutter="0"/>
          <w:cols w:space="720"/>
          <w:docGrid w:linePitch="360"/>
        </w:sectPr>
      </w:pPr>
    </w:p>
    <w:sdt>
      <w:sdtPr>
        <w:rPr>
          <w:rFonts w:eastAsiaTheme="minorHAnsi" w:cstheme="minorBidi"/>
          <w:b w:val="0"/>
          <w:color w:val="auto"/>
          <w:sz w:val="24"/>
          <w:szCs w:val="24"/>
        </w:rPr>
        <w:id w:val="1753002011"/>
        <w:docPartObj>
          <w:docPartGallery w:val="Table of Contents"/>
          <w:docPartUnique/>
        </w:docPartObj>
      </w:sdtPr>
      <w:sdtEndPr>
        <w:rPr>
          <w:bCs/>
          <w:noProof/>
        </w:rPr>
      </w:sdtEndPr>
      <w:sdtContent>
        <w:p w14:paraId="022950C1" w14:textId="45A3B408" w:rsidR="0098316A" w:rsidRPr="00F957AB" w:rsidRDefault="0098316A" w:rsidP="00A62C5B">
          <w:pPr>
            <w:pStyle w:val="TOCHeading"/>
            <w:jc w:val="center"/>
            <w:rPr>
              <w:szCs w:val="28"/>
            </w:rPr>
          </w:pPr>
          <w:r w:rsidRPr="00F957AB">
            <w:rPr>
              <w:szCs w:val="28"/>
            </w:rPr>
            <w:t>Contents</w:t>
          </w:r>
        </w:p>
        <w:p w14:paraId="28144583" w14:textId="2BE26001" w:rsidR="00226863" w:rsidRDefault="0098316A">
          <w:pPr>
            <w:pStyle w:val="TOC1"/>
            <w:tabs>
              <w:tab w:val="right" w:leader="dot" w:pos="8990"/>
            </w:tabs>
            <w:rPr>
              <w:rFonts w:eastAsiaTheme="minorEastAsia"/>
              <w:noProof/>
            </w:rPr>
          </w:pPr>
          <w:r w:rsidRPr="00F957AB">
            <w:rPr>
              <w:sz w:val="24"/>
              <w:szCs w:val="24"/>
            </w:rPr>
            <w:fldChar w:fldCharType="begin"/>
          </w:r>
          <w:r w:rsidRPr="00F957AB">
            <w:rPr>
              <w:sz w:val="24"/>
              <w:szCs w:val="24"/>
            </w:rPr>
            <w:instrText xml:space="preserve"> TOC \o "1-3" \h \z \u </w:instrText>
          </w:r>
          <w:r w:rsidRPr="00F957AB">
            <w:rPr>
              <w:sz w:val="24"/>
              <w:szCs w:val="24"/>
            </w:rPr>
            <w:fldChar w:fldCharType="separate"/>
          </w:r>
          <w:hyperlink w:anchor="_Toc131063589" w:history="1">
            <w:r w:rsidR="00226863" w:rsidRPr="0080562C">
              <w:rPr>
                <w:rStyle w:val="Hyperlink"/>
                <w:noProof/>
              </w:rPr>
              <w:t>Application Overview</w:t>
            </w:r>
            <w:r w:rsidR="00226863">
              <w:rPr>
                <w:noProof/>
                <w:webHidden/>
              </w:rPr>
              <w:tab/>
            </w:r>
            <w:r w:rsidR="00226863">
              <w:rPr>
                <w:noProof/>
                <w:webHidden/>
              </w:rPr>
              <w:fldChar w:fldCharType="begin"/>
            </w:r>
            <w:r w:rsidR="00226863">
              <w:rPr>
                <w:noProof/>
                <w:webHidden/>
              </w:rPr>
              <w:instrText xml:space="preserve"> PAGEREF _Toc131063589 \h </w:instrText>
            </w:r>
            <w:r w:rsidR="00226863">
              <w:rPr>
                <w:noProof/>
                <w:webHidden/>
              </w:rPr>
            </w:r>
            <w:r w:rsidR="00226863">
              <w:rPr>
                <w:noProof/>
                <w:webHidden/>
              </w:rPr>
              <w:fldChar w:fldCharType="separate"/>
            </w:r>
            <w:r w:rsidR="00226863">
              <w:rPr>
                <w:noProof/>
                <w:webHidden/>
              </w:rPr>
              <w:t>3</w:t>
            </w:r>
            <w:r w:rsidR="00226863">
              <w:rPr>
                <w:noProof/>
                <w:webHidden/>
              </w:rPr>
              <w:fldChar w:fldCharType="end"/>
            </w:r>
          </w:hyperlink>
        </w:p>
        <w:p w14:paraId="2CBB8623" w14:textId="0FC896C9" w:rsidR="00226863" w:rsidRDefault="00C95609">
          <w:pPr>
            <w:pStyle w:val="TOC1"/>
            <w:tabs>
              <w:tab w:val="right" w:leader="dot" w:pos="8990"/>
            </w:tabs>
            <w:rPr>
              <w:rFonts w:eastAsiaTheme="minorEastAsia"/>
              <w:noProof/>
            </w:rPr>
          </w:pPr>
          <w:hyperlink w:anchor="_Toc131063590" w:history="1">
            <w:r w:rsidR="00226863" w:rsidRPr="0080562C">
              <w:rPr>
                <w:rStyle w:val="Hyperlink"/>
                <w:noProof/>
              </w:rPr>
              <w:t>Factor 1: Patient Panel</w:t>
            </w:r>
            <w:r w:rsidR="00226863">
              <w:rPr>
                <w:noProof/>
                <w:webHidden/>
              </w:rPr>
              <w:tab/>
            </w:r>
            <w:r w:rsidR="00226863">
              <w:rPr>
                <w:noProof/>
                <w:webHidden/>
              </w:rPr>
              <w:fldChar w:fldCharType="begin"/>
            </w:r>
            <w:r w:rsidR="00226863">
              <w:rPr>
                <w:noProof/>
                <w:webHidden/>
              </w:rPr>
              <w:instrText xml:space="preserve"> PAGEREF _Toc131063590 \h </w:instrText>
            </w:r>
            <w:r w:rsidR="00226863">
              <w:rPr>
                <w:noProof/>
                <w:webHidden/>
              </w:rPr>
            </w:r>
            <w:r w:rsidR="00226863">
              <w:rPr>
                <w:noProof/>
                <w:webHidden/>
              </w:rPr>
              <w:fldChar w:fldCharType="separate"/>
            </w:r>
            <w:r w:rsidR="00226863">
              <w:rPr>
                <w:noProof/>
                <w:webHidden/>
              </w:rPr>
              <w:t>4</w:t>
            </w:r>
            <w:r w:rsidR="00226863">
              <w:rPr>
                <w:noProof/>
                <w:webHidden/>
              </w:rPr>
              <w:fldChar w:fldCharType="end"/>
            </w:r>
          </w:hyperlink>
        </w:p>
        <w:p w14:paraId="3115B47F" w14:textId="1CF877F0" w:rsidR="00226863" w:rsidRDefault="00C95609">
          <w:pPr>
            <w:pStyle w:val="TOC2"/>
            <w:tabs>
              <w:tab w:val="right" w:leader="dot" w:pos="8990"/>
            </w:tabs>
            <w:rPr>
              <w:rFonts w:eastAsiaTheme="minorEastAsia"/>
              <w:noProof/>
            </w:rPr>
          </w:pPr>
          <w:hyperlink w:anchor="_Toc131063591" w:history="1">
            <w:r w:rsidR="00226863" w:rsidRPr="0080562C">
              <w:rPr>
                <w:rStyle w:val="Hyperlink"/>
                <w:rFonts w:cstheme="minorHAnsi"/>
                <w:noProof/>
              </w:rPr>
              <w:t>Factor 1(a) Patient Panel Need</w:t>
            </w:r>
            <w:r w:rsidR="00226863">
              <w:rPr>
                <w:noProof/>
                <w:webHidden/>
              </w:rPr>
              <w:tab/>
            </w:r>
            <w:r w:rsidR="00226863">
              <w:rPr>
                <w:noProof/>
                <w:webHidden/>
              </w:rPr>
              <w:fldChar w:fldCharType="begin"/>
            </w:r>
            <w:r w:rsidR="00226863">
              <w:rPr>
                <w:noProof/>
                <w:webHidden/>
              </w:rPr>
              <w:instrText xml:space="preserve"> PAGEREF _Toc131063591 \h </w:instrText>
            </w:r>
            <w:r w:rsidR="00226863">
              <w:rPr>
                <w:noProof/>
                <w:webHidden/>
              </w:rPr>
            </w:r>
            <w:r w:rsidR="00226863">
              <w:rPr>
                <w:noProof/>
                <w:webHidden/>
              </w:rPr>
              <w:fldChar w:fldCharType="separate"/>
            </w:r>
            <w:r w:rsidR="00226863">
              <w:rPr>
                <w:noProof/>
                <w:webHidden/>
              </w:rPr>
              <w:t>5</w:t>
            </w:r>
            <w:r w:rsidR="00226863">
              <w:rPr>
                <w:noProof/>
                <w:webHidden/>
              </w:rPr>
              <w:fldChar w:fldCharType="end"/>
            </w:r>
          </w:hyperlink>
        </w:p>
        <w:p w14:paraId="28BA466D" w14:textId="06550A09" w:rsidR="00226863" w:rsidRDefault="00C95609">
          <w:pPr>
            <w:pStyle w:val="TOC2"/>
            <w:tabs>
              <w:tab w:val="right" w:leader="dot" w:pos="8990"/>
            </w:tabs>
            <w:rPr>
              <w:rFonts w:eastAsiaTheme="minorEastAsia"/>
              <w:noProof/>
            </w:rPr>
          </w:pPr>
          <w:hyperlink w:anchor="_Toc131063592" w:history="1">
            <w:r w:rsidR="00226863" w:rsidRPr="0080562C">
              <w:rPr>
                <w:rStyle w:val="Hyperlink"/>
                <w:rFonts w:cstheme="minorHAnsi"/>
                <w:noProof/>
              </w:rPr>
              <w:t>Factor 1(b) Public Health Value: Improved Health Outcomes and Quality of Life; Assurances of Health Equity</w:t>
            </w:r>
            <w:r w:rsidR="00226863">
              <w:rPr>
                <w:noProof/>
                <w:webHidden/>
              </w:rPr>
              <w:tab/>
            </w:r>
            <w:r w:rsidR="00226863">
              <w:rPr>
                <w:noProof/>
                <w:webHidden/>
              </w:rPr>
              <w:fldChar w:fldCharType="begin"/>
            </w:r>
            <w:r w:rsidR="00226863">
              <w:rPr>
                <w:noProof/>
                <w:webHidden/>
              </w:rPr>
              <w:instrText xml:space="preserve"> PAGEREF _Toc131063592 \h </w:instrText>
            </w:r>
            <w:r w:rsidR="00226863">
              <w:rPr>
                <w:noProof/>
                <w:webHidden/>
              </w:rPr>
            </w:r>
            <w:r w:rsidR="00226863">
              <w:rPr>
                <w:noProof/>
                <w:webHidden/>
              </w:rPr>
              <w:fldChar w:fldCharType="separate"/>
            </w:r>
            <w:r w:rsidR="00226863">
              <w:rPr>
                <w:noProof/>
                <w:webHidden/>
              </w:rPr>
              <w:t>10</w:t>
            </w:r>
            <w:r w:rsidR="00226863">
              <w:rPr>
                <w:noProof/>
                <w:webHidden/>
              </w:rPr>
              <w:fldChar w:fldCharType="end"/>
            </w:r>
          </w:hyperlink>
        </w:p>
        <w:p w14:paraId="0D2C98B8" w14:textId="5C945E93" w:rsidR="00226863" w:rsidRDefault="00C95609">
          <w:pPr>
            <w:pStyle w:val="TOC2"/>
            <w:tabs>
              <w:tab w:val="right" w:leader="dot" w:pos="8990"/>
            </w:tabs>
            <w:rPr>
              <w:rFonts w:eastAsiaTheme="minorEastAsia"/>
              <w:noProof/>
            </w:rPr>
          </w:pPr>
          <w:hyperlink w:anchor="_Toc131063593" w:history="1">
            <w:r w:rsidR="00226863" w:rsidRPr="0080562C">
              <w:rPr>
                <w:rStyle w:val="Hyperlink"/>
                <w:rFonts w:cstheme="minorHAnsi"/>
                <w:noProof/>
              </w:rPr>
              <w:t>Factor 1(c) Efficiency, Continuity of Care, Coordination of Care</w:t>
            </w:r>
            <w:r w:rsidR="00226863">
              <w:rPr>
                <w:noProof/>
                <w:webHidden/>
              </w:rPr>
              <w:tab/>
            </w:r>
            <w:r w:rsidR="00226863">
              <w:rPr>
                <w:noProof/>
                <w:webHidden/>
              </w:rPr>
              <w:fldChar w:fldCharType="begin"/>
            </w:r>
            <w:r w:rsidR="00226863">
              <w:rPr>
                <w:noProof/>
                <w:webHidden/>
              </w:rPr>
              <w:instrText xml:space="preserve"> PAGEREF _Toc131063593 \h </w:instrText>
            </w:r>
            <w:r w:rsidR="00226863">
              <w:rPr>
                <w:noProof/>
                <w:webHidden/>
              </w:rPr>
            </w:r>
            <w:r w:rsidR="00226863">
              <w:rPr>
                <w:noProof/>
                <w:webHidden/>
              </w:rPr>
              <w:fldChar w:fldCharType="separate"/>
            </w:r>
            <w:r w:rsidR="00226863">
              <w:rPr>
                <w:noProof/>
                <w:webHidden/>
              </w:rPr>
              <w:t>13</w:t>
            </w:r>
            <w:r w:rsidR="00226863">
              <w:rPr>
                <w:noProof/>
                <w:webHidden/>
              </w:rPr>
              <w:fldChar w:fldCharType="end"/>
            </w:r>
          </w:hyperlink>
        </w:p>
        <w:p w14:paraId="02EB8B83" w14:textId="6D1EEB31" w:rsidR="00226863" w:rsidRDefault="00C95609">
          <w:pPr>
            <w:pStyle w:val="TOC2"/>
            <w:tabs>
              <w:tab w:val="right" w:leader="dot" w:pos="8990"/>
            </w:tabs>
            <w:rPr>
              <w:rFonts w:eastAsiaTheme="minorEastAsia"/>
              <w:noProof/>
            </w:rPr>
          </w:pPr>
          <w:hyperlink w:anchor="_Toc131063594" w:history="1">
            <w:r w:rsidR="00226863" w:rsidRPr="0080562C">
              <w:rPr>
                <w:rStyle w:val="Hyperlink"/>
                <w:rFonts w:cstheme="minorHAnsi"/>
                <w:noProof/>
              </w:rPr>
              <w:t>Factor 1(d) Consultation</w:t>
            </w:r>
            <w:r w:rsidR="00226863">
              <w:rPr>
                <w:noProof/>
                <w:webHidden/>
              </w:rPr>
              <w:tab/>
            </w:r>
            <w:r w:rsidR="00226863">
              <w:rPr>
                <w:noProof/>
                <w:webHidden/>
              </w:rPr>
              <w:fldChar w:fldCharType="begin"/>
            </w:r>
            <w:r w:rsidR="00226863">
              <w:rPr>
                <w:noProof/>
                <w:webHidden/>
              </w:rPr>
              <w:instrText xml:space="preserve"> PAGEREF _Toc131063594 \h </w:instrText>
            </w:r>
            <w:r w:rsidR="00226863">
              <w:rPr>
                <w:noProof/>
                <w:webHidden/>
              </w:rPr>
            </w:r>
            <w:r w:rsidR="00226863">
              <w:rPr>
                <w:noProof/>
                <w:webHidden/>
              </w:rPr>
              <w:fldChar w:fldCharType="separate"/>
            </w:r>
            <w:r w:rsidR="00226863">
              <w:rPr>
                <w:noProof/>
                <w:webHidden/>
              </w:rPr>
              <w:t>14</w:t>
            </w:r>
            <w:r w:rsidR="00226863">
              <w:rPr>
                <w:noProof/>
                <w:webHidden/>
              </w:rPr>
              <w:fldChar w:fldCharType="end"/>
            </w:r>
          </w:hyperlink>
        </w:p>
        <w:p w14:paraId="2153CAB4" w14:textId="2CDF47B9" w:rsidR="00226863" w:rsidRDefault="00C95609">
          <w:pPr>
            <w:pStyle w:val="TOC2"/>
            <w:tabs>
              <w:tab w:val="right" w:leader="dot" w:pos="8990"/>
            </w:tabs>
            <w:rPr>
              <w:rFonts w:eastAsiaTheme="minorEastAsia"/>
              <w:noProof/>
            </w:rPr>
          </w:pPr>
          <w:hyperlink w:anchor="_Toc131063595" w:history="1">
            <w:r w:rsidR="00226863" w:rsidRPr="0080562C">
              <w:rPr>
                <w:rStyle w:val="Hyperlink"/>
                <w:rFonts w:cstheme="minorHAnsi"/>
                <w:noProof/>
              </w:rPr>
              <w:t>Factor 1(e) Evidence of Sound Community Engagement through the Patient Panel</w:t>
            </w:r>
            <w:r w:rsidR="00226863">
              <w:rPr>
                <w:noProof/>
                <w:webHidden/>
              </w:rPr>
              <w:tab/>
            </w:r>
            <w:r w:rsidR="00226863">
              <w:rPr>
                <w:noProof/>
                <w:webHidden/>
              </w:rPr>
              <w:fldChar w:fldCharType="begin"/>
            </w:r>
            <w:r w:rsidR="00226863">
              <w:rPr>
                <w:noProof/>
                <w:webHidden/>
              </w:rPr>
              <w:instrText xml:space="preserve"> PAGEREF _Toc131063595 \h </w:instrText>
            </w:r>
            <w:r w:rsidR="00226863">
              <w:rPr>
                <w:noProof/>
                <w:webHidden/>
              </w:rPr>
            </w:r>
            <w:r w:rsidR="00226863">
              <w:rPr>
                <w:noProof/>
                <w:webHidden/>
              </w:rPr>
              <w:fldChar w:fldCharType="separate"/>
            </w:r>
            <w:r w:rsidR="00226863">
              <w:rPr>
                <w:noProof/>
                <w:webHidden/>
              </w:rPr>
              <w:t>14</w:t>
            </w:r>
            <w:r w:rsidR="00226863">
              <w:rPr>
                <w:noProof/>
                <w:webHidden/>
              </w:rPr>
              <w:fldChar w:fldCharType="end"/>
            </w:r>
          </w:hyperlink>
        </w:p>
        <w:p w14:paraId="26941204" w14:textId="5679C9A2" w:rsidR="00226863" w:rsidRDefault="00C95609">
          <w:pPr>
            <w:pStyle w:val="TOC2"/>
            <w:tabs>
              <w:tab w:val="right" w:leader="dot" w:pos="8990"/>
            </w:tabs>
            <w:rPr>
              <w:rFonts w:eastAsiaTheme="minorEastAsia"/>
              <w:noProof/>
            </w:rPr>
          </w:pPr>
          <w:hyperlink w:anchor="_Toc131063596" w:history="1">
            <w:r w:rsidR="00226863" w:rsidRPr="0080562C">
              <w:rPr>
                <w:rStyle w:val="Hyperlink"/>
                <w:rFonts w:cstheme="minorHAnsi"/>
                <w:noProof/>
              </w:rPr>
              <w:t>Factor 1(f) Competition on Price, Total Medical Expenses (TME), Costs and Other Measures Of Health Care Spending</w:t>
            </w:r>
            <w:r w:rsidR="00226863">
              <w:rPr>
                <w:noProof/>
                <w:webHidden/>
              </w:rPr>
              <w:tab/>
            </w:r>
            <w:r w:rsidR="00226863">
              <w:rPr>
                <w:noProof/>
                <w:webHidden/>
              </w:rPr>
              <w:fldChar w:fldCharType="begin"/>
            </w:r>
            <w:r w:rsidR="00226863">
              <w:rPr>
                <w:noProof/>
                <w:webHidden/>
              </w:rPr>
              <w:instrText xml:space="preserve"> PAGEREF _Toc131063596 \h </w:instrText>
            </w:r>
            <w:r w:rsidR="00226863">
              <w:rPr>
                <w:noProof/>
                <w:webHidden/>
              </w:rPr>
            </w:r>
            <w:r w:rsidR="00226863">
              <w:rPr>
                <w:noProof/>
                <w:webHidden/>
              </w:rPr>
              <w:fldChar w:fldCharType="separate"/>
            </w:r>
            <w:r w:rsidR="00226863">
              <w:rPr>
                <w:noProof/>
                <w:webHidden/>
              </w:rPr>
              <w:t>15</w:t>
            </w:r>
            <w:r w:rsidR="00226863">
              <w:rPr>
                <w:noProof/>
                <w:webHidden/>
              </w:rPr>
              <w:fldChar w:fldCharType="end"/>
            </w:r>
          </w:hyperlink>
        </w:p>
        <w:p w14:paraId="1983FDE5" w14:textId="79D2F386" w:rsidR="00226863" w:rsidRDefault="00C95609">
          <w:pPr>
            <w:pStyle w:val="TOC1"/>
            <w:tabs>
              <w:tab w:val="right" w:leader="dot" w:pos="8990"/>
            </w:tabs>
            <w:rPr>
              <w:rFonts w:eastAsiaTheme="minorEastAsia"/>
              <w:noProof/>
            </w:rPr>
          </w:pPr>
          <w:hyperlink w:anchor="_Toc131063597" w:history="1">
            <w:r w:rsidR="00226863" w:rsidRPr="0080562C">
              <w:rPr>
                <w:rStyle w:val="Hyperlink"/>
                <w:noProof/>
              </w:rPr>
              <w:t>Factor 3: Relevant Licensure/Oversight Compliance</w:t>
            </w:r>
            <w:r w:rsidR="00226863">
              <w:rPr>
                <w:noProof/>
                <w:webHidden/>
              </w:rPr>
              <w:tab/>
            </w:r>
            <w:r w:rsidR="00226863">
              <w:rPr>
                <w:noProof/>
                <w:webHidden/>
              </w:rPr>
              <w:fldChar w:fldCharType="begin"/>
            </w:r>
            <w:r w:rsidR="00226863">
              <w:rPr>
                <w:noProof/>
                <w:webHidden/>
              </w:rPr>
              <w:instrText xml:space="preserve"> PAGEREF _Toc131063597 \h </w:instrText>
            </w:r>
            <w:r w:rsidR="00226863">
              <w:rPr>
                <w:noProof/>
                <w:webHidden/>
              </w:rPr>
            </w:r>
            <w:r w:rsidR="00226863">
              <w:rPr>
                <w:noProof/>
                <w:webHidden/>
              </w:rPr>
              <w:fldChar w:fldCharType="separate"/>
            </w:r>
            <w:r w:rsidR="00226863">
              <w:rPr>
                <w:noProof/>
                <w:webHidden/>
              </w:rPr>
              <w:t>18</w:t>
            </w:r>
            <w:r w:rsidR="00226863">
              <w:rPr>
                <w:noProof/>
                <w:webHidden/>
              </w:rPr>
              <w:fldChar w:fldCharType="end"/>
            </w:r>
          </w:hyperlink>
        </w:p>
        <w:p w14:paraId="77AFF6E1" w14:textId="7DB86681" w:rsidR="00226863" w:rsidRDefault="00C95609">
          <w:pPr>
            <w:pStyle w:val="TOC1"/>
            <w:tabs>
              <w:tab w:val="right" w:leader="dot" w:pos="8990"/>
            </w:tabs>
            <w:rPr>
              <w:rFonts w:eastAsiaTheme="minorEastAsia"/>
              <w:noProof/>
            </w:rPr>
          </w:pPr>
          <w:hyperlink w:anchor="_Toc131063598" w:history="1">
            <w:r w:rsidR="00226863" w:rsidRPr="0080562C">
              <w:rPr>
                <w:rStyle w:val="Hyperlink"/>
                <w:noProof/>
              </w:rPr>
              <w:t>Factor 4: Financial Feasibility</w:t>
            </w:r>
            <w:r w:rsidR="00226863">
              <w:rPr>
                <w:noProof/>
                <w:webHidden/>
              </w:rPr>
              <w:tab/>
            </w:r>
            <w:r w:rsidR="00226863">
              <w:rPr>
                <w:noProof/>
                <w:webHidden/>
              </w:rPr>
              <w:fldChar w:fldCharType="begin"/>
            </w:r>
            <w:r w:rsidR="00226863">
              <w:rPr>
                <w:noProof/>
                <w:webHidden/>
              </w:rPr>
              <w:instrText xml:space="preserve"> PAGEREF _Toc131063598 \h </w:instrText>
            </w:r>
            <w:r w:rsidR="00226863">
              <w:rPr>
                <w:noProof/>
                <w:webHidden/>
              </w:rPr>
            </w:r>
            <w:r w:rsidR="00226863">
              <w:rPr>
                <w:noProof/>
                <w:webHidden/>
              </w:rPr>
              <w:fldChar w:fldCharType="separate"/>
            </w:r>
            <w:r w:rsidR="00226863">
              <w:rPr>
                <w:noProof/>
                <w:webHidden/>
              </w:rPr>
              <w:t>18</w:t>
            </w:r>
            <w:r w:rsidR="00226863">
              <w:rPr>
                <w:noProof/>
                <w:webHidden/>
              </w:rPr>
              <w:fldChar w:fldCharType="end"/>
            </w:r>
          </w:hyperlink>
        </w:p>
        <w:p w14:paraId="349F1AE3" w14:textId="38F2059E" w:rsidR="00226863" w:rsidRDefault="00C95609">
          <w:pPr>
            <w:pStyle w:val="TOC1"/>
            <w:tabs>
              <w:tab w:val="right" w:leader="dot" w:pos="8990"/>
            </w:tabs>
            <w:rPr>
              <w:rFonts w:eastAsiaTheme="minorEastAsia"/>
              <w:noProof/>
            </w:rPr>
          </w:pPr>
          <w:hyperlink w:anchor="_Toc131063599" w:history="1">
            <w:r w:rsidR="00226863" w:rsidRPr="0080562C">
              <w:rPr>
                <w:rStyle w:val="Hyperlink"/>
                <w:noProof/>
              </w:rPr>
              <w:t>Factor 5: Assessment of the Proposed Project’s Relative Merit</w:t>
            </w:r>
            <w:r w:rsidR="00226863">
              <w:rPr>
                <w:noProof/>
                <w:webHidden/>
              </w:rPr>
              <w:tab/>
            </w:r>
            <w:r w:rsidR="00226863">
              <w:rPr>
                <w:noProof/>
                <w:webHidden/>
              </w:rPr>
              <w:fldChar w:fldCharType="begin"/>
            </w:r>
            <w:r w:rsidR="00226863">
              <w:rPr>
                <w:noProof/>
                <w:webHidden/>
              </w:rPr>
              <w:instrText xml:space="preserve"> PAGEREF _Toc131063599 \h </w:instrText>
            </w:r>
            <w:r w:rsidR="00226863">
              <w:rPr>
                <w:noProof/>
                <w:webHidden/>
              </w:rPr>
            </w:r>
            <w:r w:rsidR="00226863">
              <w:rPr>
                <w:noProof/>
                <w:webHidden/>
              </w:rPr>
              <w:fldChar w:fldCharType="separate"/>
            </w:r>
            <w:r w:rsidR="00226863">
              <w:rPr>
                <w:noProof/>
                <w:webHidden/>
              </w:rPr>
              <w:t>20</w:t>
            </w:r>
            <w:r w:rsidR="00226863">
              <w:rPr>
                <w:noProof/>
                <w:webHidden/>
              </w:rPr>
              <w:fldChar w:fldCharType="end"/>
            </w:r>
          </w:hyperlink>
        </w:p>
        <w:p w14:paraId="56D747C3" w14:textId="511AE266" w:rsidR="00226863" w:rsidRDefault="00C95609">
          <w:pPr>
            <w:pStyle w:val="TOC1"/>
            <w:tabs>
              <w:tab w:val="right" w:leader="dot" w:pos="8990"/>
            </w:tabs>
            <w:rPr>
              <w:rFonts w:eastAsiaTheme="minorEastAsia"/>
              <w:noProof/>
            </w:rPr>
          </w:pPr>
          <w:hyperlink w:anchor="_Toc131063600" w:history="1">
            <w:r w:rsidR="00226863" w:rsidRPr="0080562C">
              <w:rPr>
                <w:rStyle w:val="Hyperlink"/>
                <w:noProof/>
              </w:rPr>
              <w:t>Factor 6: Fulfillment of DPH Community-based Health Initiatives Guideline</w:t>
            </w:r>
            <w:r w:rsidR="00226863">
              <w:rPr>
                <w:noProof/>
                <w:webHidden/>
              </w:rPr>
              <w:tab/>
            </w:r>
            <w:r w:rsidR="00226863">
              <w:rPr>
                <w:noProof/>
                <w:webHidden/>
              </w:rPr>
              <w:fldChar w:fldCharType="begin"/>
            </w:r>
            <w:r w:rsidR="00226863">
              <w:rPr>
                <w:noProof/>
                <w:webHidden/>
              </w:rPr>
              <w:instrText xml:space="preserve"> PAGEREF _Toc131063600 \h </w:instrText>
            </w:r>
            <w:r w:rsidR="00226863">
              <w:rPr>
                <w:noProof/>
                <w:webHidden/>
              </w:rPr>
            </w:r>
            <w:r w:rsidR="00226863">
              <w:rPr>
                <w:noProof/>
                <w:webHidden/>
              </w:rPr>
              <w:fldChar w:fldCharType="separate"/>
            </w:r>
            <w:r w:rsidR="00226863">
              <w:rPr>
                <w:noProof/>
                <w:webHidden/>
              </w:rPr>
              <w:t>21</w:t>
            </w:r>
            <w:r w:rsidR="00226863">
              <w:rPr>
                <w:noProof/>
                <w:webHidden/>
              </w:rPr>
              <w:fldChar w:fldCharType="end"/>
            </w:r>
          </w:hyperlink>
        </w:p>
        <w:p w14:paraId="1BE8E0C1" w14:textId="73A4180B" w:rsidR="00226863" w:rsidRDefault="00C95609">
          <w:pPr>
            <w:pStyle w:val="TOC1"/>
            <w:tabs>
              <w:tab w:val="right" w:leader="dot" w:pos="8990"/>
            </w:tabs>
            <w:rPr>
              <w:rFonts w:eastAsiaTheme="minorEastAsia"/>
              <w:noProof/>
            </w:rPr>
          </w:pPr>
          <w:hyperlink w:anchor="_Toc131063601" w:history="1">
            <w:r w:rsidR="00226863" w:rsidRPr="0080562C">
              <w:rPr>
                <w:rStyle w:val="Hyperlink"/>
                <w:noProof/>
              </w:rPr>
              <w:t>Overall Application: Findings and Recommendations</w:t>
            </w:r>
            <w:r w:rsidR="00226863">
              <w:rPr>
                <w:noProof/>
                <w:webHidden/>
              </w:rPr>
              <w:tab/>
            </w:r>
            <w:r w:rsidR="00226863">
              <w:rPr>
                <w:noProof/>
                <w:webHidden/>
              </w:rPr>
              <w:fldChar w:fldCharType="begin"/>
            </w:r>
            <w:r w:rsidR="00226863">
              <w:rPr>
                <w:noProof/>
                <w:webHidden/>
              </w:rPr>
              <w:instrText xml:space="preserve"> PAGEREF _Toc131063601 \h </w:instrText>
            </w:r>
            <w:r w:rsidR="00226863">
              <w:rPr>
                <w:noProof/>
                <w:webHidden/>
              </w:rPr>
            </w:r>
            <w:r w:rsidR="00226863">
              <w:rPr>
                <w:noProof/>
                <w:webHidden/>
              </w:rPr>
              <w:fldChar w:fldCharType="separate"/>
            </w:r>
            <w:r w:rsidR="00226863">
              <w:rPr>
                <w:noProof/>
                <w:webHidden/>
              </w:rPr>
              <w:t>21</w:t>
            </w:r>
            <w:r w:rsidR="00226863">
              <w:rPr>
                <w:noProof/>
                <w:webHidden/>
              </w:rPr>
              <w:fldChar w:fldCharType="end"/>
            </w:r>
          </w:hyperlink>
        </w:p>
        <w:p w14:paraId="50030894" w14:textId="0A185C1F" w:rsidR="00226863" w:rsidRDefault="00C95609">
          <w:pPr>
            <w:pStyle w:val="TOC1"/>
            <w:tabs>
              <w:tab w:val="right" w:leader="dot" w:pos="8990"/>
            </w:tabs>
            <w:rPr>
              <w:rFonts w:eastAsiaTheme="minorEastAsia"/>
              <w:noProof/>
            </w:rPr>
          </w:pPr>
          <w:hyperlink w:anchor="_Toc131063602" w:history="1">
            <w:r w:rsidR="00226863" w:rsidRPr="0080562C">
              <w:rPr>
                <w:rStyle w:val="Hyperlink"/>
                <w:noProof/>
              </w:rPr>
              <w:t>Conditions to the DoN</w:t>
            </w:r>
            <w:r w:rsidR="00226863">
              <w:rPr>
                <w:noProof/>
                <w:webHidden/>
              </w:rPr>
              <w:tab/>
            </w:r>
            <w:r w:rsidR="00226863">
              <w:rPr>
                <w:noProof/>
                <w:webHidden/>
              </w:rPr>
              <w:fldChar w:fldCharType="begin"/>
            </w:r>
            <w:r w:rsidR="00226863">
              <w:rPr>
                <w:noProof/>
                <w:webHidden/>
              </w:rPr>
              <w:instrText xml:space="preserve"> PAGEREF _Toc131063602 \h </w:instrText>
            </w:r>
            <w:r w:rsidR="00226863">
              <w:rPr>
                <w:noProof/>
                <w:webHidden/>
              </w:rPr>
            </w:r>
            <w:r w:rsidR="00226863">
              <w:rPr>
                <w:noProof/>
                <w:webHidden/>
              </w:rPr>
              <w:fldChar w:fldCharType="separate"/>
            </w:r>
            <w:r w:rsidR="00226863">
              <w:rPr>
                <w:noProof/>
                <w:webHidden/>
              </w:rPr>
              <w:t>21</w:t>
            </w:r>
            <w:r w:rsidR="00226863">
              <w:rPr>
                <w:noProof/>
                <w:webHidden/>
              </w:rPr>
              <w:fldChar w:fldCharType="end"/>
            </w:r>
          </w:hyperlink>
        </w:p>
        <w:p w14:paraId="1F6D0603" w14:textId="53226DA6" w:rsidR="00226863" w:rsidRDefault="00C95609">
          <w:pPr>
            <w:pStyle w:val="TOC1"/>
            <w:tabs>
              <w:tab w:val="right" w:leader="dot" w:pos="8990"/>
            </w:tabs>
            <w:rPr>
              <w:rFonts w:eastAsiaTheme="minorEastAsia"/>
              <w:noProof/>
            </w:rPr>
          </w:pPr>
          <w:hyperlink w:anchor="_Toc131063603" w:history="1">
            <w:r w:rsidR="00226863" w:rsidRPr="0080562C">
              <w:rPr>
                <w:rStyle w:val="Hyperlink"/>
                <w:noProof/>
              </w:rPr>
              <w:t>Appendix I</w:t>
            </w:r>
            <w:r w:rsidR="00226863">
              <w:rPr>
                <w:noProof/>
                <w:webHidden/>
              </w:rPr>
              <w:tab/>
            </w:r>
            <w:r w:rsidR="00226863">
              <w:rPr>
                <w:noProof/>
                <w:webHidden/>
              </w:rPr>
              <w:fldChar w:fldCharType="begin"/>
            </w:r>
            <w:r w:rsidR="00226863">
              <w:rPr>
                <w:noProof/>
                <w:webHidden/>
              </w:rPr>
              <w:instrText xml:space="preserve"> PAGEREF _Toc131063603 \h </w:instrText>
            </w:r>
            <w:r w:rsidR="00226863">
              <w:rPr>
                <w:noProof/>
                <w:webHidden/>
              </w:rPr>
            </w:r>
            <w:r w:rsidR="00226863">
              <w:rPr>
                <w:noProof/>
                <w:webHidden/>
              </w:rPr>
              <w:fldChar w:fldCharType="separate"/>
            </w:r>
            <w:r w:rsidR="00226863">
              <w:rPr>
                <w:noProof/>
                <w:webHidden/>
              </w:rPr>
              <w:t>23</w:t>
            </w:r>
            <w:r w:rsidR="00226863">
              <w:rPr>
                <w:noProof/>
                <w:webHidden/>
              </w:rPr>
              <w:fldChar w:fldCharType="end"/>
            </w:r>
          </w:hyperlink>
        </w:p>
        <w:p w14:paraId="060B9E96" w14:textId="348C5850" w:rsidR="0098316A" w:rsidRDefault="0098316A">
          <w:r w:rsidRPr="00F957AB">
            <w:rPr>
              <w:b/>
              <w:bCs/>
              <w:noProof/>
              <w:sz w:val="24"/>
              <w:szCs w:val="24"/>
            </w:rPr>
            <w:fldChar w:fldCharType="end"/>
          </w:r>
        </w:p>
      </w:sdtContent>
    </w:sdt>
    <w:p w14:paraId="12C7C6A3" w14:textId="77777777" w:rsidR="00897353" w:rsidRPr="0093651C" w:rsidRDefault="00897353" w:rsidP="0093651C">
      <w:pPr>
        <w:pStyle w:val="Heading1"/>
      </w:pPr>
    </w:p>
    <w:p w14:paraId="6FEB13CA" w14:textId="77777777" w:rsidR="00897353" w:rsidRDefault="00897353">
      <w:pPr>
        <w:rPr>
          <w:b/>
          <w:bCs/>
        </w:rPr>
      </w:pPr>
    </w:p>
    <w:p w14:paraId="780EAF0C" w14:textId="20A6C8EE" w:rsidR="00897353" w:rsidRPr="00897353" w:rsidRDefault="00897353" w:rsidP="00897353">
      <w:pPr>
        <w:spacing w:after="0" w:line="240" w:lineRule="auto"/>
        <w:contextualSpacing/>
        <w:jc w:val="center"/>
        <w:rPr>
          <w:rFonts w:ascii="Garamond" w:eastAsia="Calibri" w:hAnsi="Garamond" w:cs="Times New Roman"/>
        </w:rPr>
      </w:pPr>
    </w:p>
    <w:p w14:paraId="78017998" w14:textId="77777777" w:rsidR="00897353" w:rsidRPr="00897353" w:rsidRDefault="00897353" w:rsidP="00897353">
      <w:pPr>
        <w:spacing w:after="0" w:line="240" w:lineRule="auto"/>
        <w:contextualSpacing/>
        <w:rPr>
          <w:rFonts w:ascii="Garamond" w:eastAsia="Calibri" w:hAnsi="Garamond" w:cs="Times New Roman"/>
        </w:rPr>
        <w:sectPr w:rsidR="00897353" w:rsidRPr="00897353" w:rsidSect="00A62C5B">
          <w:endnotePr>
            <w:numFmt w:val="lowerLetter"/>
          </w:endnotePr>
          <w:pgSz w:w="12240" w:h="15840"/>
          <w:pgMar w:top="1440" w:right="1440" w:bottom="1440" w:left="1800" w:header="720" w:footer="720" w:gutter="0"/>
          <w:cols w:space="720"/>
          <w:docGrid w:linePitch="360"/>
        </w:sectPr>
      </w:pPr>
    </w:p>
    <w:p w14:paraId="64C090E6" w14:textId="3BD1AE93" w:rsidR="0024289A" w:rsidRPr="00897353" w:rsidRDefault="0024289A" w:rsidP="00A62C5B">
      <w:pPr>
        <w:pStyle w:val="Heading1"/>
      </w:pPr>
      <w:bookmarkStart w:id="0" w:name="_Toc131063589"/>
      <w:r w:rsidRPr="00897353">
        <w:lastRenderedPageBreak/>
        <w:t>Application Overview</w:t>
      </w:r>
      <w:bookmarkEnd w:id="0"/>
    </w:p>
    <w:p w14:paraId="4A83AD88" w14:textId="77777777" w:rsidR="0024289A" w:rsidRDefault="0024289A" w:rsidP="003F0CC7">
      <w:pPr>
        <w:spacing w:before="240" w:after="0" w:line="240" w:lineRule="auto"/>
        <w:rPr>
          <w:b/>
          <w:bCs/>
          <w:sz w:val="24"/>
          <w:szCs w:val="24"/>
        </w:rPr>
      </w:pPr>
      <w:r w:rsidRPr="006B66D0">
        <w:rPr>
          <w:b/>
          <w:bCs/>
          <w:sz w:val="24"/>
          <w:szCs w:val="24"/>
        </w:rPr>
        <w:t xml:space="preserve">Background </w:t>
      </w:r>
    </w:p>
    <w:p w14:paraId="38A51C6A" w14:textId="2C8D21A4" w:rsidR="0024289A" w:rsidRPr="00AA738A" w:rsidRDefault="0024289A" w:rsidP="003F0CC7">
      <w:pPr>
        <w:spacing w:before="240" w:after="0" w:line="240" w:lineRule="auto"/>
        <w:rPr>
          <w:sz w:val="24"/>
          <w:szCs w:val="24"/>
        </w:rPr>
      </w:pPr>
      <w:r w:rsidRPr="00AA738A">
        <w:rPr>
          <w:sz w:val="24"/>
          <w:szCs w:val="24"/>
        </w:rPr>
        <w:t>The Applicant</w:t>
      </w:r>
      <w:r>
        <w:rPr>
          <w:sz w:val="24"/>
          <w:szCs w:val="24"/>
        </w:rPr>
        <w:t xml:space="preserve">, </w:t>
      </w:r>
      <w:r w:rsidRPr="00AA738A">
        <w:rPr>
          <w:sz w:val="24"/>
          <w:szCs w:val="24"/>
        </w:rPr>
        <w:t xml:space="preserve">Atrius Health, Inc. </w:t>
      </w:r>
      <w:r w:rsidR="007B5A3A">
        <w:rPr>
          <w:sz w:val="24"/>
          <w:szCs w:val="24"/>
        </w:rPr>
        <w:t xml:space="preserve">(Atrius Health) </w:t>
      </w:r>
      <w:r w:rsidRPr="00AA738A">
        <w:rPr>
          <w:sz w:val="24"/>
          <w:szCs w:val="24"/>
        </w:rPr>
        <w:t>is a Massachusetts nonprofit multi-specialty medical group practice organized under M.G.L. c. 180 that holds the clinic and satellite licenses for its locations</w:t>
      </w:r>
      <w:r w:rsidR="007B5A3A">
        <w:rPr>
          <w:sz w:val="24"/>
          <w:szCs w:val="24"/>
        </w:rPr>
        <w:t>,</w:t>
      </w:r>
      <w:r w:rsidR="007B5A3A">
        <w:rPr>
          <w:rStyle w:val="FootnoteReference"/>
          <w:sz w:val="24"/>
          <w:szCs w:val="24"/>
        </w:rPr>
        <w:footnoteReference w:id="2"/>
      </w:r>
      <w:r w:rsidRPr="00AA738A">
        <w:rPr>
          <w:sz w:val="24"/>
          <w:szCs w:val="24"/>
        </w:rPr>
        <w:t xml:space="preserve"> </w:t>
      </w:r>
      <w:r w:rsidR="00EF532F">
        <w:rPr>
          <w:sz w:val="24"/>
          <w:szCs w:val="24"/>
        </w:rPr>
        <w:t>and</w:t>
      </w:r>
      <w:r w:rsidRPr="00AA738A">
        <w:rPr>
          <w:sz w:val="24"/>
          <w:szCs w:val="24"/>
        </w:rPr>
        <w:t xml:space="preserve"> is a </w:t>
      </w:r>
      <w:bookmarkStart w:id="3" w:name="_BPDCI_7"/>
      <w:r w:rsidRPr="00AA738A">
        <w:rPr>
          <w:sz w:val="24"/>
          <w:szCs w:val="24"/>
        </w:rPr>
        <w:t xml:space="preserve">Massachusetts </w:t>
      </w:r>
      <w:bookmarkEnd w:id="3"/>
      <w:r w:rsidRPr="00AA738A">
        <w:rPr>
          <w:sz w:val="24"/>
          <w:szCs w:val="24"/>
        </w:rPr>
        <w:t xml:space="preserve">Health Policy Commission </w:t>
      </w:r>
      <w:bookmarkStart w:id="4" w:name="_BPDCI_8"/>
      <w:r w:rsidRPr="00AA738A">
        <w:rPr>
          <w:sz w:val="24"/>
          <w:szCs w:val="24"/>
        </w:rPr>
        <w:t xml:space="preserve">(HPC) </w:t>
      </w:r>
      <w:bookmarkEnd w:id="4"/>
      <w:r w:rsidRPr="00AA738A">
        <w:rPr>
          <w:sz w:val="24"/>
          <w:szCs w:val="24"/>
        </w:rPr>
        <w:t xml:space="preserve">Certified </w:t>
      </w:r>
      <w:bookmarkStart w:id="5" w:name="_BPDCD_9"/>
      <w:r w:rsidRPr="00AA738A">
        <w:rPr>
          <w:sz w:val="24"/>
          <w:szCs w:val="24"/>
        </w:rPr>
        <w:t>Accountable Care Organization (ACO). Atrius Health</w:t>
      </w:r>
      <w:r w:rsidR="00453E92">
        <w:rPr>
          <w:rStyle w:val="FootnoteReference"/>
          <w:sz w:val="24"/>
          <w:szCs w:val="24"/>
        </w:rPr>
        <w:footnoteReference w:id="3"/>
      </w:r>
      <w:r w:rsidRPr="00AA738A">
        <w:rPr>
          <w:sz w:val="24"/>
          <w:szCs w:val="24"/>
        </w:rPr>
        <w:t xml:space="preserve"> </w:t>
      </w:r>
      <w:r w:rsidR="00645274">
        <w:rPr>
          <w:sz w:val="24"/>
          <w:szCs w:val="24"/>
        </w:rPr>
        <w:t xml:space="preserve">owns </w:t>
      </w:r>
      <w:r w:rsidRPr="00AA738A">
        <w:rPr>
          <w:sz w:val="24"/>
          <w:szCs w:val="24"/>
        </w:rPr>
        <w:t>30 medical practice locations in Massachusetts</w:t>
      </w:r>
      <w:bookmarkEnd w:id="5"/>
      <w:r w:rsidR="007B5A3A">
        <w:rPr>
          <w:sz w:val="24"/>
          <w:szCs w:val="24"/>
        </w:rPr>
        <w:t xml:space="preserve">, and </w:t>
      </w:r>
      <w:r w:rsidR="00453E92">
        <w:rPr>
          <w:sz w:val="24"/>
          <w:szCs w:val="24"/>
        </w:rPr>
        <w:t xml:space="preserve">has </w:t>
      </w:r>
      <w:r w:rsidRPr="00AA738A">
        <w:rPr>
          <w:sz w:val="24"/>
          <w:szCs w:val="24"/>
        </w:rPr>
        <w:t>a services agreement</w:t>
      </w:r>
      <w:r w:rsidR="00453E92">
        <w:rPr>
          <w:sz w:val="24"/>
          <w:szCs w:val="24"/>
        </w:rPr>
        <w:t xml:space="preserve"> with </w:t>
      </w:r>
      <w:r w:rsidR="00453E92" w:rsidRPr="00453E92">
        <w:rPr>
          <w:sz w:val="24"/>
          <w:szCs w:val="24"/>
        </w:rPr>
        <w:t>Atrius Management Services Organization, LLC</w:t>
      </w:r>
      <w:r w:rsidR="00453E92" w:rsidRPr="00453E92">
        <w:rPr>
          <w:sz w:val="24"/>
          <w:szCs w:val="24"/>
          <w:vertAlign w:val="superscript"/>
        </w:rPr>
        <w:footnoteReference w:id="4"/>
      </w:r>
      <w:r w:rsidR="00453E92">
        <w:rPr>
          <w:sz w:val="24"/>
          <w:szCs w:val="24"/>
        </w:rPr>
        <w:t xml:space="preserve"> </w:t>
      </w:r>
      <w:r w:rsidR="007B5A3A">
        <w:rPr>
          <w:sz w:val="24"/>
          <w:szCs w:val="24"/>
        </w:rPr>
        <w:t xml:space="preserve">(Atrius MSO) </w:t>
      </w:r>
      <w:r w:rsidR="00453E92">
        <w:rPr>
          <w:sz w:val="24"/>
          <w:szCs w:val="24"/>
        </w:rPr>
        <w:t>to provi</w:t>
      </w:r>
      <w:r w:rsidR="007B5A3A">
        <w:rPr>
          <w:sz w:val="24"/>
          <w:szCs w:val="24"/>
        </w:rPr>
        <w:t>d</w:t>
      </w:r>
      <w:r w:rsidR="00453E92">
        <w:rPr>
          <w:sz w:val="24"/>
          <w:szCs w:val="24"/>
        </w:rPr>
        <w:t>e administrative support</w:t>
      </w:r>
      <w:r w:rsidR="007B5A3A">
        <w:rPr>
          <w:sz w:val="24"/>
          <w:szCs w:val="24"/>
        </w:rPr>
        <w:t xml:space="preserve"> services.</w:t>
      </w:r>
    </w:p>
    <w:p w14:paraId="313FD877" w14:textId="77777777" w:rsidR="0024289A" w:rsidRPr="00AA738A" w:rsidRDefault="0024289A" w:rsidP="0024289A">
      <w:pPr>
        <w:spacing w:after="0" w:line="240" w:lineRule="auto"/>
        <w:rPr>
          <w:sz w:val="24"/>
          <w:szCs w:val="24"/>
        </w:rPr>
      </w:pPr>
    </w:p>
    <w:p w14:paraId="79600B6B" w14:textId="31C74935" w:rsidR="0024289A" w:rsidRPr="00AA738A" w:rsidRDefault="003C2A34" w:rsidP="0024289A">
      <w:pPr>
        <w:spacing w:after="0" w:line="240" w:lineRule="auto"/>
        <w:rPr>
          <w:sz w:val="24"/>
          <w:szCs w:val="24"/>
        </w:rPr>
      </w:pPr>
      <w:r>
        <w:rPr>
          <w:sz w:val="24"/>
          <w:szCs w:val="24"/>
        </w:rPr>
        <w:t>At the site of the Proposed Project,</w:t>
      </w:r>
      <w:r w:rsidR="001B429D">
        <w:rPr>
          <w:sz w:val="24"/>
          <w:szCs w:val="24"/>
        </w:rPr>
        <w:t xml:space="preserve"> in Plymouth, MA, </w:t>
      </w:r>
      <w:r>
        <w:rPr>
          <w:sz w:val="24"/>
          <w:szCs w:val="24"/>
        </w:rPr>
        <w:t xml:space="preserve"> </w:t>
      </w:r>
      <w:r w:rsidR="0024289A" w:rsidRPr="00AA738A">
        <w:rPr>
          <w:sz w:val="24"/>
          <w:szCs w:val="24"/>
        </w:rPr>
        <w:t xml:space="preserve">Atrius Health is in the process of consolidating six </w:t>
      </w:r>
      <w:r w:rsidR="002B1DC4">
        <w:rPr>
          <w:sz w:val="24"/>
          <w:szCs w:val="24"/>
        </w:rPr>
        <w:t xml:space="preserve">medical </w:t>
      </w:r>
      <w:r w:rsidR="0024289A" w:rsidRPr="00AA738A">
        <w:rPr>
          <w:sz w:val="24"/>
          <w:szCs w:val="24"/>
        </w:rPr>
        <w:t xml:space="preserve">practice locations into a single location, the Plymouth </w:t>
      </w:r>
      <w:r w:rsidR="00DF6160">
        <w:rPr>
          <w:sz w:val="24"/>
          <w:szCs w:val="24"/>
        </w:rPr>
        <w:t xml:space="preserve">Clinic, </w:t>
      </w:r>
      <w:r w:rsidR="00545A71">
        <w:rPr>
          <w:sz w:val="24"/>
          <w:szCs w:val="24"/>
        </w:rPr>
        <w:t xml:space="preserve">(the </w:t>
      </w:r>
      <w:r w:rsidR="00DF6160">
        <w:rPr>
          <w:sz w:val="24"/>
          <w:szCs w:val="24"/>
        </w:rPr>
        <w:t>Clinic</w:t>
      </w:r>
      <w:r w:rsidR="00556316">
        <w:rPr>
          <w:sz w:val="24"/>
          <w:szCs w:val="24"/>
        </w:rPr>
        <w:t>, f/k/a the Plymouth Medical Group, PMG</w:t>
      </w:r>
      <w:r w:rsidR="0024289A" w:rsidRPr="00AA738A">
        <w:rPr>
          <w:sz w:val="24"/>
          <w:szCs w:val="24"/>
        </w:rPr>
        <w:t>).</w:t>
      </w:r>
      <w:r w:rsidR="0024289A">
        <w:rPr>
          <w:rStyle w:val="FootnoteReference"/>
          <w:sz w:val="24"/>
          <w:szCs w:val="24"/>
        </w:rPr>
        <w:footnoteReference w:id="5"/>
      </w:r>
      <w:r w:rsidR="0024289A" w:rsidRPr="00AA738A">
        <w:rPr>
          <w:sz w:val="24"/>
          <w:szCs w:val="24"/>
        </w:rPr>
        <w:t xml:space="preserve">  The Plymouth </w:t>
      </w:r>
      <w:r w:rsidR="00DF6160">
        <w:rPr>
          <w:sz w:val="24"/>
          <w:szCs w:val="24"/>
        </w:rPr>
        <w:t xml:space="preserve">Clinic </w:t>
      </w:r>
      <w:r w:rsidR="0024289A" w:rsidRPr="00AA738A">
        <w:rPr>
          <w:sz w:val="24"/>
          <w:szCs w:val="24"/>
        </w:rPr>
        <w:t>will be licensed as a new satellite of the Atrius Health - Harvard Vanguard Medical Associates</w:t>
      </w:r>
      <w:r w:rsidR="002B1DC4">
        <w:rPr>
          <w:sz w:val="24"/>
          <w:szCs w:val="24"/>
        </w:rPr>
        <w:t>,</w:t>
      </w:r>
      <w:r w:rsidR="0024289A" w:rsidRPr="00AA738A">
        <w:rPr>
          <w:sz w:val="24"/>
          <w:szCs w:val="24"/>
        </w:rPr>
        <w:t xml:space="preserve"> Wellesley Practice.</w:t>
      </w:r>
      <w:r w:rsidR="0024289A">
        <w:rPr>
          <w:rStyle w:val="FootnoteReference"/>
          <w:sz w:val="24"/>
          <w:szCs w:val="24"/>
        </w:rPr>
        <w:footnoteReference w:id="6"/>
      </w:r>
      <w:r w:rsidR="0024289A" w:rsidRPr="00AA738A">
        <w:rPr>
          <w:sz w:val="24"/>
          <w:szCs w:val="24"/>
        </w:rPr>
        <w:t xml:space="preserve"> </w:t>
      </w:r>
      <w:r w:rsidR="0024289A">
        <w:rPr>
          <w:sz w:val="24"/>
          <w:szCs w:val="24"/>
        </w:rPr>
        <w:t xml:space="preserve"> T</w:t>
      </w:r>
      <w:r w:rsidR="0024289A" w:rsidRPr="00272CB1">
        <w:rPr>
          <w:sz w:val="24"/>
          <w:szCs w:val="24"/>
        </w:rPr>
        <w:t xml:space="preserve">he Plymouth </w:t>
      </w:r>
      <w:r w:rsidR="00DF6160">
        <w:rPr>
          <w:sz w:val="24"/>
          <w:szCs w:val="24"/>
        </w:rPr>
        <w:t>C</w:t>
      </w:r>
      <w:r w:rsidR="0024289A" w:rsidRPr="00272CB1">
        <w:rPr>
          <w:sz w:val="24"/>
          <w:szCs w:val="24"/>
        </w:rPr>
        <w:t xml:space="preserve">linic will be </w:t>
      </w:r>
      <w:r w:rsidR="0024289A">
        <w:rPr>
          <w:sz w:val="24"/>
          <w:szCs w:val="24"/>
        </w:rPr>
        <w:t xml:space="preserve"> modeled after its other</w:t>
      </w:r>
      <w:r w:rsidR="0024289A" w:rsidRPr="00272CB1">
        <w:rPr>
          <w:sz w:val="24"/>
          <w:szCs w:val="24"/>
        </w:rPr>
        <w:t xml:space="preserve"> multispecialty practice</w:t>
      </w:r>
      <w:r w:rsidR="0024289A">
        <w:rPr>
          <w:sz w:val="24"/>
          <w:szCs w:val="24"/>
        </w:rPr>
        <w:t>s</w:t>
      </w:r>
      <w:r w:rsidR="0024289A" w:rsidRPr="00272CB1">
        <w:rPr>
          <w:sz w:val="24"/>
          <w:szCs w:val="24"/>
        </w:rPr>
        <w:t>, offering a full range of services including internal medicine, pediatrics, and various specialty and ancillary services, including pharmacy, lab and radiology.</w:t>
      </w:r>
      <w:r w:rsidR="0024289A">
        <w:rPr>
          <w:rStyle w:val="FootnoteReference"/>
          <w:sz w:val="24"/>
          <w:szCs w:val="24"/>
        </w:rPr>
        <w:footnoteReference w:id="7"/>
      </w:r>
      <w:r w:rsidR="002B1DC4">
        <w:rPr>
          <w:sz w:val="24"/>
          <w:szCs w:val="24"/>
        </w:rPr>
        <w:t xml:space="preserve"> </w:t>
      </w:r>
    </w:p>
    <w:p w14:paraId="74A2FEEE" w14:textId="77777777" w:rsidR="0024289A" w:rsidRPr="00AA738A" w:rsidRDefault="0024289A" w:rsidP="0024289A">
      <w:pPr>
        <w:spacing w:after="0" w:line="240" w:lineRule="auto"/>
        <w:rPr>
          <w:sz w:val="24"/>
          <w:szCs w:val="24"/>
        </w:rPr>
      </w:pPr>
    </w:p>
    <w:p w14:paraId="2C1AE26E" w14:textId="4B0FDB98" w:rsidR="0024289A" w:rsidRDefault="0024289A" w:rsidP="0024289A">
      <w:pPr>
        <w:spacing w:after="0" w:line="240" w:lineRule="auto"/>
        <w:rPr>
          <w:b/>
          <w:bCs/>
          <w:sz w:val="24"/>
          <w:szCs w:val="24"/>
        </w:rPr>
      </w:pPr>
      <w:r>
        <w:rPr>
          <w:b/>
          <w:bCs/>
          <w:sz w:val="24"/>
          <w:szCs w:val="24"/>
        </w:rPr>
        <w:t>P</w:t>
      </w:r>
      <w:r w:rsidRPr="006B66D0">
        <w:rPr>
          <w:b/>
          <w:bCs/>
          <w:sz w:val="24"/>
          <w:szCs w:val="24"/>
        </w:rPr>
        <w:t>roposed Project</w:t>
      </w:r>
    </w:p>
    <w:p w14:paraId="3A682F02" w14:textId="77777777" w:rsidR="00FE0737" w:rsidRDefault="00FE0737" w:rsidP="0024289A">
      <w:pPr>
        <w:spacing w:after="0" w:line="240" w:lineRule="auto"/>
        <w:rPr>
          <w:b/>
          <w:bCs/>
          <w:sz w:val="24"/>
          <w:szCs w:val="24"/>
        </w:rPr>
      </w:pPr>
    </w:p>
    <w:p w14:paraId="1E6D5414" w14:textId="757A6C0E" w:rsidR="0024289A" w:rsidRDefault="00DF6160" w:rsidP="0024289A">
      <w:pPr>
        <w:spacing w:after="0" w:line="240" w:lineRule="auto"/>
        <w:rPr>
          <w:sz w:val="24"/>
          <w:szCs w:val="24"/>
        </w:rPr>
      </w:pPr>
      <w:r>
        <w:rPr>
          <w:sz w:val="24"/>
          <w:szCs w:val="24"/>
        </w:rPr>
        <w:t xml:space="preserve">The Proposed Project is </w:t>
      </w:r>
      <w:r w:rsidRPr="00DF6160">
        <w:rPr>
          <w:sz w:val="24"/>
          <w:szCs w:val="24"/>
        </w:rPr>
        <w:t xml:space="preserve">to provide </w:t>
      </w:r>
      <w:r w:rsidR="00575625">
        <w:rPr>
          <w:sz w:val="24"/>
          <w:szCs w:val="24"/>
        </w:rPr>
        <w:t xml:space="preserve">two </w:t>
      </w:r>
      <w:r w:rsidRPr="00DF6160">
        <w:rPr>
          <w:sz w:val="24"/>
          <w:szCs w:val="24"/>
        </w:rPr>
        <w:t>advanced imaging modalities</w:t>
      </w:r>
      <w:r w:rsidR="00575625">
        <w:rPr>
          <w:sz w:val="24"/>
          <w:szCs w:val="24"/>
        </w:rPr>
        <w:t>,</w:t>
      </w:r>
      <w:r w:rsidRPr="00DF6160">
        <w:rPr>
          <w:sz w:val="24"/>
          <w:szCs w:val="24"/>
        </w:rPr>
        <w:t xml:space="preserve"> MRI and CT</w:t>
      </w:r>
      <w:r w:rsidR="004E6657">
        <w:rPr>
          <w:sz w:val="24"/>
          <w:szCs w:val="24"/>
        </w:rPr>
        <w:t>,</w:t>
      </w:r>
      <w:r w:rsidRPr="00DF6160">
        <w:rPr>
          <w:sz w:val="24"/>
          <w:szCs w:val="24"/>
        </w:rPr>
        <w:t xml:space="preserve"> at the Plymouth </w:t>
      </w:r>
      <w:r>
        <w:rPr>
          <w:sz w:val="24"/>
          <w:szCs w:val="24"/>
        </w:rPr>
        <w:t>Clinic</w:t>
      </w:r>
      <w:r w:rsidRPr="00DF6160">
        <w:rPr>
          <w:sz w:val="24"/>
          <w:szCs w:val="24"/>
        </w:rPr>
        <w:t xml:space="preserve">. Specifically, Atrius Health is seeking approval for one fixed/installed scanner to provide full-time CT services and two days of service of a mobile MRI at the Plymouth </w:t>
      </w:r>
      <w:r>
        <w:rPr>
          <w:sz w:val="24"/>
          <w:szCs w:val="24"/>
        </w:rPr>
        <w:t>Clinic</w:t>
      </w:r>
      <w:r w:rsidRPr="00DF6160">
        <w:rPr>
          <w:sz w:val="24"/>
          <w:szCs w:val="24"/>
        </w:rPr>
        <w:t>. Atrius Health will either purchase or lease the CT scanner. The MRI services will be provided pursuant to an existing lease that Atrius Health currently holds for provision of mobile MRI services.</w:t>
      </w:r>
      <w:r>
        <w:rPr>
          <w:sz w:val="24"/>
          <w:szCs w:val="24"/>
        </w:rPr>
        <w:t xml:space="preserve"> </w:t>
      </w:r>
      <w:r w:rsidR="00575625" w:rsidRPr="00575625">
        <w:rPr>
          <w:sz w:val="24"/>
          <w:szCs w:val="24"/>
        </w:rPr>
        <w:t xml:space="preserve">The Applicant </w:t>
      </w:r>
      <w:r w:rsidR="00575625">
        <w:rPr>
          <w:sz w:val="24"/>
          <w:szCs w:val="24"/>
        </w:rPr>
        <w:t xml:space="preserve">states </w:t>
      </w:r>
      <w:r w:rsidR="00575625" w:rsidRPr="00575625">
        <w:rPr>
          <w:sz w:val="24"/>
          <w:szCs w:val="24"/>
        </w:rPr>
        <w:t>that the Proposed Project will complement the general diagnostic imaging modalities (X-Ray and ultrasound) which will be available at the Plymouth Clinic.</w:t>
      </w:r>
    </w:p>
    <w:p w14:paraId="63B98DA6" w14:textId="4151EA8A" w:rsidR="00FE0737" w:rsidRDefault="00FE0737" w:rsidP="0024289A">
      <w:pPr>
        <w:spacing w:after="0" w:line="240" w:lineRule="auto"/>
        <w:rPr>
          <w:sz w:val="24"/>
          <w:szCs w:val="24"/>
        </w:rPr>
      </w:pPr>
    </w:p>
    <w:p w14:paraId="7E9F8D31" w14:textId="6376D855" w:rsidR="00FE0737" w:rsidRDefault="00FE0737" w:rsidP="0024289A">
      <w:pPr>
        <w:spacing w:after="0" w:line="240" w:lineRule="auto"/>
        <w:rPr>
          <w:sz w:val="24"/>
          <w:szCs w:val="24"/>
        </w:rPr>
      </w:pPr>
      <w:r w:rsidRPr="00FE0737">
        <w:rPr>
          <w:sz w:val="24"/>
          <w:szCs w:val="24"/>
        </w:rPr>
        <w:t xml:space="preserve">The Proposed Project is driven by a need to expand access to cost effective advanced imaging for Atrius Health patients in </w:t>
      </w:r>
      <w:bookmarkStart w:id="8" w:name="_Hlk122012850"/>
      <w:r w:rsidRPr="00FE0737">
        <w:rPr>
          <w:sz w:val="24"/>
          <w:szCs w:val="24"/>
        </w:rPr>
        <w:t>the greater Plymouth</w:t>
      </w:r>
      <w:r>
        <w:rPr>
          <w:sz w:val="24"/>
          <w:szCs w:val="24"/>
        </w:rPr>
        <w:t xml:space="preserve"> </w:t>
      </w:r>
      <w:r w:rsidR="00575625">
        <w:rPr>
          <w:sz w:val="24"/>
          <w:szCs w:val="24"/>
        </w:rPr>
        <w:t xml:space="preserve">service area </w:t>
      </w:r>
      <w:r>
        <w:rPr>
          <w:sz w:val="24"/>
          <w:szCs w:val="24"/>
        </w:rPr>
        <w:t xml:space="preserve">and </w:t>
      </w:r>
      <w:r w:rsidRPr="00FE0737">
        <w:rPr>
          <w:sz w:val="24"/>
          <w:szCs w:val="24"/>
        </w:rPr>
        <w:t>is part of the Applicant’s ongoing efforts to improve access to necessary care, promote care coordination, and help control total medical expense</w:t>
      </w:r>
      <w:r w:rsidR="00575625">
        <w:rPr>
          <w:sz w:val="24"/>
          <w:szCs w:val="24"/>
        </w:rPr>
        <w:t>s</w:t>
      </w:r>
      <w:r w:rsidRPr="00FE0737">
        <w:rPr>
          <w:sz w:val="24"/>
          <w:szCs w:val="24"/>
        </w:rPr>
        <w:t xml:space="preserve"> for the community.</w:t>
      </w:r>
    </w:p>
    <w:bookmarkEnd w:id="8"/>
    <w:p w14:paraId="4355F455" w14:textId="77777777" w:rsidR="00FE0737" w:rsidRPr="00DF6160" w:rsidRDefault="00FE0737" w:rsidP="0024289A">
      <w:pPr>
        <w:spacing w:after="0" w:line="240" w:lineRule="auto"/>
        <w:rPr>
          <w:sz w:val="24"/>
          <w:szCs w:val="24"/>
        </w:rPr>
      </w:pPr>
    </w:p>
    <w:p w14:paraId="72606428" w14:textId="4FCD5FBE" w:rsidR="00513147" w:rsidRPr="00A30921" w:rsidRDefault="003F0CC7" w:rsidP="002B05B4">
      <w:pPr>
        <w:pStyle w:val="Heading1"/>
        <w:rPr>
          <w:color w:val="FF0000"/>
        </w:rPr>
      </w:pPr>
      <w:bookmarkStart w:id="9" w:name="_Toc131063590"/>
      <w:r>
        <w:lastRenderedPageBreak/>
        <w:t xml:space="preserve">Factor 1: </w:t>
      </w:r>
      <w:r w:rsidR="00D57998" w:rsidRPr="002B05B4">
        <w:t>Patient Panel</w:t>
      </w:r>
      <w:r w:rsidR="0017637D" w:rsidRPr="002B05B4">
        <w:rPr>
          <w:rStyle w:val="FootnoteReference"/>
        </w:rPr>
        <w:footnoteReference w:id="8"/>
      </w:r>
      <w:bookmarkEnd w:id="9"/>
      <w:r w:rsidR="00D57998" w:rsidRPr="002B05B4">
        <w:rPr>
          <w:vertAlign w:val="superscript"/>
        </w:rPr>
        <w:t xml:space="preserve"> </w:t>
      </w:r>
      <w:r w:rsidR="00A30921">
        <w:rPr>
          <w:color w:val="FF0000"/>
        </w:rPr>
        <w:t xml:space="preserve"> </w:t>
      </w:r>
    </w:p>
    <w:p w14:paraId="0930B656" w14:textId="3B7C03E1" w:rsidR="00290E5C" w:rsidRPr="00290E5C" w:rsidRDefault="00290E5C" w:rsidP="003F0CC7">
      <w:pPr>
        <w:spacing w:before="240" w:after="0" w:line="240" w:lineRule="auto"/>
        <w:rPr>
          <w:sz w:val="24"/>
          <w:szCs w:val="24"/>
        </w:rPr>
      </w:pPr>
      <w:r w:rsidRPr="00290E5C">
        <w:rPr>
          <w:sz w:val="24"/>
          <w:szCs w:val="24"/>
        </w:rPr>
        <w:t>Table</w:t>
      </w:r>
      <w:r w:rsidR="00B942E1">
        <w:rPr>
          <w:sz w:val="24"/>
          <w:szCs w:val="24"/>
        </w:rPr>
        <w:t xml:space="preserve">s </w:t>
      </w:r>
      <w:r w:rsidRPr="00290E5C">
        <w:rPr>
          <w:sz w:val="24"/>
          <w:szCs w:val="24"/>
        </w:rPr>
        <w:t xml:space="preserve">1 </w:t>
      </w:r>
      <w:r>
        <w:rPr>
          <w:sz w:val="24"/>
          <w:szCs w:val="24"/>
        </w:rPr>
        <w:t xml:space="preserve">below </w:t>
      </w:r>
      <w:r w:rsidRPr="00290E5C">
        <w:rPr>
          <w:sz w:val="24"/>
          <w:szCs w:val="24"/>
        </w:rPr>
        <w:t>show</w:t>
      </w:r>
      <w:r w:rsidR="00280D02">
        <w:rPr>
          <w:sz w:val="24"/>
          <w:szCs w:val="24"/>
        </w:rPr>
        <w:t>s</w:t>
      </w:r>
      <w:r w:rsidRPr="00290E5C">
        <w:rPr>
          <w:sz w:val="24"/>
          <w:szCs w:val="24"/>
        </w:rPr>
        <w:t xml:space="preserve"> the historic </w:t>
      </w:r>
      <w:r w:rsidR="009F0522" w:rsidRPr="00290E5C">
        <w:rPr>
          <w:sz w:val="24"/>
          <w:szCs w:val="24"/>
        </w:rPr>
        <w:t xml:space="preserve">Patient Panel </w:t>
      </w:r>
      <w:r w:rsidRPr="00290E5C">
        <w:rPr>
          <w:sz w:val="24"/>
          <w:szCs w:val="24"/>
        </w:rPr>
        <w:t>since 2019</w:t>
      </w:r>
      <w:r w:rsidR="00B942E1">
        <w:rPr>
          <w:sz w:val="24"/>
          <w:szCs w:val="24"/>
        </w:rPr>
        <w:t xml:space="preserve">. </w:t>
      </w:r>
      <w:r>
        <w:rPr>
          <w:sz w:val="24"/>
          <w:szCs w:val="24"/>
        </w:rPr>
        <w:t>B</w:t>
      </w:r>
      <w:r w:rsidRPr="00290E5C">
        <w:rPr>
          <w:sz w:val="24"/>
          <w:szCs w:val="24"/>
        </w:rPr>
        <w:t>etween January 1, 2022, and June 30, 2022</w:t>
      </w:r>
      <w:r>
        <w:rPr>
          <w:sz w:val="24"/>
          <w:szCs w:val="24"/>
        </w:rPr>
        <w:t xml:space="preserve">, </w:t>
      </w:r>
      <w:r w:rsidRPr="00290E5C">
        <w:rPr>
          <w:sz w:val="24"/>
          <w:szCs w:val="24"/>
        </w:rPr>
        <w:t xml:space="preserve">Atrius Health’s </w:t>
      </w:r>
      <w:r w:rsidR="00B942E1" w:rsidRPr="00290E5C">
        <w:rPr>
          <w:sz w:val="24"/>
          <w:szCs w:val="24"/>
        </w:rPr>
        <w:t>Patient Panel</w:t>
      </w:r>
      <w:r w:rsidRPr="00290E5C">
        <w:rPr>
          <w:sz w:val="24"/>
          <w:szCs w:val="24"/>
        </w:rPr>
        <w:t xml:space="preserve"> consists of approximately 383,507 unique patients</w:t>
      </w:r>
      <w:r w:rsidR="00B942E1">
        <w:rPr>
          <w:sz w:val="24"/>
          <w:szCs w:val="24"/>
        </w:rPr>
        <w:t>.</w:t>
      </w:r>
    </w:p>
    <w:p w14:paraId="50DEAA1B" w14:textId="77777777" w:rsidR="00290E5C" w:rsidRDefault="00290E5C" w:rsidP="009F3023">
      <w:pPr>
        <w:spacing w:after="0" w:line="240" w:lineRule="auto"/>
        <w:rPr>
          <w:sz w:val="24"/>
          <w:szCs w:val="24"/>
        </w:rPr>
      </w:pPr>
    </w:p>
    <w:p w14:paraId="3E15DCDE" w14:textId="77777777" w:rsidR="00290E5C" w:rsidRPr="00290E5C" w:rsidRDefault="00290E5C" w:rsidP="003E5301">
      <w:pPr>
        <w:spacing w:after="0" w:line="240" w:lineRule="auto"/>
        <w:jc w:val="center"/>
        <w:rPr>
          <w:b/>
          <w:bCs/>
          <w:sz w:val="24"/>
          <w:szCs w:val="24"/>
        </w:rPr>
      </w:pPr>
      <w:r w:rsidRPr="00290E5C">
        <w:rPr>
          <w:b/>
          <w:bCs/>
          <w:sz w:val="24"/>
          <w:szCs w:val="24"/>
        </w:rPr>
        <w:t>Table 1: Atrius Health - Patient Panel, January 2019 – June 2022</w:t>
      </w:r>
    </w:p>
    <w:p w14:paraId="1A865C7E" w14:textId="2F971ABA" w:rsidR="00290E5C" w:rsidRDefault="00290E5C" w:rsidP="009F3023">
      <w:pPr>
        <w:spacing w:after="0" w:line="240" w:lineRule="auto"/>
        <w:rPr>
          <w:sz w:val="24"/>
          <w:szCs w:val="24"/>
        </w:rPr>
      </w:pPr>
    </w:p>
    <w:tbl>
      <w:tblPr>
        <w:tblStyle w:val="TableGrid"/>
        <w:tblW w:w="8700" w:type="dxa"/>
        <w:jc w:val="center"/>
        <w:tblLook w:val="04A0" w:firstRow="1" w:lastRow="0" w:firstColumn="1" w:lastColumn="0" w:noHBand="0" w:noVBand="1"/>
      </w:tblPr>
      <w:tblGrid>
        <w:gridCol w:w="3609"/>
        <w:gridCol w:w="1272"/>
        <w:gridCol w:w="1273"/>
        <w:gridCol w:w="1273"/>
        <w:gridCol w:w="1273"/>
      </w:tblGrid>
      <w:tr w:rsidR="00290E5C" w:rsidRPr="00290E5C" w14:paraId="6B87B182" w14:textId="77777777" w:rsidTr="00BF0778">
        <w:trPr>
          <w:jc w:val="center"/>
        </w:trPr>
        <w:tc>
          <w:tcPr>
            <w:tcW w:w="3609" w:type="dxa"/>
            <w:shd w:val="clear" w:color="auto" w:fill="EBFFFF"/>
          </w:tcPr>
          <w:p w14:paraId="53956AF3" w14:textId="3B7B9599" w:rsidR="00290E5C" w:rsidRPr="00BF0778" w:rsidRDefault="00290E5C" w:rsidP="00290E5C">
            <w:pPr>
              <w:rPr>
                <w:b/>
                <w:bCs/>
                <w:sz w:val="24"/>
                <w:szCs w:val="24"/>
              </w:rPr>
            </w:pPr>
            <w:r w:rsidRPr="00BF0778">
              <w:rPr>
                <w:b/>
                <w:bCs/>
                <w:sz w:val="24"/>
                <w:szCs w:val="24"/>
              </w:rPr>
              <w:t>Calendar Year</w:t>
            </w:r>
          </w:p>
        </w:tc>
        <w:tc>
          <w:tcPr>
            <w:tcW w:w="1272" w:type="dxa"/>
            <w:shd w:val="clear" w:color="auto" w:fill="EBFFFF"/>
            <w:vAlign w:val="center"/>
          </w:tcPr>
          <w:p w14:paraId="2634C6CB" w14:textId="77777777" w:rsidR="00290E5C" w:rsidRPr="00290E5C" w:rsidRDefault="00290E5C" w:rsidP="003E5301">
            <w:pPr>
              <w:jc w:val="center"/>
              <w:rPr>
                <w:sz w:val="24"/>
                <w:szCs w:val="24"/>
              </w:rPr>
            </w:pPr>
            <w:r w:rsidRPr="00290E5C">
              <w:rPr>
                <w:b/>
                <w:bCs/>
                <w:sz w:val="24"/>
                <w:szCs w:val="24"/>
              </w:rPr>
              <w:t>2019</w:t>
            </w:r>
          </w:p>
        </w:tc>
        <w:tc>
          <w:tcPr>
            <w:tcW w:w="1273" w:type="dxa"/>
            <w:shd w:val="clear" w:color="auto" w:fill="EBFFFF"/>
            <w:vAlign w:val="center"/>
          </w:tcPr>
          <w:p w14:paraId="51BB1D68" w14:textId="77777777" w:rsidR="00290E5C" w:rsidRPr="00290E5C" w:rsidRDefault="00290E5C" w:rsidP="003E5301">
            <w:pPr>
              <w:jc w:val="center"/>
              <w:rPr>
                <w:sz w:val="24"/>
                <w:szCs w:val="24"/>
              </w:rPr>
            </w:pPr>
            <w:r w:rsidRPr="00290E5C">
              <w:rPr>
                <w:b/>
                <w:bCs/>
                <w:sz w:val="24"/>
                <w:szCs w:val="24"/>
              </w:rPr>
              <w:t>2020</w:t>
            </w:r>
          </w:p>
        </w:tc>
        <w:tc>
          <w:tcPr>
            <w:tcW w:w="1273" w:type="dxa"/>
            <w:shd w:val="clear" w:color="auto" w:fill="EBFFFF"/>
            <w:vAlign w:val="center"/>
          </w:tcPr>
          <w:p w14:paraId="1263F973" w14:textId="77777777" w:rsidR="00290E5C" w:rsidRPr="00290E5C" w:rsidRDefault="00290E5C" w:rsidP="003E5301">
            <w:pPr>
              <w:jc w:val="center"/>
              <w:rPr>
                <w:sz w:val="24"/>
                <w:szCs w:val="24"/>
              </w:rPr>
            </w:pPr>
            <w:r w:rsidRPr="00290E5C">
              <w:rPr>
                <w:b/>
                <w:bCs/>
                <w:sz w:val="24"/>
                <w:szCs w:val="24"/>
              </w:rPr>
              <w:t>2021</w:t>
            </w:r>
          </w:p>
        </w:tc>
        <w:tc>
          <w:tcPr>
            <w:tcW w:w="1273" w:type="dxa"/>
            <w:shd w:val="clear" w:color="auto" w:fill="EBFFFF"/>
            <w:vAlign w:val="center"/>
          </w:tcPr>
          <w:p w14:paraId="20655C03" w14:textId="77777777" w:rsidR="00290E5C" w:rsidRPr="00290E5C" w:rsidRDefault="00290E5C" w:rsidP="003E5301">
            <w:pPr>
              <w:jc w:val="center"/>
              <w:rPr>
                <w:sz w:val="24"/>
                <w:szCs w:val="24"/>
              </w:rPr>
            </w:pPr>
            <w:r w:rsidRPr="00290E5C">
              <w:rPr>
                <w:b/>
                <w:bCs/>
                <w:sz w:val="24"/>
                <w:szCs w:val="24"/>
              </w:rPr>
              <w:t>2022</w:t>
            </w:r>
            <w:r w:rsidRPr="00290E5C">
              <w:rPr>
                <w:sz w:val="24"/>
                <w:szCs w:val="24"/>
              </w:rPr>
              <w:t>*</w:t>
            </w:r>
          </w:p>
        </w:tc>
      </w:tr>
      <w:tr w:rsidR="00290E5C" w:rsidRPr="00290E5C" w14:paraId="7822D358" w14:textId="77777777" w:rsidTr="00290E5C">
        <w:trPr>
          <w:trHeight w:val="345"/>
          <w:jc w:val="center"/>
        </w:trPr>
        <w:tc>
          <w:tcPr>
            <w:tcW w:w="3609" w:type="dxa"/>
            <w:vAlign w:val="center"/>
          </w:tcPr>
          <w:p w14:paraId="4FB1C0EF" w14:textId="798183E2" w:rsidR="00290E5C" w:rsidRPr="00290E5C" w:rsidRDefault="00290E5C" w:rsidP="00290E5C">
            <w:pPr>
              <w:rPr>
                <w:sz w:val="24"/>
                <w:szCs w:val="24"/>
              </w:rPr>
            </w:pPr>
            <w:r w:rsidRPr="00290E5C">
              <w:rPr>
                <w:sz w:val="24"/>
                <w:szCs w:val="24"/>
              </w:rPr>
              <w:t>Number Of Unique Patients</w:t>
            </w:r>
          </w:p>
        </w:tc>
        <w:tc>
          <w:tcPr>
            <w:tcW w:w="1272" w:type="dxa"/>
            <w:vAlign w:val="center"/>
          </w:tcPr>
          <w:p w14:paraId="714382A3" w14:textId="77777777" w:rsidR="00290E5C" w:rsidRPr="00290E5C" w:rsidRDefault="00290E5C" w:rsidP="003E5301">
            <w:pPr>
              <w:jc w:val="center"/>
              <w:rPr>
                <w:sz w:val="24"/>
                <w:szCs w:val="24"/>
              </w:rPr>
            </w:pPr>
            <w:r w:rsidRPr="00290E5C">
              <w:rPr>
                <w:sz w:val="24"/>
                <w:szCs w:val="24"/>
              </w:rPr>
              <w:t>427,618</w:t>
            </w:r>
          </w:p>
        </w:tc>
        <w:tc>
          <w:tcPr>
            <w:tcW w:w="1273" w:type="dxa"/>
            <w:vAlign w:val="center"/>
          </w:tcPr>
          <w:p w14:paraId="45F7A40C" w14:textId="77777777" w:rsidR="00290E5C" w:rsidRPr="00290E5C" w:rsidRDefault="00290E5C" w:rsidP="003E5301">
            <w:pPr>
              <w:jc w:val="center"/>
              <w:rPr>
                <w:sz w:val="24"/>
                <w:szCs w:val="24"/>
              </w:rPr>
            </w:pPr>
            <w:r w:rsidRPr="00290E5C">
              <w:rPr>
                <w:sz w:val="24"/>
                <w:szCs w:val="24"/>
              </w:rPr>
              <w:t>417,689</w:t>
            </w:r>
          </w:p>
        </w:tc>
        <w:tc>
          <w:tcPr>
            <w:tcW w:w="1273" w:type="dxa"/>
            <w:vAlign w:val="center"/>
          </w:tcPr>
          <w:p w14:paraId="485D2B83" w14:textId="77777777" w:rsidR="00290E5C" w:rsidRPr="00290E5C" w:rsidRDefault="00290E5C" w:rsidP="003E5301">
            <w:pPr>
              <w:jc w:val="center"/>
              <w:rPr>
                <w:sz w:val="24"/>
                <w:szCs w:val="24"/>
              </w:rPr>
            </w:pPr>
            <w:r w:rsidRPr="00290E5C">
              <w:rPr>
                <w:sz w:val="24"/>
                <w:szCs w:val="24"/>
              </w:rPr>
              <w:t>381,725</w:t>
            </w:r>
          </w:p>
        </w:tc>
        <w:tc>
          <w:tcPr>
            <w:tcW w:w="1273" w:type="dxa"/>
            <w:vAlign w:val="center"/>
          </w:tcPr>
          <w:p w14:paraId="395B218C" w14:textId="77777777" w:rsidR="00290E5C" w:rsidRPr="00290E5C" w:rsidRDefault="00290E5C" w:rsidP="003E5301">
            <w:pPr>
              <w:jc w:val="center"/>
              <w:rPr>
                <w:sz w:val="24"/>
                <w:szCs w:val="24"/>
              </w:rPr>
            </w:pPr>
            <w:r w:rsidRPr="00290E5C">
              <w:rPr>
                <w:sz w:val="24"/>
                <w:szCs w:val="24"/>
              </w:rPr>
              <w:t>383,507</w:t>
            </w:r>
          </w:p>
        </w:tc>
      </w:tr>
      <w:tr w:rsidR="00290E5C" w:rsidRPr="00290E5C" w14:paraId="6B444BDA" w14:textId="77777777" w:rsidTr="00290E5C">
        <w:trPr>
          <w:trHeight w:val="345"/>
          <w:jc w:val="center"/>
        </w:trPr>
        <w:tc>
          <w:tcPr>
            <w:tcW w:w="8700" w:type="dxa"/>
            <w:gridSpan w:val="5"/>
            <w:vAlign w:val="center"/>
          </w:tcPr>
          <w:p w14:paraId="288757E9" w14:textId="4A89EAD2" w:rsidR="00290E5C" w:rsidRPr="00290E5C" w:rsidRDefault="00290E5C" w:rsidP="00290E5C">
            <w:pPr>
              <w:rPr>
                <w:sz w:val="24"/>
                <w:szCs w:val="24"/>
              </w:rPr>
            </w:pPr>
            <w:r w:rsidRPr="00290E5C">
              <w:rPr>
                <w:sz w:val="24"/>
                <w:szCs w:val="24"/>
              </w:rPr>
              <w:t>*</w:t>
            </w:r>
            <w:r w:rsidR="00D63673">
              <w:rPr>
                <w:sz w:val="24"/>
                <w:szCs w:val="24"/>
              </w:rPr>
              <w:t>P</w:t>
            </w:r>
            <w:r w:rsidRPr="00290E5C">
              <w:rPr>
                <w:sz w:val="24"/>
                <w:szCs w:val="24"/>
              </w:rPr>
              <w:t>atient</w:t>
            </w:r>
            <w:r w:rsidR="00D63673">
              <w:rPr>
                <w:sz w:val="24"/>
                <w:szCs w:val="24"/>
              </w:rPr>
              <w:t xml:space="preserve"> counts </w:t>
            </w:r>
            <w:r w:rsidRPr="00290E5C">
              <w:rPr>
                <w:sz w:val="24"/>
                <w:szCs w:val="24"/>
              </w:rPr>
              <w:t xml:space="preserve">based on patient </w:t>
            </w:r>
            <w:r w:rsidR="00D63673">
              <w:rPr>
                <w:sz w:val="24"/>
                <w:szCs w:val="24"/>
              </w:rPr>
              <w:t xml:space="preserve">unique </w:t>
            </w:r>
            <w:r w:rsidRPr="00290E5C">
              <w:rPr>
                <w:sz w:val="24"/>
                <w:szCs w:val="24"/>
              </w:rPr>
              <w:t>encounters from January 1 - June 30, 2022</w:t>
            </w:r>
          </w:p>
        </w:tc>
      </w:tr>
    </w:tbl>
    <w:p w14:paraId="52E919F3" w14:textId="73BEF327" w:rsidR="00290E5C" w:rsidRDefault="00290E5C" w:rsidP="009F3023">
      <w:pPr>
        <w:spacing w:after="0" w:line="240" w:lineRule="auto"/>
        <w:rPr>
          <w:sz w:val="24"/>
          <w:szCs w:val="24"/>
        </w:rPr>
      </w:pPr>
    </w:p>
    <w:p w14:paraId="7F831D92" w14:textId="51DEAD7E" w:rsidR="003E5301" w:rsidRPr="00193129" w:rsidRDefault="003E5301" w:rsidP="003E5301">
      <w:pPr>
        <w:spacing w:after="0" w:line="240" w:lineRule="auto"/>
        <w:jc w:val="center"/>
        <w:rPr>
          <w:sz w:val="24"/>
          <w:szCs w:val="24"/>
        </w:rPr>
      </w:pPr>
      <w:r w:rsidRPr="003E5301">
        <w:rPr>
          <w:b/>
          <w:bCs/>
          <w:sz w:val="24"/>
          <w:szCs w:val="24"/>
        </w:rPr>
        <w:t>Table 2: Demographic Profiles</w:t>
      </w:r>
    </w:p>
    <w:p w14:paraId="2194A8F4" w14:textId="1BE10C4C" w:rsidR="00373F67" w:rsidRDefault="00373F67" w:rsidP="0059582B">
      <w:pPr>
        <w:spacing w:after="0"/>
      </w:pPr>
    </w:p>
    <w:tbl>
      <w:tblPr>
        <w:tblW w:w="7277"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310"/>
        <w:gridCol w:w="1310"/>
        <w:gridCol w:w="1310"/>
        <w:gridCol w:w="1310"/>
      </w:tblGrid>
      <w:tr w:rsidR="003E5301" w:rsidRPr="003E5301" w14:paraId="6BF1266F" w14:textId="77777777" w:rsidTr="009353FA">
        <w:trPr>
          <w:cantSplit/>
          <w:trHeight w:val="462"/>
          <w:tblHeader/>
        </w:trPr>
        <w:tc>
          <w:tcPr>
            <w:tcW w:w="2037" w:type="dxa"/>
            <w:shd w:val="clear" w:color="auto" w:fill="EBFFFF"/>
            <w:noWrap/>
            <w:vAlign w:val="bottom"/>
            <w:hideMark/>
          </w:tcPr>
          <w:p w14:paraId="18F35BF7" w14:textId="77777777" w:rsidR="003E5301" w:rsidRPr="003E5301" w:rsidRDefault="003E5301" w:rsidP="00525DC6">
            <w:pPr>
              <w:spacing w:after="0" w:line="240" w:lineRule="auto"/>
              <w:rPr>
                <w:rFonts w:cstheme="minorHAnsi"/>
                <w:b/>
                <w:bCs/>
                <w:sz w:val="24"/>
                <w:szCs w:val="24"/>
              </w:rPr>
            </w:pPr>
          </w:p>
        </w:tc>
        <w:tc>
          <w:tcPr>
            <w:tcW w:w="1310" w:type="dxa"/>
            <w:shd w:val="clear" w:color="auto" w:fill="EBFFFF"/>
            <w:noWrap/>
            <w:vAlign w:val="center"/>
            <w:hideMark/>
          </w:tcPr>
          <w:p w14:paraId="4B1BD318" w14:textId="77777777" w:rsidR="003E5301" w:rsidRPr="003E5301" w:rsidRDefault="003E5301" w:rsidP="00525DC6">
            <w:pPr>
              <w:spacing w:after="0" w:line="240" w:lineRule="auto"/>
              <w:jc w:val="center"/>
              <w:rPr>
                <w:rFonts w:cstheme="minorHAnsi"/>
                <w:b/>
                <w:bCs/>
                <w:sz w:val="24"/>
                <w:szCs w:val="24"/>
              </w:rPr>
            </w:pPr>
            <w:r w:rsidRPr="003E5301">
              <w:rPr>
                <w:rFonts w:cstheme="minorHAnsi"/>
                <w:b/>
                <w:bCs/>
                <w:sz w:val="24"/>
                <w:szCs w:val="24"/>
              </w:rPr>
              <w:t>2019</w:t>
            </w:r>
          </w:p>
        </w:tc>
        <w:tc>
          <w:tcPr>
            <w:tcW w:w="1310" w:type="dxa"/>
            <w:shd w:val="clear" w:color="auto" w:fill="EBFFFF"/>
            <w:noWrap/>
            <w:vAlign w:val="center"/>
            <w:hideMark/>
          </w:tcPr>
          <w:p w14:paraId="057E1AB0" w14:textId="77777777" w:rsidR="003E5301" w:rsidRPr="003E5301" w:rsidRDefault="003E5301" w:rsidP="00525DC6">
            <w:pPr>
              <w:spacing w:after="0" w:line="240" w:lineRule="auto"/>
              <w:jc w:val="center"/>
              <w:rPr>
                <w:rFonts w:cstheme="minorHAnsi"/>
                <w:b/>
                <w:bCs/>
                <w:sz w:val="24"/>
                <w:szCs w:val="24"/>
              </w:rPr>
            </w:pPr>
            <w:r w:rsidRPr="003E5301">
              <w:rPr>
                <w:rFonts w:cstheme="minorHAnsi"/>
                <w:b/>
                <w:bCs/>
                <w:sz w:val="24"/>
                <w:szCs w:val="24"/>
              </w:rPr>
              <w:t>2020</w:t>
            </w:r>
          </w:p>
        </w:tc>
        <w:tc>
          <w:tcPr>
            <w:tcW w:w="1310" w:type="dxa"/>
            <w:shd w:val="clear" w:color="auto" w:fill="EBFFFF"/>
            <w:noWrap/>
            <w:vAlign w:val="center"/>
            <w:hideMark/>
          </w:tcPr>
          <w:p w14:paraId="51D272AE" w14:textId="77777777" w:rsidR="003E5301" w:rsidRPr="003E5301" w:rsidRDefault="003E5301" w:rsidP="00525DC6">
            <w:pPr>
              <w:spacing w:after="0" w:line="240" w:lineRule="auto"/>
              <w:jc w:val="center"/>
              <w:rPr>
                <w:rFonts w:cstheme="minorHAnsi"/>
                <w:b/>
                <w:bCs/>
                <w:sz w:val="24"/>
                <w:szCs w:val="24"/>
              </w:rPr>
            </w:pPr>
            <w:r w:rsidRPr="003E5301">
              <w:rPr>
                <w:rFonts w:cstheme="minorHAnsi"/>
                <w:b/>
                <w:bCs/>
                <w:sz w:val="24"/>
                <w:szCs w:val="24"/>
              </w:rPr>
              <w:t>2021</w:t>
            </w:r>
          </w:p>
        </w:tc>
        <w:tc>
          <w:tcPr>
            <w:tcW w:w="1310" w:type="dxa"/>
            <w:shd w:val="clear" w:color="auto" w:fill="EBFFFF"/>
            <w:noWrap/>
            <w:vAlign w:val="center"/>
            <w:hideMark/>
          </w:tcPr>
          <w:p w14:paraId="11866584" w14:textId="77777777" w:rsidR="003E5301" w:rsidRPr="003E5301" w:rsidRDefault="003E5301" w:rsidP="00525DC6">
            <w:pPr>
              <w:spacing w:after="0" w:line="240" w:lineRule="auto"/>
              <w:jc w:val="center"/>
              <w:rPr>
                <w:rFonts w:cstheme="minorHAnsi"/>
                <w:b/>
                <w:bCs/>
                <w:sz w:val="24"/>
                <w:szCs w:val="24"/>
              </w:rPr>
            </w:pPr>
            <w:r w:rsidRPr="003E5301">
              <w:rPr>
                <w:rFonts w:cstheme="minorHAnsi"/>
                <w:b/>
                <w:bCs/>
                <w:sz w:val="24"/>
                <w:szCs w:val="24"/>
              </w:rPr>
              <w:t>2022</w:t>
            </w:r>
            <w:r w:rsidRPr="003E5301">
              <w:rPr>
                <w:rFonts w:cstheme="minorHAnsi"/>
                <w:sz w:val="24"/>
                <w:szCs w:val="24"/>
              </w:rPr>
              <w:t>*</w:t>
            </w:r>
          </w:p>
        </w:tc>
      </w:tr>
      <w:tr w:rsidR="003E5301" w:rsidRPr="003E5301" w14:paraId="5B129089" w14:textId="77777777" w:rsidTr="009353FA">
        <w:trPr>
          <w:cantSplit/>
          <w:trHeight w:val="259"/>
        </w:trPr>
        <w:tc>
          <w:tcPr>
            <w:tcW w:w="2037" w:type="dxa"/>
            <w:shd w:val="clear" w:color="auto" w:fill="auto"/>
            <w:noWrap/>
            <w:vAlign w:val="bottom"/>
            <w:hideMark/>
          </w:tcPr>
          <w:p w14:paraId="18B87CE9" w14:textId="1AD3F5E9" w:rsidR="009353FA" w:rsidRDefault="009353FA" w:rsidP="00525DC6">
            <w:pPr>
              <w:spacing w:after="0" w:line="240" w:lineRule="auto"/>
              <w:rPr>
                <w:rFonts w:cstheme="minorHAnsi"/>
                <w:sz w:val="24"/>
                <w:szCs w:val="24"/>
              </w:rPr>
            </w:pPr>
            <w:r w:rsidRPr="003E5301">
              <w:rPr>
                <w:rFonts w:cstheme="minorHAnsi"/>
                <w:b/>
                <w:bCs/>
                <w:sz w:val="24"/>
                <w:szCs w:val="24"/>
              </w:rPr>
              <w:t>Gender</w:t>
            </w:r>
          </w:p>
          <w:p w14:paraId="18EDE0E1" w14:textId="3216333D" w:rsidR="003E5301" w:rsidRPr="003E5301" w:rsidRDefault="003E5301" w:rsidP="00525DC6">
            <w:pPr>
              <w:spacing w:after="0" w:line="240" w:lineRule="auto"/>
              <w:rPr>
                <w:rFonts w:cstheme="minorHAnsi"/>
                <w:sz w:val="24"/>
                <w:szCs w:val="24"/>
              </w:rPr>
            </w:pPr>
            <w:r w:rsidRPr="003E5301">
              <w:rPr>
                <w:rFonts w:cstheme="minorHAnsi"/>
                <w:sz w:val="24"/>
                <w:szCs w:val="24"/>
              </w:rPr>
              <w:t>Female</w:t>
            </w:r>
          </w:p>
        </w:tc>
        <w:tc>
          <w:tcPr>
            <w:tcW w:w="1310" w:type="dxa"/>
            <w:shd w:val="clear" w:color="auto" w:fill="auto"/>
            <w:noWrap/>
            <w:vAlign w:val="bottom"/>
            <w:hideMark/>
          </w:tcPr>
          <w:p w14:paraId="78D8C4B1"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58.4%</w:t>
            </w:r>
          </w:p>
        </w:tc>
        <w:tc>
          <w:tcPr>
            <w:tcW w:w="1310" w:type="dxa"/>
            <w:shd w:val="clear" w:color="auto" w:fill="auto"/>
            <w:noWrap/>
            <w:vAlign w:val="bottom"/>
            <w:hideMark/>
          </w:tcPr>
          <w:p w14:paraId="2EFEB9E8"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58.3%</w:t>
            </w:r>
          </w:p>
        </w:tc>
        <w:tc>
          <w:tcPr>
            <w:tcW w:w="1310" w:type="dxa"/>
            <w:shd w:val="clear" w:color="auto" w:fill="auto"/>
            <w:noWrap/>
            <w:vAlign w:val="bottom"/>
            <w:hideMark/>
          </w:tcPr>
          <w:p w14:paraId="7D2EB9A4"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58.0%</w:t>
            </w:r>
          </w:p>
        </w:tc>
        <w:tc>
          <w:tcPr>
            <w:tcW w:w="1310" w:type="dxa"/>
            <w:shd w:val="clear" w:color="auto" w:fill="auto"/>
            <w:noWrap/>
            <w:vAlign w:val="bottom"/>
            <w:hideMark/>
          </w:tcPr>
          <w:p w14:paraId="0494C9E9"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58.1%</w:t>
            </w:r>
          </w:p>
        </w:tc>
      </w:tr>
      <w:tr w:rsidR="003E5301" w:rsidRPr="003E5301" w14:paraId="6F7B502B" w14:textId="77777777" w:rsidTr="009353FA">
        <w:trPr>
          <w:cantSplit/>
          <w:trHeight w:val="259"/>
        </w:trPr>
        <w:tc>
          <w:tcPr>
            <w:tcW w:w="2037" w:type="dxa"/>
            <w:shd w:val="clear" w:color="auto" w:fill="auto"/>
            <w:noWrap/>
            <w:vAlign w:val="bottom"/>
            <w:hideMark/>
          </w:tcPr>
          <w:p w14:paraId="723FCE01"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Male</w:t>
            </w:r>
          </w:p>
        </w:tc>
        <w:tc>
          <w:tcPr>
            <w:tcW w:w="1310" w:type="dxa"/>
            <w:shd w:val="clear" w:color="auto" w:fill="auto"/>
            <w:noWrap/>
            <w:vAlign w:val="bottom"/>
            <w:hideMark/>
          </w:tcPr>
          <w:p w14:paraId="14CEEE55"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41.6%</w:t>
            </w:r>
          </w:p>
        </w:tc>
        <w:tc>
          <w:tcPr>
            <w:tcW w:w="1310" w:type="dxa"/>
            <w:shd w:val="clear" w:color="auto" w:fill="auto"/>
            <w:noWrap/>
            <w:vAlign w:val="bottom"/>
            <w:hideMark/>
          </w:tcPr>
          <w:p w14:paraId="6199F0FE"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41.7%</w:t>
            </w:r>
          </w:p>
        </w:tc>
        <w:tc>
          <w:tcPr>
            <w:tcW w:w="1310" w:type="dxa"/>
            <w:shd w:val="clear" w:color="auto" w:fill="auto"/>
            <w:noWrap/>
            <w:vAlign w:val="bottom"/>
            <w:hideMark/>
          </w:tcPr>
          <w:p w14:paraId="69BF305D"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42.0%</w:t>
            </w:r>
          </w:p>
        </w:tc>
        <w:tc>
          <w:tcPr>
            <w:tcW w:w="1310" w:type="dxa"/>
            <w:shd w:val="clear" w:color="auto" w:fill="auto"/>
            <w:noWrap/>
            <w:vAlign w:val="bottom"/>
            <w:hideMark/>
          </w:tcPr>
          <w:p w14:paraId="66AF55CC"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41.9%</w:t>
            </w:r>
          </w:p>
        </w:tc>
      </w:tr>
      <w:tr w:rsidR="003E5301" w:rsidRPr="003E5301" w14:paraId="01DDD269" w14:textId="77777777" w:rsidTr="009353FA">
        <w:trPr>
          <w:cantSplit/>
          <w:trHeight w:val="259"/>
        </w:trPr>
        <w:tc>
          <w:tcPr>
            <w:tcW w:w="2037" w:type="dxa"/>
            <w:shd w:val="clear" w:color="auto" w:fill="auto"/>
            <w:noWrap/>
            <w:vAlign w:val="bottom"/>
            <w:hideMark/>
          </w:tcPr>
          <w:p w14:paraId="68068CED" w14:textId="79826547" w:rsidR="009353FA" w:rsidRDefault="009353FA" w:rsidP="00525DC6">
            <w:pPr>
              <w:spacing w:after="0" w:line="240" w:lineRule="auto"/>
              <w:rPr>
                <w:rFonts w:cstheme="minorHAnsi"/>
                <w:sz w:val="24"/>
                <w:szCs w:val="24"/>
              </w:rPr>
            </w:pPr>
            <w:r w:rsidRPr="003E5301">
              <w:rPr>
                <w:rFonts w:cstheme="minorHAnsi"/>
                <w:b/>
                <w:bCs/>
                <w:sz w:val="24"/>
                <w:szCs w:val="24"/>
              </w:rPr>
              <w:t>Age</w:t>
            </w:r>
          </w:p>
          <w:p w14:paraId="53AD8AB5" w14:textId="508DB932" w:rsidR="003E5301" w:rsidRPr="003E5301" w:rsidRDefault="003E5301" w:rsidP="00525DC6">
            <w:pPr>
              <w:spacing w:after="0" w:line="240" w:lineRule="auto"/>
              <w:rPr>
                <w:rFonts w:cstheme="minorHAnsi"/>
                <w:sz w:val="24"/>
                <w:szCs w:val="24"/>
              </w:rPr>
            </w:pPr>
            <w:r w:rsidRPr="003E5301">
              <w:rPr>
                <w:rFonts w:cstheme="minorHAnsi"/>
                <w:sz w:val="24"/>
                <w:szCs w:val="24"/>
              </w:rPr>
              <w:t>0 to 18</w:t>
            </w:r>
          </w:p>
        </w:tc>
        <w:tc>
          <w:tcPr>
            <w:tcW w:w="1310" w:type="dxa"/>
            <w:shd w:val="clear" w:color="auto" w:fill="auto"/>
            <w:noWrap/>
            <w:vAlign w:val="bottom"/>
            <w:hideMark/>
          </w:tcPr>
          <w:p w14:paraId="43AF34B2"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0.7%</w:t>
            </w:r>
          </w:p>
        </w:tc>
        <w:tc>
          <w:tcPr>
            <w:tcW w:w="1310" w:type="dxa"/>
            <w:shd w:val="clear" w:color="auto" w:fill="auto"/>
            <w:noWrap/>
            <w:vAlign w:val="bottom"/>
            <w:hideMark/>
          </w:tcPr>
          <w:p w14:paraId="33855C91"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0.7%</w:t>
            </w:r>
          </w:p>
        </w:tc>
        <w:tc>
          <w:tcPr>
            <w:tcW w:w="1310" w:type="dxa"/>
            <w:shd w:val="clear" w:color="auto" w:fill="auto"/>
            <w:noWrap/>
            <w:vAlign w:val="bottom"/>
            <w:hideMark/>
          </w:tcPr>
          <w:p w14:paraId="1E3D0098"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0.7%</w:t>
            </w:r>
          </w:p>
        </w:tc>
        <w:tc>
          <w:tcPr>
            <w:tcW w:w="1310" w:type="dxa"/>
            <w:shd w:val="clear" w:color="auto" w:fill="auto"/>
            <w:noWrap/>
            <w:vAlign w:val="bottom"/>
            <w:hideMark/>
          </w:tcPr>
          <w:p w14:paraId="254C797F"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0.7%</w:t>
            </w:r>
          </w:p>
        </w:tc>
      </w:tr>
      <w:tr w:rsidR="003E5301" w:rsidRPr="003E5301" w14:paraId="219C8B7D" w14:textId="77777777" w:rsidTr="009353FA">
        <w:trPr>
          <w:cantSplit/>
          <w:trHeight w:val="259"/>
        </w:trPr>
        <w:tc>
          <w:tcPr>
            <w:tcW w:w="2037" w:type="dxa"/>
            <w:shd w:val="clear" w:color="auto" w:fill="auto"/>
            <w:noWrap/>
            <w:vAlign w:val="bottom"/>
            <w:hideMark/>
          </w:tcPr>
          <w:p w14:paraId="35DDAE62"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19 to 64</w:t>
            </w:r>
          </w:p>
        </w:tc>
        <w:tc>
          <w:tcPr>
            <w:tcW w:w="1310" w:type="dxa"/>
            <w:shd w:val="clear" w:color="auto" w:fill="auto"/>
            <w:noWrap/>
            <w:vAlign w:val="bottom"/>
            <w:hideMark/>
          </w:tcPr>
          <w:p w14:paraId="1477ADD6"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76.8%</w:t>
            </w:r>
          </w:p>
        </w:tc>
        <w:tc>
          <w:tcPr>
            <w:tcW w:w="1310" w:type="dxa"/>
            <w:shd w:val="clear" w:color="auto" w:fill="auto"/>
            <w:noWrap/>
            <w:vAlign w:val="bottom"/>
            <w:hideMark/>
          </w:tcPr>
          <w:p w14:paraId="4E54B91E"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76.1%</w:t>
            </w:r>
          </w:p>
        </w:tc>
        <w:tc>
          <w:tcPr>
            <w:tcW w:w="1310" w:type="dxa"/>
            <w:shd w:val="clear" w:color="auto" w:fill="auto"/>
            <w:noWrap/>
            <w:vAlign w:val="bottom"/>
            <w:hideMark/>
          </w:tcPr>
          <w:p w14:paraId="234E8D97"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75.1%</w:t>
            </w:r>
          </w:p>
        </w:tc>
        <w:tc>
          <w:tcPr>
            <w:tcW w:w="1310" w:type="dxa"/>
            <w:shd w:val="clear" w:color="auto" w:fill="auto"/>
            <w:noWrap/>
            <w:vAlign w:val="bottom"/>
            <w:hideMark/>
          </w:tcPr>
          <w:p w14:paraId="179A9D98"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74.8%</w:t>
            </w:r>
          </w:p>
        </w:tc>
      </w:tr>
      <w:tr w:rsidR="003E5301" w:rsidRPr="003E5301" w14:paraId="63077490" w14:textId="77777777" w:rsidTr="009353FA">
        <w:trPr>
          <w:cantSplit/>
          <w:trHeight w:val="259"/>
        </w:trPr>
        <w:tc>
          <w:tcPr>
            <w:tcW w:w="2037" w:type="dxa"/>
            <w:shd w:val="clear" w:color="auto" w:fill="auto"/>
            <w:noWrap/>
            <w:vAlign w:val="bottom"/>
            <w:hideMark/>
          </w:tcPr>
          <w:p w14:paraId="0DA007E4"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65+</w:t>
            </w:r>
          </w:p>
        </w:tc>
        <w:tc>
          <w:tcPr>
            <w:tcW w:w="1310" w:type="dxa"/>
            <w:shd w:val="clear" w:color="auto" w:fill="auto"/>
            <w:noWrap/>
            <w:vAlign w:val="bottom"/>
            <w:hideMark/>
          </w:tcPr>
          <w:p w14:paraId="4F5B6243"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22.6%</w:t>
            </w:r>
          </w:p>
        </w:tc>
        <w:tc>
          <w:tcPr>
            <w:tcW w:w="1310" w:type="dxa"/>
            <w:shd w:val="clear" w:color="auto" w:fill="auto"/>
            <w:noWrap/>
            <w:vAlign w:val="bottom"/>
            <w:hideMark/>
          </w:tcPr>
          <w:p w14:paraId="7FD57329"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23.2%</w:t>
            </w:r>
          </w:p>
        </w:tc>
        <w:tc>
          <w:tcPr>
            <w:tcW w:w="1310" w:type="dxa"/>
            <w:shd w:val="clear" w:color="auto" w:fill="auto"/>
            <w:noWrap/>
            <w:vAlign w:val="bottom"/>
            <w:hideMark/>
          </w:tcPr>
          <w:p w14:paraId="3AAFEF65"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24.2%</w:t>
            </w:r>
          </w:p>
        </w:tc>
        <w:tc>
          <w:tcPr>
            <w:tcW w:w="1310" w:type="dxa"/>
            <w:shd w:val="clear" w:color="auto" w:fill="auto"/>
            <w:noWrap/>
            <w:vAlign w:val="bottom"/>
            <w:hideMark/>
          </w:tcPr>
          <w:p w14:paraId="0A7FC724"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24.5%</w:t>
            </w:r>
          </w:p>
        </w:tc>
      </w:tr>
      <w:tr w:rsidR="003E5301" w:rsidRPr="003E5301" w14:paraId="6A371528" w14:textId="77777777" w:rsidTr="009353FA">
        <w:trPr>
          <w:cantSplit/>
          <w:trHeight w:val="259"/>
        </w:trPr>
        <w:tc>
          <w:tcPr>
            <w:tcW w:w="2037" w:type="dxa"/>
            <w:shd w:val="clear" w:color="auto" w:fill="auto"/>
            <w:noWrap/>
            <w:vAlign w:val="bottom"/>
            <w:hideMark/>
          </w:tcPr>
          <w:p w14:paraId="7D159F22" w14:textId="782EFBE6" w:rsidR="009353FA" w:rsidRDefault="009353FA" w:rsidP="00525DC6">
            <w:pPr>
              <w:spacing w:after="0" w:line="240" w:lineRule="auto"/>
              <w:rPr>
                <w:rFonts w:cstheme="minorHAnsi"/>
                <w:sz w:val="24"/>
                <w:szCs w:val="24"/>
              </w:rPr>
            </w:pPr>
            <w:r w:rsidRPr="003E5301">
              <w:rPr>
                <w:rFonts w:cstheme="minorHAnsi"/>
                <w:b/>
                <w:bCs/>
                <w:sz w:val="24"/>
                <w:szCs w:val="24"/>
              </w:rPr>
              <w:t>Race</w:t>
            </w:r>
          </w:p>
          <w:p w14:paraId="552A7F99" w14:textId="1A745CB7" w:rsidR="003E5301" w:rsidRPr="003E5301" w:rsidRDefault="003E5301" w:rsidP="00525DC6">
            <w:pPr>
              <w:spacing w:after="0" w:line="240" w:lineRule="auto"/>
              <w:rPr>
                <w:rFonts w:cstheme="minorHAnsi"/>
                <w:sz w:val="24"/>
                <w:szCs w:val="24"/>
              </w:rPr>
            </w:pPr>
            <w:r w:rsidRPr="003E5301">
              <w:rPr>
                <w:rFonts w:cstheme="minorHAnsi"/>
                <w:sz w:val="24"/>
                <w:szCs w:val="24"/>
              </w:rPr>
              <w:t>Caucasian</w:t>
            </w:r>
          </w:p>
        </w:tc>
        <w:tc>
          <w:tcPr>
            <w:tcW w:w="1310" w:type="dxa"/>
            <w:shd w:val="clear" w:color="auto" w:fill="auto"/>
            <w:noWrap/>
            <w:vAlign w:val="bottom"/>
            <w:hideMark/>
          </w:tcPr>
          <w:p w14:paraId="5A6DF4D6"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68.8%</w:t>
            </w:r>
          </w:p>
        </w:tc>
        <w:tc>
          <w:tcPr>
            <w:tcW w:w="1310" w:type="dxa"/>
            <w:shd w:val="clear" w:color="auto" w:fill="auto"/>
            <w:noWrap/>
            <w:vAlign w:val="bottom"/>
            <w:hideMark/>
          </w:tcPr>
          <w:p w14:paraId="475690EE"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68.1%</w:t>
            </w:r>
          </w:p>
        </w:tc>
        <w:tc>
          <w:tcPr>
            <w:tcW w:w="1310" w:type="dxa"/>
            <w:shd w:val="clear" w:color="auto" w:fill="auto"/>
            <w:noWrap/>
            <w:vAlign w:val="bottom"/>
            <w:hideMark/>
          </w:tcPr>
          <w:p w14:paraId="5F02D679"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67.7%</w:t>
            </w:r>
          </w:p>
        </w:tc>
        <w:tc>
          <w:tcPr>
            <w:tcW w:w="1310" w:type="dxa"/>
            <w:shd w:val="clear" w:color="auto" w:fill="auto"/>
            <w:noWrap/>
            <w:vAlign w:val="bottom"/>
            <w:hideMark/>
          </w:tcPr>
          <w:p w14:paraId="0AEABBE6"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67.4%</w:t>
            </w:r>
          </w:p>
        </w:tc>
      </w:tr>
      <w:tr w:rsidR="003E5301" w:rsidRPr="003E5301" w14:paraId="648792BF" w14:textId="77777777" w:rsidTr="009353FA">
        <w:trPr>
          <w:cantSplit/>
          <w:trHeight w:val="259"/>
        </w:trPr>
        <w:tc>
          <w:tcPr>
            <w:tcW w:w="2037" w:type="dxa"/>
            <w:shd w:val="clear" w:color="auto" w:fill="auto"/>
            <w:noWrap/>
            <w:vAlign w:val="bottom"/>
            <w:hideMark/>
          </w:tcPr>
          <w:p w14:paraId="5E339EFC"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Black</w:t>
            </w:r>
          </w:p>
        </w:tc>
        <w:tc>
          <w:tcPr>
            <w:tcW w:w="1310" w:type="dxa"/>
            <w:shd w:val="clear" w:color="auto" w:fill="auto"/>
            <w:noWrap/>
            <w:vAlign w:val="bottom"/>
            <w:hideMark/>
          </w:tcPr>
          <w:p w14:paraId="7D670242"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6.7%</w:t>
            </w:r>
          </w:p>
        </w:tc>
        <w:tc>
          <w:tcPr>
            <w:tcW w:w="1310" w:type="dxa"/>
            <w:shd w:val="clear" w:color="auto" w:fill="auto"/>
            <w:noWrap/>
            <w:vAlign w:val="bottom"/>
            <w:hideMark/>
          </w:tcPr>
          <w:p w14:paraId="73CEA093"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6.7%</w:t>
            </w:r>
          </w:p>
        </w:tc>
        <w:tc>
          <w:tcPr>
            <w:tcW w:w="1310" w:type="dxa"/>
            <w:shd w:val="clear" w:color="auto" w:fill="auto"/>
            <w:noWrap/>
            <w:vAlign w:val="bottom"/>
            <w:hideMark/>
          </w:tcPr>
          <w:p w14:paraId="58F31851"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7.1%</w:t>
            </w:r>
          </w:p>
        </w:tc>
        <w:tc>
          <w:tcPr>
            <w:tcW w:w="1310" w:type="dxa"/>
            <w:shd w:val="clear" w:color="auto" w:fill="auto"/>
            <w:noWrap/>
            <w:vAlign w:val="bottom"/>
            <w:hideMark/>
          </w:tcPr>
          <w:p w14:paraId="00F8D171"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7.3%</w:t>
            </w:r>
          </w:p>
        </w:tc>
      </w:tr>
      <w:tr w:rsidR="003E5301" w:rsidRPr="003E5301" w14:paraId="696DBA86" w14:textId="77777777" w:rsidTr="009353FA">
        <w:trPr>
          <w:cantSplit/>
          <w:trHeight w:val="259"/>
        </w:trPr>
        <w:tc>
          <w:tcPr>
            <w:tcW w:w="2037" w:type="dxa"/>
            <w:shd w:val="clear" w:color="auto" w:fill="auto"/>
            <w:noWrap/>
            <w:vAlign w:val="bottom"/>
            <w:hideMark/>
          </w:tcPr>
          <w:p w14:paraId="40159A28"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Asian</w:t>
            </w:r>
          </w:p>
        </w:tc>
        <w:tc>
          <w:tcPr>
            <w:tcW w:w="1310" w:type="dxa"/>
            <w:shd w:val="clear" w:color="auto" w:fill="auto"/>
            <w:noWrap/>
            <w:vAlign w:val="bottom"/>
            <w:hideMark/>
          </w:tcPr>
          <w:p w14:paraId="17C7BDA3"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6.5%</w:t>
            </w:r>
          </w:p>
        </w:tc>
        <w:tc>
          <w:tcPr>
            <w:tcW w:w="1310" w:type="dxa"/>
            <w:shd w:val="clear" w:color="auto" w:fill="auto"/>
            <w:noWrap/>
            <w:vAlign w:val="bottom"/>
            <w:hideMark/>
          </w:tcPr>
          <w:p w14:paraId="64C2C62B"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6.6%</w:t>
            </w:r>
          </w:p>
        </w:tc>
        <w:tc>
          <w:tcPr>
            <w:tcW w:w="1310" w:type="dxa"/>
            <w:shd w:val="clear" w:color="auto" w:fill="auto"/>
            <w:noWrap/>
            <w:vAlign w:val="bottom"/>
            <w:hideMark/>
          </w:tcPr>
          <w:p w14:paraId="1F39430E"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6.8%</w:t>
            </w:r>
          </w:p>
        </w:tc>
        <w:tc>
          <w:tcPr>
            <w:tcW w:w="1310" w:type="dxa"/>
            <w:shd w:val="clear" w:color="auto" w:fill="auto"/>
            <w:noWrap/>
            <w:vAlign w:val="bottom"/>
            <w:hideMark/>
          </w:tcPr>
          <w:p w14:paraId="72CE24FC"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7.3%</w:t>
            </w:r>
          </w:p>
        </w:tc>
      </w:tr>
      <w:tr w:rsidR="003E5301" w:rsidRPr="003E5301" w14:paraId="02ABEA6E" w14:textId="77777777" w:rsidTr="009353FA">
        <w:trPr>
          <w:cantSplit/>
          <w:trHeight w:val="259"/>
        </w:trPr>
        <w:tc>
          <w:tcPr>
            <w:tcW w:w="2037" w:type="dxa"/>
            <w:shd w:val="clear" w:color="auto" w:fill="auto"/>
            <w:noWrap/>
            <w:vAlign w:val="bottom"/>
            <w:hideMark/>
          </w:tcPr>
          <w:p w14:paraId="3199A4EF"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Patient Declined</w:t>
            </w:r>
          </w:p>
        </w:tc>
        <w:tc>
          <w:tcPr>
            <w:tcW w:w="1310" w:type="dxa"/>
            <w:shd w:val="clear" w:color="auto" w:fill="auto"/>
            <w:noWrap/>
            <w:vAlign w:val="bottom"/>
            <w:hideMark/>
          </w:tcPr>
          <w:p w14:paraId="6E594122"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11.0%</w:t>
            </w:r>
          </w:p>
        </w:tc>
        <w:tc>
          <w:tcPr>
            <w:tcW w:w="1310" w:type="dxa"/>
            <w:shd w:val="clear" w:color="auto" w:fill="auto"/>
            <w:noWrap/>
            <w:vAlign w:val="bottom"/>
            <w:hideMark/>
          </w:tcPr>
          <w:p w14:paraId="7124AD29"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11.6%</w:t>
            </w:r>
          </w:p>
        </w:tc>
        <w:tc>
          <w:tcPr>
            <w:tcW w:w="1310" w:type="dxa"/>
            <w:shd w:val="clear" w:color="auto" w:fill="auto"/>
            <w:noWrap/>
            <w:vAlign w:val="bottom"/>
            <w:hideMark/>
          </w:tcPr>
          <w:p w14:paraId="2713E8D2"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11.2%</w:t>
            </w:r>
          </w:p>
        </w:tc>
        <w:tc>
          <w:tcPr>
            <w:tcW w:w="1310" w:type="dxa"/>
            <w:shd w:val="clear" w:color="auto" w:fill="auto"/>
            <w:noWrap/>
            <w:vAlign w:val="bottom"/>
            <w:hideMark/>
          </w:tcPr>
          <w:p w14:paraId="41D77B8F"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10.4%</w:t>
            </w:r>
          </w:p>
        </w:tc>
      </w:tr>
      <w:tr w:rsidR="003E5301" w:rsidRPr="003E5301" w14:paraId="763B76AE" w14:textId="77777777" w:rsidTr="009353FA">
        <w:trPr>
          <w:cantSplit/>
          <w:trHeight w:val="259"/>
        </w:trPr>
        <w:tc>
          <w:tcPr>
            <w:tcW w:w="2037" w:type="dxa"/>
            <w:shd w:val="clear" w:color="auto" w:fill="auto"/>
            <w:noWrap/>
            <w:vAlign w:val="bottom"/>
            <w:hideMark/>
          </w:tcPr>
          <w:p w14:paraId="184D2A65"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Hispanic</w:t>
            </w:r>
          </w:p>
        </w:tc>
        <w:tc>
          <w:tcPr>
            <w:tcW w:w="1310" w:type="dxa"/>
            <w:shd w:val="clear" w:color="auto" w:fill="auto"/>
            <w:noWrap/>
            <w:vAlign w:val="bottom"/>
            <w:hideMark/>
          </w:tcPr>
          <w:p w14:paraId="63603384"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3.3%</w:t>
            </w:r>
          </w:p>
        </w:tc>
        <w:tc>
          <w:tcPr>
            <w:tcW w:w="1310" w:type="dxa"/>
            <w:shd w:val="clear" w:color="auto" w:fill="auto"/>
            <w:noWrap/>
            <w:vAlign w:val="bottom"/>
            <w:hideMark/>
          </w:tcPr>
          <w:p w14:paraId="7CA54317"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3.4%</w:t>
            </w:r>
          </w:p>
        </w:tc>
        <w:tc>
          <w:tcPr>
            <w:tcW w:w="1310" w:type="dxa"/>
            <w:shd w:val="clear" w:color="auto" w:fill="auto"/>
            <w:noWrap/>
            <w:vAlign w:val="bottom"/>
            <w:hideMark/>
          </w:tcPr>
          <w:p w14:paraId="6B0BB806"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3.6%</w:t>
            </w:r>
          </w:p>
        </w:tc>
        <w:tc>
          <w:tcPr>
            <w:tcW w:w="1310" w:type="dxa"/>
            <w:shd w:val="clear" w:color="auto" w:fill="auto"/>
            <w:noWrap/>
            <w:vAlign w:val="bottom"/>
            <w:hideMark/>
          </w:tcPr>
          <w:p w14:paraId="3B9FA2F5"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3.8%</w:t>
            </w:r>
          </w:p>
        </w:tc>
      </w:tr>
      <w:tr w:rsidR="003E5301" w:rsidRPr="003E5301" w14:paraId="17768FBF" w14:textId="77777777" w:rsidTr="009353FA">
        <w:trPr>
          <w:cantSplit/>
          <w:trHeight w:val="259"/>
        </w:trPr>
        <w:tc>
          <w:tcPr>
            <w:tcW w:w="2037" w:type="dxa"/>
            <w:shd w:val="clear" w:color="auto" w:fill="auto"/>
            <w:noWrap/>
            <w:vAlign w:val="bottom"/>
            <w:hideMark/>
          </w:tcPr>
          <w:p w14:paraId="6244DDB5"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Other</w:t>
            </w:r>
          </w:p>
        </w:tc>
        <w:tc>
          <w:tcPr>
            <w:tcW w:w="1310" w:type="dxa"/>
            <w:shd w:val="clear" w:color="auto" w:fill="auto"/>
            <w:noWrap/>
            <w:vAlign w:val="bottom"/>
            <w:hideMark/>
          </w:tcPr>
          <w:p w14:paraId="06FA4332"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3.6%</w:t>
            </w:r>
          </w:p>
        </w:tc>
        <w:tc>
          <w:tcPr>
            <w:tcW w:w="1310" w:type="dxa"/>
            <w:shd w:val="clear" w:color="auto" w:fill="auto"/>
            <w:noWrap/>
            <w:vAlign w:val="bottom"/>
            <w:hideMark/>
          </w:tcPr>
          <w:p w14:paraId="49F091DB"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3.5%</w:t>
            </w:r>
          </w:p>
        </w:tc>
        <w:tc>
          <w:tcPr>
            <w:tcW w:w="1310" w:type="dxa"/>
            <w:shd w:val="clear" w:color="auto" w:fill="auto"/>
            <w:noWrap/>
            <w:vAlign w:val="bottom"/>
            <w:hideMark/>
          </w:tcPr>
          <w:p w14:paraId="2D185D58"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3.5%</w:t>
            </w:r>
          </w:p>
        </w:tc>
        <w:tc>
          <w:tcPr>
            <w:tcW w:w="1310" w:type="dxa"/>
            <w:shd w:val="clear" w:color="auto" w:fill="auto"/>
            <w:noWrap/>
            <w:vAlign w:val="bottom"/>
            <w:hideMark/>
          </w:tcPr>
          <w:p w14:paraId="1AC1CA32"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3.6%</w:t>
            </w:r>
          </w:p>
        </w:tc>
      </w:tr>
      <w:tr w:rsidR="003E5301" w:rsidRPr="003E5301" w14:paraId="3259AB3B" w14:textId="77777777" w:rsidTr="009353FA">
        <w:trPr>
          <w:cantSplit/>
          <w:trHeight w:val="259"/>
        </w:trPr>
        <w:tc>
          <w:tcPr>
            <w:tcW w:w="2037" w:type="dxa"/>
            <w:shd w:val="clear" w:color="auto" w:fill="auto"/>
            <w:noWrap/>
            <w:vAlign w:val="bottom"/>
            <w:hideMark/>
          </w:tcPr>
          <w:p w14:paraId="3A7552FA"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Native American</w:t>
            </w:r>
          </w:p>
        </w:tc>
        <w:tc>
          <w:tcPr>
            <w:tcW w:w="1310" w:type="dxa"/>
            <w:shd w:val="clear" w:color="auto" w:fill="auto"/>
            <w:noWrap/>
            <w:vAlign w:val="bottom"/>
            <w:hideMark/>
          </w:tcPr>
          <w:p w14:paraId="41FD0A53"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0.1%</w:t>
            </w:r>
          </w:p>
        </w:tc>
        <w:tc>
          <w:tcPr>
            <w:tcW w:w="1310" w:type="dxa"/>
            <w:shd w:val="clear" w:color="auto" w:fill="auto"/>
            <w:noWrap/>
            <w:vAlign w:val="bottom"/>
            <w:hideMark/>
          </w:tcPr>
          <w:p w14:paraId="2381F343"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0.1%</w:t>
            </w:r>
          </w:p>
        </w:tc>
        <w:tc>
          <w:tcPr>
            <w:tcW w:w="1310" w:type="dxa"/>
            <w:shd w:val="clear" w:color="auto" w:fill="auto"/>
            <w:noWrap/>
            <w:vAlign w:val="bottom"/>
            <w:hideMark/>
          </w:tcPr>
          <w:p w14:paraId="4B5E1466"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0.1%</w:t>
            </w:r>
          </w:p>
        </w:tc>
        <w:tc>
          <w:tcPr>
            <w:tcW w:w="1310" w:type="dxa"/>
            <w:shd w:val="clear" w:color="auto" w:fill="auto"/>
            <w:noWrap/>
            <w:vAlign w:val="bottom"/>
            <w:hideMark/>
          </w:tcPr>
          <w:p w14:paraId="73417CB2"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0.1%</w:t>
            </w:r>
          </w:p>
        </w:tc>
      </w:tr>
      <w:tr w:rsidR="003E5301" w:rsidRPr="003E5301" w14:paraId="260C86C3" w14:textId="77777777" w:rsidTr="009353FA">
        <w:trPr>
          <w:cantSplit/>
          <w:trHeight w:val="259"/>
        </w:trPr>
        <w:tc>
          <w:tcPr>
            <w:tcW w:w="2037" w:type="dxa"/>
            <w:shd w:val="clear" w:color="auto" w:fill="auto"/>
            <w:noWrap/>
            <w:vAlign w:val="bottom"/>
            <w:hideMark/>
          </w:tcPr>
          <w:p w14:paraId="350AC5EF" w14:textId="77777777" w:rsidR="003E5301" w:rsidRPr="003E5301" w:rsidRDefault="003E5301" w:rsidP="00525DC6">
            <w:pPr>
              <w:spacing w:after="0" w:line="240" w:lineRule="auto"/>
              <w:rPr>
                <w:rFonts w:cstheme="minorHAnsi"/>
                <w:sz w:val="24"/>
                <w:szCs w:val="24"/>
              </w:rPr>
            </w:pPr>
            <w:r w:rsidRPr="003E5301">
              <w:rPr>
                <w:rFonts w:cstheme="minorHAnsi"/>
                <w:sz w:val="24"/>
                <w:szCs w:val="24"/>
              </w:rPr>
              <w:t>Native Hawaiian</w:t>
            </w:r>
          </w:p>
        </w:tc>
        <w:tc>
          <w:tcPr>
            <w:tcW w:w="1310" w:type="dxa"/>
            <w:shd w:val="clear" w:color="auto" w:fill="auto"/>
            <w:noWrap/>
            <w:vAlign w:val="bottom"/>
            <w:hideMark/>
          </w:tcPr>
          <w:p w14:paraId="795830F2"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0.0%</w:t>
            </w:r>
          </w:p>
        </w:tc>
        <w:tc>
          <w:tcPr>
            <w:tcW w:w="1310" w:type="dxa"/>
            <w:shd w:val="clear" w:color="auto" w:fill="auto"/>
            <w:noWrap/>
            <w:vAlign w:val="bottom"/>
            <w:hideMark/>
          </w:tcPr>
          <w:p w14:paraId="475AACEC"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0.0%</w:t>
            </w:r>
          </w:p>
        </w:tc>
        <w:tc>
          <w:tcPr>
            <w:tcW w:w="1310" w:type="dxa"/>
            <w:shd w:val="clear" w:color="auto" w:fill="auto"/>
            <w:noWrap/>
            <w:vAlign w:val="bottom"/>
            <w:hideMark/>
          </w:tcPr>
          <w:p w14:paraId="7CA8C10F"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0.0%</w:t>
            </w:r>
          </w:p>
        </w:tc>
        <w:tc>
          <w:tcPr>
            <w:tcW w:w="1310" w:type="dxa"/>
            <w:shd w:val="clear" w:color="auto" w:fill="auto"/>
            <w:noWrap/>
            <w:vAlign w:val="bottom"/>
            <w:hideMark/>
          </w:tcPr>
          <w:p w14:paraId="710348CB" w14:textId="77777777" w:rsidR="003E5301" w:rsidRPr="003E5301" w:rsidRDefault="003E5301" w:rsidP="00525DC6">
            <w:pPr>
              <w:spacing w:after="0" w:line="240" w:lineRule="auto"/>
              <w:jc w:val="right"/>
              <w:rPr>
                <w:rFonts w:cstheme="minorHAnsi"/>
                <w:sz w:val="24"/>
                <w:szCs w:val="24"/>
              </w:rPr>
            </w:pPr>
            <w:r w:rsidRPr="003E5301">
              <w:rPr>
                <w:rFonts w:cstheme="minorHAnsi"/>
                <w:sz w:val="24"/>
                <w:szCs w:val="24"/>
              </w:rPr>
              <w:t>0.0%</w:t>
            </w:r>
          </w:p>
        </w:tc>
      </w:tr>
    </w:tbl>
    <w:p w14:paraId="23A18CF0" w14:textId="77777777" w:rsidR="003E5301" w:rsidRDefault="003E5301" w:rsidP="0059582B">
      <w:pPr>
        <w:spacing w:after="0"/>
      </w:pPr>
    </w:p>
    <w:p w14:paraId="7BFB9569" w14:textId="7D9FD2B4" w:rsidR="00193129" w:rsidRDefault="00193129" w:rsidP="0059582B">
      <w:pPr>
        <w:spacing w:after="0"/>
      </w:pPr>
    </w:p>
    <w:p w14:paraId="22673594" w14:textId="04E9FF37" w:rsidR="00B30C38" w:rsidRDefault="000F7F55" w:rsidP="000641F1">
      <w:pPr>
        <w:spacing w:after="0" w:line="240" w:lineRule="auto"/>
        <w:rPr>
          <w:sz w:val="24"/>
          <w:szCs w:val="24"/>
        </w:rPr>
      </w:pPr>
      <w:r w:rsidRPr="000641F1">
        <w:rPr>
          <w:sz w:val="24"/>
          <w:szCs w:val="24"/>
        </w:rPr>
        <w:t>The Applicant provided</w:t>
      </w:r>
      <w:r w:rsidR="00BF75C4" w:rsidRPr="000641F1">
        <w:rPr>
          <w:sz w:val="24"/>
          <w:szCs w:val="24"/>
        </w:rPr>
        <w:t xml:space="preserve"> </w:t>
      </w:r>
      <w:r w:rsidR="009F3023" w:rsidRPr="000641F1">
        <w:rPr>
          <w:sz w:val="24"/>
          <w:szCs w:val="24"/>
        </w:rPr>
        <w:t>demographic</w:t>
      </w:r>
      <w:r w:rsidRPr="000641F1">
        <w:rPr>
          <w:sz w:val="24"/>
          <w:szCs w:val="24"/>
        </w:rPr>
        <w:t xml:space="preserve"> </w:t>
      </w:r>
      <w:r w:rsidR="00280D02">
        <w:rPr>
          <w:sz w:val="24"/>
          <w:szCs w:val="24"/>
        </w:rPr>
        <w:t xml:space="preserve">patient </w:t>
      </w:r>
      <w:r w:rsidRPr="000641F1">
        <w:rPr>
          <w:sz w:val="24"/>
          <w:szCs w:val="24"/>
        </w:rPr>
        <w:t>information</w:t>
      </w:r>
      <w:r w:rsidR="00280D02">
        <w:rPr>
          <w:sz w:val="24"/>
          <w:szCs w:val="24"/>
        </w:rPr>
        <w:t xml:space="preserve"> </w:t>
      </w:r>
      <w:r w:rsidR="003E5301">
        <w:rPr>
          <w:sz w:val="24"/>
          <w:szCs w:val="24"/>
        </w:rPr>
        <w:t xml:space="preserve">in Table 2. </w:t>
      </w:r>
      <w:r w:rsidR="00CA397C" w:rsidRPr="000641F1">
        <w:rPr>
          <w:sz w:val="24"/>
          <w:szCs w:val="24"/>
        </w:rPr>
        <w:t>Staff notes the following observations about these data below:</w:t>
      </w:r>
    </w:p>
    <w:p w14:paraId="252736AA" w14:textId="77777777" w:rsidR="003E5301" w:rsidRPr="000641F1" w:rsidRDefault="003E5301" w:rsidP="000641F1">
      <w:pPr>
        <w:spacing w:after="0" w:line="240" w:lineRule="auto"/>
        <w:rPr>
          <w:sz w:val="24"/>
          <w:szCs w:val="24"/>
        </w:rPr>
      </w:pPr>
    </w:p>
    <w:p w14:paraId="7E95AE4F" w14:textId="1309DBD4" w:rsidR="00D63673" w:rsidRPr="00D63673" w:rsidRDefault="00D63673" w:rsidP="006B605A">
      <w:pPr>
        <w:pStyle w:val="ListParagraph"/>
        <w:numPr>
          <w:ilvl w:val="0"/>
          <w:numId w:val="1"/>
        </w:numPr>
        <w:spacing w:line="240" w:lineRule="auto"/>
        <w:rPr>
          <w:sz w:val="24"/>
          <w:szCs w:val="24"/>
        </w:rPr>
      </w:pPr>
      <w:r w:rsidRPr="00D63673">
        <w:rPr>
          <w:b/>
          <w:bCs/>
          <w:sz w:val="24"/>
          <w:szCs w:val="24"/>
        </w:rPr>
        <w:t>Gender</w:t>
      </w:r>
      <w:r>
        <w:rPr>
          <w:sz w:val="24"/>
          <w:szCs w:val="24"/>
        </w:rPr>
        <w:t>- Females consistently comprise ~58% of patients.</w:t>
      </w:r>
    </w:p>
    <w:p w14:paraId="364C2CBF" w14:textId="18CA3855" w:rsidR="009F0522" w:rsidRPr="009F0522" w:rsidRDefault="009F3023" w:rsidP="006B605A">
      <w:pPr>
        <w:pStyle w:val="ListParagraph"/>
        <w:numPr>
          <w:ilvl w:val="0"/>
          <w:numId w:val="1"/>
        </w:numPr>
        <w:spacing w:line="240" w:lineRule="auto"/>
        <w:rPr>
          <w:sz w:val="24"/>
          <w:szCs w:val="24"/>
        </w:rPr>
      </w:pPr>
      <w:r w:rsidRPr="009F0522">
        <w:rPr>
          <w:b/>
          <w:bCs/>
          <w:sz w:val="24"/>
          <w:szCs w:val="24"/>
        </w:rPr>
        <w:t>Age</w:t>
      </w:r>
      <w:r w:rsidR="00E13F24">
        <w:rPr>
          <w:b/>
          <w:bCs/>
          <w:sz w:val="24"/>
          <w:szCs w:val="24"/>
        </w:rPr>
        <w:t>-</w:t>
      </w:r>
      <w:r w:rsidR="00D408CF" w:rsidRPr="009F0522">
        <w:rPr>
          <w:sz w:val="24"/>
          <w:szCs w:val="24"/>
        </w:rPr>
        <w:t>The 6</w:t>
      </w:r>
      <w:r w:rsidR="009F0522" w:rsidRPr="009F0522">
        <w:rPr>
          <w:sz w:val="24"/>
          <w:szCs w:val="24"/>
        </w:rPr>
        <w:t>5</w:t>
      </w:r>
      <w:r w:rsidR="00D408CF" w:rsidRPr="009F0522">
        <w:rPr>
          <w:sz w:val="24"/>
          <w:szCs w:val="24"/>
        </w:rPr>
        <w:t xml:space="preserve"> and over </w:t>
      </w:r>
      <w:r w:rsidR="00280D02">
        <w:rPr>
          <w:sz w:val="24"/>
          <w:szCs w:val="24"/>
        </w:rPr>
        <w:t xml:space="preserve">age cohort </w:t>
      </w:r>
      <w:r w:rsidR="009F0522" w:rsidRPr="009F0522">
        <w:rPr>
          <w:sz w:val="24"/>
          <w:szCs w:val="24"/>
        </w:rPr>
        <w:t>comprises nearly a quarter of Atrius</w:t>
      </w:r>
      <w:r w:rsidR="00954166">
        <w:rPr>
          <w:sz w:val="24"/>
          <w:szCs w:val="24"/>
        </w:rPr>
        <w:t xml:space="preserve"> Health’s</w:t>
      </w:r>
      <w:r w:rsidR="009F0522" w:rsidRPr="009F0522">
        <w:rPr>
          <w:sz w:val="24"/>
          <w:szCs w:val="24"/>
        </w:rPr>
        <w:t xml:space="preserve"> Patient Panel</w:t>
      </w:r>
      <w:r w:rsidR="009F0522">
        <w:rPr>
          <w:sz w:val="24"/>
          <w:szCs w:val="24"/>
        </w:rPr>
        <w:t xml:space="preserve">, and its share of the total is </w:t>
      </w:r>
      <w:r w:rsidR="009F0522" w:rsidRPr="009F0522">
        <w:rPr>
          <w:sz w:val="24"/>
          <w:szCs w:val="24"/>
        </w:rPr>
        <w:t>increas</w:t>
      </w:r>
      <w:r w:rsidR="009F0522">
        <w:rPr>
          <w:sz w:val="24"/>
          <w:szCs w:val="24"/>
        </w:rPr>
        <w:t>ing year over year.</w:t>
      </w:r>
      <w:r w:rsidR="009F0522" w:rsidRPr="009F0522">
        <w:rPr>
          <w:sz w:val="24"/>
          <w:szCs w:val="24"/>
        </w:rPr>
        <w:t xml:space="preserve"> </w:t>
      </w:r>
    </w:p>
    <w:p w14:paraId="752458BA" w14:textId="406745B5" w:rsidR="009F3023" w:rsidRDefault="009F3023" w:rsidP="006B605A">
      <w:pPr>
        <w:pStyle w:val="ListParagraph"/>
        <w:numPr>
          <w:ilvl w:val="0"/>
          <w:numId w:val="1"/>
        </w:numPr>
        <w:spacing w:line="240" w:lineRule="auto"/>
        <w:rPr>
          <w:sz w:val="24"/>
          <w:szCs w:val="24"/>
        </w:rPr>
      </w:pPr>
      <w:r w:rsidRPr="000641F1">
        <w:rPr>
          <w:b/>
          <w:bCs/>
          <w:sz w:val="24"/>
          <w:szCs w:val="24"/>
        </w:rPr>
        <w:lastRenderedPageBreak/>
        <w:t>Race/Ethnicity</w:t>
      </w:r>
      <w:r w:rsidR="00E13F24">
        <w:rPr>
          <w:b/>
          <w:bCs/>
          <w:sz w:val="24"/>
          <w:szCs w:val="24"/>
        </w:rPr>
        <w:t>-</w:t>
      </w:r>
      <w:r w:rsidR="00E13F24">
        <w:rPr>
          <w:sz w:val="24"/>
          <w:szCs w:val="24"/>
        </w:rPr>
        <w:t xml:space="preserve"> The Panel shows increasing diversity over the reporting period. </w:t>
      </w:r>
      <w:r w:rsidR="009F0522" w:rsidRPr="00E13F24">
        <w:rPr>
          <w:sz w:val="24"/>
          <w:szCs w:val="24"/>
        </w:rPr>
        <w:t xml:space="preserve">While </w:t>
      </w:r>
      <w:r w:rsidR="00E13F24" w:rsidRPr="00E13F24">
        <w:rPr>
          <w:sz w:val="24"/>
          <w:szCs w:val="24"/>
        </w:rPr>
        <w:t xml:space="preserve">the </w:t>
      </w:r>
      <w:r w:rsidR="00B10A15" w:rsidRPr="00E13F24">
        <w:rPr>
          <w:sz w:val="24"/>
          <w:szCs w:val="24"/>
        </w:rPr>
        <w:t>Caucasian</w:t>
      </w:r>
      <w:r w:rsidR="009F0522" w:rsidRPr="00E13F24">
        <w:rPr>
          <w:sz w:val="24"/>
          <w:szCs w:val="24"/>
        </w:rPr>
        <w:t xml:space="preserve"> cohort </w:t>
      </w:r>
      <w:r w:rsidR="00B10A15" w:rsidRPr="00E13F24">
        <w:rPr>
          <w:sz w:val="24"/>
          <w:szCs w:val="24"/>
        </w:rPr>
        <w:t>represent</w:t>
      </w:r>
      <w:r w:rsidR="00280D02">
        <w:rPr>
          <w:sz w:val="24"/>
          <w:szCs w:val="24"/>
        </w:rPr>
        <w:t>s</w:t>
      </w:r>
      <w:r w:rsidR="009F0522" w:rsidRPr="00E13F24">
        <w:rPr>
          <w:sz w:val="24"/>
          <w:szCs w:val="24"/>
        </w:rPr>
        <w:t xml:space="preserve"> approximately two thirds of the Patient Panel, the </w:t>
      </w:r>
      <w:r w:rsidR="00E13F24" w:rsidRPr="00E13F24">
        <w:rPr>
          <w:sz w:val="24"/>
          <w:szCs w:val="24"/>
        </w:rPr>
        <w:t>data reflects</w:t>
      </w:r>
      <w:r w:rsidR="00E13F24">
        <w:rPr>
          <w:sz w:val="24"/>
          <w:szCs w:val="24"/>
        </w:rPr>
        <w:t xml:space="preserve"> a declining Caucasian share while all other cohorts are</w:t>
      </w:r>
      <w:r w:rsidR="00E13F24" w:rsidRPr="00E13F24">
        <w:rPr>
          <w:sz w:val="24"/>
          <w:szCs w:val="24"/>
        </w:rPr>
        <w:t xml:space="preserve"> increasing</w:t>
      </w:r>
      <w:r w:rsidR="00E13F24">
        <w:rPr>
          <w:sz w:val="24"/>
          <w:szCs w:val="24"/>
        </w:rPr>
        <w:t>.</w:t>
      </w:r>
    </w:p>
    <w:p w14:paraId="275B5F77" w14:textId="5CE6B56C" w:rsidR="007F0BC5" w:rsidRPr="009B3F42" w:rsidRDefault="00E13F24">
      <w:pPr>
        <w:pStyle w:val="ListParagraph"/>
        <w:numPr>
          <w:ilvl w:val="0"/>
          <w:numId w:val="1"/>
        </w:numPr>
        <w:spacing w:line="240" w:lineRule="auto"/>
        <w:rPr>
          <w:sz w:val="24"/>
          <w:szCs w:val="24"/>
        </w:rPr>
      </w:pPr>
      <w:r w:rsidRPr="009B3F42">
        <w:rPr>
          <w:b/>
          <w:bCs/>
          <w:sz w:val="24"/>
          <w:szCs w:val="24"/>
        </w:rPr>
        <w:t>Patient Origin-</w:t>
      </w:r>
      <w:r w:rsidRPr="009B3F42">
        <w:rPr>
          <w:sz w:val="24"/>
          <w:szCs w:val="24"/>
        </w:rPr>
        <w:t xml:space="preserve"> </w:t>
      </w:r>
      <w:r w:rsidR="00D63673" w:rsidRPr="009B3F42">
        <w:rPr>
          <w:sz w:val="24"/>
          <w:szCs w:val="24"/>
        </w:rPr>
        <w:t xml:space="preserve">The </w:t>
      </w:r>
      <w:r w:rsidR="00280D02">
        <w:rPr>
          <w:sz w:val="24"/>
          <w:szCs w:val="24"/>
        </w:rPr>
        <w:t xml:space="preserve">Primary service area </w:t>
      </w:r>
      <w:r w:rsidR="00D63673" w:rsidRPr="009B3F42">
        <w:rPr>
          <w:sz w:val="24"/>
          <w:szCs w:val="24"/>
        </w:rPr>
        <w:t>is widely distributed in eastern Massachusetts with 75.3% of patients resid</w:t>
      </w:r>
      <w:r w:rsidR="0076749D" w:rsidRPr="009B3F42">
        <w:rPr>
          <w:sz w:val="24"/>
          <w:szCs w:val="24"/>
        </w:rPr>
        <w:t>ing</w:t>
      </w:r>
      <w:r w:rsidR="00D63673" w:rsidRPr="009B3F42">
        <w:rPr>
          <w:sz w:val="24"/>
          <w:szCs w:val="24"/>
        </w:rPr>
        <w:t xml:space="preserve"> in 79 towns. T</w:t>
      </w:r>
      <w:r w:rsidRPr="009B3F42">
        <w:rPr>
          <w:sz w:val="24"/>
          <w:szCs w:val="24"/>
        </w:rPr>
        <w:t xml:space="preserve">he top 15 towns account for 32.6% of Atrius Health’s total </w:t>
      </w:r>
      <w:r w:rsidR="00280D02" w:rsidRPr="009B3F42">
        <w:rPr>
          <w:sz w:val="24"/>
          <w:szCs w:val="24"/>
        </w:rPr>
        <w:t>Patient Panel</w:t>
      </w:r>
      <w:r w:rsidR="00280D02">
        <w:rPr>
          <w:sz w:val="24"/>
          <w:szCs w:val="24"/>
        </w:rPr>
        <w:t xml:space="preserve"> with Boston accounting for the largest share of just 4.3%, and the next two, Plymouth and Quincy accounting for 3.3% and 3.2% respectively. </w:t>
      </w:r>
      <w:r w:rsidR="0076749D" w:rsidRPr="009B3F42">
        <w:rPr>
          <w:sz w:val="24"/>
          <w:szCs w:val="24"/>
        </w:rPr>
        <w:t xml:space="preserve">All the other towns contribute less than </w:t>
      </w:r>
      <w:r w:rsidR="00280D02">
        <w:rPr>
          <w:sz w:val="24"/>
          <w:szCs w:val="24"/>
        </w:rPr>
        <w:t>3</w:t>
      </w:r>
      <w:r w:rsidR="0076749D" w:rsidRPr="009B3F42">
        <w:rPr>
          <w:sz w:val="24"/>
          <w:szCs w:val="24"/>
        </w:rPr>
        <w:t>% of the Patient Panel.</w:t>
      </w:r>
      <w:r w:rsidR="007F0BC5" w:rsidRPr="009B3F42">
        <w:rPr>
          <w:sz w:val="24"/>
          <w:szCs w:val="24"/>
        </w:rPr>
        <w:t xml:space="preserve"> For the Plymouth</w:t>
      </w:r>
      <w:r w:rsidR="001B1707">
        <w:rPr>
          <w:sz w:val="24"/>
          <w:szCs w:val="24"/>
        </w:rPr>
        <w:t xml:space="preserve"> Clinic patient population</w:t>
      </w:r>
      <w:r w:rsidR="007F0BC5" w:rsidRPr="009B3F42">
        <w:rPr>
          <w:sz w:val="24"/>
          <w:szCs w:val="24"/>
        </w:rPr>
        <w:t>, 76.2% of patients reside in 10 towns with the largest share residing in Plymouth (41.0%). Kingston (6.4%), Buzzards Bay</w:t>
      </w:r>
      <w:r w:rsidR="009B3F42">
        <w:rPr>
          <w:sz w:val="24"/>
          <w:szCs w:val="24"/>
        </w:rPr>
        <w:t xml:space="preserve"> </w:t>
      </w:r>
      <w:r w:rsidR="007F0BC5" w:rsidRPr="009B3F42">
        <w:rPr>
          <w:sz w:val="24"/>
          <w:szCs w:val="24"/>
        </w:rPr>
        <w:t xml:space="preserve">(6.0%), Carver </w:t>
      </w:r>
      <w:r w:rsidR="009B3F42">
        <w:rPr>
          <w:sz w:val="24"/>
          <w:szCs w:val="24"/>
        </w:rPr>
        <w:t>(</w:t>
      </w:r>
      <w:r w:rsidR="007F0BC5" w:rsidRPr="009B3F42">
        <w:rPr>
          <w:sz w:val="24"/>
          <w:szCs w:val="24"/>
        </w:rPr>
        <w:t>4.7%), and Duxbury (3.8%)</w:t>
      </w:r>
      <w:r w:rsidR="009B3F42" w:rsidRPr="009B3F42">
        <w:rPr>
          <w:sz w:val="24"/>
          <w:szCs w:val="24"/>
        </w:rPr>
        <w:t xml:space="preserve"> </w:t>
      </w:r>
      <w:r w:rsidR="009B3F42">
        <w:rPr>
          <w:sz w:val="24"/>
          <w:szCs w:val="24"/>
        </w:rPr>
        <w:t>contribute</w:t>
      </w:r>
      <w:r w:rsidR="007F0BC5" w:rsidRPr="009B3F42">
        <w:rPr>
          <w:sz w:val="24"/>
          <w:szCs w:val="24"/>
        </w:rPr>
        <w:t xml:space="preserve"> the next largest shares</w:t>
      </w:r>
      <w:r w:rsidR="009B3F42">
        <w:rPr>
          <w:sz w:val="24"/>
          <w:szCs w:val="24"/>
        </w:rPr>
        <w:t xml:space="preserve"> to the patient population</w:t>
      </w:r>
      <w:r w:rsidR="007F0BC5" w:rsidRPr="009B3F42">
        <w:rPr>
          <w:sz w:val="24"/>
          <w:szCs w:val="24"/>
        </w:rPr>
        <w:t xml:space="preserve">. </w:t>
      </w:r>
    </w:p>
    <w:p w14:paraId="54104CD6" w14:textId="15E9EE2E" w:rsidR="00472A68" w:rsidRPr="00F35959" w:rsidRDefault="009B3F42">
      <w:pPr>
        <w:pStyle w:val="ListParagraph"/>
        <w:numPr>
          <w:ilvl w:val="0"/>
          <w:numId w:val="1"/>
        </w:numPr>
        <w:spacing w:after="0" w:line="240" w:lineRule="auto"/>
        <w:rPr>
          <w:sz w:val="24"/>
          <w:szCs w:val="24"/>
        </w:rPr>
      </w:pPr>
      <w:r w:rsidRPr="00F35959">
        <w:rPr>
          <w:b/>
          <w:bCs/>
          <w:sz w:val="24"/>
          <w:szCs w:val="24"/>
        </w:rPr>
        <w:t>Payor Mix:</w:t>
      </w:r>
      <w:r w:rsidRPr="00F35959">
        <w:rPr>
          <w:sz w:val="24"/>
          <w:szCs w:val="24"/>
        </w:rPr>
        <w:t xml:space="preserve"> </w:t>
      </w:r>
      <w:r w:rsidR="00472A68" w:rsidRPr="00F35959">
        <w:rPr>
          <w:sz w:val="24"/>
          <w:szCs w:val="24"/>
        </w:rPr>
        <w:t xml:space="preserve">Overall, 25.5% of the Patient Panel is covered by government payors. Medicaid Patients comprise 7% of overall Atrius patients and between 6 and 7% of CT and MRI patients. </w:t>
      </w:r>
    </w:p>
    <w:p w14:paraId="21FDD110" w14:textId="35CDE15E" w:rsidR="00D40C69" w:rsidRPr="00F35959" w:rsidRDefault="00472A68" w:rsidP="00472A68">
      <w:pPr>
        <w:spacing w:after="0" w:line="240" w:lineRule="auto"/>
        <w:ind w:left="720"/>
        <w:rPr>
          <w:sz w:val="24"/>
          <w:szCs w:val="24"/>
        </w:rPr>
      </w:pPr>
      <w:r w:rsidRPr="00F35959">
        <w:rPr>
          <w:sz w:val="24"/>
          <w:szCs w:val="24"/>
        </w:rPr>
        <w:t xml:space="preserve">Medicare FFS and Medicare Advantage patients comprise 17.5% of the Patient Panel and 31.0% and 39.7% of the CT and MRI patients respectively. Patients covered by ACO and APM contracts comprise 65% of the Atrius Patient Panel and ~75% of the advanced imaging patients. </w:t>
      </w:r>
    </w:p>
    <w:p w14:paraId="1C399EA1" w14:textId="77777777" w:rsidR="00472A68" w:rsidRPr="00472A68" w:rsidRDefault="00472A68" w:rsidP="00472A68">
      <w:pPr>
        <w:spacing w:after="0" w:line="240" w:lineRule="auto"/>
        <w:ind w:left="720"/>
        <w:rPr>
          <w:b/>
          <w:bCs/>
        </w:rPr>
      </w:pPr>
    </w:p>
    <w:p w14:paraId="361A70C7" w14:textId="74CD1751" w:rsidR="004E6BEB" w:rsidRPr="009B3F42" w:rsidRDefault="004E6BEB" w:rsidP="009B3F42">
      <w:pPr>
        <w:jc w:val="center"/>
        <w:rPr>
          <w:b/>
          <w:bCs/>
          <w:sz w:val="24"/>
          <w:szCs w:val="24"/>
        </w:rPr>
      </w:pPr>
      <w:r w:rsidRPr="009B3F42">
        <w:rPr>
          <w:b/>
          <w:bCs/>
          <w:sz w:val="24"/>
          <w:szCs w:val="24"/>
        </w:rPr>
        <w:t>Table 3</w:t>
      </w:r>
      <w:r w:rsidR="009B3F42" w:rsidRPr="009B3F42">
        <w:rPr>
          <w:b/>
          <w:bCs/>
          <w:sz w:val="24"/>
          <w:szCs w:val="24"/>
        </w:rPr>
        <w:t>: P</w:t>
      </w:r>
      <w:r w:rsidRPr="009B3F42">
        <w:rPr>
          <w:b/>
          <w:bCs/>
          <w:sz w:val="24"/>
          <w:szCs w:val="24"/>
        </w:rPr>
        <w:t>ay</w:t>
      </w:r>
      <w:r w:rsidR="009B3F42" w:rsidRPr="009B3F42">
        <w:rPr>
          <w:b/>
          <w:bCs/>
          <w:sz w:val="24"/>
          <w:szCs w:val="24"/>
        </w:rPr>
        <w:t>o</w:t>
      </w:r>
      <w:r w:rsidRPr="009B3F42">
        <w:rPr>
          <w:b/>
          <w:bCs/>
          <w:sz w:val="24"/>
          <w:szCs w:val="24"/>
        </w:rPr>
        <w:t>r</w:t>
      </w:r>
      <w:r w:rsidR="009B3F42" w:rsidRPr="009B3F42">
        <w:rPr>
          <w:b/>
          <w:bCs/>
          <w:sz w:val="24"/>
          <w:szCs w:val="24"/>
        </w:rPr>
        <w:t>-</w:t>
      </w:r>
      <w:r w:rsidRPr="009B3F42">
        <w:rPr>
          <w:b/>
          <w:bCs/>
          <w:sz w:val="24"/>
          <w:szCs w:val="24"/>
        </w:rPr>
        <w:t>mix for</w:t>
      </w:r>
      <w:r w:rsidR="007F0BC5" w:rsidRPr="009B3F42">
        <w:rPr>
          <w:b/>
          <w:bCs/>
          <w:sz w:val="24"/>
          <w:szCs w:val="24"/>
        </w:rPr>
        <w:t xml:space="preserve"> Atrius </w:t>
      </w:r>
      <w:r w:rsidR="009B3F42">
        <w:rPr>
          <w:b/>
          <w:bCs/>
          <w:sz w:val="24"/>
          <w:szCs w:val="24"/>
        </w:rPr>
        <w:t xml:space="preserve">Health </w:t>
      </w:r>
      <w:r w:rsidR="007F0BC5" w:rsidRPr="009B3F42">
        <w:rPr>
          <w:b/>
          <w:bCs/>
          <w:sz w:val="24"/>
          <w:szCs w:val="24"/>
        </w:rPr>
        <w:t xml:space="preserve">and for </w:t>
      </w:r>
      <w:r w:rsidR="009B3F42">
        <w:rPr>
          <w:b/>
          <w:bCs/>
          <w:sz w:val="24"/>
          <w:szCs w:val="24"/>
        </w:rPr>
        <w:t>CT and MRIs</w:t>
      </w:r>
    </w:p>
    <w:tbl>
      <w:tblPr>
        <w:tblStyle w:val="TableGrid"/>
        <w:tblW w:w="0" w:type="auto"/>
        <w:jc w:val="center"/>
        <w:tblLook w:val="04A0" w:firstRow="1" w:lastRow="0" w:firstColumn="1" w:lastColumn="0" w:noHBand="0" w:noVBand="1"/>
      </w:tblPr>
      <w:tblGrid>
        <w:gridCol w:w="4225"/>
        <w:gridCol w:w="1515"/>
        <w:gridCol w:w="960"/>
        <w:gridCol w:w="960"/>
      </w:tblGrid>
      <w:tr w:rsidR="009B3F42" w:rsidRPr="009B3F42" w14:paraId="06DADA77" w14:textId="77777777" w:rsidTr="002B37E5">
        <w:trPr>
          <w:cantSplit/>
          <w:trHeight w:val="290"/>
          <w:tblHeader/>
          <w:jc w:val="center"/>
        </w:trPr>
        <w:tc>
          <w:tcPr>
            <w:tcW w:w="4225" w:type="dxa"/>
            <w:shd w:val="clear" w:color="auto" w:fill="EBFFFF"/>
            <w:noWrap/>
            <w:vAlign w:val="center"/>
            <w:hideMark/>
          </w:tcPr>
          <w:p w14:paraId="2D2C4DF8" w14:textId="77777777" w:rsidR="009B3F42" w:rsidRPr="009B3F42" w:rsidRDefault="009B3F42" w:rsidP="009B3F42">
            <w:r w:rsidRPr="009B3F42">
              <w:t> </w:t>
            </w:r>
          </w:p>
        </w:tc>
        <w:tc>
          <w:tcPr>
            <w:tcW w:w="1515" w:type="dxa"/>
            <w:shd w:val="clear" w:color="auto" w:fill="EBFFFF"/>
            <w:noWrap/>
            <w:vAlign w:val="center"/>
            <w:hideMark/>
          </w:tcPr>
          <w:p w14:paraId="17B7E1A9" w14:textId="77777777" w:rsidR="009B3F42" w:rsidRPr="009B3F42" w:rsidRDefault="009B3F42" w:rsidP="009B3F42">
            <w:pPr>
              <w:jc w:val="center"/>
              <w:rPr>
                <w:b/>
                <w:bCs/>
              </w:rPr>
            </w:pPr>
            <w:r w:rsidRPr="009B3F42">
              <w:rPr>
                <w:b/>
                <w:bCs/>
              </w:rPr>
              <w:t>Atrius Health</w:t>
            </w:r>
          </w:p>
        </w:tc>
        <w:tc>
          <w:tcPr>
            <w:tcW w:w="960" w:type="dxa"/>
            <w:shd w:val="clear" w:color="auto" w:fill="EBFFFF"/>
            <w:noWrap/>
            <w:vAlign w:val="center"/>
            <w:hideMark/>
          </w:tcPr>
          <w:p w14:paraId="0458DD93" w14:textId="77777777" w:rsidR="009B3F42" w:rsidRPr="009B3F42" w:rsidRDefault="009B3F42" w:rsidP="009B3F42">
            <w:pPr>
              <w:jc w:val="center"/>
              <w:rPr>
                <w:b/>
                <w:bCs/>
              </w:rPr>
            </w:pPr>
            <w:r w:rsidRPr="009B3F42">
              <w:rPr>
                <w:b/>
                <w:bCs/>
              </w:rPr>
              <w:t>CT</w:t>
            </w:r>
          </w:p>
        </w:tc>
        <w:tc>
          <w:tcPr>
            <w:tcW w:w="960" w:type="dxa"/>
            <w:shd w:val="clear" w:color="auto" w:fill="EBFFFF"/>
            <w:noWrap/>
            <w:vAlign w:val="center"/>
            <w:hideMark/>
          </w:tcPr>
          <w:p w14:paraId="60390753" w14:textId="77777777" w:rsidR="009B3F42" w:rsidRPr="009B3F42" w:rsidRDefault="009B3F42" w:rsidP="009B3F42">
            <w:pPr>
              <w:jc w:val="center"/>
              <w:rPr>
                <w:b/>
                <w:bCs/>
              </w:rPr>
            </w:pPr>
            <w:r w:rsidRPr="009B3F42">
              <w:rPr>
                <w:b/>
                <w:bCs/>
              </w:rPr>
              <w:t>MRI</w:t>
            </w:r>
          </w:p>
        </w:tc>
      </w:tr>
      <w:tr w:rsidR="009B3F42" w:rsidRPr="009B3F42" w14:paraId="522AC053" w14:textId="77777777" w:rsidTr="002B37E5">
        <w:trPr>
          <w:cantSplit/>
          <w:trHeight w:val="290"/>
          <w:jc w:val="center"/>
        </w:trPr>
        <w:tc>
          <w:tcPr>
            <w:tcW w:w="4225" w:type="dxa"/>
            <w:noWrap/>
            <w:hideMark/>
          </w:tcPr>
          <w:p w14:paraId="14FBBC82" w14:textId="77777777" w:rsidR="009B3F42" w:rsidRPr="009B3F42" w:rsidRDefault="009B3F42" w:rsidP="009B3F42">
            <w:r w:rsidRPr="009B3F42">
              <w:t>Commercial Risk (HMO/POS/PPO)</w:t>
            </w:r>
          </w:p>
        </w:tc>
        <w:tc>
          <w:tcPr>
            <w:tcW w:w="1515" w:type="dxa"/>
            <w:noWrap/>
            <w:hideMark/>
          </w:tcPr>
          <w:p w14:paraId="187B8053" w14:textId="77777777" w:rsidR="009B3F42" w:rsidRPr="009B3F42" w:rsidRDefault="009B3F42" w:rsidP="009B3F42">
            <w:pPr>
              <w:jc w:val="right"/>
            </w:pPr>
            <w:r w:rsidRPr="009B3F42">
              <w:t>47.0%</w:t>
            </w:r>
          </w:p>
        </w:tc>
        <w:tc>
          <w:tcPr>
            <w:tcW w:w="960" w:type="dxa"/>
            <w:noWrap/>
            <w:hideMark/>
          </w:tcPr>
          <w:p w14:paraId="54F6B35D" w14:textId="77777777" w:rsidR="009B3F42" w:rsidRPr="009B3F42" w:rsidRDefault="009B3F42" w:rsidP="009B3F42">
            <w:pPr>
              <w:jc w:val="right"/>
            </w:pPr>
            <w:r w:rsidRPr="009B3F42">
              <w:t>37.0%</w:t>
            </w:r>
          </w:p>
        </w:tc>
        <w:tc>
          <w:tcPr>
            <w:tcW w:w="960" w:type="dxa"/>
            <w:noWrap/>
            <w:hideMark/>
          </w:tcPr>
          <w:p w14:paraId="174BCE01" w14:textId="77777777" w:rsidR="009B3F42" w:rsidRPr="009B3F42" w:rsidRDefault="009B3F42" w:rsidP="009B3F42">
            <w:pPr>
              <w:jc w:val="right"/>
            </w:pPr>
            <w:r w:rsidRPr="009B3F42">
              <w:t>43.0%</w:t>
            </w:r>
          </w:p>
        </w:tc>
      </w:tr>
      <w:tr w:rsidR="009B3F42" w:rsidRPr="009B3F42" w14:paraId="1B062278" w14:textId="77777777" w:rsidTr="002B37E5">
        <w:trPr>
          <w:cantSplit/>
          <w:trHeight w:val="290"/>
          <w:jc w:val="center"/>
        </w:trPr>
        <w:tc>
          <w:tcPr>
            <w:tcW w:w="4225" w:type="dxa"/>
            <w:noWrap/>
            <w:hideMark/>
          </w:tcPr>
          <w:p w14:paraId="4D210053" w14:textId="77777777" w:rsidR="009B3F42" w:rsidRPr="009B3F42" w:rsidRDefault="009B3F42" w:rsidP="009B3F42">
            <w:r w:rsidRPr="009B3F42">
              <w:t>Commercial PPO (non-risk) and Indemnity</w:t>
            </w:r>
          </w:p>
        </w:tc>
        <w:tc>
          <w:tcPr>
            <w:tcW w:w="1515" w:type="dxa"/>
            <w:noWrap/>
            <w:hideMark/>
          </w:tcPr>
          <w:p w14:paraId="061657A2" w14:textId="77777777" w:rsidR="009B3F42" w:rsidRPr="009B3F42" w:rsidRDefault="009B3F42" w:rsidP="009B3F42">
            <w:pPr>
              <w:jc w:val="right"/>
            </w:pPr>
            <w:r w:rsidRPr="009B3F42">
              <w:t>26.7%</w:t>
            </w:r>
          </w:p>
        </w:tc>
        <w:tc>
          <w:tcPr>
            <w:tcW w:w="960" w:type="dxa"/>
            <w:noWrap/>
            <w:hideMark/>
          </w:tcPr>
          <w:p w14:paraId="222C8F69" w14:textId="77777777" w:rsidR="009B3F42" w:rsidRPr="009B3F42" w:rsidRDefault="009B3F42" w:rsidP="009B3F42">
            <w:pPr>
              <w:jc w:val="right"/>
            </w:pPr>
            <w:r w:rsidRPr="009B3F42">
              <w:t>16.0%</w:t>
            </w:r>
          </w:p>
        </w:tc>
        <w:tc>
          <w:tcPr>
            <w:tcW w:w="960" w:type="dxa"/>
            <w:noWrap/>
            <w:hideMark/>
          </w:tcPr>
          <w:p w14:paraId="22867368" w14:textId="77777777" w:rsidR="009B3F42" w:rsidRPr="009B3F42" w:rsidRDefault="009B3F42" w:rsidP="009B3F42">
            <w:pPr>
              <w:jc w:val="right"/>
            </w:pPr>
            <w:r w:rsidRPr="009B3F42">
              <w:t>19.1%</w:t>
            </w:r>
          </w:p>
        </w:tc>
      </w:tr>
      <w:tr w:rsidR="009B3F42" w:rsidRPr="009B3F42" w14:paraId="5DD6FC5F" w14:textId="77777777" w:rsidTr="002B37E5">
        <w:trPr>
          <w:cantSplit/>
          <w:trHeight w:val="290"/>
          <w:jc w:val="center"/>
        </w:trPr>
        <w:tc>
          <w:tcPr>
            <w:tcW w:w="4225" w:type="dxa"/>
            <w:noWrap/>
            <w:hideMark/>
          </w:tcPr>
          <w:p w14:paraId="55650639" w14:textId="77777777" w:rsidR="009B3F42" w:rsidRPr="009B3F42" w:rsidRDefault="009B3F42" w:rsidP="009B3F42">
            <w:r w:rsidRPr="009B3F42">
              <w:t>Medicaid HMO</w:t>
            </w:r>
          </w:p>
        </w:tc>
        <w:tc>
          <w:tcPr>
            <w:tcW w:w="1515" w:type="dxa"/>
            <w:noWrap/>
            <w:hideMark/>
          </w:tcPr>
          <w:p w14:paraId="1FAC8E21" w14:textId="77777777" w:rsidR="009B3F42" w:rsidRPr="009B3F42" w:rsidRDefault="009B3F42" w:rsidP="009B3F42">
            <w:pPr>
              <w:jc w:val="right"/>
            </w:pPr>
            <w:r w:rsidRPr="009B3F42">
              <w:t>6.9%</w:t>
            </w:r>
          </w:p>
        </w:tc>
        <w:tc>
          <w:tcPr>
            <w:tcW w:w="960" w:type="dxa"/>
            <w:noWrap/>
            <w:hideMark/>
          </w:tcPr>
          <w:p w14:paraId="39D53E2A" w14:textId="77777777" w:rsidR="009B3F42" w:rsidRPr="009B3F42" w:rsidRDefault="009B3F42" w:rsidP="009B3F42">
            <w:pPr>
              <w:jc w:val="right"/>
            </w:pPr>
            <w:r w:rsidRPr="009B3F42">
              <w:t>5.6%</w:t>
            </w:r>
          </w:p>
        </w:tc>
        <w:tc>
          <w:tcPr>
            <w:tcW w:w="960" w:type="dxa"/>
            <w:noWrap/>
            <w:hideMark/>
          </w:tcPr>
          <w:p w14:paraId="44BE913F" w14:textId="77777777" w:rsidR="009B3F42" w:rsidRPr="009B3F42" w:rsidRDefault="009B3F42" w:rsidP="009B3F42">
            <w:pPr>
              <w:jc w:val="right"/>
            </w:pPr>
            <w:r w:rsidRPr="009B3F42">
              <w:t>6.8%</w:t>
            </w:r>
          </w:p>
        </w:tc>
      </w:tr>
      <w:tr w:rsidR="009B3F42" w:rsidRPr="009B3F42" w14:paraId="3E7C1866" w14:textId="77777777" w:rsidTr="002B37E5">
        <w:trPr>
          <w:cantSplit/>
          <w:trHeight w:val="290"/>
          <w:jc w:val="center"/>
        </w:trPr>
        <w:tc>
          <w:tcPr>
            <w:tcW w:w="4225" w:type="dxa"/>
            <w:noWrap/>
            <w:hideMark/>
          </w:tcPr>
          <w:p w14:paraId="1B9CA43A" w14:textId="77777777" w:rsidR="009B3F42" w:rsidRPr="009B3F42" w:rsidRDefault="009B3F42" w:rsidP="009B3F42">
            <w:r w:rsidRPr="009B3F42">
              <w:t>Medicare FFS</w:t>
            </w:r>
          </w:p>
        </w:tc>
        <w:tc>
          <w:tcPr>
            <w:tcW w:w="1515" w:type="dxa"/>
            <w:noWrap/>
            <w:hideMark/>
          </w:tcPr>
          <w:p w14:paraId="63550522" w14:textId="77777777" w:rsidR="009B3F42" w:rsidRPr="009B3F42" w:rsidRDefault="009B3F42" w:rsidP="009B3F42">
            <w:pPr>
              <w:jc w:val="right"/>
            </w:pPr>
            <w:r w:rsidRPr="009B3F42">
              <w:t>12.0%</w:t>
            </w:r>
          </w:p>
        </w:tc>
        <w:tc>
          <w:tcPr>
            <w:tcW w:w="960" w:type="dxa"/>
            <w:noWrap/>
            <w:hideMark/>
          </w:tcPr>
          <w:p w14:paraId="4FB2CECE" w14:textId="77777777" w:rsidR="009B3F42" w:rsidRPr="009B3F42" w:rsidRDefault="009B3F42" w:rsidP="009B3F42">
            <w:pPr>
              <w:jc w:val="right"/>
            </w:pPr>
            <w:r w:rsidRPr="009B3F42">
              <w:t>25.9%</w:t>
            </w:r>
          </w:p>
        </w:tc>
        <w:tc>
          <w:tcPr>
            <w:tcW w:w="960" w:type="dxa"/>
            <w:noWrap/>
            <w:hideMark/>
          </w:tcPr>
          <w:p w14:paraId="19B48C6E" w14:textId="77777777" w:rsidR="009B3F42" w:rsidRPr="009B3F42" w:rsidRDefault="009B3F42" w:rsidP="009B3F42">
            <w:pPr>
              <w:jc w:val="right"/>
            </w:pPr>
            <w:r w:rsidRPr="009B3F42">
              <w:t>20.6%</w:t>
            </w:r>
          </w:p>
        </w:tc>
      </w:tr>
      <w:tr w:rsidR="009B3F42" w:rsidRPr="009B3F42" w14:paraId="71D40281" w14:textId="77777777" w:rsidTr="002B37E5">
        <w:trPr>
          <w:cantSplit/>
          <w:trHeight w:val="290"/>
          <w:jc w:val="center"/>
        </w:trPr>
        <w:tc>
          <w:tcPr>
            <w:tcW w:w="4225" w:type="dxa"/>
            <w:noWrap/>
            <w:hideMark/>
          </w:tcPr>
          <w:p w14:paraId="39C0E2FD" w14:textId="77777777" w:rsidR="009B3F42" w:rsidRPr="009B3F42" w:rsidRDefault="009B3F42" w:rsidP="009B3F42">
            <w:r w:rsidRPr="009B3F42">
              <w:t>Medicare HMO (Medicare Advantage)</w:t>
            </w:r>
          </w:p>
        </w:tc>
        <w:tc>
          <w:tcPr>
            <w:tcW w:w="1515" w:type="dxa"/>
            <w:noWrap/>
            <w:hideMark/>
          </w:tcPr>
          <w:p w14:paraId="37D0C6E6" w14:textId="77777777" w:rsidR="009B3F42" w:rsidRPr="009B3F42" w:rsidRDefault="009B3F42" w:rsidP="009B3F42">
            <w:pPr>
              <w:jc w:val="right"/>
            </w:pPr>
            <w:r w:rsidRPr="009B3F42">
              <w:t>5.5%</w:t>
            </w:r>
          </w:p>
        </w:tc>
        <w:tc>
          <w:tcPr>
            <w:tcW w:w="960" w:type="dxa"/>
            <w:noWrap/>
            <w:hideMark/>
          </w:tcPr>
          <w:p w14:paraId="5F6B27DD" w14:textId="77777777" w:rsidR="009B3F42" w:rsidRPr="009B3F42" w:rsidRDefault="009B3F42" w:rsidP="009B3F42">
            <w:pPr>
              <w:jc w:val="right"/>
            </w:pPr>
            <w:r w:rsidRPr="009B3F42">
              <w:t>13.8%</w:t>
            </w:r>
          </w:p>
        </w:tc>
        <w:tc>
          <w:tcPr>
            <w:tcW w:w="960" w:type="dxa"/>
            <w:noWrap/>
            <w:hideMark/>
          </w:tcPr>
          <w:p w14:paraId="2CE53FF9" w14:textId="77777777" w:rsidR="009B3F42" w:rsidRPr="009B3F42" w:rsidRDefault="009B3F42" w:rsidP="009B3F42">
            <w:pPr>
              <w:jc w:val="right"/>
            </w:pPr>
            <w:r w:rsidRPr="009B3F42">
              <w:t>10.4%</w:t>
            </w:r>
          </w:p>
        </w:tc>
      </w:tr>
      <w:tr w:rsidR="009B3F42" w:rsidRPr="009B3F42" w14:paraId="09717C23" w14:textId="77777777" w:rsidTr="002B37E5">
        <w:trPr>
          <w:cantSplit/>
          <w:trHeight w:val="290"/>
          <w:jc w:val="center"/>
        </w:trPr>
        <w:tc>
          <w:tcPr>
            <w:tcW w:w="4225" w:type="dxa"/>
            <w:noWrap/>
            <w:hideMark/>
          </w:tcPr>
          <w:p w14:paraId="6D7100E7" w14:textId="77777777" w:rsidR="009B3F42" w:rsidRPr="009B3F42" w:rsidRDefault="009B3F42" w:rsidP="009B3F42">
            <w:r w:rsidRPr="009B3F42">
              <w:t>Other Government</w:t>
            </w:r>
          </w:p>
        </w:tc>
        <w:tc>
          <w:tcPr>
            <w:tcW w:w="1515" w:type="dxa"/>
            <w:noWrap/>
            <w:hideMark/>
          </w:tcPr>
          <w:p w14:paraId="233C8971" w14:textId="77777777" w:rsidR="009B3F42" w:rsidRPr="009B3F42" w:rsidRDefault="009B3F42" w:rsidP="009B3F42">
            <w:pPr>
              <w:jc w:val="right"/>
            </w:pPr>
            <w:r w:rsidRPr="009B3F42">
              <w:t>1.1%</w:t>
            </w:r>
          </w:p>
        </w:tc>
        <w:tc>
          <w:tcPr>
            <w:tcW w:w="960" w:type="dxa"/>
            <w:noWrap/>
            <w:hideMark/>
          </w:tcPr>
          <w:p w14:paraId="647180B3" w14:textId="77777777" w:rsidR="009B3F42" w:rsidRPr="009B3F42" w:rsidRDefault="009B3F42" w:rsidP="009B3F42">
            <w:pPr>
              <w:jc w:val="right"/>
            </w:pPr>
            <w:r w:rsidRPr="009B3F42">
              <w:t>0.1%</w:t>
            </w:r>
          </w:p>
        </w:tc>
        <w:tc>
          <w:tcPr>
            <w:tcW w:w="960" w:type="dxa"/>
            <w:noWrap/>
            <w:hideMark/>
          </w:tcPr>
          <w:p w14:paraId="71634C42" w14:textId="77777777" w:rsidR="009B3F42" w:rsidRPr="009B3F42" w:rsidRDefault="009B3F42" w:rsidP="009B3F42">
            <w:pPr>
              <w:jc w:val="right"/>
            </w:pPr>
            <w:r w:rsidRPr="009B3F42">
              <w:t>0.1%</w:t>
            </w:r>
          </w:p>
        </w:tc>
      </w:tr>
      <w:tr w:rsidR="009B3F42" w:rsidRPr="009B3F42" w14:paraId="03E42204" w14:textId="77777777" w:rsidTr="002B37E5">
        <w:trPr>
          <w:cantSplit/>
          <w:trHeight w:val="290"/>
          <w:jc w:val="center"/>
        </w:trPr>
        <w:tc>
          <w:tcPr>
            <w:tcW w:w="4225" w:type="dxa"/>
            <w:noWrap/>
            <w:hideMark/>
          </w:tcPr>
          <w:p w14:paraId="61B3FD71" w14:textId="0449533D" w:rsidR="009B3F42" w:rsidRPr="009B3F42" w:rsidRDefault="00D22AD3" w:rsidP="009B3F42">
            <w:r w:rsidRPr="009B3F42">
              <w:t>Self-Pay</w:t>
            </w:r>
          </w:p>
        </w:tc>
        <w:tc>
          <w:tcPr>
            <w:tcW w:w="1515" w:type="dxa"/>
            <w:noWrap/>
            <w:hideMark/>
          </w:tcPr>
          <w:p w14:paraId="510EB0C4" w14:textId="77777777" w:rsidR="009B3F42" w:rsidRPr="009B3F42" w:rsidRDefault="009B3F42" w:rsidP="009B3F42">
            <w:pPr>
              <w:jc w:val="right"/>
            </w:pPr>
            <w:r w:rsidRPr="009B3F42">
              <w:t>0.8%</w:t>
            </w:r>
          </w:p>
        </w:tc>
        <w:tc>
          <w:tcPr>
            <w:tcW w:w="960" w:type="dxa"/>
            <w:noWrap/>
            <w:hideMark/>
          </w:tcPr>
          <w:p w14:paraId="3BA02B71" w14:textId="77777777" w:rsidR="009B3F42" w:rsidRPr="009B3F42" w:rsidRDefault="009B3F42" w:rsidP="009B3F42">
            <w:pPr>
              <w:jc w:val="right"/>
            </w:pPr>
            <w:r w:rsidRPr="009B3F42">
              <w:t>1.5%</w:t>
            </w:r>
          </w:p>
        </w:tc>
        <w:tc>
          <w:tcPr>
            <w:tcW w:w="960" w:type="dxa"/>
            <w:noWrap/>
            <w:hideMark/>
          </w:tcPr>
          <w:p w14:paraId="0AAF5888" w14:textId="77777777" w:rsidR="009B3F42" w:rsidRPr="009B3F42" w:rsidRDefault="009B3F42" w:rsidP="009B3F42">
            <w:pPr>
              <w:jc w:val="right"/>
            </w:pPr>
            <w:r w:rsidRPr="009B3F42">
              <w:t>0.1%</w:t>
            </w:r>
          </w:p>
        </w:tc>
      </w:tr>
      <w:tr w:rsidR="009B3F42" w:rsidRPr="009B3F42" w14:paraId="55338DEC" w14:textId="77777777" w:rsidTr="002B37E5">
        <w:trPr>
          <w:cantSplit/>
          <w:trHeight w:val="290"/>
          <w:jc w:val="center"/>
        </w:trPr>
        <w:tc>
          <w:tcPr>
            <w:tcW w:w="4225" w:type="dxa"/>
            <w:noWrap/>
            <w:hideMark/>
          </w:tcPr>
          <w:p w14:paraId="61F9A74D" w14:textId="77777777" w:rsidR="009B3F42" w:rsidRPr="009B3F42" w:rsidRDefault="009B3F42" w:rsidP="009B3F42">
            <w:pPr>
              <w:rPr>
                <w:b/>
                <w:bCs/>
              </w:rPr>
            </w:pPr>
            <w:r w:rsidRPr="009B3F42">
              <w:rPr>
                <w:b/>
                <w:bCs/>
              </w:rPr>
              <w:t>TOTAL:</w:t>
            </w:r>
          </w:p>
        </w:tc>
        <w:tc>
          <w:tcPr>
            <w:tcW w:w="1515" w:type="dxa"/>
            <w:noWrap/>
            <w:hideMark/>
          </w:tcPr>
          <w:p w14:paraId="4194297D" w14:textId="77777777" w:rsidR="009B3F42" w:rsidRPr="009B3F42" w:rsidRDefault="009B3F42" w:rsidP="009B3F42">
            <w:pPr>
              <w:jc w:val="right"/>
              <w:rPr>
                <w:b/>
                <w:bCs/>
              </w:rPr>
            </w:pPr>
            <w:r w:rsidRPr="009B3F42">
              <w:rPr>
                <w:b/>
                <w:bCs/>
              </w:rPr>
              <w:t>100.0%</w:t>
            </w:r>
          </w:p>
        </w:tc>
        <w:tc>
          <w:tcPr>
            <w:tcW w:w="960" w:type="dxa"/>
            <w:noWrap/>
            <w:hideMark/>
          </w:tcPr>
          <w:p w14:paraId="6C086531" w14:textId="77777777" w:rsidR="009B3F42" w:rsidRPr="009B3F42" w:rsidRDefault="009B3F42" w:rsidP="009B3F42">
            <w:pPr>
              <w:jc w:val="right"/>
              <w:rPr>
                <w:b/>
                <w:bCs/>
              </w:rPr>
            </w:pPr>
            <w:r w:rsidRPr="009B3F42">
              <w:rPr>
                <w:b/>
                <w:bCs/>
              </w:rPr>
              <w:t>100.0%</w:t>
            </w:r>
          </w:p>
        </w:tc>
        <w:tc>
          <w:tcPr>
            <w:tcW w:w="960" w:type="dxa"/>
            <w:noWrap/>
            <w:hideMark/>
          </w:tcPr>
          <w:p w14:paraId="191EFF44" w14:textId="77777777" w:rsidR="009B3F42" w:rsidRPr="009B3F42" w:rsidRDefault="009B3F42" w:rsidP="009B3F42">
            <w:pPr>
              <w:jc w:val="right"/>
              <w:rPr>
                <w:b/>
                <w:bCs/>
              </w:rPr>
            </w:pPr>
            <w:r w:rsidRPr="009B3F42">
              <w:rPr>
                <w:b/>
                <w:bCs/>
              </w:rPr>
              <w:t>100.0%</w:t>
            </w:r>
          </w:p>
        </w:tc>
      </w:tr>
      <w:tr w:rsidR="009B3F42" w:rsidRPr="009B3F42" w14:paraId="188D683F" w14:textId="77777777" w:rsidTr="002B37E5">
        <w:trPr>
          <w:cantSplit/>
          <w:trHeight w:val="290"/>
          <w:jc w:val="center"/>
        </w:trPr>
        <w:tc>
          <w:tcPr>
            <w:tcW w:w="4225" w:type="dxa"/>
            <w:shd w:val="clear" w:color="auto" w:fill="DEEAF6" w:themeFill="accent5" w:themeFillTint="33"/>
            <w:noWrap/>
            <w:hideMark/>
          </w:tcPr>
          <w:p w14:paraId="35D875BF" w14:textId="77777777" w:rsidR="009B3F42" w:rsidRPr="002B6813" w:rsidRDefault="009B3F42" w:rsidP="009B3F42">
            <w:pPr>
              <w:rPr>
                <w:b/>
                <w:bCs/>
              </w:rPr>
            </w:pPr>
            <w:r w:rsidRPr="002B6813">
              <w:rPr>
                <w:b/>
                <w:bCs/>
              </w:rPr>
              <w:t>ACO and APM Contracts</w:t>
            </w:r>
          </w:p>
        </w:tc>
        <w:tc>
          <w:tcPr>
            <w:tcW w:w="1515" w:type="dxa"/>
            <w:shd w:val="clear" w:color="auto" w:fill="DEEAF6" w:themeFill="accent5" w:themeFillTint="33"/>
            <w:noWrap/>
            <w:hideMark/>
          </w:tcPr>
          <w:p w14:paraId="4C29E026" w14:textId="77777777" w:rsidR="009B3F42" w:rsidRPr="009B3F42" w:rsidRDefault="009B3F42" w:rsidP="009B3F42">
            <w:pPr>
              <w:jc w:val="right"/>
            </w:pPr>
            <w:r w:rsidRPr="009B3F42">
              <w:t>65.1%</w:t>
            </w:r>
          </w:p>
        </w:tc>
        <w:tc>
          <w:tcPr>
            <w:tcW w:w="960" w:type="dxa"/>
            <w:shd w:val="clear" w:color="auto" w:fill="DEEAF6" w:themeFill="accent5" w:themeFillTint="33"/>
            <w:noWrap/>
            <w:hideMark/>
          </w:tcPr>
          <w:p w14:paraId="7D8901BE" w14:textId="77777777" w:rsidR="009B3F42" w:rsidRPr="009B3F42" w:rsidRDefault="009B3F42" w:rsidP="009B3F42">
            <w:pPr>
              <w:jc w:val="right"/>
            </w:pPr>
            <w:r w:rsidRPr="009B3F42">
              <w:t>75.6%</w:t>
            </w:r>
          </w:p>
        </w:tc>
        <w:tc>
          <w:tcPr>
            <w:tcW w:w="960" w:type="dxa"/>
            <w:shd w:val="clear" w:color="auto" w:fill="DEEAF6" w:themeFill="accent5" w:themeFillTint="33"/>
            <w:noWrap/>
            <w:hideMark/>
          </w:tcPr>
          <w:p w14:paraId="0C14E477" w14:textId="77777777" w:rsidR="009B3F42" w:rsidRPr="009B3F42" w:rsidRDefault="009B3F42" w:rsidP="009B3F42">
            <w:pPr>
              <w:jc w:val="right"/>
            </w:pPr>
            <w:r w:rsidRPr="009B3F42">
              <w:t>74.4%</w:t>
            </w:r>
          </w:p>
        </w:tc>
      </w:tr>
    </w:tbl>
    <w:p w14:paraId="2B68DC14" w14:textId="37E17553" w:rsidR="00B30C38" w:rsidRDefault="002B37E5" w:rsidP="0059582B">
      <w:pPr>
        <w:spacing w:after="0"/>
      </w:pPr>
      <w:r w:rsidRPr="009B3F42">
        <w:rPr>
          <w:i/>
          <w:iCs/>
        </w:rPr>
        <w:t>Note: "Other Government" includes FFS Medicaid and the Health Connector.</w:t>
      </w:r>
    </w:p>
    <w:p w14:paraId="20C809FB" w14:textId="77777777" w:rsidR="00B30C38" w:rsidRDefault="00B30C38" w:rsidP="0059582B">
      <w:pPr>
        <w:spacing w:after="0"/>
      </w:pPr>
    </w:p>
    <w:p w14:paraId="7CB25DC3" w14:textId="5B8308B2" w:rsidR="003E1CDA" w:rsidRPr="003F0CC7" w:rsidRDefault="003E1CDA" w:rsidP="003F0CC7">
      <w:pPr>
        <w:pStyle w:val="Heading2"/>
        <w:rPr>
          <w:rFonts w:asciiTheme="minorHAnsi" w:hAnsiTheme="minorHAnsi" w:cstheme="minorHAnsi"/>
        </w:rPr>
      </w:pPr>
      <w:bookmarkStart w:id="10" w:name="_Toc131063591"/>
      <w:r w:rsidRPr="003F0CC7">
        <w:rPr>
          <w:rFonts w:asciiTheme="minorHAnsi" w:hAnsiTheme="minorHAnsi" w:cstheme="minorHAnsi"/>
        </w:rPr>
        <w:t>Factor 1</w:t>
      </w:r>
      <w:r w:rsidR="006B605A">
        <w:rPr>
          <w:rFonts w:asciiTheme="minorHAnsi" w:hAnsiTheme="minorHAnsi" w:cstheme="minorHAnsi"/>
        </w:rPr>
        <w:t>(</w:t>
      </w:r>
      <w:r w:rsidRPr="003F0CC7">
        <w:rPr>
          <w:rFonts w:asciiTheme="minorHAnsi" w:hAnsiTheme="minorHAnsi" w:cstheme="minorHAnsi"/>
        </w:rPr>
        <w:t>a) Patient Panel Need</w:t>
      </w:r>
      <w:bookmarkEnd w:id="10"/>
    </w:p>
    <w:p w14:paraId="517C7C5A" w14:textId="27BF6022" w:rsidR="00684D63" w:rsidRPr="00684D63" w:rsidRDefault="00684D63" w:rsidP="003F0CC7">
      <w:pPr>
        <w:spacing w:before="240"/>
        <w:rPr>
          <w:sz w:val="24"/>
          <w:szCs w:val="24"/>
        </w:rPr>
      </w:pPr>
      <w:r w:rsidRPr="003E1CDA">
        <w:rPr>
          <w:sz w:val="24"/>
          <w:szCs w:val="24"/>
        </w:rPr>
        <w:t xml:space="preserve">The Applicant attributes Patient Panel need for </w:t>
      </w:r>
      <w:r>
        <w:rPr>
          <w:sz w:val="24"/>
          <w:szCs w:val="24"/>
        </w:rPr>
        <w:t xml:space="preserve">the Proposed Project </w:t>
      </w:r>
      <w:r w:rsidRPr="003E1CDA">
        <w:rPr>
          <w:sz w:val="24"/>
          <w:szCs w:val="24"/>
        </w:rPr>
        <w:t>to the following:</w:t>
      </w:r>
    </w:p>
    <w:p w14:paraId="3B99E2D7" w14:textId="0EB7FEF5" w:rsidR="007A3644" w:rsidRPr="00282B91" w:rsidRDefault="00ED7B91" w:rsidP="006B605A">
      <w:pPr>
        <w:numPr>
          <w:ilvl w:val="0"/>
          <w:numId w:val="10"/>
        </w:numPr>
        <w:spacing w:after="0" w:line="240" w:lineRule="auto"/>
        <w:rPr>
          <w:sz w:val="24"/>
          <w:szCs w:val="24"/>
        </w:rPr>
      </w:pPr>
      <w:r>
        <w:rPr>
          <w:sz w:val="24"/>
          <w:szCs w:val="24"/>
        </w:rPr>
        <w:t>N</w:t>
      </w:r>
      <w:r w:rsidRPr="007A3644">
        <w:rPr>
          <w:sz w:val="24"/>
          <w:szCs w:val="24"/>
        </w:rPr>
        <w:t>eed for local, accessible, and cost-effective imaging services</w:t>
      </w:r>
      <w:r w:rsidR="00DA741D">
        <w:rPr>
          <w:sz w:val="24"/>
          <w:szCs w:val="24"/>
        </w:rPr>
        <w:t xml:space="preserve"> for its patients</w:t>
      </w:r>
    </w:p>
    <w:p w14:paraId="1EDB1AF6" w14:textId="12D23D27" w:rsidR="007A3644" w:rsidRPr="007A3644" w:rsidRDefault="007A3644" w:rsidP="006B605A">
      <w:pPr>
        <w:numPr>
          <w:ilvl w:val="0"/>
          <w:numId w:val="10"/>
        </w:numPr>
        <w:spacing w:after="0" w:line="240" w:lineRule="auto"/>
        <w:rPr>
          <w:sz w:val="24"/>
          <w:szCs w:val="24"/>
        </w:rPr>
      </w:pPr>
      <w:r w:rsidRPr="007A3644">
        <w:rPr>
          <w:sz w:val="24"/>
          <w:szCs w:val="24"/>
        </w:rPr>
        <w:t xml:space="preserve">Need </w:t>
      </w:r>
      <w:r w:rsidR="00ED7B91" w:rsidRPr="007A3644">
        <w:rPr>
          <w:sz w:val="24"/>
          <w:szCs w:val="24"/>
        </w:rPr>
        <w:t>to ensure access for the growing aging population</w:t>
      </w:r>
    </w:p>
    <w:p w14:paraId="59EB31DD" w14:textId="2B3766E0" w:rsidR="007A3644" w:rsidRPr="00282B91" w:rsidRDefault="007A3644" w:rsidP="006B605A">
      <w:pPr>
        <w:numPr>
          <w:ilvl w:val="0"/>
          <w:numId w:val="10"/>
        </w:numPr>
        <w:spacing w:after="0" w:line="240" w:lineRule="auto"/>
        <w:rPr>
          <w:sz w:val="24"/>
          <w:szCs w:val="24"/>
        </w:rPr>
      </w:pPr>
      <w:r w:rsidRPr="007A3644">
        <w:rPr>
          <w:sz w:val="24"/>
          <w:szCs w:val="24"/>
        </w:rPr>
        <w:t xml:space="preserve">Increasing </w:t>
      </w:r>
      <w:r w:rsidR="00ED7B91" w:rsidRPr="00282B91">
        <w:rPr>
          <w:sz w:val="24"/>
          <w:szCs w:val="24"/>
        </w:rPr>
        <w:t>prevalence of diseases requiring advanced imaging modalities</w:t>
      </w:r>
    </w:p>
    <w:p w14:paraId="386EC366" w14:textId="39B19E46" w:rsidR="007A3644" w:rsidRPr="00282B91" w:rsidRDefault="007A3644" w:rsidP="006B605A">
      <w:pPr>
        <w:pStyle w:val="ListParagraph"/>
        <w:numPr>
          <w:ilvl w:val="0"/>
          <w:numId w:val="10"/>
        </w:numPr>
        <w:spacing w:after="0" w:line="240" w:lineRule="auto"/>
        <w:rPr>
          <w:sz w:val="24"/>
          <w:szCs w:val="24"/>
        </w:rPr>
      </w:pPr>
      <w:r w:rsidRPr="00282B91">
        <w:rPr>
          <w:sz w:val="24"/>
          <w:szCs w:val="24"/>
        </w:rPr>
        <w:t xml:space="preserve">Need to </w:t>
      </w:r>
      <w:r w:rsidR="00ED7B91" w:rsidRPr="00282B91">
        <w:rPr>
          <w:sz w:val="24"/>
          <w:szCs w:val="24"/>
        </w:rPr>
        <w:t>meet future need: projections over the next 5 years</w:t>
      </w:r>
    </w:p>
    <w:p w14:paraId="766F173B" w14:textId="77777777" w:rsidR="007A3644" w:rsidRPr="007A3644" w:rsidRDefault="007A3644" w:rsidP="007A3644">
      <w:pPr>
        <w:spacing w:after="0" w:line="240" w:lineRule="auto"/>
        <w:ind w:left="720"/>
        <w:rPr>
          <w:b/>
          <w:bCs/>
          <w:sz w:val="24"/>
          <w:szCs w:val="24"/>
        </w:rPr>
      </w:pPr>
    </w:p>
    <w:p w14:paraId="66CF792E" w14:textId="5F139FCB" w:rsidR="007A3644" w:rsidRDefault="007A3644" w:rsidP="006B605A">
      <w:pPr>
        <w:numPr>
          <w:ilvl w:val="0"/>
          <w:numId w:val="16"/>
        </w:numPr>
        <w:spacing w:after="0" w:line="240" w:lineRule="auto"/>
        <w:rPr>
          <w:b/>
          <w:bCs/>
          <w:sz w:val="24"/>
          <w:szCs w:val="24"/>
        </w:rPr>
      </w:pPr>
      <w:r w:rsidRPr="007A3644">
        <w:rPr>
          <w:b/>
          <w:bCs/>
          <w:sz w:val="24"/>
          <w:szCs w:val="24"/>
        </w:rPr>
        <w:t>Need for Local, Accessible, And Cost-Effective Imaging Services</w:t>
      </w:r>
    </w:p>
    <w:p w14:paraId="0EE6280F" w14:textId="77777777" w:rsidR="007A3644" w:rsidRPr="007A3644" w:rsidRDefault="007A3644" w:rsidP="007A3644">
      <w:pPr>
        <w:spacing w:after="0" w:line="240" w:lineRule="auto"/>
        <w:ind w:left="360"/>
        <w:rPr>
          <w:b/>
          <w:bCs/>
          <w:sz w:val="24"/>
          <w:szCs w:val="24"/>
        </w:rPr>
      </w:pPr>
    </w:p>
    <w:p w14:paraId="7079A96B" w14:textId="0FF07F97" w:rsidR="00C90D71" w:rsidRDefault="00C90D71" w:rsidP="00C90D71">
      <w:pPr>
        <w:spacing w:after="0" w:line="240" w:lineRule="auto"/>
        <w:rPr>
          <w:bCs/>
          <w:sz w:val="24"/>
          <w:szCs w:val="24"/>
        </w:rPr>
      </w:pPr>
      <w:r w:rsidRPr="00C90D71">
        <w:rPr>
          <w:bCs/>
          <w:sz w:val="24"/>
          <w:szCs w:val="24"/>
        </w:rPr>
        <w:lastRenderedPageBreak/>
        <w:t>While Plymouth Clinic patients</w:t>
      </w:r>
      <w:r w:rsidRPr="00C90D71">
        <w:rPr>
          <w:bCs/>
          <w:sz w:val="24"/>
          <w:szCs w:val="24"/>
          <w:vertAlign w:val="superscript"/>
        </w:rPr>
        <w:footnoteReference w:id="9"/>
      </w:r>
      <w:r w:rsidRPr="00C90D71">
        <w:rPr>
          <w:bCs/>
          <w:sz w:val="24"/>
          <w:szCs w:val="24"/>
        </w:rPr>
        <w:t xml:space="preserve"> have the option to utilize Atrius Health’s other MRI and CT services, the closest Atrius Health location is 30 minutes away. The only local option for MRI and CT in the greater Plymouth region is through a local hospital facility that is not part of the Atrius Health system. The Applicant asserts that all of Atrius Health’s existing MRI and CT locations are nearing capacity. These three issues create access challenges that are discussed throughout this report.</w:t>
      </w:r>
    </w:p>
    <w:p w14:paraId="185B86B2" w14:textId="77777777" w:rsidR="00C90D71" w:rsidRPr="00C90D71" w:rsidRDefault="00C90D71" w:rsidP="00C90D71">
      <w:pPr>
        <w:spacing w:after="0" w:line="240" w:lineRule="auto"/>
        <w:rPr>
          <w:bCs/>
          <w:sz w:val="24"/>
          <w:szCs w:val="24"/>
        </w:rPr>
      </w:pPr>
    </w:p>
    <w:p w14:paraId="4068BD85" w14:textId="04058D8E" w:rsidR="007A3644" w:rsidRPr="007A3644" w:rsidRDefault="007A3644" w:rsidP="007A3644">
      <w:pPr>
        <w:spacing w:after="0" w:line="240" w:lineRule="auto"/>
        <w:rPr>
          <w:sz w:val="24"/>
          <w:szCs w:val="24"/>
        </w:rPr>
      </w:pPr>
      <w:r w:rsidRPr="007A3644">
        <w:rPr>
          <w:sz w:val="24"/>
          <w:szCs w:val="24"/>
        </w:rPr>
        <w:t>The volume of MRIs and CTs historically performed at all Atrius Health locations is outlined in the Table</w:t>
      </w:r>
      <w:r w:rsidR="00ED7B91">
        <w:rPr>
          <w:sz w:val="24"/>
          <w:szCs w:val="24"/>
        </w:rPr>
        <w:t xml:space="preserve"> 4</w:t>
      </w:r>
      <w:r w:rsidRPr="007A3644">
        <w:rPr>
          <w:sz w:val="24"/>
          <w:szCs w:val="24"/>
        </w:rPr>
        <w:t xml:space="preserve">. </w:t>
      </w:r>
    </w:p>
    <w:p w14:paraId="0D3B5FB3" w14:textId="77777777" w:rsidR="007A3644" w:rsidRPr="007A3644" w:rsidRDefault="007A3644" w:rsidP="007A3644">
      <w:pPr>
        <w:spacing w:after="0" w:line="240" w:lineRule="auto"/>
        <w:rPr>
          <w:sz w:val="24"/>
          <w:szCs w:val="24"/>
        </w:rPr>
      </w:pPr>
    </w:p>
    <w:p w14:paraId="39D31B56" w14:textId="3BEC3C60" w:rsidR="007A3644" w:rsidRDefault="007A3644" w:rsidP="00282B91">
      <w:pPr>
        <w:spacing w:after="0" w:line="240" w:lineRule="auto"/>
        <w:jc w:val="center"/>
        <w:rPr>
          <w:b/>
          <w:bCs/>
          <w:sz w:val="24"/>
          <w:szCs w:val="24"/>
        </w:rPr>
      </w:pPr>
      <w:r w:rsidRPr="007A3644">
        <w:rPr>
          <w:b/>
          <w:bCs/>
          <w:sz w:val="24"/>
          <w:szCs w:val="24"/>
        </w:rPr>
        <w:t>Table</w:t>
      </w:r>
      <w:r w:rsidR="00ED7B91">
        <w:rPr>
          <w:b/>
          <w:bCs/>
          <w:sz w:val="24"/>
          <w:szCs w:val="24"/>
        </w:rPr>
        <w:t xml:space="preserve"> 4:</w:t>
      </w:r>
      <w:r w:rsidRPr="007A3644">
        <w:rPr>
          <w:b/>
          <w:bCs/>
          <w:sz w:val="24"/>
          <w:szCs w:val="24"/>
        </w:rPr>
        <w:t xml:space="preserve"> Total CTs and MRIs </w:t>
      </w:r>
      <w:r w:rsidR="00ED7B91">
        <w:rPr>
          <w:b/>
          <w:bCs/>
          <w:sz w:val="24"/>
          <w:szCs w:val="24"/>
        </w:rPr>
        <w:t>P</w:t>
      </w:r>
      <w:r w:rsidRPr="007A3644">
        <w:rPr>
          <w:b/>
          <w:bCs/>
          <w:sz w:val="24"/>
          <w:szCs w:val="24"/>
        </w:rPr>
        <w:t xml:space="preserve">erformed at </w:t>
      </w:r>
      <w:r w:rsidR="00ED7B91">
        <w:rPr>
          <w:b/>
          <w:bCs/>
          <w:sz w:val="24"/>
          <w:szCs w:val="24"/>
        </w:rPr>
        <w:t>A</w:t>
      </w:r>
      <w:r w:rsidRPr="007A3644">
        <w:rPr>
          <w:b/>
          <w:bCs/>
          <w:sz w:val="24"/>
          <w:szCs w:val="24"/>
        </w:rPr>
        <w:t>ll Atrius Health Locations</w:t>
      </w:r>
    </w:p>
    <w:p w14:paraId="52D06662" w14:textId="77777777" w:rsidR="00282B91" w:rsidRPr="007A3644" w:rsidRDefault="00282B91" w:rsidP="007A3644">
      <w:pPr>
        <w:spacing w:after="0" w:line="240" w:lineRule="auto"/>
        <w:rPr>
          <w:sz w:val="24"/>
          <w:szCs w:val="24"/>
        </w:rPr>
      </w:pPr>
    </w:p>
    <w:tbl>
      <w:tblPr>
        <w:tblW w:w="6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60"/>
        <w:gridCol w:w="1320"/>
        <w:gridCol w:w="1400"/>
        <w:gridCol w:w="1595"/>
      </w:tblGrid>
      <w:tr w:rsidR="007A3644" w:rsidRPr="007A3644" w14:paraId="75C3BAE1" w14:textId="77777777" w:rsidTr="00282B91">
        <w:trPr>
          <w:trHeight w:val="400"/>
          <w:jc w:val="center"/>
        </w:trPr>
        <w:tc>
          <w:tcPr>
            <w:tcW w:w="1260" w:type="dxa"/>
            <w:shd w:val="clear" w:color="auto" w:fill="EBFFFF"/>
            <w:noWrap/>
            <w:vAlign w:val="center"/>
            <w:hideMark/>
          </w:tcPr>
          <w:p w14:paraId="72CC8CC1" w14:textId="77777777" w:rsidR="007A3644" w:rsidRPr="007A3644" w:rsidRDefault="007A3644" w:rsidP="007A3644">
            <w:pPr>
              <w:spacing w:after="0" w:line="240" w:lineRule="auto"/>
              <w:rPr>
                <w:sz w:val="24"/>
                <w:szCs w:val="24"/>
              </w:rPr>
            </w:pPr>
            <w:r w:rsidRPr="007A3644">
              <w:rPr>
                <w:sz w:val="24"/>
                <w:szCs w:val="24"/>
              </w:rPr>
              <w:t> </w:t>
            </w:r>
          </w:p>
        </w:tc>
        <w:tc>
          <w:tcPr>
            <w:tcW w:w="1260" w:type="dxa"/>
            <w:shd w:val="clear" w:color="auto" w:fill="EBFFFF"/>
            <w:noWrap/>
            <w:vAlign w:val="center"/>
            <w:hideMark/>
          </w:tcPr>
          <w:p w14:paraId="2C40B223" w14:textId="77777777" w:rsidR="007A3644" w:rsidRPr="007A3644" w:rsidRDefault="007A3644" w:rsidP="008F0222">
            <w:pPr>
              <w:spacing w:after="0" w:line="240" w:lineRule="auto"/>
              <w:jc w:val="center"/>
              <w:rPr>
                <w:b/>
                <w:bCs/>
                <w:sz w:val="24"/>
                <w:szCs w:val="24"/>
              </w:rPr>
            </w:pPr>
            <w:r w:rsidRPr="007A3644">
              <w:rPr>
                <w:b/>
                <w:bCs/>
                <w:sz w:val="24"/>
                <w:szCs w:val="24"/>
              </w:rPr>
              <w:t>2019</w:t>
            </w:r>
          </w:p>
        </w:tc>
        <w:tc>
          <w:tcPr>
            <w:tcW w:w="1320" w:type="dxa"/>
            <w:shd w:val="clear" w:color="auto" w:fill="EBFFFF"/>
            <w:noWrap/>
            <w:vAlign w:val="center"/>
            <w:hideMark/>
          </w:tcPr>
          <w:p w14:paraId="48FEC374" w14:textId="77777777" w:rsidR="007A3644" w:rsidRPr="007A3644" w:rsidRDefault="007A3644" w:rsidP="008F0222">
            <w:pPr>
              <w:spacing w:after="0" w:line="240" w:lineRule="auto"/>
              <w:jc w:val="center"/>
              <w:rPr>
                <w:b/>
                <w:bCs/>
                <w:sz w:val="24"/>
                <w:szCs w:val="24"/>
              </w:rPr>
            </w:pPr>
            <w:r w:rsidRPr="007A3644">
              <w:rPr>
                <w:b/>
                <w:bCs/>
                <w:sz w:val="24"/>
                <w:szCs w:val="24"/>
              </w:rPr>
              <w:t>2020</w:t>
            </w:r>
          </w:p>
        </w:tc>
        <w:tc>
          <w:tcPr>
            <w:tcW w:w="1400" w:type="dxa"/>
            <w:shd w:val="clear" w:color="auto" w:fill="EBFFFF"/>
            <w:noWrap/>
            <w:vAlign w:val="center"/>
            <w:hideMark/>
          </w:tcPr>
          <w:p w14:paraId="709D11B4" w14:textId="77777777" w:rsidR="007A3644" w:rsidRPr="007A3644" w:rsidRDefault="007A3644" w:rsidP="008F0222">
            <w:pPr>
              <w:spacing w:after="0" w:line="240" w:lineRule="auto"/>
              <w:jc w:val="center"/>
              <w:rPr>
                <w:b/>
                <w:bCs/>
                <w:sz w:val="24"/>
                <w:szCs w:val="24"/>
              </w:rPr>
            </w:pPr>
            <w:r w:rsidRPr="007A3644">
              <w:rPr>
                <w:b/>
                <w:bCs/>
                <w:sz w:val="24"/>
                <w:szCs w:val="24"/>
              </w:rPr>
              <w:t>2021</w:t>
            </w:r>
          </w:p>
        </w:tc>
        <w:tc>
          <w:tcPr>
            <w:tcW w:w="1595" w:type="dxa"/>
            <w:shd w:val="clear" w:color="auto" w:fill="EBFFFF"/>
            <w:noWrap/>
            <w:vAlign w:val="center"/>
            <w:hideMark/>
          </w:tcPr>
          <w:p w14:paraId="54BD1B0E" w14:textId="5CA4B23E" w:rsidR="007A3644" w:rsidRPr="007A3644" w:rsidRDefault="007A3644" w:rsidP="008F0222">
            <w:pPr>
              <w:spacing w:after="0" w:line="240" w:lineRule="auto"/>
              <w:jc w:val="center"/>
              <w:rPr>
                <w:b/>
                <w:bCs/>
                <w:sz w:val="24"/>
                <w:szCs w:val="24"/>
              </w:rPr>
            </w:pPr>
            <w:r w:rsidRPr="007A3644">
              <w:rPr>
                <w:b/>
                <w:bCs/>
                <w:sz w:val="24"/>
                <w:szCs w:val="24"/>
              </w:rPr>
              <w:t>2022</w:t>
            </w:r>
          </w:p>
        </w:tc>
      </w:tr>
      <w:tr w:rsidR="00525DC6" w:rsidRPr="007A3644" w14:paraId="27504A13" w14:textId="77777777" w:rsidTr="002B6813">
        <w:trPr>
          <w:trHeight w:val="233"/>
          <w:jc w:val="center"/>
        </w:trPr>
        <w:tc>
          <w:tcPr>
            <w:tcW w:w="1260" w:type="dxa"/>
            <w:shd w:val="clear" w:color="auto" w:fill="auto"/>
            <w:vAlign w:val="center"/>
            <w:hideMark/>
          </w:tcPr>
          <w:p w14:paraId="70E53EEC" w14:textId="77777777" w:rsidR="00525DC6" w:rsidRPr="007A3644" w:rsidRDefault="00525DC6" w:rsidP="00525DC6">
            <w:pPr>
              <w:spacing w:after="0" w:line="240" w:lineRule="auto"/>
              <w:rPr>
                <w:b/>
                <w:bCs/>
                <w:sz w:val="24"/>
                <w:szCs w:val="24"/>
              </w:rPr>
            </w:pPr>
            <w:r w:rsidRPr="007A3644">
              <w:rPr>
                <w:b/>
                <w:bCs/>
                <w:sz w:val="24"/>
                <w:szCs w:val="24"/>
              </w:rPr>
              <w:t>Total CT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5ABE73C" w14:textId="6ACDCF4C" w:rsidR="00525DC6" w:rsidRPr="007A3644" w:rsidRDefault="00525DC6" w:rsidP="008F0222">
            <w:pPr>
              <w:spacing w:after="0" w:line="240" w:lineRule="auto"/>
              <w:jc w:val="right"/>
              <w:rPr>
                <w:sz w:val="24"/>
                <w:szCs w:val="24"/>
              </w:rPr>
            </w:pPr>
            <w:r>
              <w:rPr>
                <w:rFonts w:ascii="Calibri" w:hAnsi="Calibri" w:cs="Calibri"/>
                <w:color w:val="000000"/>
              </w:rPr>
              <w:t xml:space="preserve">19,510 </w:t>
            </w:r>
          </w:p>
        </w:tc>
        <w:tc>
          <w:tcPr>
            <w:tcW w:w="1320" w:type="dxa"/>
            <w:tcBorders>
              <w:top w:val="single" w:sz="4" w:space="0" w:color="auto"/>
              <w:left w:val="nil"/>
              <w:bottom w:val="single" w:sz="4" w:space="0" w:color="auto"/>
              <w:right w:val="single" w:sz="4" w:space="0" w:color="auto"/>
            </w:tcBorders>
            <w:shd w:val="clear" w:color="auto" w:fill="auto"/>
            <w:vAlign w:val="center"/>
          </w:tcPr>
          <w:p w14:paraId="4ED2BA3E" w14:textId="2B67A933" w:rsidR="00525DC6" w:rsidRPr="007A3644" w:rsidRDefault="00525DC6" w:rsidP="008F0222">
            <w:pPr>
              <w:spacing w:after="0" w:line="240" w:lineRule="auto"/>
              <w:jc w:val="right"/>
              <w:rPr>
                <w:sz w:val="24"/>
                <w:szCs w:val="24"/>
              </w:rPr>
            </w:pPr>
            <w:r>
              <w:rPr>
                <w:rFonts w:ascii="Calibri" w:hAnsi="Calibri" w:cs="Calibri"/>
                <w:color w:val="000000"/>
              </w:rPr>
              <w:t xml:space="preserve">16,326 </w:t>
            </w:r>
          </w:p>
        </w:tc>
        <w:tc>
          <w:tcPr>
            <w:tcW w:w="1400" w:type="dxa"/>
            <w:tcBorders>
              <w:top w:val="single" w:sz="4" w:space="0" w:color="auto"/>
              <w:left w:val="nil"/>
              <w:bottom w:val="single" w:sz="4" w:space="0" w:color="auto"/>
              <w:right w:val="single" w:sz="4" w:space="0" w:color="auto"/>
            </w:tcBorders>
            <w:shd w:val="clear" w:color="auto" w:fill="auto"/>
            <w:vAlign w:val="center"/>
          </w:tcPr>
          <w:p w14:paraId="053FC760" w14:textId="5DB6DB51" w:rsidR="00525DC6" w:rsidRPr="007A3644" w:rsidRDefault="00525DC6" w:rsidP="008F0222">
            <w:pPr>
              <w:spacing w:after="0" w:line="240" w:lineRule="auto"/>
              <w:jc w:val="right"/>
              <w:rPr>
                <w:sz w:val="24"/>
                <w:szCs w:val="24"/>
              </w:rPr>
            </w:pPr>
            <w:r>
              <w:rPr>
                <w:rFonts w:ascii="Calibri" w:hAnsi="Calibri" w:cs="Calibri"/>
                <w:color w:val="000000"/>
              </w:rPr>
              <w:t xml:space="preserve">19,972 </w:t>
            </w:r>
          </w:p>
        </w:tc>
        <w:tc>
          <w:tcPr>
            <w:tcW w:w="1595" w:type="dxa"/>
            <w:tcBorders>
              <w:top w:val="single" w:sz="4" w:space="0" w:color="auto"/>
              <w:left w:val="nil"/>
              <w:bottom w:val="single" w:sz="4" w:space="0" w:color="auto"/>
              <w:right w:val="single" w:sz="4" w:space="0" w:color="auto"/>
            </w:tcBorders>
            <w:shd w:val="clear" w:color="auto" w:fill="auto"/>
            <w:vAlign w:val="center"/>
          </w:tcPr>
          <w:p w14:paraId="7AD06219" w14:textId="6D14C97C" w:rsidR="00525DC6" w:rsidRPr="007A3644" w:rsidRDefault="00525DC6" w:rsidP="008F0222">
            <w:pPr>
              <w:spacing w:after="0" w:line="240" w:lineRule="auto"/>
              <w:jc w:val="right"/>
              <w:rPr>
                <w:sz w:val="24"/>
                <w:szCs w:val="24"/>
              </w:rPr>
            </w:pPr>
            <w:r>
              <w:rPr>
                <w:rFonts w:ascii="Calibri" w:hAnsi="Calibri" w:cs="Calibri"/>
                <w:color w:val="000000"/>
              </w:rPr>
              <w:t xml:space="preserve"> 22,379 </w:t>
            </w:r>
          </w:p>
        </w:tc>
      </w:tr>
      <w:tr w:rsidR="008F0222" w:rsidRPr="007A3644" w14:paraId="40AFB118" w14:textId="77777777" w:rsidTr="002B6813">
        <w:trPr>
          <w:trHeight w:val="296"/>
          <w:jc w:val="center"/>
        </w:trPr>
        <w:tc>
          <w:tcPr>
            <w:tcW w:w="1260" w:type="dxa"/>
            <w:shd w:val="clear" w:color="auto" w:fill="auto"/>
            <w:vAlign w:val="center"/>
            <w:hideMark/>
          </w:tcPr>
          <w:p w14:paraId="4E369172" w14:textId="77777777" w:rsidR="008F0222" w:rsidRPr="007A3644" w:rsidRDefault="008F0222" w:rsidP="008F0222">
            <w:pPr>
              <w:spacing w:after="0" w:line="240" w:lineRule="auto"/>
              <w:rPr>
                <w:b/>
                <w:bCs/>
                <w:sz w:val="24"/>
                <w:szCs w:val="24"/>
              </w:rPr>
            </w:pPr>
            <w:r w:rsidRPr="007A3644">
              <w:rPr>
                <w:b/>
                <w:bCs/>
                <w:sz w:val="24"/>
                <w:szCs w:val="24"/>
              </w:rPr>
              <w:t>Total MRI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69463" w14:textId="6958EE81" w:rsidR="008F0222" w:rsidRPr="007A3644" w:rsidRDefault="008F0222" w:rsidP="008F0222">
            <w:pPr>
              <w:spacing w:after="0" w:line="240" w:lineRule="auto"/>
              <w:jc w:val="right"/>
              <w:rPr>
                <w:sz w:val="24"/>
                <w:szCs w:val="24"/>
              </w:rPr>
            </w:pPr>
            <w:r>
              <w:rPr>
                <w:rFonts w:ascii="Calibri" w:hAnsi="Calibri" w:cs="Calibri"/>
                <w:color w:val="000000"/>
              </w:rPr>
              <w:t xml:space="preserve">25,627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62768DD" w14:textId="5AE12D87" w:rsidR="008F0222" w:rsidRPr="007A3644" w:rsidRDefault="008F0222" w:rsidP="008F0222">
            <w:pPr>
              <w:spacing w:after="0" w:line="240" w:lineRule="auto"/>
              <w:jc w:val="right"/>
              <w:rPr>
                <w:sz w:val="24"/>
                <w:szCs w:val="24"/>
              </w:rPr>
            </w:pPr>
            <w:r>
              <w:rPr>
                <w:rFonts w:ascii="Calibri" w:hAnsi="Calibri" w:cs="Calibri"/>
                <w:color w:val="000000"/>
              </w:rPr>
              <w:t xml:space="preserve">19,458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0EECA63" w14:textId="47C9F41C" w:rsidR="008F0222" w:rsidRPr="007A3644" w:rsidRDefault="008F0222" w:rsidP="008F0222">
            <w:pPr>
              <w:spacing w:after="0" w:line="240" w:lineRule="auto"/>
              <w:jc w:val="right"/>
              <w:rPr>
                <w:sz w:val="24"/>
                <w:szCs w:val="24"/>
              </w:rPr>
            </w:pPr>
            <w:r>
              <w:rPr>
                <w:rFonts w:ascii="Calibri" w:hAnsi="Calibri" w:cs="Calibri"/>
                <w:color w:val="000000"/>
              </w:rPr>
              <w:t xml:space="preserve">25,024 </w:t>
            </w:r>
          </w:p>
        </w:tc>
        <w:tc>
          <w:tcPr>
            <w:tcW w:w="1595" w:type="dxa"/>
            <w:tcBorders>
              <w:top w:val="single" w:sz="4" w:space="0" w:color="auto"/>
              <w:left w:val="nil"/>
              <w:bottom w:val="single" w:sz="4" w:space="0" w:color="auto"/>
              <w:right w:val="single" w:sz="4" w:space="0" w:color="auto"/>
            </w:tcBorders>
            <w:shd w:val="clear" w:color="auto" w:fill="auto"/>
            <w:vAlign w:val="center"/>
          </w:tcPr>
          <w:p w14:paraId="13D72B95" w14:textId="7AE572CD" w:rsidR="008F0222" w:rsidRPr="007A3644" w:rsidRDefault="008F0222" w:rsidP="008F0222">
            <w:pPr>
              <w:spacing w:after="0" w:line="240" w:lineRule="auto"/>
              <w:jc w:val="right"/>
              <w:rPr>
                <w:sz w:val="24"/>
                <w:szCs w:val="24"/>
              </w:rPr>
            </w:pPr>
            <w:r>
              <w:rPr>
                <w:rFonts w:ascii="Calibri" w:hAnsi="Calibri" w:cs="Calibri"/>
                <w:color w:val="000000"/>
              </w:rPr>
              <w:t xml:space="preserve">25,066 </w:t>
            </w:r>
          </w:p>
        </w:tc>
      </w:tr>
    </w:tbl>
    <w:p w14:paraId="426DBD3E" w14:textId="4188032F" w:rsidR="008F0222" w:rsidRDefault="002B37E5" w:rsidP="007A3644">
      <w:pPr>
        <w:spacing w:after="0" w:line="240" w:lineRule="auto"/>
        <w:rPr>
          <w:bCs/>
          <w:sz w:val="24"/>
          <w:szCs w:val="24"/>
        </w:rPr>
      </w:pPr>
      <w:r w:rsidRPr="00DD70B5">
        <w:rPr>
          <w:rFonts w:ascii="Calibri" w:hAnsi="Calibri" w:cs="Calibri"/>
          <w:color w:val="000000"/>
        </w:rPr>
        <w:t xml:space="preserve">Note, 2020 volumes were </w:t>
      </w:r>
      <w:r>
        <w:rPr>
          <w:rFonts w:ascii="Calibri" w:hAnsi="Calibri" w:cs="Calibri"/>
          <w:color w:val="000000"/>
        </w:rPr>
        <w:t xml:space="preserve">lower due to </w:t>
      </w:r>
      <w:r w:rsidRPr="00DD70B5">
        <w:rPr>
          <w:rFonts w:ascii="Calibri" w:hAnsi="Calibri" w:cs="Calibri"/>
          <w:color w:val="000000"/>
        </w:rPr>
        <w:t>the COVID-19 Pandemic</w:t>
      </w:r>
    </w:p>
    <w:p w14:paraId="406103F9" w14:textId="77777777" w:rsidR="004B1695" w:rsidRDefault="004B1695" w:rsidP="004B1695">
      <w:pPr>
        <w:spacing w:after="0" w:line="240" w:lineRule="auto"/>
        <w:rPr>
          <w:bCs/>
          <w:sz w:val="24"/>
          <w:szCs w:val="24"/>
        </w:rPr>
      </w:pPr>
    </w:p>
    <w:p w14:paraId="5E0E6B81" w14:textId="76E4E003" w:rsidR="004B1695" w:rsidRPr="004B1695" w:rsidRDefault="004B1695" w:rsidP="004B1695">
      <w:pPr>
        <w:spacing w:after="0" w:line="240" w:lineRule="auto"/>
        <w:rPr>
          <w:bCs/>
          <w:sz w:val="24"/>
          <w:szCs w:val="24"/>
        </w:rPr>
      </w:pPr>
      <w:r>
        <w:rPr>
          <w:bCs/>
          <w:sz w:val="24"/>
          <w:szCs w:val="24"/>
        </w:rPr>
        <w:t xml:space="preserve">Once fully consolidated, the </w:t>
      </w:r>
      <w:r w:rsidRPr="004B1695">
        <w:rPr>
          <w:bCs/>
          <w:sz w:val="24"/>
          <w:szCs w:val="24"/>
        </w:rPr>
        <w:t>Plymouth Clinic location will offer Internal Medicine/Family Medicine, ENT, Visual Specialty, Orthopedics, Podiatry, and Urgent Care services</w:t>
      </w:r>
      <w:r>
        <w:rPr>
          <w:bCs/>
          <w:sz w:val="24"/>
          <w:szCs w:val="24"/>
        </w:rPr>
        <w:t xml:space="preserve">, </w:t>
      </w:r>
      <w:r w:rsidR="00A80B60">
        <w:rPr>
          <w:bCs/>
          <w:sz w:val="24"/>
          <w:szCs w:val="24"/>
        </w:rPr>
        <w:t xml:space="preserve">all </w:t>
      </w:r>
      <w:r>
        <w:rPr>
          <w:bCs/>
          <w:sz w:val="24"/>
          <w:szCs w:val="24"/>
        </w:rPr>
        <w:t>specialties that</w:t>
      </w:r>
      <w:r w:rsidRPr="004B1695">
        <w:rPr>
          <w:bCs/>
          <w:sz w:val="24"/>
          <w:szCs w:val="24"/>
        </w:rPr>
        <w:t xml:space="preserve"> order </w:t>
      </w:r>
      <w:r w:rsidR="00D25F7F">
        <w:rPr>
          <w:bCs/>
          <w:sz w:val="24"/>
          <w:szCs w:val="24"/>
        </w:rPr>
        <w:t xml:space="preserve">may </w:t>
      </w:r>
      <w:r w:rsidRPr="004B1695">
        <w:rPr>
          <w:bCs/>
          <w:sz w:val="24"/>
          <w:szCs w:val="24"/>
        </w:rPr>
        <w:t xml:space="preserve">CT and MRI exams for the diagnosis and management of </w:t>
      </w:r>
      <w:r w:rsidR="00777796">
        <w:rPr>
          <w:bCs/>
          <w:sz w:val="24"/>
          <w:szCs w:val="24"/>
        </w:rPr>
        <w:t xml:space="preserve">certain </w:t>
      </w:r>
      <w:r w:rsidRPr="004B1695">
        <w:rPr>
          <w:bCs/>
          <w:sz w:val="24"/>
          <w:szCs w:val="24"/>
        </w:rPr>
        <w:t>disease</w:t>
      </w:r>
      <w:r w:rsidR="00777796">
        <w:rPr>
          <w:bCs/>
          <w:sz w:val="24"/>
          <w:szCs w:val="24"/>
        </w:rPr>
        <w:t>s</w:t>
      </w:r>
      <w:r w:rsidRPr="004B1695">
        <w:rPr>
          <w:bCs/>
          <w:sz w:val="24"/>
          <w:szCs w:val="24"/>
        </w:rPr>
        <w:t>.</w:t>
      </w:r>
    </w:p>
    <w:p w14:paraId="70E5B443" w14:textId="6A3F1053" w:rsidR="007A3644" w:rsidRDefault="007A3644" w:rsidP="007A3644">
      <w:pPr>
        <w:spacing w:after="0" w:line="240" w:lineRule="auto"/>
        <w:rPr>
          <w:bCs/>
          <w:sz w:val="24"/>
          <w:szCs w:val="24"/>
        </w:rPr>
      </w:pPr>
    </w:p>
    <w:p w14:paraId="37417104" w14:textId="0CBD787B" w:rsidR="007A3644" w:rsidRDefault="007A3644" w:rsidP="007A3644">
      <w:pPr>
        <w:spacing w:after="0" w:line="240" w:lineRule="auto"/>
        <w:rPr>
          <w:b/>
          <w:sz w:val="24"/>
          <w:szCs w:val="24"/>
        </w:rPr>
      </w:pPr>
      <w:r w:rsidRPr="007A3644">
        <w:rPr>
          <w:b/>
          <w:sz w:val="24"/>
          <w:szCs w:val="24"/>
        </w:rPr>
        <w:t xml:space="preserve">MRI </w:t>
      </w:r>
    </w:p>
    <w:p w14:paraId="5BC3B4D7" w14:textId="77777777" w:rsidR="007A3644" w:rsidRPr="007A3644" w:rsidRDefault="007A3644" w:rsidP="007A3644">
      <w:pPr>
        <w:spacing w:after="0" w:line="240" w:lineRule="auto"/>
        <w:rPr>
          <w:sz w:val="24"/>
          <w:szCs w:val="24"/>
        </w:rPr>
      </w:pPr>
    </w:p>
    <w:p w14:paraId="649977E6" w14:textId="71AF9D03" w:rsidR="007A3644" w:rsidRDefault="007A3644" w:rsidP="007A3644">
      <w:pPr>
        <w:spacing w:after="0" w:line="240" w:lineRule="auto"/>
        <w:rPr>
          <w:sz w:val="24"/>
          <w:szCs w:val="24"/>
        </w:rPr>
      </w:pPr>
      <w:r w:rsidRPr="007A3644">
        <w:rPr>
          <w:sz w:val="24"/>
          <w:szCs w:val="24"/>
        </w:rPr>
        <w:t xml:space="preserve">MRI services are provided in Kenmore, Norwood, and Weymouth, Chelmsford, and Concord, The Chelmsford and Concord locations are serviced with a mobile MRI unit. </w:t>
      </w:r>
      <w:r w:rsidR="00675F23">
        <w:rPr>
          <w:sz w:val="24"/>
          <w:szCs w:val="24"/>
        </w:rPr>
        <w:t xml:space="preserve">Plymouth Clinic </w:t>
      </w:r>
      <w:r w:rsidRPr="007A3644">
        <w:rPr>
          <w:sz w:val="24"/>
          <w:szCs w:val="24"/>
        </w:rPr>
        <w:t>providers placed orders for 1,286 MRIs between April 1, 2021, and March 31, 2022, of which only 17.7% (227) occurred at an Atrius</w:t>
      </w:r>
      <w:r w:rsidR="00954166">
        <w:rPr>
          <w:sz w:val="24"/>
          <w:szCs w:val="24"/>
        </w:rPr>
        <w:t xml:space="preserve"> Health</w:t>
      </w:r>
      <w:r w:rsidRPr="007A3644">
        <w:rPr>
          <w:sz w:val="24"/>
          <w:szCs w:val="24"/>
        </w:rPr>
        <w:t xml:space="preserve"> location; while 82.3% (1,059) went to external locations.</w:t>
      </w:r>
      <w:r w:rsidR="00ED5078">
        <w:rPr>
          <w:sz w:val="24"/>
          <w:szCs w:val="24"/>
        </w:rPr>
        <w:t xml:space="preserve"> </w:t>
      </w:r>
      <w:r w:rsidRPr="007A3644">
        <w:rPr>
          <w:sz w:val="24"/>
          <w:szCs w:val="24"/>
        </w:rPr>
        <w:t xml:space="preserve">Ninety-five percent </w:t>
      </w:r>
      <w:r w:rsidR="00255E10">
        <w:rPr>
          <w:sz w:val="24"/>
          <w:szCs w:val="24"/>
        </w:rPr>
        <w:t xml:space="preserve">(95%) </w:t>
      </w:r>
      <w:r w:rsidRPr="007A3644">
        <w:rPr>
          <w:sz w:val="24"/>
          <w:szCs w:val="24"/>
        </w:rPr>
        <w:t xml:space="preserve">of MRI orders placed </w:t>
      </w:r>
      <w:r w:rsidR="00487421">
        <w:rPr>
          <w:sz w:val="24"/>
          <w:szCs w:val="24"/>
        </w:rPr>
        <w:t xml:space="preserve">by </w:t>
      </w:r>
      <w:r w:rsidRPr="007A3644">
        <w:rPr>
          <w:sz w:val="24"/>
          <w:szCs w:val="24"/>
        </w:rPr>
        <w:t xml:space="preserve">the Plymouth </w:t>
      </w:r>
      <w:r w:rsidR="007F3216">
        <w:rPr>
          <w:sz w:val="24"/>
          <w:szCs w:val="24"/>
        </w:rPr>
        <w:t xml:space="preserve">physicians </w:t>
      </w:r>
      <w:r w:rsidRPr="007A3644">
        <w:rPr>
          <w:sz w:val="24"/>
          <w:szCs w:val="24"/>
        </w:rPr>
        <w:t xml:space="preserve">were for: lumbar spine, brain, abdomen, cervical spine, upper extremity joint, lower extremity joint, magnetic resonance angiography of the head, magnetic resonance angiography of the neck, thoracic spine, and breast; these comprise the top 10 MRI exams orders. </w:t>
      </w:r>
      <w:r w:rsidR="00662346">
        <w:rPr>
          <w:sz w:val="24"/>
          <w:szCs w:val="24"/>
        </w:rPr>
        <w:t>T</w:t>
      </w:r>
      <w:r w:rsidRPr="007A3644">
        <w:rPr>
          <w:sz w:val="24"/>
          <w:szCs w:val="24"/>
        </w:rPr>
        <w:t>he closest Atrius Health location to Plymouth that offers MRI imaging services,</w:t>
      </w:r>
      <w:r w:rsidR="00B37B1F">
        <w:rPr>
          <w:sz w:val="24"/>
          <w:szCs w:val="24"/>
        </w:rPr>
        <w:t xml:space="preserve"> Weymouth, </w:t>
      </w:r>
      <w:r w:rsidR="00652ED5">
        <w:rPr>
          <w:sz w:val="24"/>
          <w:szCs w:val="24"/>
        </w:rPr>
        <w:t xml:space="preserve">is 30 minutes away and </w:t>
      </w:r>
      <w:r w:rsidR="00B37B1F" w:rsidRPr="007A3644">
        <w:rPr>
          <w:sz w:val="24"/>
          <w:szCs w:val="24"/>
        </w:rPr>
        <w:t>has</w:t>
      </w:r>
      <w:r w:rsidR="00B37B1F">
        <w:rPr>
          <w:sz w:val="24"/>
          <w:szCs w:val="24"/>
        </w:rPr>
        <w:t xml:space="preserve"> a wait time of </w:t>
      </w:r>
      <w:r w:rsidRPr="007A3644">
        <w:rPr>
          <w:sz w:val="24"/>
          <w:szCs w:val="24"/>
        </w:rPr>
        <w:t>nearly two weeks for routine MRI exams.</w:t>
      </w:r>
      <w:r w:rsidR="00487421">
        <w:rPr>
          <w:sz w:val="24"/>
          <w:szCs w:val="24"/>
        </w:rPr>
        <w:t xml:space="preserve"> </w:t>
      </w:r>
    </w:p>
    <w:p w14:paraId="5E9F2573" w14:textId="77777777" w:rsidR="007A3644" w:rsidRPr="007A3644" w:rsidRDefault="007A3644" w:rsidP="007A3644">
      <w:pPr>
        <w:spacing w:after="0" w:line="240" w:lineRule="auto"/>
        <w:rPr>
          <w:sz w:val="24"/>
          <w:szCs w:val="24"/>
        </w:rPr>
      </w:pPr>
    </w:p>
    <w:p w14:paraId="6E999D66" w14:textId="1B287517" w:rsidR="007A3644" w:rsidRPr="007A3644" w:rsidRDefault="007A3644" w:rsidP="007A3644">
      <w:pPr>
        <w:spacing w:after="0" w:line="240" w:lineRule="auto"/>
        <w:rPr>
          <w:sz w:val="24"/>
          <w:szCs w:val="24"/>
        </w:rPr>
      </w:pPr>
      <w:r w:rsidRPr="007A3644">
        <w:rPr>
          <w:sz w:val="24"/>
          <w:szCs w:val="24"/>
        </w:rPr>
        <w:t xml:space="preserve">Atrius Health currently </w:t>
      </w:r>
      <w:r w:rsidR="00556316">
        <w:rPr>
          <w:sz w:val="24"/>
          <w:szCs w:val="24"/>
        </w:rPr>
        <w:t xml:space="preserve">leases </w:t>
      </w:r>
      <w:r w:rsidRPr="007A3644">
        <w:rPr>
          <w:sz w:val="24"/>
          <w:szCs w:val="24"/>
        </w:rPr>
        <w:t>a mobile MRI unit on a monthly bas</w:t>
      </w:r>
      <w:r w:rsidR="00556316">
        <w:rPr>
          <w:sz w:val="24"/>
          <w:szCs w:val="24"/>
        </w:rPr>
        <w:t>i</w:t>
      </w:r>
      <w:r w:rsidRPr="007A3644">
        <w:rPr>
          <w:sz w:val="24"/>
          <w:szCs w:val="24"/>
        </w:rPr>
        <w:t xml:space="preserve">s. The </w:t>
      </w:r>
      <w:r w:rsidR="004E6657">
        <w:rPr>
          <w:sz w:val="24"/>
          <w:szCs w:val="24"/>
        </w:rPr>
        <w:t>u</w:t>
      </w:r>
      <w:r w:rsidRPr="007A3644">
        <w:rPr>
          <w:sz w:val="24"/>
          <w:szCs w:val="24"/>
        </w:rPr>
        <w:t xml:space="preserve">nit provides services at its Chelmsford location, 3 days </w:t>
      </w:r>
      <w:bookmarkStart w:id="12" w:name="_BPDCI_26"/>
      <w:r w:rsidRPr="007A3644">
        <w:rPr>
          <w:sz w:val="24"/>
          <w:szCs w:val="24"/>
        </w:rPr>
        <w:t xml:space="preserve">a week </w:t>
      </w:r>
      <w:bookmarkEnd w:id="12"/>
      <w:r w:rsidRPr="007A3644">
        <w:rPr>
          <w:sz w:val="24"/>
          <w:szCs w:val="24"/>
        </w:rPr>
        <w:t xml:space="preserve">and at Concord, 2 days </w:t>
      </w:r>
      <w:bookmarkStart w:id="13" w:name="_BPDCD_27"/>
      <w:r w:rsidRPr="007A3644">
        <w:rPr>
          <w:sz w:val="24"/>
          <w:szCs w:val="24"/>
        </w:rPr>
        <w:t>a week</w:t>
      </w:r>
      <w:bookmarkEnd w:id="13"/>
      <w:r w:rsidRPr="007A3644">
        <w:rPr>
          <w:sz w:val="24"/>
          <w:szCs w:val="24"/>
        </w:rPr>
        <w:t xml:space="preserve">. </w:t>
      </w:r>
      <w:r w:rsidR="00487421">
        <w:rPr>
          <w:sz w:val="24"/>
          <w:szCs w:val="24"/>
        </w:rPr>
        <w:t>Under this existing lease, t</w:t>
      </w:r>
      <w:r w:rsidRPr="007A3644">
        <w:rPr>
          <w:sz w:val="24"/>
          <w:szCs w:val="24"/>
        </w:rPr>
        <w:t xml:space="preserve">he Applicant seeks to add </w:t>
      </w:r>
      <w:bookmarkStart w:id="14" w:name="_BPDCD_28"/>
      <w:r w:rsidRPr="007A3644">
        <w:rPr>
          <w:sz w:val="24"/>
          <w:szCs w:val="24"/>
        </w:rPr>
        <w:t xml:space="preserve">(2) </w:t>
      </w:r>
      <w:bookmarkEnd w:id="14"/>
      <w:r w:rsidRPr="007A3644">
        <w:rPr>
          <w:sz w:val="24"/>
          <w:szCs w:val="24"/>
        </w:rPr>
        <w:t xml:space="preserve">days of service at the </w:t>
      </w:r>
      <w:r w:rsidR="007F3216">
        <w:rPr>
          <w:sz w:val="24"/>
          <w:szCs w:val="24"/>
        </w:rPr>
        <w:t>Plymouth Clinic</w:t>
      </w:r>
      <w:r w:rsidR="00487421">
        <w:rPr>
          <w:sz w:val="24"/>
          <w:szCs w:val="24"/>
        </w:rPr>
        <w:t xml:space="preserve">. </w:t>
      </w:r>
      <w:r w:rsidRPr="007A3644">
        <w:rPr>
          <w:sz w:val="24"/>
          <w:szCs w:val="24"/>
        </w:rPr>
        <w:t>It anticipates volumes of 9-10 exams each day. By leveraging this equipment seven days</w:t>
      </w:r>
      <w:bookmarkStart w:id="15" w:name="_BPDCD_29"/>
      <w:r w:rsidRPr="007A3644">
        <w:rPr>
          <w:sz w:val="24"/>
          <w:szCs w:val="24"/>
        </w:rPr>
        <w:t xml:space="preserve"> per </w:t>
      </w:r>
      <w:bookmarkEnd w:id="15"/>
      <w:r w:rsidRPr="007A3644">
        <w:rPr>
          <w:sz w:val="24"/>
          <w:szCs w:val="24"/>
        </w:rPr>
        <w:t xml:space="preserve">week, </w:t>
      </w:r>
      <w:r w:rsidR="00675F23">
        <w:rPr>
          <w:sz w:val="24"/>
          <w:szCs w:val="24"/>
        </w:rPr>
        <w:t xml:space="preserve">travel and wait-times will be </w:t>
      </w:r>
      <w:r w:rsidR="00697A62">
        <w:rPr>
          <w:sz w:val="24"/>
          <w:szCs w:val="24"/>
        </w:rPr>
        <w:t>reduce</w:t>
      </w:r>
      <w:r w:rsidR="00675F23">
        <w:rPr>
          <w:sz w:val="24"/>
          <w:szCs w:val="24"/>
        </w:rPr>
        <w:t>d</w:t>
      </w:r>
      <w:r w:rsidR="00697A62">
        <w:rPr>
          <w:sz w:val="24"/>
          <w:szCs w:val="24"/>
        </w:rPr>
        <w:t xml:space="preserve">, </w:t>
      </w:r>
      <w:r w:rsidRPr="007A3644">
        <w:rPr>
          <w:sz w:val="24"/>
          <w:szCs w:val="24"/>
        </w:rPr>
        <w:t xml:space="preserve">with little additional incremental cost to the </w:t>
      </w:r>
      <w:r w:rsidR="00697A62">
        <w:rPr>
          <w:sz w:val="24"/>
          <w:szCs w:val="24"/>
        </w:rPr>
        <w:t xml:space="preserve">patients or the Atrius system. </w:t>
      </w:r>
      <w:r w:rsidRPr="007A3644">
        <w:rPr>
          <w:sz w:val="24"/>
          <w:szCs w:val="24"/>
        </w:rPr>
        <w:t xml:space="preserve"> </w:t>
      </w:r>
    </w:p>
    <w:p w14:paraId="16385302" w14:textId="77777777" w:rsidR="007A3644" w:rsidRPr="007A3644" w:rsidRDefault="007A3644" w:rsidP="007A3644">
      <w:pPr>
        <w:spacing w:after="0" w:line="240" w:lineRule="auto"/>
        <w:rPr>
          <w:sz w:val="24"/>
          <w:szCs w:val="24"/>
        </w:rPr>
      </w:pPr>
    </w:p>
    <w:p w14:paraId="09D53E6F" w14:textId="7DFD71BF" w:rsidR="007A3644" w:rsidRDefault="007A3644" w:rsidP="007A3644">
      <w:pPr>
        <w:spacing w:after="0" w:line="240" w:lineRule="auto"/>
        <w:rPr>
          <w:b/>
          <w:sz w:val="24"/>
          <w:szCs w:val="24"/>
        </w:rPr>
      </w:pPr>
      <w:r w:rsidRPr="007A3644">
        <w:rPr>
          <w:b/>
          <w:sz w:val="24"/>
          <w:szCs w:val="24"/>
        </w:rPr>
        <w:t xml:space="preserve">CT </w:t>
      </w:r>
    </w:p>
    <w:p w14:paraId="7F019DD3" w14:textId="77777777" w:rsidR="007A3644" w:rsidRPr="007A3644" w:rsidRDefault="007A3644" w:rsidP="007A3644">
      <w:pPr>
        <w:spacing w:after="0" w:line="240" w:lineRule="auto"/>
        <w:rPr>
          <w:b/>
          <w:sz w:val="24"/>
          <w:szCs w:val="24"/>
        </w:rPr>
      </w:pPr>
    </w:p>
    <w:p w14:paraId="3931F2CF" w14:textId="025AA619" w:rsidR="007A3644" w:rsidRDefault="007A3644" w:rsidP="007A3644">
      <w:pPr>
        <w:spacing w:after="0" w:line="240" w:lineRule="auto"/>
        <w:rPr>
          <w:sz w:val="24"/>
          <w:szCs w:val="24"/>
        </w:rPr>
      </w:pPr>
      <w:r w:rsidRPr="007A3644">
        <w:rPr>
          <w:sz w:val="24"/>
          <w:szCs w:val="24"/>
        </w:rPr>
        <w:t>CT services are provided at Kenmore, Norwood, and Weymouth.</w:t>
      </w:r>
      <w:r w:rsidR="00ED5078">
        <w:rPr>
          <w:sz w:val="24"/>
          <w:szCs w:val="24"/>
        </w:rPr>
        <w:t xml:space="preserve"> </w:t>
      </w:r>
      <w:r w:rsidR="00675F23" w:rsidRPr="007A3644">
        <w:rPr>
          <w:sz w:val="24"/>
          <w:szCs w:val="24"/>
        </w:rPr>
        <w:t>P</w:t>
      </w:r>
      <w:r w:rsidR="00675F23">
        <w:rPr>
          <w:sz w:val="24"/>
          <w:szCs w:val="24"/>
        </w:rPr>
        <w:t xml:space="preserve">lymouth Clinic </w:t>
      </w:r>
      <w:r w:rsidRPr="007A3644">
        <w:rPr>
          <w:sz w:val="24"/>
          <w:szCs w:val="24"/>
        </w:rPr>
        <w:t xml:space="preserve">providers placed orders for 2,635 CTs between April 1, 2021, and March 31, 2022, of which only 8.1% (214) occurred at an Atrius </w:t>
      </w:r>
      <w:r w:rsidR="00954166">
        <w:rPr>
          <w:sz w:val="24"/>
          <w:szCs w:val="24"/>
        </w:rPr>
        <w:t xml:space="preserve">Health </w:t>
      </w:r>
      <w:r w:rsidRPr="007A3644">
        <w:rPr>
          <w:sz w:val="24"/>
          <w:szCs w:val="24"/>
        </w:rPr>
        <w:t>location; while 81.6% (2151) went to external locations</w:t>
      </w:r>
      <w:r w:rsidR="00603408">
        <w:rPr>
          <w:sz w:val="24"/>
          <w:szCs w:val="24"/>
        </w:rPr>
        <w:t xml:space="preserve"> despite there being timely</w:t>
      </w:r>
      <w:r w:rsidR="00675F23">
        <w:rPr>
          <w:sz w:val="24"/>
          <w:szCs w:val="24"/>
        </w:rPr>
        <w:t>,</w:t>
      </w:r>
      <w:r w:rsidR="00603408">
        <w:rPr>
          <w:sz w:val="24"/>
          <w:szCs w:val="24"/>
        </w:rPr>
        <w:t xml:space="preserve"> but not proximate</w:t>
      </w:r>
      <w:r w:rsidR="004E6657">
        <w:rPr>
          <w:sz w:val="24"/>
          <w:szCs w:val="24"/>
        </w:rPr>
        <w:t>,</w:t>
      </w:r>
      <w:r w:rsidR="00603408">
        <w:rPr>
          <w:sz w:val="24"/>
          <w:szCs w:val="24"/>
        </w:rPr>
        <w:t xml:space="preserve"> availability at existing Atrius CT facilities. </w:t>
      </w:r>
      <w:r w:rsidRPr="007A3644">
        <w:rPr>
          <w:sz w:val="24"/>
          <w:szCs w:val="24"/>
        </w:rPr>
        <w:t>Ninety-two percent</w:t>
      </w:r>
      <w:r w:rsidR="00255E10">
        <w:rPr>
          <w:sz w:val="24"/>
          <w:szCs w:val="24"/>
        </w:rPr>
        <w:t xml:space="preserve"> (</w:t>
      </w:r>
      <w:r w:rsidR="00A810E8">
        <w:rPr>
          <w:sz w:val="24"/>
          <w:szCs w:val="24"/>
        </w:rPr>
        <w:t>92%</w:t>
      </w:r>
      <w:r w:rsidRPr="007A3644">
        <w:rPr>
          <w:sz w:val="24"/>
          <w:szCs w:val="24"/>
        </w:rPr>
        <w:t xml:space="preserve"> </w:t>
      </w:r>
      <w:r w:rsidR="00255E10">
        <w:rPr>
          <w:sz w:val="24"/>
          <w:szCs w:val="24"/>
        </w:rPr>
        <w:t xml:space="preserve">) </w:t>
      </w:r>
      <w:r w:rsidRPr="007A3644">
        <w:rPr>
          <w:sz w:val="24"/>
          <w:szCs w:val="24"/>
        </w:rPr>
        <w:t>of the total CT orders for these patients were abdomen/pelvis, chest, chest for lung cancer screening (LDCT), brain, and abdomen; these comprise the top five types of CT exams ordered.</w:t>
      </w:r>
      <w:r w:rsidR="00603408">
        <w:rPr>
          <w:sz w:val="24"/>
          <w:szCs w:val="24"/>
        </w:rPr>
        <w:t xml:space="preserve"> </w:t>
      </w:r>
      <w:r w:rsidRPr="007A3644">
        <w:rPr>
          <w:sz w:val="24"/>
          <w:szCs w:val="24"/>
        </w:rPr>
        <w:t xml:space="preserve">CT services will be provided by a fixed (installed) CT Unit where it anticipates </w:t>
      </w:r>
      <w:r w:rsidR="00777796">
        <w:rPr>
          <w:sz w:val="24"/>
          <w:szCs w:val="24"/>
        </w:rPr>
        <w:t xml:space="preserve">initially </w:t>
      </w:r>
      <w:r w:rsidRPr="007A3644">
        <w:rPr>
          <w:sz w:val="24"/>
          <w:szCs w:val="24"/>
        </w:rPr>
        <w:t>providing CTs 5 days per week</w:t>
      </w:r>
      <w:r w:rsidR="003F3315">
        <w:rPr>
          <w:sz w:val="24"/>
          <w:szCs w:val="24"/>
        </w:rPr>
        <w:t xml:space="preserve"> ramping up from 6 to 12 per day. (</w:t>
      </w:r>
      <w:r w:rsidR="00B10200">
        <w:rPr>
          <w:sz w:val="24"/>
          <w:szCs w:val="24"/>
        </w:rPr>
        <w:t>S</w:t>
      </w:r>
      <w:r w:rsidR="003F3315">
        <w:rPr>
          <w:sz w:val="24"/>
          <w:szCs w:val="24"/>
        </w:rPr>
        <w:t>ee projections below</w:t>
      </w:r>
      <w:r w:rsidR="00B10200">
        <w:rPr>
          <w:sz w:val="24"/>
          <w:szCs w:val="24"/>
        </w:rPr>
        <w:t>.)</w:t>
      </w:r>
    </w:p>
    <w:p w14:paraId="260FCDCA" w14:textId="77777777" w:rsidR="007A3644" w:rsidRPr="007A3644" w:rsidRDefault="007A3644" w:rsidP="007A3644">
      <w:pPr>
        <w:spacing w:after="0" w:line="240" w:lineRule="auto"/>
        <w:rPr>
          <w:sz w:val="24"/>
          <w:szCs w:val="24"/>
        </w:rPr>
      </w:pPr>
    </w:p>
    <w:p w14:paraId="4C3CBE79" w14:textId="5F106346" w:rsidR="007A3644" w:rsidRDefault="007A3644" w:rsidP="007A3644">
      <w:pPr>
        <w:spacing w:after="0" w:line="240" w:lineRule="auto"/>
        <w:rPr>
          <w:sz w:val="24"/>
          <w:szCs w:val="24"/>
        </w:rPr>
      </w:pPr>
      <w:r w:rsidRPr="007A3644">
        <w:rPr>
          <w:sz w:val="24"/>
          <w:szCs w:val="24"/>
        </w:rPr>
        <w:t xml:space="preserve">The Applicant notes that these advanced imaging services will be used primarily by Plymouth </w:t>
      </w:r>
      <w:r w:rsidR="00697A62">
        <w:rPr>
          <w:sz w:val="24"/>
          <w:szCs w:val="24"/>
        </w:rPr>
        <w:t xml:space="preserve">Clinic </w:t>
      </w:r>
      <w:r w:rsidRPr="007A3644">
        <w:rPr>
          <w:sz w:val="24"/>
          <w:szCs w:val="24"/>
        </w:rPr>
        <w:t xml:space="preserve">patients, and that ensuring access within the Atrius </w:t>
      </w:r>
      <w:r w:rsidR="00954166">
        <w:rPr>
          <w:sz w:val="24"/>
          <w:szCs w:val="24"/>
        </w:rPr>
        <w:t>Health s</w:t>
      </w:r>
      <w:r w:rsidRPr="007A3644">
        <w:rPr>
          <w:sz w:val="24"/>
          <w:szCs w:val="24"/>
        </w:rPr>
        <w:t xml:space="preserve">ystem at the Plymouth </w:t>
      </w:r>
      <w:r w:rsidR="00675F23">
        <w:rPr>
          <w:sz w:val="24"/>
          <w:szCs w:val="24"/>
        </w:rPr>
        <w:t>Clinic</w:t>
      </w:r>
      <w:r w:rsidRPr="007A3644">
        <w:rPr>
          <w:sz w:val="24"/>
          <w:szCs w:val="24"/>
        </w:rPr>
        <w:t xml:space="preserve">, will facilitate continuity of care for </w:t>
      </w:r>
      <w:r w:rsidR="00697A62">
        <w:rPr>
          <w:sz w:val="24"/>
          <w:szCs w:val="24"/>
        </w:rPr>
        <w:t xml:space="preserve">its </w:t>
      </w:r>
      <w:r w:rsidRPr="007A3644">
        <w:rPr>
          <w:sz w:val="24"/>
          <w:szCs w:val="24"/>
        </w:rPr>
        <w:t xml:space="preserve">patients. As discussed further in Factor 1(b) and (e), having these options </w:t>
      </w:r>
      <w:r w:rsidR="00697A62">
        <w:rPr>
          <w:sz w:val="24"/>
          <w:szCs w:val="24"/>
        </w:rPr>
        <w:t xml:space="preserve">within the </w:t>
      </w:r>
      <w:r w:rsidR="00603408">
        <w:rPr>
          <w:sz w:val="24"/>
          <w:szCs w:val="24"/>
        </w:rPr>
        <w:t xml:space="preserve">Atrius </w:t>
      </w:r>
      <w:r w:rsidR="00697A62">
        <w:rPr>
          <w:sz w:val="24"/>
          <w:szCs w:val="24"/>
        </w:rPr>
        <w:t xml:space="preserve">system where approximately 65% of patients are in ACO/APM risk contracts, </w:t>
      </w:r>
      <w:r w:rsidRPr="007A3644">
        <w:rPr>
          <w:sz w:val="24"/>
          <w:szCs w:val="24"/>
        </w:rPr>
        <w:t>ensures the Applicant’s ability to cost effectively deliver</w:t>
      </w:r>
      <w:r w:rsidR="00603408">
        <w:rPr>
          <w:sz w:val="24"/>
          <w:szCs w:val="24"/>
        </w:rPr>
        <w:t xml:space="preserve"> care</w:t>
      </w:r>
      <w:r w:rsidRPr="007A3644">
        <w:rPr>
          <w:sz w:val="24"/>
          <w:szCs w:val="24"/>
        </w:rPr>
        <w:t xml:space="preserve">. </w:t>
      </w:r>
    </w:p>
    <w:p w14:paraId="1E37C2BA" w14:textId="77777777" w:rsidR="007A3644" w:rsidRPr="007A3644" w:rsidRDefault="007A3644" w:rsidP="007A3644">
      <w:pPr>
        <w:spacing w:after="0" w:line="240" w:lineRule="auto"/>
        <w:rPr>
          <w:sz w:val="24"/>
          <w:szCs w:val="24"/>
        </w:rPr>
      </w:pPr>
    </w:p>
    <w:p w14:paraId="5164088A" w14:textId="355C500F" w:rsidR="007A3644" w:rsidRPr="007A3644" w:rsidRDefault="007A3644" w:rsidP="006B605A">
      <w:pPr>
        <w:pStyle w:val="ListParagraph"/>
        <w:numPr>
          <w:ilvl w:val="0"/>
          <w:numId w:val="16"/>
        </w:numPr>
        <w:spacing w:after="0" w:line="240" w:lineRule="auto"/>
        <w:rPr>
          <w:sz w:val="24"/>
          <w:szCs w:val="24"/>
        </w:rPr>
      </w:pPr>
      <w:r w:rsidRPr="007A3644">
        <w:rPr>
          <w:b/>
          <w:bCs/>
          <w:sz w:val="24"/>
          <w:szCs w:val="24"/>
        </w:rPr>
        <w:t>Need to Ensure Access for the Growing Aging</w:t>
      </w:r>
      <w:r w:rsidRPr="007A3644">
        <w:rPr>
          <w:sz w:val="24"/>
          <w:szCs w:val="24"/>
        </w:rPr>
        <w:t xml:space="preserve"> </w:t>
      </w:r>
      <w:r w:rsidRPr="007A3644">
        <w:rPr>
          <w:b/>
          <w:bCs/>
          <w:sz w:val="24"/>
          <w:szCs w:val="24"/>
        </w:rPr>
        <w:t>Population</w:t>
      </w:r>
    </w:p>
    <w:p w14:paraId="05A87525" w14:textId="77777777" w:rsidR="007A3644" w:rsidRPr="007A3644" w:rsidRDefault="007A3644" w:rsidP="007A3644">
      <w:pPr>
        <w:spacing w:after="0" w:line="240" w:lineRule="auto"/>
        <w:rPr>
          <w:b/>
          <w:bCs/>
          <w:sz w:val="24"/>
          <w:szCs w:val="24"/>
        </w:rPr>
      </w:pPr>
    </w:p>
    <w:p w14:paraId="30186FC1" w14:textId="77777777" w:rsidR="00FB0FEA" w:rsidRPr="00FB0FEA" w:rsidRDefault="007A3644" w:rsidP="00FB0FEA">
      <w:pPr>
        <w:spacing w:after="0" w:line="240" w:lineRule="auto"/>
        <w:rPr>
          <w:sz w:val="24"/>
          <w:szCs w:val="24"/>
        </w:rPr>
      </w:pPr>
      <w:r w:rsidRPr="007A3644">
        <w:rPr>
          <w:sz w:val="24"/>
          <w:szCs w:val="24"/>
        </w:rPr>
        <w:t xml:space="preserve">Including CT and mobile MRI at the Plymouth </w:t>
      </w:r>
      <w:r w:rsidR="00697A62">
        <w:rPr>
          <w:sz w:val="24"/>
          <w:szCs w:val="24"/>
        </w:rPr>
        <w:t xml:space="preserve">Clinic </w:t>
      </w:r>
      <w:r w:rsidRPr="007A3644">
        <w:rPr>
          <w:sz w:val="24"/>
          <w:szCs w:val="24"/>
        </w:rPr>
        <w:t xml:space="preserve">will ensure that </w:t>
      </w:r>
      <w:r w:rsidR="00675F23">
        <w:rPr>
          <w:sz w:val="24"/>
          <w:szCs w:val="24"/>
        </w:rPr>
        <w:t>older</w:t>
      </w:r>
      <w:r w:rsidRPr="007A3644">
        <w:rPr>
          <w:sz w:val="24"/>
          <w:szCs w:val="24"/>
        </w:rPr>
        <w:t xml:space="preserve"> </w:t>
      </w:r>
      <w:r w:rsidR="00675F23">
        <w:rPr>
          <w:sz w:val="24"/>
          <w:szCs w:val="24"/>
        </w:rPr>
        <w:t xml:space="preserve">adult </w:t>
      </w:r>
      <w:r w:rsidRPr="007A3644">
        <w:rPr>
          <w:sz w:val="24"/>
          <w:szCs w:val="24"/>
        </w:rPr>
        <w:t>patients are able to conveniently and efficiently access these diagnostic tools. MRI and CT are imaging modalities that can diagnose and stage diseases that have a higher prevalence of conditions in older</w:t>
      </w:r>
      <w:r w:rsidR="00675F23">
        <w:rPr>
          <w:sz w:val="24"/>
          <w:szCs w:val="24"/>
        </w:rPr>
        <w:t xml:space="preserve"> adults</w:t>
      </w:r>
      <w:r w:rsidRPr="007A3644">
        <w:rPr>
          <w:sz w:val="24"/>
          <w:szCs w:val="24"/>
        </w:rPr>
        <w:t xml:space="preserve">. </w:t>
      </w:r>
      <w:r w:rsidR="001938CA">
        <w:rPr>
          <w:sz w:val="24"/>
          <w:szCs w:val="24"/>
        </w:rPr>
        <w:t xml:space="preserve">These conditions are among the most frequently ordered </w:t>
      </w:r>
      <w:r w:rsidR="00FB0FEA">
        <w:rPr>
          <w:sz w:val="24"/>
          <w:szCs w:val="24"/>
        </w:rPr>
        <w:t xml:space="preserve">types of </w:t>
      </w:r>
      <w:r w:rsidR="001938CA">
        <w:rPr>
          <w:sz w:val="24"/>
          <w:szCs w:val="24"/>
        </w:rPr>
        <w:t>scans</w:t>
      </w:r>
      <w:r w:rsidR="00FB0FEA">
        <w:rPr>
          <w:sz w:val="24"/>
          <w:szCs w:val="24"/>
        </w:rPr>
        <w:t xml:space="preserve"> noted above.</w:t>
      </w:r>
      <w:r w:rsidR="001938CA">
        <w:rPr>
          <w:sz w:val="24"/>
          <w:szCs w:val="24"/>
        </w:rPr>
        <w:t xml:space="preserve"> </w:t>
      </w:r>
      <w:r w:rsidRPr="007A3644">
        <w:rPr>
          <w:sz w:val="24"/>
          <w:szCs w:val="24"/>
        </w:rPr>
        <w:t>Since the 65 and over population comprises nearly a quarter of Atrius</w:t>
      </w:r>
      <w:r w:rsidR="00954166">
        <w:rPr>
          <w:sz w:val="24"/>
          <w:szCs w:val="24"/>
        </w:rPr>
        <w:t xml:space="preserve"> Health</w:t>
      </w:r>
      <w:r w:rsidRPr="007A3644">
        <w:rPr>
          <w:sz w:val="24"/>
          <w:szCs w:val="24"/>
        </w:rPr>
        <w:t>’</w:t>
      </w:r>
      <w:r w:rsidR="00954166">
        <w:rPr>
          <w:sz w:val="24"/>
          <w:szCs w:val="24"/>
        </w:rPr>
        <w:t>s</w:t>
      </w:r>
      <w:r w:rsidRPr="007A3644">
        <w:rPr>
          <w:sz w:val="24"/>
          <w:szCs w:val="24"/>
        </w:rPr>
        <w:t xml:space="preserve"> Patient Panel, </w:t>
      </w:r>
      <w:r w:rsidR="00675F23">
        <w:rPr>
          <w:sz w:val="24"/>
          <w:szCs w:val="24"/>
        </w:rPr>
        <w:t>age related</w:t>
      </w:r>
      <w:r w:rsidRPr="007A3644">
        <w:rPr>
          <w:sz w:val="24"/>
          <w:szCs w:val="24"/>
        </w:rPr>
        <w:t xml:space="preserve"> conditions are prevalent among </w:t>
      </w:r>
      <w:r w:rsidR="00954166">
        <w:rPr>
          <w:sz w:val="24"/>
          <w:szCs w:val="24"/>
        </w:rPr>
        <w:t xml:space="preserve">its </w:t>
      </w:r>
      <w:r w:rsidRPr="007A3644">
        <w:rPr>
          <w:sz w:val="24"/>
          <w:szCs w:val="24"/>
        </w:rPr>
        <w:t>patients, and as the population ages, there will be increased need for advanced imaging to diagnose and manage diseases in the most expeditious, cost-effective manner.</w:t>
      </w:r>
      <w:r w:rsidR="00FB0FEA">
        <w:rPr>
          <w:sz w:val="24"/>
          <w:szCs w:val="24"/>
        </w:rPr>
        <w:t xml:space="preserve"> </w:t>
      </w:r>
      <w:r w:rsidR="00FB0FEA" w:rsidRPr="00FB0FEA">
        <w:rPr>
          <w:sz w:val="24"/>
          <w:szCs w:val="24"/>
        </w:rPr>
        <w:t>Patients having any of these diseases benefit from early diagnosis and treatment.</w:t>
      </w:r>
    </w:p>
    <w:p w14:paraId="59351238" w14:textId="77777777" w:rsidR="007A3644" w:rsidRPr="007A3644" w:rsidRDefault="007A3644" w:rsidP="007A3644">
      <w:pPr>
        <w:spacing w:after="0" w:line="240" w:lineRule="auto"/>
        <w:rPr>
          <w:sz w:val="24"/>
          <w:szCs w:val="24"/>
        </w:rPr>
      </w:pPr>
    </w:p>
    <w:p w14:paraId="0A55A069" w14:textId="6FA1E577" w:rsidR="005A7DD8" w:rsidRDefault="007A3644" w:rsidP="007A3644">
      <w:pPr>
        <w:spacing w:after="0" w:line="240" w:lineRule="auto"/>
        <w:rPr>
          <w:sz w:val="24"/>
          <w:szCs w:val="24"/>
        </w:rPr>
      </w:pPr>
      <w:r w:rsidRPr="007A3644">
        <w:rPr>
          <w:sz w:val="24"/>
          <w:szCs w:val="24"/>
        </w:rPr>
        <w:t>In the service area of the Proposed Project, the southeast region of Massachusetts, the 65+ population is expected to increase to 24% of the region’s population by 2035 according to the Donahue Institute’s Long-term Population Projections for Massachusetts Regions and Municipalities.</w:t>
      </w:r>
      <w:r w:rsidRPr="007A3644">
        <w:rPr>
          <w:sz w:val="24"/>
          <w:szCs w:val="24"/>
          <w:vertAlign w:val="superscript"/>
        </w:rPr>
        <w:endnoteReference w:id="2"/>
      </w:r>
    </w:p>
    <w:p w14:paraId="6410B89E" w14:textId="77777777" w:rsidR="005A7DD8" w:rsidRDefault="005A7DD8" w:rsidP="007A3644">
      <w:pPr>
        <w:spacing w:after="0" w:line="240" w:lineRule="auto"/>
        <w:rPr>
          <w:sz w:val="24"/>
          <w:szCs w:val="24"/>
        </w:rPr>
      </w:pPr>
    </w:p>
    <w:p w14:paraId="5989F60F" w14:textId="1E449435" w:rsidR="007A3644" w:rsidRDefault="007A3644" w:rsidP="007A3644">
      <w:pPr>
        <w:spacing w:after="0" w:line="240" w:lineRule="auto"/>
        <w:rPr>
          <w:sz w:val="24"/>
          <w:szCs w:val="24"/>
        </w:rPr>
      </w:pPr>
      <w:r w:rsidRPr="007A3644">
        <w:rPr>
          <w:sz w:val="24"/>
          <w:szCs w:val="24"/>
        </w:rPr>
        <w:t xml:space="preserve">The growth of the </w:t>
      </w:r>
      <w:r w:rsidR="005A7DD8">
        <w:rPr>
          <w:sz w:val="24"/>
          <w:szCs w:val="24"/>
        </w:rPr>
        <w:t xml:space="preserve">region’s </w:t>
      </w:r>
      <w:r w:rsidRPr="007A3644">
        <w:rPr>
          <w:sz w:val="24"/>
          <w:szCs w:val="24"/>
        </w:rPr>
        <w:t>65+ population supports ensuring sufficient capacity and access to MRI and CT services.</w:t>
      </w:r>
      <w:r w:rsidR="005A7DD8">
        <w:rPr>
          <w:sz w:val="24"/>
          <w:szCs w:val="24"/>
        </w:rPr>
        <w:t xml:space="preserve"> </w:t>
      </w:r>
      <w:r w:rsidRPr="007A3644">
        <w:rPr>
          <w:sz w:val="24"/>
          <w:szCs w:val="24"/>
        </w:rPr>
        <w:t xml:space="preserve">A report by the UMass Donahue Institute in 2018 noted an overall 4.6% increase between 2015 and 2018 in the </w:t>
      </w:r>
      <w:r w:rsidR="005A7DD8">
        <w:rPr>
          <w:sz w:val="24"/>
          <w:szCs w:val="24"/>
        </w:rPr>
        <w:t xml:space="preserve">total </w:t>
      </w:r>
      <w:r w:rsidRPr="007A3644">
        <w:rPr>
          <w:sz w:val="24"/>
          <w:szCs w:val="24"/>
        </w:rPr>
        <w:t xml:space="preserve">population in Plymouth, MA, where four of the </w:t>
      </w:r>
      <w:r w:rsidR="005A7DD8">
        <w:rPr>
          <w:sz w:val="24"/>
          <w:szCs w:val="24"/>
        </w:rPr>
        <w:t xml:space="preserve">Plymouth </w:t>
      </w:r>
      <w:r w:rsidRPr="007A3644">
        <w:rPr>
          <w:sz w:val="24"/>
          <w:szCs w:val="24"/>
        </w:rPr>
        <w:t>practices are located.</w:t>
      </w:r>
      <w:r w:rsidRPr="007A3644">
        <w:rPr>
          <w:sz w:val="24"/>
          <w:szCs w:val="24"/>
          <w:vertAlign w:val="superscript"/>
        </w:rPr>
        <w:endnoteReference w:id="3"/>
      </w:r>
      <w:r w:rsidRPr="007A3644">
        <w:rPr>
          <w:sz w:val="24"/>
          <w:szCs w:val="24"/>
        </w:rPr>
        <w:t xml:space="preserve"> </w:t>
      </w:r>
      <w:r w:rsidR="005A7DD8">
        <w:rPr>
          <w:sz w:val="24"/>
          <w:szCs w:val="24"/>
        </w:rPr>
        <w:t>However</w:t>
      </w:r>
      <w:r w:rsidRPr="007A3644">
        <w:rPr>
          <w:sz w:val="24"/>
          <w:szCs w:val="24"/>
        </w:rPr>
        <w:t xml:space="preserve">, the </w:t>
      </w:r>
      <w:r w:rsidR="005A7DD8">
        <w:rPr>
          <w:sz w:val="24"/>
          <w:szCs w:val="24"/>
        </w:rPr>
        <w:t xml:space="preserve">cohort </w:t>
      </w:r>
      <w:r w:rsidRPr="007A3644">
        <w:rPr>
          <w:sz w:val="24"/>
          <w:szCs w:val="24"/>
        </w:rPr>
        <w:t>aged 65 and older is expected to increase by 18%,</w:t>
      </w:r>
      <w:r w:rsidRPr="007A3644">
        <w:rPr>
          <w:sz w:val="24"/>
          <w:szCs w:val="24"/>
          <w:vertAlign w:val="superscript"/>
        </w:rPr>
        <w:endnoteReference w:id="4"/>
      </w:r>
      <w:r w:rsidRPr="007A3644">
        <w:rPr>
          <w:sz w:val="24"/>
          <w:szCs w:val="24"/>
        </w:rPr>
        <w:t xml:space="preserve"> while the population aged 0-64 in Plymouth is expected to decrease by 2% between 2020 and 2025. </w:t>
      </w:r>
    </w:p>
    <w:p w14:paraId="323ECC6D" w14:textId="77777777" w:rsidR="007A3644" w:rsidRPr="007A3644" w:rsidRDefault="007A3644" w:rsidP="007A3644">
      <w:pPr>
        <w:spacing w:after="0" w:line="240" w:lineRule="auto"/>
        <w:rPr>
          <w:sz w:val="24"/>
          <w:szCs w:val="24"/>
        </w:rPr>
      </w:pPr>
    </w:p>
    <w:p w14:paraId="1CB19064" w14:textId="1866E2FB" w:rsidR="007A3644" w:rsidRDefault="007A3644" w:rsidP="006B605A">
      <w:pPr>
        <w:numPr>
          <w:ilvl w:val="0"/>
          <w:numId w:val="16"/>
        </w:numPr>
        <w:spacing w:after="0" w:line="240" w:lineRule="auto"/>
        <w:rPr>
          <w:b/>
          <w:bCs/>
          <w:sz w:val="24"/>
          <w:szCs w:val="24"/>
        </w:rPr>
      </w:pPr>
      <w:r w:rsidRPr="007A3644">
        <w:rPr>
          <w:b/>
          <w:bCs/>
          <w:sz w:val="24"/>
          <w:szCs w:val="24"/>
        </w:rPr>
        <w:t xml:space="preserve">Increasing Prevalence of Diseases Requiring </w:t>
      </w:r>
      <w:r>
        <w:rPr>
          <w:b/>
          <w:bCs/>
          <w:sz w:val="24"/>
          <w:szCs w:val="24"/>
        </w:rPr>
        <w:t xml:space="preserve">Advanced </w:t>
      </w:r>
      <w:r w:rsidRPr="007A3644">
        <w:rPr>
          <w:b/>
          <w:bCs/>
          <w:sz w:val="24"/>
          <w:szCs w:val="24"/>
        </w:rPr>
        <w:t>Imaging Modalities</w:t>
      </w:r>
    </w:p>
    <w:p w14:paraId="454AB25F" w14:textId="77777777" w:rsidR="007A3644" w:rsidRPr="007A3644" w:rsidRDefault="007A3644" w:rsidP="007A3644">
      <w:pPr>
        <w:spacing w:after="0" w:line="240" w:lineRule="auto"/>
        <w:ind w:left="720"/>
        <w:rPr>
          <w:b/>
          <w:bCs/>
          <w:sz w:val="24"/>
          <w:szCs w:val="24"/>
        </w:rPr>
      </w:pPr>
    </w:p>
    <w:p w14:paraId="62FD183B" w14:textId="3E42740B" w:rsidR="007A3644" w:rsidRPr="007A3644" w:rsidRDefault="007A3644" w:rsidP="007A3644">
      <w:pPr>
        <w:spacing w:after="0" w:line="240" w:lineRule="auto"/>
        <w:rPr>
          <w:sz w:val="24"/>
          <w:szCs w:val="24"/>
        </w:rPr>
      </w:pPr>
      <w:r w:rsidRPr="007A3644">
        <w:rPr>
          <w:sz w:val="24"/>
          <w:szCs w:val="24"/>
        </w:rPr>
        <w:t xml:space="preserve">MRI and CT are used for diagnosis and treatment planning for both chronic and acute illnesses that are not well evaluated by other imaging modalities. </w:t>
      </w:r>
    </w:p>
    <w:p w14:paraId="3CE91FA6" w14:textId="77777777" w:rsidR="00603408" w:rsidRDefault="00603408" w:rsidP="007A3644">
      <w:pPr>
        <w:spacing w:after="0" w:line="240" w:lineRule="auto"/>
        <w:rPr>
          <w:sz w:val="24"/>
          <w:szCs w:val="24"/>
        </w:rPr>
      </w:pPr>
    </w:p>
    <w:p w14:paraId="2297695A" w14:textId="5A8493B5" w:rsidR="007A3644" w:rsidRDefault="00C77EAD" w:rsidP="007A3644">
      <w:pPr>
        <w:spacing w:after="0" w:line="240" w:lineRule="auto"/>
        <w:rPr>
          <w:sz w:val="24"/>
          <w:szCs w:val="24"/>
        </w:rPr>
      </w:pPr>
      <w:r>
        <w:rPr>
          <w:sz w:val="24"/>
          <w:szCs w:val="24"/>
        </w:rPr>
        <w:lastRenderedPageBreak/>
        <w:t xml:space="preserve">The Applicant </w:t>
      </w:r>
      <w:r w:rsidR="00382DC2">
        <w:rPr>
          <w:sz w:val="24"/>
          <w:szCs w:val="24"/>
        </w:rPr>
        <w:t xml:space="preserve">notes that it </w:t>
      </w:r>
      <w:r w:rsidR="003C6923">
        <w:rPr>
          <w:sz w:val="24"/>
          <w:szCs w:val="24"/>
        </w:rPr>
        <w:t>has</w:t>
      </w:r>
      <w:r w:rsidR="00382DC2">
        <w:rPr>
          <w:sz w:val="24"/>
          <w:szCs w:val="24"/>
        </w:rPr>
        <w:t xml:space="preserve"> a growing program for lung cancer screening</w:t>
      </w:r>
      <w:r w:rsidR="003C6923">
        <w:rPr>
          <w:sz w:val="24"/>
          <w:szCs w:val="24"/>
        </w:rPr>
        <w:t xml:space="preserve">. </w:t>
      </w:r>
      <w:r w:rsidR="003C6923" w:rsidRPr="003C6923">
        <w:rPr>
          <w:sz w:val="24"/>
          <w:szCs w:val="24"/>
        </w:rPr>
        <w:t xml:space="preserve">Based on provider order data from the Atrius Health </w:t>
      </w:r>
      <w:r w:rsidR="007F1109" w:rsidRPr="007F1109">
        <w:rPr>
          <w:sz w:val="24"/>
          <w:szCs w:val="24"/>
        </w:rPr>
        <w:t xml:space="preserve">electronic medical record </w:t>
      </w:r>
      <w:r w:rsidR="007F1109">
        <w:rPr>
          <w:sz w:val="24"/>
          <w:szCs w:val="24"/>
        </w:rPr>
        <w:t>(</w:t>
      </w:r>
      <w:r w:rsidR="003C6923" w:rsidRPr="003C6923">
        <w:rPr>
          <w:sz w:val="24"/>
          <w:szCs w:val="24"/>
        </w:rPr>
        <w:t>EMR</w:t>
      </w:r>
      <w:r w:rsidR="007F1109">
        <w:rPr>
          <w:sz w:val="24"/>
          <w:szCs w:val="24"/>
        </w:rPr>
        <w:t>)</w:t>
      </w:r>
      <w:r w:rsidR="003C6923" w:rsidRPr="003C6923">
        <w:rPr>
          <w:sz w:val="24"/>
          <w:szCs w:val="24"/>
        </w:rPr>
        <w:t xml:space="preserve"> for the period April 1, 2021-March 30, 2022, nearly 25% of the CT orders placed by Atrius Health providers for the Plymouth Clinic patients were placed for (LDCT</w:t>
      </w:r>
      <w:bookmarkStart w:id="16" w:name="_BPDCD_33"/>
      <w:r w:rsidR="003C6923" w:rsidRPr="003C6923">
        <w:rPr>
          <w:sz w:val="24"/>
          <w:szCs w:val="24"/>
        </w:rPr>
        <w:t xml:space="preserve">) </w:t>
      </w:r>
      <w:bookmarkEnd w:id="16"/>
      <w:r w:rsidR="003C6923" w:rsidRPr="003C6923">
        <w:rPr>
          <w:sz w:val="24"/>
          <w:szCs w:val="24"/>
        </w:rPr>
        <w:t>Chest for lung cancer screening</w:t>
      </w:r>
      <w:r w:rsidR="003C6923">
        <w:rPr>
          <w:sz w:val="24"/>
          <w:szCs w:val="24"/>
        </w:rPr>
        <w:t xml:space="preserve">. </w:t>
      </w:r>
      <w:r w:rsidR="007A3644" w:rsidRPr="007A3644">
        <w:rPr>
          <w:sz w:val="24"/>
          <w:szCs w:val="24"/>
        </w:rPr>
        <w:t>Early identification of lung cancer allows for better prognosis and decreased mortality.</w:t>
      </w:r>
      <w:r w:rsidR="007A3644" w:rsidRPr="007A3644">
        <w:rPr>
          <w:sz w:val="24"/>
          <w:szCs w:val="24"/>
          <w:vertAlign w:val="superscript"/>
        </w:rPr>
        <w:endnoteReference w:id="5"/>
      </w:r>
      <w:r w:rsidR="007A3644" w:rsidRPr="007A3644">
        <w:rPr>
          <w:sz w:val="24"/>
          <w:szCs w:val="24"/>
        </w:rPr>
        <w:t xml:space="preserve">  </w:t>
      </w:r>
      <w:bookmarkStart w:id="17" w:name="_Hlk119487700"/>
      <w:bookmarkStart w:id="18" w:name="_Hlk119480682"/>
    </w:p>
    <w:p w14:paraId="6620CCC9" w14:textId="77777777" w:rsidR="003C6923" w:rsidRDefault="003C6923" w:rsidP="007A3644">
      <w:pPr>
        <w:spacing w:after="0" w:line="240" w:lineRule="auto"/>
        <w:rPr>
          <w:sz w:val="24"/>
          <w:szCs w:val="24"/>
        </w:rPr>
      </w:pPr>
    </w:p>
    <w:p w14:paraId="1EEF4CBA" w14:textId="467013DD" w:rsidR="007A3644" w:rsidRDefault="007F1109" w:rsidP="007A3644">
      <w:pPr>
        <w:spacing w:after="0" w:line="240" w:lineRule="auto"/>
        <w:rPr>
          <w:sz w:val="24"/>
          <w:szCs w:val="24"/>
        </w:rPr>
      </w:pPr>
      <w:r>
        <w:rPr>
          <w:sz w:val="24"/>
          <w:szCs w:val="24"/>
        </w:rPr>
        <w:t xml:space="preserve">The Applicant </w:t>
      </w:r>
      <w:r w:rsidR="007A3644" w:rsidRPr="007A3644">
        <w:rPr>
          <w:sz w:val="24"/>
          <w:szCs w:val="24"/>
        </w:rPr>
        <w:t xml:space="preserve">implemented a “Best Practice Advisory” within the </w:t>
      </w:r>
      <w:r>
        <w:rPr>
          <w:sz w:val="24"/>
          <w:szCs w:val="24"/>
        </w:rPr>
        <w:t xml:space="preserve">EMR </w:t>
      </w:r>
      <w:r w:rsidR="007A3644" w:rsidRPr="007A3644">
        <w:rPr>
          <w:sz w:val="24"/>
          <w:szCs w:val="24"/>
        </w:rPr>
        <w:t>in 2021 to prompt providers to order LDCT for eligible patients</w:t>
      </w:r>
      <w:r>
        <w:rPr>
          <w:sz w:val="24"/>
          <w:szCs w:val="24"/>
        </w:rPr>
        <w:t xml:space="preserve">. </w:t>
      </w:r>
      <w:r w:rsidR="007A3644" w:rsidRPr="007A3644">
        <w:rPr>
          <w:sz w:val="24"/>
          <w:szCs w:val="24"/>
        </w:rPr>
        <w:t xml:space="preserve">Since the expansion of LDCT inclusion criteria in 2021, the number of eligible, enrolled patients in the Atrius Health LDCT program has increased. </w:t>
      </w:r>
      <w:r w:rsidR="00FB1F3A">
        <w:rPr>
          <w:sz w:val="24"/>
          <w:szCs w:val="24"/>
        </w:rPr>
        <w:t>From January 1-</w:t>
      </w:r>
      <w:r w:rsidR="007A3644" w:rsidRPr="007A3644">
        <w:rPr>
          <w:sz w:val="24"/>
          <w:szCs w:val="24"/>
        </w:rPr>
        <w:t xml:space="preserve"> August </w:t>
      </w:r>
      <w:r w:rsidR="00FB1F3A">
        <w:rPr>
          <w:sz w:val="24"/>
          <w:szCs w:val="24"/>
        </w:rPr>
        <w:t>5</w:t>
      </w:r>
      <w:r w:rsidR="007A3644" w:rsidRPr="007A3644">
        <w:rPr>
          <w:sz w:val="24"/>
          <w:szCs w:val="24"/>
        </w:rPr>
        <w:t xml:space="preserve">, 2022, </w:t>
      </w:r>
      <w:r w:rsidR="00FB1F3A">
        <w:rPr>
          <w:sz w:val="24"/>
          <w:szCs w:val="24"/>
        </w:rPr>
        <w:t>2150</w:t>
      </w:r>
      <w:r w:rsidR="007A3644" w:rsidRPr="007A3644">
        <w:rPr>
          <w:sz w:val="24"/>
          <w:szCs w:val="24"/>
        </w:rPr>
        <w:t xml:space="preserve"> </w:t>
      </w:r>
      <w:r w:rsidR="00FB1F3A">
        <w:rPr>
          <w:sz w:val="24"/>
          <w:szCs w:val="24"/>
        </w:rPr>
        <w:t>individuals from the Atrius Health Pa</w:t>
      </w:r>
      <w:r w:rsidR="007A3644" w:rsidRPr="007A3644">
        <w:rPr>
          <w:sz w:val="24"/>
          <w:szCs w:val="24"/>
        </w:rPr>
        <w:t>tient</w:t>
      </w:r>
      <w:r w:rsidR="00FB1F3A">
        <w:rPr>
          <w:sz w:val="24"/>
          <w:szCs w:val="24"/>
        </w:rPr>
        <w:t xml:space="preserve">s Panel were screened </w:t>
      </w:r>
      <w:r w:rsidR="007A3644" w:rsidRPr="007A3644">
        <w:rPr>
          <w:sz w:val="24"/>
          <w:szCs w:val="24"/>
        </w:rPr>
        <w:t>demonstrating need for access to CT exams.</w:t>
      </w:r>
      <w:r w:rsidR="00FB1F3A">
        <w:rPr>
          <w:sz w:val="24"/>
          <w:szCs w:val="24"/>
        </w:rPr>
        <w:t xml:space="preserve"> </w:t>
      </w:r>
      <w:r w:rsidR="007A3644" w:rsidRPr="009954CF">
        <w:rPr>
          <w:sz w:val="24"/>
          <w:szCs w:val="24"/>
        </w:rPr>
        <w:t>Table</w:t>
      </w:r>
      <w:r w:rsidR="007A3644" w:rsidRPr="007A3644">
        <w:rPr>
          <w:sz w:val="24"/>
          <w:szCs w:val="24"/>
        </w:rPr>
        <w:t xml:space="preserve"> </w:t>
      </w:r>
      <w:r w:rsidR="009954CF">
        <w:rPr>
          <w:sz w:val="24"/>
          <w:szCs w:val="24"/>
        </w:rPr>
        <w:t xml:space="preserve">5 </w:t>
      </w:r>
      <w:r w:rsidR="007A3644" w:rsidRPr="007A3644">
        <w:rPr>
          <w:sz w:val="24"/>
          <w:szCs w:val="24"/>
        </w:rPr>
        <w:t xml:space="preserve">demonstrates the Atrius Health LDCT program growth (note: 2020 screening volume was affected by the </w:t>
      </w:r>
      <w:r w:rsidR="009954CF">
        <w:rPr>
          <w:sz w:val="24"/>
          <w:szCs w:val="24"/>
        </w:rPr>
        <w:t xml:space="preserve">COVID-19 </w:t>
      </w:r>
      <w:r w:rsidR="007A3644" w:rsidRPr="007A3644">
        <w:rPr>
          <w:sz w:val="24"/>
          <w:szCs w:val="24"/>
        </w:rPr>
        <w:t xml:space="preserve">Public Health Emergency). </w:t>
      </w:r>
    </w:p>
    <w:p w14:paraId="1A8201C1" w14:textId="77777777" w:rsidR="007A3644" w:rsidRPr="007A3644" w:rsidRDefault="007A3644" w:rsidP="007A3644">
      <w:pPr>
        <w:spacing w:after="0" w:line="240" w:lineRule="auto"/>
        <w:rPr>
          <w:sz w:val="24"/>
          <w:szCs w:val="24"/>
        </w:rPr>
      </w:pPr>
    </w:p>
    <w:p w14:paraId="5D5F4A2B" w14:textId="4FE42826" w:rsidR="007A3644" w:rsidRDefault="007A3644" w:rsidP="007A3644">
      <w:pPr>
        <w:spacing w:after="0" w:line="240" w:lineRule="auto"/>
        <w:jc w:val="center"/>
        <w:rPr>
          <w:b/>
          <w:bCs/>
          <w:sz w:val="24"/>
          <w:szCs w:val="24"/>
        </w:rPr>
      </w:pPr>
      <w:r w:rsidRPr="007A3644">
        <w:rPr>
          <w:b/>
          <w:bCs/>
          <w:sz w:val="24"/>
          <w:szCs w:val="24"/>
        </w:rPr>
        <w:t xml:space="preserve">Table </w:t>
      </w:r>
      <w:r w:rsidR="009954CF">
        <w:rPr>
          <w:b/>
          <w:bCs/>
          <w:sz w:val="24"/>
          <w:szCs w:val="24"/>
        </w:rPr>
        <w:t xml:space="preserve">5: </w:t>
      </w:r>
      <w:r w:rsidRPr="007A3644">
        <w:rPr>
          <w:b/>
          <w:bCs/>
          <w:sz w:val="24"/>
          <w:szCs w:val="24"/>
        </w:rPr>
        <w:t>Atrius Health LDCT Program – CT screenings completed at Atrius Health</w:t>
      </w:r>
    </w:p>
    <w:p w14:paraId="33F078E5" w14:textId="77777777" w:rsidR="007A3644" w:rsidRPr="007A3644" w:rsidRDefault="007A3644" w:rsidP="007A3644">
      <w:pPr>
        <w:spacing w:after="0" w:line="240" w:lineRule="auto"/>
        <w:rPr>
          <w:b/>
          <w:bCs/>
          <w:sz w:val="24"/>
          <w:szCs w:val="24"/>
        </w:rPr>
      </w:pPr>
    </w:p>
    <w:tbl>
      <w:tblPr>
        <w:tblW w:w="8455" w:type="dxa"/>
        <w:jc w:val="center"/>
        <w:tblLook w:val="04A0" w:firstRow="1" w:lastRow="0" w:firstColumn="1" w:lastColumn="0" w:noHBand="0" w:noVBand="1"/>
      </w:tblPr>
      <w:tblGrid>
        <w:gridCol w:w="2065"/>
        <w:gridCol w:w="2155"/>
        <w:gridCol w:w="4235"/>
      </w:tblGrid>
      <w:tr w:rsidR="007A3644" w:rsidRPr="007A3644" w14:paraId="1BC9EF40" w14:textId="77777777" w:rsidTr="002B37E5">
        <w:trPr>
          <w:cantSplit/>
          <w:trHeight w:val="957"/>
          <w:tblHeader/>
          <w:jc w:val="center"/>
        </w:trPr>
        <w:tc>
          <w:tcPr>
            <w:tcW w:w="2065" w:type="dxa"/>
            <w:tcBorders>
              <w:top w:val="single" w:sz="4" w:space="0" w:color="auto"/>
              <w:left w:val="single" w:sz="4" w:space="0" w:color="auto"/>
              <w:bottom w:val="single" w:sz="4" w:space="0" w:color="auto"/>
              <w:right w:val="single" w:sz="4" w:space="0" w:color="auto"/>
            </w:tcBorders>
            <w:shd w:val="clear" w:color="auto" w:fill="EBFFFF"/>
            <w:noWrap/>
            <w:vAlign w:val="center"/>
            <w:hideMark/>
          </w:tcPr>
          <w:p w14:paraId="2BAD4238" w14:textId="77777777" w:rsidR="007A3644" w:rsidRPr="007A3644" w:rsidRDefault="007A3644" w:rsidP="007A3644">
            <w:pPr>
              <w:spacing w:after="0" w:line="240" w:lineRule="auto"/>
              <w:rPr>
                <w:b/>
                <w:bCs/>
                <w:sz w:val="24"/>
                <w:szCs w:val="24"/>
              </w:rPr>
            </w:pPr>
            <w:r w:rsidRPr="007A3644">
              <w:rPr>
                <w:b/>
                <w:bCs/>
                <w:sz w:val="24"/>
                <w:szCs w:val="24"/>
              </w:rPr>
              <w:t>Year</w:t>
            </w:r>
          </w:p>
        </w:tc>
        <w:tc>
          <w:tcPr>
            <w:tcW w:w="2155" w:type="dxa"/>
            <w:tcBorders>
              <w:top w:val="single" w:sz="4" w:space="0" w:color="auto"/>
              <w:left w:val="nil"/>
              <w:bottom w:val="single" w:sz="4" w:space="0" w:color="auto"/>
              <w:right w:val="single" w:sz="4" w:space="0" w:color="auto"/>
            </w:tcBorders>
            <w:shd w:val="clear" w:color="auto" w:fill="EBFFFF"/>
            <w:noWrap/>
            <w:vAlign w:val="center"/>
            <w:hideMark/>
          </w:tcPr>
          <w:p w14:paraId="30D215B8" w14:textId="77777777" w:rsidR="007A3644" w:rsidRPr="007A3644" w:rsidRDefault="007A3644" w:rsidP="007A3644">
            <w:pPr>
              <w:spacing w:after="0" w:line="240" w:lineRule="auto"/>
              <w:rPr>
                <w:b/>
                <w:bCs/>
                <w:sz w:val="24"/>
                <w:szCs w:val="24"/>
              </w:rPr>
            </w:pPr>
            <w:r w:rsidRPr="007A3644">
              <w:rPr>
                <w:b/>
                <w:bCs/>
                <w:sz w:val="24"/>
                <w:szCs w:val="24"/>
              </w:rPr>
              <w:t>New Patient/Initial LDCT Screenings</w:t>
            </w:r>
          </w:p>
        </w:tc>
        <w:tc>
          <w:tcPr>
            <w:tcW w:w="4235" w:type="dxa"/>
            <w:tcBorders>
              <w:top w:val="single" w:sz="4" w:space="0" w:color="auto"/>
              <w:left w:val="nil"/>
              <w:bottom w:val="single" w:sz="4" w:space="0" w:color="auto"/>
              <w:right w:val="single" w:sz="4" w:space="0" w:color="auto"/>
            </w:tcBorders>
            <w:shd w:val="clear" w:color="auto" w:fill="EBFFFF"/>
            <w:noWrap/>
            <w:vAlign w:val="center"/>
            <w:hideMark/>
          </w:tcPr>
          <w:p w14:paraId="0697F03D" w14:textId="156C0347" w:rsidR="007A3644" w:rsidRPr="007A3644" w:rsidRDefault="007A3644" w:rsidP="00603408">
            <w:pPr>
              <w:spacing w:after="0" w:line="240" w:lineRule="auto"/>
              <w:ind w:right="-20"/>
              <w:rPr>
                <w:b/>
                <w:bCs/>
                <w:sz w:val="24"/>
                <w:szCs w:val="24"/>
              </w:rPr>
            </w:pPr>
            <w:r w:rsidRPr="007A3644">
              <w:rPr>
                <w:b/>
                <w:bCs/>
                <w:sz w:val="24"/>
                <w:szCs w:val="24"/>
              </w:rPr>
              <w:t xml:space="preserve">Total LDCT Program Screenings </w:t>
            </w:r>
            <w:r w:rsidR="00F3729F">
              <w:rPr>
                <w:b/>
                <w:bCs/>
                <w:sz w:val="24"/>
                <w:szCs w:val="24"/>
              </w:rPr>
              <w:t>I</w:t>
            </w:r>
            <w:r w:rsidRPr="007A3644">
              <w:rPr>
                <w:b/>
                <w:bCs/>
                <w:sz w:val="24"/>
                <w:szCs w:val="24"/>
              </w:rPr>
              <w:t>ncludes new patient/initial and follow-up screenings as part of the LDCT program</w:t>
            </w:r>
          </w:p>
          <w:p w14:paraId="0DE81713" w14:textId="77777777" w:rsidR="007A3644" w:rsidRPr="007A3644" w:rsidRDefault="007A3644" w:rsidP="007A3644">
            <w:pPr>
              <w:spacing w:after="0" w:line="240" w:lineRule="auto"/>
              <w:rPr>
                <w:b/>
                <w:bCs/>
                <w:sz w:val="24"/>
                <w:szCs w:val="24"/>
              </w:rPr>
            </w:pPr>
          </w:p>
        </w:tc>
      </w:tr>
      <w:tr w:rsidR="007A3644" w:rsidRPr="007A3644" w14:paraId="78DA91B5" w14:textId="77777777" w:rsidTr="002B37E5">
        <w:trPr>
          <w:cantSplit/>
          <w:trHeight w:val="296"/>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2CEC1855" w14:textId="77777777" w:rsidR="007A3644" w:rsidRPr="007A3644" w:rsidRDefault="007A3644" w:rsidP="007A3644">
            <w:pPr>
              <w:spacing w:after="0" w:line="240" w:lineRule="auto"/>
              <w:rPr>
                <w:sz w:val="24"/>
                <w:szCs w:val="24"/>
              </w:rPr>
            </w:pPr>
            <w:r w:rsidRPr="007A3644">
              <w:rPr>
                <w:sz w:val="24"/>
                <w:szCs w:val="24"/>
              </w:rPr>
              <w:t>2016</w:t>
            </w:r>
          </w:p>
        </w:tc>
        <w:tc>
          <w:tcPr>
            <w:tcW w:w="2155" w:type="dxa"/>
            <w:tcBorders>
              <w:top w:val="nil"/>
              <w:left w:val="nil"/>
              <w:bottom w:val="single" w:sz="4" w:space="0" w:color="auto"/>
              <w:right w:val="single" w:sz="4" w:space="0" w:color="auto"/>
            </w:tcBorders>
            <w:shd w:val="clear" w:color="auto" w:fill="auto"/>
            <w:noWrap/>
            <w:vAlign w:val="center"/>
            <w:hideMark/>
          </w:tcPr>
          <w:p w14:paraId="786E438D" w14:textId="77777777" w:rsidR="007A3644" w:rsidRPr="007A3644" w:rsidRDefault="007A3644" w:rsidP="00603408">
            <w:pPr>
              <w:spacing w:after="0" w:line="240" w:lineRule="auto"/>
              <w:jc w:val="right"/>
              <w:rPr>
                <w:sz w:val="24"/>
                <w:szCs w:val="24"/>
              </w:rPr>
            </w:pPr>
            <w:r w:rsidRPr="007A3644">
              <w:rPr>
                <w:sz w:val="24"/>
                <w:szCs w:val="24"/>
              </w:rPr>
              <w:t>471</w:t>
            </w:r>
          </w:p>
        </w:tc>
        <w:tc>
          <w:tcPr>
            <w:tcW w:w="4235" w:type="dxa"/>
            <w:tcBorders>
              <w:top w:val="nil"/>
              <w:left w:val="nil"/>
              <w:bottom w:val="single" w:sz="4" w:space="0" w:color="auto"/>
              <w:right w:val="single" w:sz="4" w:space="0" w:color="auto"/>
            </w:tcBorders>
            <w:shd w:val="clear" w:color="auto" w:fill="auto"/>
            <w:noWrap/>
            <w:vAlign w:val="center"/>
            <w:hideMark/>
          </w:tcPr>
          <w:p w14:paraId="39226DC9" w14:textId="77777777" w:rsidR="007A3644" w:rsidRPr="007A3644" w:rsidRDefault="007A3644" w:rsidP="00603408">
            <w:pPr>
              <w:spacing w:after="0" w:line="240" w:lineRule="auto"/>
              <w:jc w:val="right"/>
              <w:rPr>
                <w:sz w:val="24"/>
                <w:szCs w:val="24"/>
              </w:rPr>
            </w:pPr>
            <w:r w:rsidRPr="007A3644">
              <w:rPr>
                <w:sz w:val="24"/>
                <w:szCs w:val="24"/>
              </w:rPr>
              <w:t>1,632</w:t>
            </w:r>
          </w:p>
        </w:tc>
      </w:tr>
      <w:tr w:rsidR="007A3644" w:rsidRPr="007A3644" w14:paraId="77B61870" w14:textId="77777777" w:rsidTr="002B37E5">
        <w:trPr>
          <w:cantSplit/>
          <w:trHeight w:val="296"/>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7414B6D9" w14:textId="77777777" w:rsidR="007A3644" w:rsidRPr="007A3644" w:rsidRDefault="007A3644" w:rsidP="007A3644">
            <w:pPr>
              <w:spacing w:after="0" w:line="240" w:lineRule="auto"/>
              <w:rPr>
                <w:sz w:val="24"/>
                <w:szCs w:val="24"/>
              </w:rPr>
            </w:pPr>
            <w:r w:rsidRPr="007A3644">
              <w:rPr>
                <w:sz w:val="24"/>
                <w:szCs w:val="24"/>
              </w:rPr>
              <w:t>2017</w:t>
            </w:r>
          </w:p>
        </w:tc>
        <w:tc>
          <w:tcPr>
            <w:tcW w:w="2155" w:type="dxa"/>
            <w:tcBorders>
              <w:top w:val="nil"/>
              <w:left w:val="nil"/>
              <w:bottom w:val="single" w:sz="4" w:space="0" w:color="auto"/>
              <w:right w:val="single" w:sz="4" w:space="0" w:color="auto"/>
            </w:tcBorders>
            <w:shd w:val="clear" w:color="auto" w:fill="auto"/>
            <w:noWrap/>
            <w:vAlign w:val="center"/>
            <w:hideMark/>
          </w:tcPr>
          <w:p w14:paraId="59B7AAD3" w14:textId="77777777" w:rsidR="007A3644" w:rsidRPr="007A3644" w:rsidRDefault="007A3644" w:rsidP="00603408">
            <w:pPr>
              <w:spacing w:after="0" w:line="240" w:lineRule="auto"/>
              <w:jc w:val="right"/>
              <w:rPr>
                <w:sz w:val="24"/>
                <w:szCs w:val="24"/>
              </w:rPr>
            </w:pPr>
            <w:r w:rsidRPr="007A3644">
              <w:rPr>
                <w:sz w:val="24"/>
                <w:szCs w:val="24"/>
              </w:rPr>
              <w:t>719</w:t>
            </w:r>
          </w:p>
        </w:tc>
        <w:tc>
          <w:tcPr>
            <w:tcW w:w="4235" w:type="dxa"/>
            <w:tcBorders>
              <w:top w:val="nil"/>
              <w:left w:val="nil"/>
              <w:bottom w:val="single" w:sz="4" w:space="0" w:color="auto"/>
              <w:right w:val="single" w:sz="4" w:space="0" w:color="auto"/>
            </w:tcBorders>
            <w:shd w:val="clear" w:color="auto" w:fill="auto"/>
            <w:noWrap/>
            <w:vAlign w:val="center"/>
            <w:hideMark/>
          </w:tcPr>
          <w:p w14:paraId="76215490" w14:textId="77777777" w:rsidR="007A3644" w:rsidRPr="007A3644" w:rsidRDefault="007A3644" w:rsidP="00603408">
            <w:pPr>
              <w:spacing w:after="0" w:line="240" w:lineRule="auto"/>
              <w:jc w:val="right"/>
              <w:rPr>
                <w:sz w:val="24"/>
                <w:szCs w:val="24"/>
              </w:rPr>
            </w:pPr>
            <w:r w:rsidRPr="007A3644">
              <w:rPr>
                <w:sz w:val="24"/>
                <w:szCs w:val="24"/>
              </w:rPr>
              <w:t>1,929</w:t>
            </w:r>
          </w:p>
        </w:tc>
      </w:tr>
      <w:tr w:rsidR="007A3644" w:rsidRPr="007A3644" w14:paraId="4099A164" w14:textId="77777777" w:rsidTr="002B37E5">
        <w:trPr>
          <w:cantSplit/>
          <w:trHeight w:val="296"/>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1FD471E8" w14:textId="77777777" w:rsidR="007A3644" w:rsidRPr="007A3644" w:rsidRDefault="007A3644" w:rsidP="007A3644">
            <w:pPr>
              <w:spacing w:after="0" w:line="240" w:lineRule="auto"/>
              <w:rPr>
                <w:sz w:val="24"/>
                <w:szCs w:val="24"/>
              </w:rPr>
            </w:pPr>
            <w:r w:rsidRPr="007A3644">
              <w:rPr>
                <w:sz w:val="24"/>
                <w:szCs w:val="24"/>
              </w:rPr>
              <w:t>2018</w:t>
            </w:r>
          </w:p>
        </w:tc>
        <w:tc>
          <w:tcPr>
            <w:tcW w:w="2155" w:type="dxa"/>
            <w:tcBorders>
              <w:top w:val="nil"/>
              <w:left w:val="nil"/>
              <w:bottom w:val="single" w:sz="4" w:space="0" w:color="auto"/>
              <w:right w:val="single" w:sz="4" w:space="0" w:color="auto"/>
            </w:tcBorders>
            <w:shd w:val="clear" w:color="auto" w:fill="auto"/>
            <w:noWrap/>
            <w:vAlign w:val="center"/>
            <w:hideMark/>
          </w:tcPr>
          <w:p w14:paraId="34229671" w14:textId="77777777" w:rsidR="007A3644" w:rsidRPr="007A3644" w:rsidRDefault="007A3644" w:rsidP="00603408">
            <w:pPr>
              <w:spacing w:after="0" w:line="240" w:lineRule="auto"/>
              <w:jc w:val="right"/>
              <w:rPr>
                <w:sz w:val="24"/>
                <w:szCs w:val="24"/>
              </w:rPr>
            </w:pPr>
            <w:r w:rsidRPr="007A3644">
              <w:rPr>
                <w:sz w:val="24"/>
                <w:szCs w:val="24"/>
              </w:rPr>
              <w:t>608</w:t>
            </w:r>
          </w:p>
        </w:tc>
        <w:tc>
          <w:tcPr>
            <w:tcW w:w="4235" w:type="dxa"/>
            <w:tcBorders>
              <w:top w:val="nil"/>
              <w:left w:val="nil"/>
              <w:bottom w:val="single" w:sz="4" w:space="0" w:color="auto"/>
              <w:right w:val="single" w:sz="4" w:space="0" w:color="auto"/>
            </w:tcBorders>
            <w:shd w:val="clear" w:color="auto" w:fill="auto"/>
            <w:noWrap/>
            <w:vAlign w:val="center"/>
            <w:hideMark/>
          </w:tcPr>
          <w:p w14:paraId="2DF239A1" w14:textId="77777777" w:rsidR="007A3644" w:rsidRPr="007A3644" w:rsidRDefault="007A3644" w:rsidP="00603408">
            <w:pPr>
              <w:spacing w:after="0" w:line="240" w:lineRule="auto"/>
              <w:jc w:val="right"/>
              <w:rPr>
                <w:sz w:val="24"/>
                <w:szCs w:val="24"/>
              </w:rPr>
            </w:pPr>
            <w:r w:rsidRPr="007A3644">
              <w:rPr>
                <w:sz w:val="24"/>
                <w:szCs w:val="24"/>
              </w:rPr>
              <w:t>2,130</w:t>
            </w:r>
          </w:p>
        </w:tc>
      </w:tr>
      <w:tr w:rsidR="007A3644" w:rsidRPr="007A3644" w14:paraId="56FAC3A4" w14:textId="77777777" w:rsidTr="002B37E5">
        <w:trPr>
          <w:cantSplit/>
          <w:trHeight w:val="296"/>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60D1533E" w14:textId="77777777" w:rsidR="007A3644" w:rsidRPr="007A3644" w:rsidRDefault="007A3644" w:rsidP="007A3644">
            <w:pPr>
              <w:spacing w:after="0" w:line="240" w:lineRule="auto"/>
              <w:rPr>
                <w:sz w:val="24"/>
                <w:szCs w:val="24"/>
              </w:rPr>
            </w:pPr>
            <w:r w:rsidRPr="007A3644">
              <w:rPr>
                <w:sz w:val="24"/>
                <w:szCs w:val="24"/>
              </w:rPr>
              <w:t>2019</w:t>
            </w:r>
          </w:p>
        </w:tc>
        <w:tc>
          <w:tcPr>
            <w:tcW w:w="2155" w:type="dxa"/>
            <w:tcBorders>
              <w:top w:val="nil"/>
              <w:left w:val="nil"/>
              <w:bottom w:val="single" w:sz="4" w:space="0" w:color="auto"/>
              <w:right w:val="single" w:sz="4" w:space="0" w:color="auto"/>
            </w:tcBorders>
            <w:shd w:val="clear" w:color="auto" w:fill="auto"/>
            <w:noWrap/>
            <w:vAlign w:val="center"/>
            <w:hideMark/>
          </w:tcPr>
          <w:p w14:paraId="59734A2A" w14:textId="77777777" w:rsidR="007A3644" w:rsidRPr="007A3644" w:rsidRDefault="007A3644" w:rsidP="00603408">
            <w:pPr>
              <w:spacing w:after="0" w:line="240" w:lineRule="auto"/>
              <w:jc w:val="right"/>
              <w:rPr>
                <w:sz w:val="24"/>
                <w:szCs w:val="24"/>
              </w:rPr>
            </w:pPr>
            <w:r w:rsidRPr="007A3644">
              <w:rPr>
                <w:sz w:val="24"/>
                <w:szCs w:val="24"/>
              </w:rPr>
              <w:t>634</w:t>
            </w:r>
          </w:p>
        </w:tc>
        <w:tc>
          <w:tcPr>
            <w:tcW w:w="4235" w:type="dxa"/>
            <w:tcBorders>
              <w:top w:val="nil"/>
              <w:left w:val="nil"/>
              <w:bottom w:val="single" w:sz="4" w:space="0" w:color="auto"/>
              <w:right w:val="single" w:sz="4" w:space="0" w:color="auto"/>
            </w:tcBorders>
            <w:shd w:val="clear" w:color="auto" w:fill="auto"/>
            <w:noWrap/>
            <w:vAlign w:val="center"/>
            <w:hideMark/>
          </w:tcPr>
          <w:p w14:paraId="36F10287" w14:textId="77777777" w:rsidR="007A3644" w:rsidRPr="007A3644" w:rsidRDefault="007A3644" w:rsidP="00603408">
            <w:pPr>
              <w:spacing w:after="0" w:line="240" w:lineRule="auto"/>
              <w:jc w:val="right"/>
              <w:rPr>
                <w:sz w:val="24"/>
                <w:szCs w:val="24"/>
              </w:rPr>
            </w:pPr>
            <w:r w:rsidRPr="007A3644">
              <w:rPr>
                <w:sz w:val="24"/>
                <w:szCs w:val="24"/>
              </w:rPr>
              <w:t>2,510</w:t>
            </w:r>
          </w:p>
        </w:tc>
      </w:tr>
      <w:tr w:rsidR="007A3644" w:rsidRPr="007A3644" w14:paraId="2758D1CE" w14:textId="77777777" w:rsidTr="002B37E5">
        <w:trPr>
          <w:cantSplit/>
          <w:trHeight w:val="296"/>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6D30592B" w14:textId="77777777" w:rsidR="007A3644" w:rsidRPr="007A3644" w:rsidRDefault="007A3644" w:rsidP="007A3644">
            <w:pPr>
              <w:spacing w:after="0" w:line="240" w:lineRule="auto"/>
              <w:rPr>
                <w:sz w:val="24"/>
                <w:szCs w:val="24"/>
              </w:rPr>
            </w:pPr>
            <w:r w:rsidRPr="007A3644">
              <w:rPr>
                <w:sz w:val="24"/>
                <w:szCs w:val="24"/>
              </w:rPr>
              <w:t>2020</w:t>
            </w:r>
          </w:p>
        </w:tc>
        <w:tc>
          <w:tcPr>
            <w:tcW w:w="2155" w:type="dxa"/>
            <w:tcBorders>
              <w:top w:val="nil"/>
              <w:left w:val="nil"/>
              <w:bottom w:val="single" w:sz="4" w:space="0" w:color="auto"/>
              <w:right w:val="single" w:sz="4" w:space="0" w:color="auto"/>
            </w:tcBorders>
            <w:shd w:val="clear" w:color="auto" w:fill="auto"/>
            <w:noWrap/>
            <w:vAlign w:val="center"/>
            <w:hideMark/>
          </w:tcPr>
          <w:p w14:paraId="72D9CAB8" w14:textId="77777777" w:rsidR="007A3644" w:rsidRPr="007A3644" w:rsidRDefault="007A3644" w:rsidP="00603408">
            <w:pPr>
              <w:spacing w:after="0" w:line="240" w:lineRule="auto"/>
              <w:jc w:val="right"/>
              <w:rPr>
                <w:sz w:val="24"/>
                <w:szCs w:val="24"/>
              </w:rPr>
            </w:pPr>
            <w:r w:rsidRPr="007A3644">
              <w:rPr>
                <w:sz w:val="24"/>
                <w:szCs w:val="24"/>
              </w:rPr>
              <w:t>356</w:t>
            </w:r>
          </w:p>
        </w:tc>
        <w:tc>
          <w:tcPr>
            <w:tcW w:w="4235" w:type="dxa"/>
            <w:tcBorders>
              <w:top w:val="nil"/>
              <w:left w:val="nil"/>
              <w:bottom w:val="single" w:sz="4" w:space="0" w:color="auto"/>
              <w:right w:val="single" w:sz="4" w:space="0" w:color="auto"/>
            </w:tcBorders>
            <w:shd w:val="clear" w:color="auto" w:fill="auto"/>
            <w:noWrap/>
            <w:vAlign w:val="center"/>
            <w:hideMark/>
          </w:tcPr>
          <w:p w14:paraId="2842D7AD" w14:textId="77777777" w:rsidR="007A3644" w:rsidRPr="007A3644" w:rsidRDefault="007A3644" w:rsidP="00603408">
            <w:pPr>
              <w:spacing w:after="0" w:line="240" w:lineRule="auto"/>
              <w:jc w:val="right"/>
              <w:rPr>
                <w:sz w:val="24"/>
                <w:szCs w:val="24"/>
              </w:rPr>
            </w:pPr>
            <w:r w:rsidRPr="007A3644">
              <w:rPr>
                <w:sz w:val="24"/>
                <w:szCs w:val="24"/>
              </w:rPr>
              <w:t>2,308</w:t>
            </w:r>
          </w:p>
        </w:tc>
      </w:tr>
      <w:tr w:rsidR="007A3644" w:rsidRPr="007A3644" w14:paraId="13800529" w14:textId="77777777" w:rsidTr="002B37E5">
        <w:trPr>
          <w:cantSplit/>
          <w:trHeight w:val="296"/>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15758A08" w14:textId="77777777" w:rsidR="007A3644" w:rsidRPr="007A3644" w:rsidRDefault="007A3644" w:rsidP="007A3644">
            <w:pPr>
              <w:spacing w:after="0" w:line="240" w:lineRule="auto"/>
              <w:rPr>
                <w:sz w:val="24"/>
                <w:szCs w:val="24"/>
              </w:rPr>
            </w:pPr>
            <w:r w:rsidRPr="007A3644">
              <w:rPr>
                <w:sz w:val="24"/>
                <w:szCs w:val="24"/>
              </w:rPr>
              <w:t>2021</w:t>
            </w:r>
          </w:p>
        </w:tc>
        <w:tc>
          <w:tcPr>
            <w:tcW w:w="2155" w:type="dxa"/>
            <w:tcBorders>
              <w:top w:val="nil"/>
              <w:left w:val="nil"/>
              <w:bottom w:val="single" w:sz="4" w:space="0" w:color="auto"/>
              <w:right w:val="single" w:sz="4" w:space="0" w:color="auto"/>
            </w:tcBorders>
            <w:shd w:val="clear" w:color="auto" w:fill="auto"/>
            <w:noWrap/>
            <w:vAlign w:val="center"/>
            <w:hideMark/>
          </w:tcPr>
          <w:p w14:paraId="593CFF3D" w14:textId="77777777" w:rsidR="007A3644" w:rsidRPr="007A3644" w:rsidRDefault="007A3644" w:rsidP="00603408">
            <w:pPr>
              <w:spacing w:after="0" w:line="240" w:lineRule="auto"/>
              <w:jc w:val="right"/>
              <w:rPr>
                <w:sz w:val="24"/>
                <w:szCs w:val="24"/>
              </w:rPr>
            </w:pPr>
            <w:r w:rsidRPr="007A3644">
              <w:rPr>
                <w:sz w:val="24"/>
                <w:szCs w:val="24"/>
              </w:rPr>
              <w:t>750</w:t>
            </w:r>
          </w:p>
        </w:tc>
        <w:tc>
          <w:tcPr>
            <w:tcW w:w="4235" w:type="dxa"/>
            <w:tcBorders>
              <w:top w:val="nil"/>
              <w:left w:val="nil"/>
              <w:bottom w:val="single" w:sz="4" w:space="0" w:color="auto"/>
              <w:right w:val="single" w:sz="4" w:space="0" w:color="auto"/>
            </w:tcBorders>
            <w:shd w:val="clear" w:color="auto" w:fill="auto"/>
            <w:noWrap/>
            <w:vAlign w:val="center"/>
            <w:hideMark/>
          </w:tcPr>
          <w:p w14:paraId="1418B90E" w14:textId="77777777" w:rsidR="007A3644" w:rsidRPr="007A3644" w:rsidRDefault="007A3644" w:rsidP="00603408">
            <w:pPr>
              <w:spacing w:after="0" w:line="240" w:lineRule="auto"/>
              <w:jc w:val="right"/>
              <w:rPr>
                <w:sz w:val="24"/>
                <w:szCs w:val="24"/>
              </w:rPr>
            </w:pPr>
            <w:r w:rsidRPr="007A3644">
              <w:rPr>
                <w:sz w:val="24"/>
                <w:szCs w:val="24"/>
              </w:rPr>
              <w:t>2,945</w:t>
            </w:r>
          </w:p>
        </w:tc>
      </w:tr>
      <w:tr w:rsidR="007A3644" w:rsidRPr="007A3644" w14:paraId="1F0FB2D4" w14:textId="77777777" w:rsidTr="002B37E5">
        <w:trPr>
          <w:cantSplit/>
          <w:trHeight w:val="296"/>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4E20F1B0" w14:textId="11B0F390" w:rsidR="007A3644" w:rsidRPr="007A3644" w:rsidRDefault="007A3644" w:rsidP="001938CA">
            <w:pPr>
              <w:spacing w:after="0" w:line="240" w:lineRule="auto"/>
              <w:rPr>
                <w:sz w:val="24"/>
                <w:szCs w:val="24"/>
              </w:rPr>
            </w:pPr>
            <w:r w:rsidRPr="007A3644">
              <w:rPr>
                <w:sz w:val="24"/>
                <w:szCs w:val="24"/>
              </w:rPr>
              <w:t>2022 (thru 8/5/22)</w:t>
            </w:r>
          </w:p>
        </w:tc>
        <w:tc>
          <w:tcPr>
            <w:tcW w:w="2155" w:type="dxa"/>
            <w:tcBorders>
              <w:top w:val="nil"/>
              <w:left w:val="nil"/>
              <w:bottom w:val="single" w:sz="4" w:space="0" w:color="auto"/>
              <w:right w:val="single" w:sz="4" w:space="0" w:color="auto"/>
            </w:tcBorders>
            <w:shd w:val="clear" w:color="auto" w:fill="auto"/>
            <w:noWrap/>
            <w:vAlign w:val="center"/>
            <w:hideMark/>
          </w:tcPr>
          <w:p w14:paraId="60E4CD25" w14:textId="77777777" w:rsidR="007A3644" w:rsidRPr="007A3644" w:rsidRDefault="007A3644" w:rsidP="00603408">
            <w:pPr>
              <w:spacing w:after="0" w:line="240" w:lineRule="auto"/>
              <w:jc w:val="right"/>
              <w:rPr>
                <w:sz w:val="24"/>
                <w:szCs w:val="24"/>
              </w:rPr>
            </w:pPr>
            <w:r w:rsidRPr="007A3644">
              <w:rPr>
                <w:sz w:val="24"/>
                <w:szCs w:val="24"/>
              </w:rPr>
              <w:t>876</w:t>
            </w:r>
          </w:p>
        </w:tc>
        <w:tc>
          <w:tcPr>
            <w:tcW w:w="4235" w:type="dxa"/>
            <w:tcBorders>
              <w:top w:val="nil"/>
              <w:left w:val="nil"/>
              <w:bottom w:val="single" w:sz="4" w:space="0" w:color="auto"/>
              <w:right w:val="single" w:sz="4" w:space="0" w:color="auto"/>
            </w:tcBorders>
            <w:shd w:val="clear" w:color="auto" w:fill="auto"/>
            <w:noWrap/>
            <w:vAlign w:val="center"/>
            <w:hideMark/>
          </w:tcPr>
          <w:p w14:paraId="449EE6F9" w14:textId="77777777" w:rsidR="007A3644" w:rsidRPr="007A3644" w:rsidRDefault="007A3644" w:rsidP="00603408">
            <w:pPr>
              <w:spacing w:after="0" w:line="240" w:lineRule="auto"/>
              <w:jc w:val="right"/>
              <w:rPr>
                <w:sz w:val="24"/>
                <w:szCs w:val="24"/>
              </w:rPr>
            </w:pPr>
            <w:r w:rsidRPr="007A3644">
              <w:rPr>
                <w:sz w:val="24"/>
                <w:szCs w:val="24"/>
              </w:rPr>
              <w:t>2,133</w:t>
            </w:r>
          </w:p>
        </w:tc>
      </w:tr>
      <w:tr w:rsidR="007A3644" w:rsidRPr="007A3644" w14:paraId="3AF2EECF" w14:textId="77777777" w:rsidTr="002B37E5">
        <w:trPr>
          <w:cantSplit/>
          <w:trHeight w:val="296"/>
          <w:jc w:val="center"/>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384C36B9" w14:textId="6BC67DDA" w:rsidR="007A3644" w:rsidRPr="007A3644" w:rsidRDefault="007A3644" w:rsidP="007A3644">
            <w:pPr>
              <w:spacing w:after="0" w:line="240" w:lineRule="auto"/>
              <w:rPr>
                <w:b/>
                <w:bCs/>
                <w:sz w:val="24"/>
                <w:szCs w:val="24"/>
              </w:rPr>
            </w:pPr>
            <w:r w:rsidRPr="007A3644">
              <w:rPr>
                <w:b/>
                <w:bCs/>
                <w:sz w:val="24"/>
                <w:szCs w:val="24"/>
              </w:rPr>
              <w:t>Total</w:t>
            </w:r>
          </w:p>
        </w:tc>
        <w:tc>
          <w:tcPr>
            <w:tcW w:w="2155" w:type="dxa"/>
            <w:tcBorders>
              <w:top w:val="nil"/>
              <w:left w:val="nil"/>
              <w:bottom w:val="single" w:sz="4" w:space="0" w:color="auto"/>
              <w:right w:val="single" w:sz="4" w:space="0" w:color="auto"/>
            </w:tcBorders>
            <w:shd w:val="clear" w:color="auto" w:fill="auto"/>
            <w:noWrap/>
            <w:vAlign w:val="center"/>
            <w:hideMark/>
          </w:tcPr>
          <w:p w14:paraId="5EDC2A87" w14:textId="77777777" w:rsidR="007A3644" w:rsidRPr="007A3644" w:rsidRDefault="007A3644" w:rsidP="00603408">
            <w:pPr>
              <w:spacing w:after="0" w:line="240" w:lineRule="auto"/>
              <w:jc w:val="right"/>
              <w:rPr>
                <w:b/>
                <w:bCs/>
                <w:sz w:val="24"/>
                <w:szCs w:val="24"/>
              </w:rPr>
            </w:pPr>
            <w:r w:rsidRPr="007A3644">
              <w:rPr>
                <w:b/>
                <w:bCs/>
                <w:sz w:val="24"/>
                <w:szCs w:val="24"/>
              </w:rPr>
              <w:t>4,414</w:t>
            </w:r>
          </w:p>
        </w:tc>
        <w:tc>
          <w:tcPr>
            <w:tcW w:w="4235" w:type="dxa"/>
            <w:tcBorders>
              <w:top w:val="nil"/>
              <w:left w:val="nil"/>
              <w:bottom w:val="single" w:sz="4" w:space="0" w:color="auto"/>
              <w:right w:val="single" w:sz="4" w:space="0" w:color="auto"/>
            </w:tcBorders>
            <w:shd w:val="clear" w:color="auto" w:fill="auto"/>
            <w:noWrap/>
            <w:vAlign w:val="center"/>
            <w:hideMark/>
          </w:tcPr>
          <w:p w14:paraId="3F585648" w14:textId="77777777" w:rsidR="007A3644" w:rsidRPr="007A3644" w:rsidRDefault="007A3644" w:rsidP="00603408">
            <w:pPr>
              <w:spacing w:after="0" w:line="240" w:lineRule="auto"/>
              <w:jc w:val="right"/>
              <w:rPr>
                <w:b/>
                <w:bCs/>
                <w:sz w:val="24"/>
                <w:szCs w:val="24"/>
              </w:rPr>
            </w:pPr>
            <w:r w:rsidRPr="007A3644">
              <w:rPr>
                <w:b/>
                <w:bCs/>
                <w:sz w:val="24"/>
                <w:szCs w:val="24"/>
              </w:rPr>
              <w:t>15,587</w:t>
            </w:r>
          </w:p>
        </w:tc>
      </w:tr>
    </w:tbl>
    <w:p w14:paraId="71DF3DDD" w14:textId="77777777" w:rsidR="001938CA" w:rsidRDefault="001938CA" w:rsidP="001938CA">
      <w:pPr>
        <w:pStyle w:val="ListParagraph"/>
        <w:spacing w:after="0" w:line="240" w:lineRule="auto"/>
        <w:ind w:left="360"/>
        <w:rPr>
          <w:b/>
          <w:bCs/>
          <w:sz w:val="24"/>
          <w:szCs w:val="24"/>
        </w:rPr>
      </w:pPr>
    </w:p>
    <w:p w14:paraId="30AAFC65" w14:textId="5BA55CA0" w:rsidR="007A3644" w:rsidRPr="007A3644" w:rsidRDefault="007A3644" w:rsidP="006B605A">
      <w:pPr>
        <w:pStyle w:val="ListParagraph"/>
        <w:numPr>
          <w:ilvl w:val="0"/>
          <w:numId w:val="16"/>
        </w:numPr>
        <w:spacing w:after="0" w:line="240" w:lineRule="auto"/>
        <w:rPr>
          <w:b/>
          <w:bCs/>
          <w:sz w:val="24"/>
          <w:szCs w:val="24"/>
        </w:rPr>
      </w:pPr>
      <w:r w:rsidRPr="007A3644">
        <w:rPr>
          <w:b/>
          <w:bCs/>
          <w:sz w:val="24"/>
          <w:szCs w:val="24"/>
        </w:rPr>
        <w:t xml:space="preserve">Need to Meet Future Need: Projections Over the Next 5 </w:t>
      </w:r>
      <w:r>
        <w:rPr>
          <w:b/>
          <w:bCs/>
          <w:sz w:val="24"/>
          <w:szCs w:val="24"/>
        </w:rPr>
        <w:t>Y</w:t>
      </w:r>
      <w:r w:rsidRPr="007A3644">
        <w:rPr>
          <w:b/>
          <w:bCs/>
          <w:sz w:val="24"/>
          <w:szCs w:val="24"/>
        </w:rPr>
        <w:t>ears</w:t>
      </w:r>
    </w:p>
    <w:p w14:paraId="52694D8E" w14:textId="77777777" w:rsidR="007A3644" w:rsidRPr="007A3644" w:rsidRDefault="007A3644" w:rsidP="007A3644">
      <w:pPr>
        <w:spacing w:after="0" w:line="240" w:lineRule="auto"/>
        <w:rPr>
          <w:b/>
          <w:bCs/>
          <w:sz w:val="24"/>
          <w:szCs w:val="24"/>
        </w:rPr>
      </w:pPr>
    </w:p>
    <w:bookmarkEnd w:id="17"/>
    <w:p w14:paraId="2AA17041" w14:textId="2DB1177F" w:rsidR="007A3644" w:rsidRDefault="007A3644" w:rsidP="007A3644">
      <w:pPr>
        <w:spacing w:after="0" w:line="240" w:lineRule="auto"/>
        <w:rPr>
          <w:sz w:val="24"/>
          <w:szCs w:val="24"/>
        </w:rPr>
      </w:pPr>
      <w:r w:rsidRPr="007A3644">
        <w:rPr>
          <w:sz w:val="24"/>
          <w:szCs w:val="24"/>
        </w:rPr>
        <w:t xml:space="preserve">The Applicant states that the need for the Proposed Project is also supported by projected demand and is based on a comprehensive Atrius </w:t>
      </w:r>
      <w:r w:rsidR="00954166">
        <w:rPr>
          <w:sz w:val="24"/>
          <w:szCs w:val="24"/>
        </w:rPr>
        <w:t xml:space="preserve">Health </w:t>
      </w:r>
      <w:r w:rsidRPr="007A3644">
        <w:rPr>
          <w:sz w:val="24"/>
          <w:szCs w:val="24"/>
        </w:rPr>
        <w:t xml:space="preserve">Commissioned </w:t>
      </w:r>
      <w:r w:rsidR="00954166">
        <w:rPr>
          <w:sz w:val="24"/>
          <w:szCs w:val="24"/>
        </w:rPr>
        <w:t xml:space="preserve">2019 </w:t>
      </w:r>
      <w:r w:rsidRPr="007A3644">
        <w:rPr>
          <w:sz w:val="24"/>
          <w:szCs w:val="24"/>
        </w:rPr>
        <w:t>study</w:t>
      </w:r>
      <w:r w:rsidR="00954166">
        <w:rPr>
          <w:rStyle w:val="FootnoteReference"/>
          <w:sz w:val="24"/>
          <w:szCs w:val="24"/>
        </w:rPr>
        <w:footnoteReference w:id="10"/>
      </w:r>
      <w:r w:rsidRPr="007A3644">
        <w:rPr>
          <w:sz w:val="24"/>
          <w:szCs w:val="24"/>
        </w:rPr>
        <w:t xml:space="preserve"> </w:t>
      </w:r>
      <w:r w:rsidR="00997ACA">
        <w:rPr>
          <w:sz w:val="24"/>
          <w:szCs w:val="24"/>
        </w:rPr>
        <w:t>following its</w:t>
      </w:r>
      <w:r w:rsidRPr="007A3644">
        <w:rPr>
          <w:sz w:val="24"/>
          <w:szCs w:val="24"/>
        </w:rPr>
        <w:t xml:space="preserve"> decision to consolidate the 6 PMG practice locations. The Study identified </w:t>
      </w:r>
      <w:r w:rsidR="009954CF">
        <w:rPr>
          <w:sz w:val="24"/>
          <w:szCs w:val="24"/>
        </w:rPr>
        <w:t xml:space="preserve">which </w:t>
      </w:r>
      <w:r w:rsidRPr="007A3644">
        <w:rPr>
          <w:sz w:val="24"/>
          <w:szCs w:val="24"/>
        </w:rPr>
        <w:t xml:space="preserve">ancillary services </w:t>
      </w:r>
      <w:r w:rsidR="00736099">
        <w:rPr>
          <w:sz w:val="24"/>
          <w:szCs w:val="24"/>
        </w:rPr>
        <w:t>it should</w:t>
      </w:r>
      <w:r w:rsidRPr="007A3644">
        <w:rPr>
          <w:sz w:val="24"/>
          <w:szCs w:val="24"/>
        </w:rPr>
        <w:t xml:space="preserve"> provide at the new </w:t>
      </w:r>
      <w:r w:rsidR="007F1109" w:rsidRPr="007A3644">
        <w:rPr>
          <w:sz w:val="24"/>
          <w:szCs w:val="24"/>
        </w:rPr>
        <w:t>location and</w:t>
      </w:r>
      <w:r w:rsidRPr="007A3644">
        <w:rPr>
          <w:sz w:val="24"/>
          <w:szCs w:val="24"/>
        </w:rPr>
        <w:t xml:space="preserve"> </w:t>
      </w:r>
      <w:r w:rsidR="00736099">
        <w:rPr>
          <w:sz w:val="24"/>
          <w:szCs w:val="24"/>
        </w:rPr>
        <w:t xml:space="preserve">also </w:t>
      </w:r>
      <w:r w:rsidRPr="007A3644">
        <w:rPr>
          <w:sz w:val="24"/>
          <w:szCs w:val="24"/>
        </w:rPr>
        <w:t xml:space="preserve">projected </w:t>
      </w:r>
      <w:r w:rsidR="00736099">
        <w:rPr>
          <w:sz w:val="24"/>
          <w:szCs w:val="24"/>
        </w:rPr>
        <w:t xml:space="preserve">that </w:t>
      </w:r>
      <w:r w:rsidRPr="007A3644">
        <w:rPr>
          <w:sz w:val="24"/>
          <w:szCs w:val="24"/>
        </w:rPr>
        <w:t xml:space="preserve">the overall patient volume at the Plymouth </w:t>
      </w:r>
      <w:r w:rsidR="009954CF">
        <w:rPr>
          <w:sz w:val="24"/>
          <w:szCs w:val="24"/>
        </w:rPr>
        <w:t>Clinic</w:t>
      </w:r>
      <w:r w:rsidRPr="007A3644">
        <w:rPr>
          <w:sz w:val="24"/>
          <w:szCs w:val="24"/>
        </w:rPr>
        <w:t xml:space="preserve"> </w:t>
      </w:r>
      <w:r w:rsidR="00997ACA">
        <w:rPr>
          <w:sz w:val="24"/>
          <w:szCs w:val="24"/>
        </w:rPr>
        <w:t>will</w:t>
      </w:r>
      <w:r w:rsidRPr="007A3644">
        <w:rPr>
          <w:sz w:val="24"/>
          <w:szCs w:val="24"/>
        </w:rPr>
        <w:t xml:space="preserve"> grow over the next five years, causing MRI and CT utilization need to increase proportionately. </w:t>
      </w:r>
    </w:p>
    <w:p w14:paraId="327D124A" w14:textId="77777777" w:rsidR="007A3644" w:rsidRPr="007A3644" w:rsidRDefault="007A3644" w:rsidP="007A3644">
      <w:pPr>
        <w:spacing w:after="0" w:line="240" w:lineRule="auto"/>
        <w:rPr>
          <w:sz w:val="24"/>
          <w:szCs w:val="24"/>
        </w:rPr>
      </w:pPr>
    </w:p>
    <w:p w14:paraId="0E5C44FC" w14:textId="13A1BD40" w:rsidR="007A3644" w:rsidRDefault="007F1109" w:rsidP="007A3644">
      <w:pPr>
        <w:spacing w:after="0" w:line="240" w:lineRule="auto"/>
        <w:rPr>
          <w:sz w:val="24"/>
          <w:szCs w:val="24"/>
        </w:rPr>
      </w:pPr>
      <w:r>
        <w:rPr>
          <w:sz w:val="24"/>
          <w:szCs w:val="24"/>
        </w:rPr>
        <w:t xml:space="preserve">Based on </w:t>
      </w:r>
      <w:r w:rsidR="007A3644" w:rsidRPr="007A3644">
        <w:rPr>
          <w:sz w:val="24"/>
          <w:szCs w:val="24"/>
        </w:rPr>
        <w:t xml:space="preserve">Atrius Health’s experience </w:t>
      </w:r>
      <w:r w:rsidR="005D0002">
        <w:rPr>
          <w:sz w:val="24"/>
          <w:szCs w:val="24"/>
        </w:rPr>
        <w:t xml:space="preserve">related to </w:t>
      </w:r>
      <w:r w:rsidR="007A3644" w:rsidRPr="007A3644">
        <w:rPr>
          <w:sz w:val="24"/>
          <w:szCs w:val="24"/>
        </w:rPr>
        <w:t>open</w:t>
      </w:r>
      <w:r w:rsidR="005D0002">
        <w:rPr>
          <w:sz w:val="24"/>
          <w:szCs w:val="24"/>
        </w:rPr>
        <w:t>ing</w:t>
      </w:r>
      <w:r w:rsidR="007A3644" w:rsidRPr="007A3644">
        <w:rPr>
          <w:sz w:val="24"/>
          <w:szCs w:val="24"/>
        </w:rPr>
        <w:t xml:space="preserve"> ultrasound services in Plymouth,</w:t>
      </w:r>
      <w:r>
        <w:rPr>
          <w:sz w:val="24"/>
          <w:szCs w:val="24"/>
        </w:rPr>
        <w:t xml:space="preserve"> it anticipates that </w:t>
      </w:r>
      <w:r w:rsidR="007A3644" w:rsidRPr="007A3644">
        <w:rPr>
          <w:sz w:val="24"/>
          <w:szCs w:val="24"/>
        </w:rPr>
        <w:t xml:space="preserve">75% of the </w:t>
      </w:r>
      <w:r>
        <w:rPr>
          <w:sz w:val="24"/>
          <w:szCs w:val="24"/>
        </w:rPr>
        <w:t xml:space="preserve">MRI and CT </w:t>
      </w:r>
      <w:r w:rsidR="007A3644" w:rsidRPr="007A3644">
        <w:rPr>
          <w:sz w:val="24"/>
          <w:szCs w:val="24"/>
        </w:rPr>
        <w:t xml:space="preserve">orders </w:t>
      </w:r>
      <w:r>
        <w:rPr>
          <w:sz w:val="24"/>
          <w:szCs w:val="24"/>
        </w:rPr>
        <w:t xml:space="preserve">will be </w:t>
      </w:r>
      <w:r w:rsidR="007A3644" w:rsidRPr="007A3644">
        <w:rPr>
          <w:sz w:val="24"/>
          <w:szCs w:val="24"/>
        </w:rPr>
        <w:t xml:space="preserve">fulfilled at the Plymouth </w:t>
      </w:r>
      <w:r w:rsidR="003E70BE">
        <w:rPr>
          <w:sz w:val="24"/>
          <w:szCs w:val="24"/>
        </w:rPr>
        <w:t>Clinic</w:t>
      </w:r>
      <w:r>
        <w:rPr>
          <w:sz w:val="24"/>
          <w:szCs w:val="24"/>
        </w:rPr>
        <w:t>.</w:t>
      </w:r>
    </w:p>
    <w:p w14:paraId="68EF3D44" w14:textId="77777777" w:rsidR="007A3644" w:rsidRPr="007A3644" w:rsidRDefault="007A3644" w:rsidP="007A3644">
      <w:pPr>
        <w:spacing w:after="0" w:line="240" w:lineRule="auto"/>
        <w:rPr>
          <w:sz w:val="24"/>
          <w:szCs w:val="24"/>
        </w:rPr>
      </w:pPr>
    </w:p>
    <w:bookmarkEnd w:id="18"/>
    <w:p w14:paraId="04CF2316" w14:textId="450CF8E2" w:rsidR="007A3644" w:rsidRDefault="007A3644" w:rsidP="007A3644">
      <w:pPr>
        <w:spacing w:after="0" w:line="240" w:lineRule="auto"/>
        <w:jc w:val="center"/>
        <w:rPr>
          <w:b/>
          <w:sz w:val="24"/>
          <w:szCs w:val="24"/>
        </w:rPr>
      </w:pPr>
      <w:r w:rsidRPr="007A3644">
        <w:rPr>
          <w:b/>
          <w:sz w:val="24"/>
          <w:szCs w:val="24"/>
        </w:rPr>
        <w:t>Table</w:t>
      </w:r>
      <w:r w:rsidR="009954CF">
        <w:rPr>
          <w:b/>
          <w:sz w:val="24"/>
          <w:szCs w:val="24"/>
        </w:rPr>
        <w:t xml:space="preserve"> 6: </w:t>
      </w:r>
      <w:r w:rsidRPr="007A3644">
        <w:rPr>
          <w:b/>
          <w:sz w:val="24"/>
          <w:szCs w:val="24"/>
        </w:rPr>
        <w:t xml:space="preserve">Projections of the Number of MRI and </w:t>
      </w:r>
      <w:r w:rsidR="002430CD" w:rsidRPr="007A3644">
        <w:rPr>
          <w:b/>
          <w:sz w:val="24"/>
          <w:szCs w:val="24"/>
        </w:rPr>
        <w:t xml:space="preserve">CT </w:t>
      </w:r>
      <w:r w:rsidR="002430CD">
        <w:rPr>
          <w:b/>
          <w:sz w:val="24"/>
          <w:szCs w:val="24"/>
        </w:rPr>
        <w:t>Scans</w:t>
      </w:r>
      <w:r w:rsidRPr="007A3644">
        <w:rPr>
          <w:b/>
          <w:sz w:val="24"/>
          <w:szCs w:val="24"/>
        </w:rPr>
        <w:t xml:space="preserve"> at the Plymouth </w:t>
      </w:r>
      <w:r w:rsidR="0012451D">
        <w:rPr>
          <w:b/>
          <w:sz w:val="24"/>
          <w:szCs w:val="24"/>
        </w:rPr>
        <w:t>Clinic</w:t>
      </w:r>
    </w:p>
    <w:p w14:paraId="4F0B0E94" w14:textId="77777777" w:rsidR="007A3644" w:rsidRPr="007A3644" w:rsidRDefault="007A3644" w:rsidP="007A3644">
      <w:pPr>
        <w:spacing w:after="0" w:line="240" w:lineRule="auto"/>
        <w:jc w:val="center"/>
        <w:rPr>
          <w:sz w:val="24"/>
          <w:szCs w:val="24"/>
        </w:rPr>
      </w:pPr>
    </w:p>
    <w:p w14:paraId="67E913F8" w14:textId="73B00BFA" w:rsidR="007A3644" w:rsidRDefault="007A3644" w:rsidP="007A3644">
      <w:pPr>
        <w:spacing w:after="0" w:line="240" w:lineRule="auto"/>
        <w:rPr>
          <w:sz w:val="24"/>
          <w:szCs w:val="24"/>
        </w:rPr>
      </w:pPr>
    </w:p>
    <w:tbl>
      <w:tblPr>
        <w:tblW w:w="7450" w:type="dxa"/>
        <w:jc w:val="center"/>
        <w:tblLook w:val="04A0" w:firstRow="1" w:lastRow="0" w:firstColumn="1" w:lastColumn="0" w:noHBand="0" w:noVBand="1"/>
      </w:tblPr>
      <w:tblGrid>
        <w:gridCol w:w="1691"/>
        <w:gridCol w:w="1087"/>
        <w:gridCol w:w="960"/>
        <w:gridCol w:w="928"/>
        <w:gridCol w:w="928"/>
        <w:gridCol w:w="928"/>
        <w:gridCol w:w="928"/>
      </w:tblGrid>
      <w:tr w:rsidR="0012451D" w:rsidRPr="002C7773" w14:paraId="174809E7" w14:textId="77777777" w:rsidTr="00AD4236">
        <w:trPr>
          <w:trHeight w:val="310"/>
          <w:jc w:val="center"/>
        </w:trPr>
        <w:tc>
          <w:tcPr>
            <w:tcW w:w="1690" w:type="dxa"/>
            <w:tcBorders>
              <w:top w:val="single" w:sz="4" w:space="0" w:color="auto"/>
              <w:left w:val="single" w:sz="4" w:space="0" w:color="auto"/>
              <w:bottom w:val="single" w:sz="4" w:space="0" w:color="auto"/>
              <w:right w:val="single" w:sz="4" w:space="0" w:color="auto"/>
            </w:tcBorders>
            <w:shd w:val="clear" w:color="000000" w:fill="EBFFFF"/>
            <w:vAlign w:val="center"/>
            <w:hideMark/>
          </w:tcPr>
          <w:p w14:paraId="0D363C12" w14:textId="77777777" w:rsidR="0012451D" w:rsidRPr="002C7773" w:rsidRDefault="0012451D" w:rsidP="002C7773">
            <w:pPr>
              <w:spacing w:after="0" w:line="240" w:lineRule="auto"/>
              <w:rPr>
                <w:rFonts w:ascii="Calibri" w:eastAsia="Times New Roman" w:hAnsi="Calibri" w:cs="Calibri"/>
                <w:b/>
                <w:bCs/>
                <w:color w:val="000000"/>
                <w:sz w:val="24"/>
                <w:szCs w:val="24"/>
              </w:rPr>
            </w:pPr>
            <w:r w:rsidRPr="002C7773">
              <w:rPr>
                <w:rFonts w:ascii="Calibri" w:eastAsia="Times New Roman" w:hAnsi="Calibri" w:cs="Calibri"/>
                <w:b/>
                <w:bCs/>
                <w:sz w:val="24"/>
                <w:szCs w:val="24"/>
              </w:rPr>
              <w:t>Modality</w:t>
            </w:r>
          </w:p>
        </w:tc>
        <w:tc>
          <w:tcPr>
            <w:tcW w:w="960" w:type="dxa"/>
            <w:tcBorders>
              <w:top w:val="single" w:sz="4" w:space="0" w:color="auto"/>
              <w:left w:val="nil"/>
              <w:bottom w:val="single" w:sz="4" w:space="0" w:color="auto"/>
              <w:right w:val="single" w:sz="4" w:space="0" w:color="auto"/>
            </w:tcBorders>
            <w:shd w:val="clear" w:color="000000" w:fill="EBFFFF"/>
          </w:tcPr>
          <w:p w14:paraId="2313D48B" w14:textId="57E26284" w:rsidR="0012451D" w:rsidRPr="002C7773" w:rsidRDefault="0012451D" w:rsidP="002C7773">
            <w:pPr>
              <w:spacing w:after="0" w:line="240" w:lineRule="auto"/>
              <w:jc w:val="center"/>
              <w:rPr>
                <w:rFonts w:ascii="Calibri" w:eastAsia="Times New Roman" w:hAnsi="Calibri" w:cs="Calibri"/>
                <w:b/>
                <w:bCs/>
                <w:sz w:val="24"/>
                <w:szCs w:val="24"/>
              </w:rPr>
            </w:pPr>
            <w:r>
              <w:rPr>
                <w:rFonts w:ascii="Calibri" w:eastAsia="Times New Roman" w:hAnsi="Calibri" w:cs="Calibri"/>
                <w:b/>
                <w:bCs/>
                <w:sz w:val="24"/>
                <w:szCs w:val="24"/>
              </w:rPr>
              <w:t>21-22 Order Volumes</w:t>
            </w:r>
          </w:p>
        </w:tc>
        <w:tc>
          <w:tcPr>
            <w:tcW w:w="960" w:type="dxa"/>
            <w:tcBorders>
              <w:top w:val="single" w:sz="4" w:space="0" w:color="auto"/>
              <w:left w:val="single" w:sz="4" w:space="0" w:color="auto"/>
              <w:bottom w:val="single" w:sz="4" w:space="0" w:color="auto"/>
              <w:right w:val="single" w:sz="4" w:space="0" w:color="auto"/>
            </w:tcBorders>
            <w:shd w:val="clear" w:color="000000" w:fill="EBFFFF"/>
            <w:vAlign w:val="center"/>
          </w:tcPr>
          <w:p w14:paraId="74AB3442" w14:textId="585A7357" w:rsidR="0012451D" w:rsidRPr="002C7773" w:rsidRDefault="0029192C" w:rsidP="002C7773">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2024</w:t>
            </w:r>
          </w:p>
        </w:tc>
        <w:tc>
          <w:tcPr>
            <w:tcW w:w="960" w:type="dxa"/>
            <w:tcBorders>
              <w:top w:val="single" w:sz="4" w:space="0" w:color="auto"/>
              <w:left w:val="nil"/>
              <w:bottom w:val="single" w:sz="4" w:space="0" w:color="auto"/>
              <w:right w:val="single" w:sz="4" w:space="0" w:color="auto"/>
            </w:tcBorders>
            <w:shd w:val="clear" w:color="000000" w:fill="EBFFFF"/>
            <w:vAlign w:val="center"/>
          </w:tcPr>
          <w:p w14:paraId="6700D13E" w14:textId="1A580AB9" w:rsidR="0012451D" w:rsidRPr="002C7773" w:rsidRDefault="0029192C" w:rsidP="002C7773">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2025</w:t>
            </w:r>
          </w:p>
        </w:tc>
        <w:tc>
          <w:tcPr>
            <w:tcW w:w="960" w:type="dxa"/>
            <w:tcBorders>
              <w:top w:val="single" w:sz="4" w:space="0" w:color="auto"/>
              <w:left w:val="nil"/>
              <w:bottom w:val="single" w:sz="4" w:space="0" w:color="auto"/>
              <w:right w:val="single" w:sz="4" w:space="0" w:color="auto"/>
            </w:tcBorders>
            <w:shd w:val="clear" w:color="000000" w:fill="EBFFFF"/>
            <w:vAlign w:val="center"/>
          </w:tcPr>
          <w:p w14:paraId="25682EBC" w14:textId="4600FE44" w:rsidR="0012451D" w:rsidRPr="002C7773" w:rsidRDefault="0029192C" w:rsidP="002C7773">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2026</w:t>
            </w:r>
          </w:p>
        </w:tc>
        <w:tc>
          <w:tcPr>
            <w:tcW w:w="960" w:type="dxa"/>
            <w:tcBorders>
              <w:top w:val="single" w:sz="4" w:space="0" w:color="auto"/>
              <w:left w:val="nil"/>
              <w:bottom w:val="single" w:sz="4" w:space="0" w:color="auto"/>
              <w:right w:val="single" w:sz="4" w:space="0" w:color="auto"/>
            </w:tcBorders>
            <w:shd w:val="clear" w:color="000000" w:fill="EBFFFF"/>
            <w:vAlign w:val="center"/>
          </w:tcPr>
          <w:p w14:paraId="28D5BBC3" w14:textId="02DBA535" w:rsidR="0012451D" w:rsidRPr="002C7773" w:rsidRDefault="0029192C" w:rsidP="002C7773">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2027</w:t>
            </w:r>
          </w:p>
        </w:tc>
        <w:tc>
          <w:tcPr>
            <w:tcW w:w="960" w:type="dxa"/>
            <w:tcBorders>
              <w:top w:val="single" w:sz="4" w:space="0" w:color="auto"/>
              <w:left w:val="nil"/>
              <w:bottom w:val="single" w:sz="4" w:space="0" w:color="auto"/>
              <w:right w:val="single" w:sz="4" w:space="0" w:color="auto"/>
            </w:tcBorders>
            <w:shd w:val="clear" w:color="000000" w:fill="EBFFFF"/>
            <w:vAlign w:val="center"/>
          </w:tcPr>
          <w:p w14:paraId="2A90FD09" w14:textId="750DD853" w:rsidR="0012451D" w:rsidRPr="002C7773" w:rsidRDefault="0029192C" w:rsidP="002C7773">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2028</w:t>
            </w:r>
          </w:p>
        </w:tc>
      </w:tr>
      <w:tr w:rsidR="0012451D" w:rsidRPr="002C7773" w14:paraId="4DA5FB63" w14:textId="77777777" w:rsidTr="0012451D">
        <w:trPr>
          <w:trHeight w:val="310"/>
          <w:jc w:val="center"/>
        </w:trPr>
        <w:tc>
          <w:tcPr>
            <w:tcW w:w="1690" w:type="dxa"/>
            <w:tcBorders>
              <w:top w:val="nil"/>
              <w:left w:val="single" w:sz="4" w:space="0" w:color="auto"/>
              <w:bottom w:val="single" w:sz="4" w:space="0" w:color="auto"/>
              <w:right w:val="single" w:sz="4" w:space="0" w:color="auto"/>
            </w:tcBorders>
            <w:shd w:val="clear" w:color="auto" w:fill="auto"/>
            <w:vAlign w:val="center"/>
            <w:hideMark/>
          </w:tcPr>
          <w:p w14:paraId="41B0AF45" w14:textId="77777777" w:rsidR="0012451D" w:rsidRPr="002C7773" w:rsidRDefault="0012451D" w:rsidP="002C7773">
            <w:pPr>
              <w:spacing w:after="0" w:line="240" w:lineRule="auto"/>
              <w:rPr>
                <w:rFonts w:ascii="Calibri" w:eastAsia="Times New Roman" w:hAnsi="Calibri" w:cs="Calibri"/>
                <w:b/>
                <w:bCs/>
                <w:color w:val="000000"/>
                <w:sz w:val="24"/>
                <w:szCs w:val="24"/>
              </w:rPr>
            </w:pPr>
            <w:r w:rsidRPr="002C7773">
              <w:rPr>
                <w:rFonts w:ascii="Calibri" w:eastAsia="Times New Roman" w:hAnsi="Calibri" w:cs="Calibri"/>
                <w:b/>
                <w:bCs/>
                <w:color w:val="000000"/>
                <w:sz w:val="24"/>
                <w:szCs w:val="24"/>
              </w:rPr>
              <w:t>MRI Scans</w:t>
            </w:r>
          </w:p>
        </w:tc>
        <w:tc>
          <w:tcPr>
            <w:tcW w:w="960" w:type="dxa"/>
            <w:tcBorders>
              <w:top w:val="single" w:sz="4" w:space="0" w:color="auto"/>
              <w:left w:val="nil"/>
              <w:bottom w:val="single" w:sz="4" w:space="0" w:color="auto"/>
              <w:right w:val="single" w:sz="4" w:space="0" w:color="auto"/>
            </w:tcBorders>
          </w:tcPr>
          <w:p w14:paraId="7AD867FF" w14:textId="4041FA1C" w:rsidR="0012451D" w:rsidRPr="002C7773" w:rsidRDefault="0012451D" w:rsidP="002C7773">
            <w:pPr>
              <w:spacing w:after="0" w:line="240" w:lineRule="auto"/>
              <w:jc w:val="right"/>
              <w:rPr>
                <w:rFonts w:ascii="Calibri" w:eastAsia="Times New Roman" w:hAnsi="Calibri" w:cs="Calibri"/>
                <w:color w:val="000000"/>
                <w:sz w:val="24"/>
                <w:szCs w:val="24"/>
              </w:rPr>
            </w:pPr>
            <w:r w:rsidRPr="0012451D">
              <w:rPr>
                <w:rFonts w:ascii="Calibri" w:eastAsia="Times New Roman" w:hAnsi="Calibri" w:cs="Calibri"/>
                <w:color w:val="000000"/>
                <w:sz w:val="24"/>
                <w:szCs w:val="24"/>
              </w:rPr>
              <w:t xml:space="preserve">1286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240C76E" w14:textId="3C9D5526"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956</w:t>
            </w:r>
          </w:p>
        </w:tc>
        <w:tc>
          <w:tcPr>
            <w:tcW w:w="960" w:type="dxa"/>
            <w:tcBorders>
              <w:top w:val="nil"/>
              <w:left w:val="nil"/>
              <w:bottom w:val="single" w:sz="4" w:space="0" w:color="auto"/>
              <w:right w:val="single" w:sz="4" w:space="0" w:color="auto"/>
            </w:tcBorders>
            <w:shd w:val="clear" w:color="auto" w:fill="auto"/>
            <w:vAlign w:val="center"/>
            <w:hideMark/>
          </w:tcPr>
          <w:p w14:paraId="7A2F86DF"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1,173</w:t>
            </w:r>
          </w:p>
        </w:tc>
        <w:tc>
          <w:tcPr>
            <w:tcW w:w="960" w:type="dxa"/>
            <w:tcBorders>
              <w:top w:val="nil"/>
              <w:left w:val="nil"/>
              <w:bottom w:val="single" w:sz="4" w:space="0" w:color="auto"/>
              <w:right w:val="single" w:sz="4" w:space="0" w:color="auto"/>
            </w:tcBorders>
            <w:shd w:val="clear" w:color="auto" w:fill="auto"/>
            <w:vAlign w:val="center"/>
            <w:hideMark/>
          </w:tcPr>
          <w:p w14:paraId="0C5616E5"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1,537</w:t>
            </w:r>
          </w:p>
        </w:tc>
        <w:tc>
          <w:tcPr>
            <w:tcW w:w="960" w:type="dxa"/>
            <w:tcBorders>
              <w:top w:val="nil"/>
              <w:left w:val="nil"/>
              <w:bottom w:val="single" w:sz="4" w:space="0" w:color="auto"/>
              <w:right w:val="single" w:sz="4" w:space="0" w:color="auto"/>
            </w:tcBorders>
            <w:shd w:val="clear" w:color="auto" w:fill="auto"/>
            <w:vAlign w:val="center"/>
            <w:hideMark/>
          </w:tcPr>
          <w:p w14:paraId="5DB908A9"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1,611</w:t>
            </w:r>
          </w:p>
        </w:tc>
        <w:tc>
          <w:tcPr>
            <w:tcW w:w="960" w:type="dxa"/>
            <w:tcBorders>
              <w:top w:val="nil"/>
              <w:left w:val="nil"/>
              <w:bottom w:val="single" w:sz="4" w:space="0" w:color="auto"/>
              <w:right w:val="single" w:sz="4" w:space="0" w:color="auto"/>
            </w:tcBorders>
            <w:shd w:val="clear" w:color="auto" w:fill="auto"/>
            <w:vAlign w:val="center"/>
            <w:hideMark/>
          </w:tcPr>
          <w:p w14:paraId="1E8E2173"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1,626</w:t>
            </w:r>
          </w:p>
        </w:tc>
      </w:tr>
      <w:tr w:rsidR="0012451D" w:rsidRPr="002C7773" w14:paraId="36F3E793" w14:textId="77777777" w:rsidTr="0012451D">
        <w:trPr>
          <w:trHeight w:val="310"/>
          <w:jc w:val="center"/>
        </w:trPr>
        <w:tc>
          <w:tcPr>
            <w:tcW w:w="1690" w:type="dxa"/>
            <w:tcBorders>
              <w:top w:val="nil"/>
              <w:left w:val="single" w:sz="4" w:space="0" w:color="auto"/>
              <w:bottom w:val="single" w:sz="4" w:space="0" w:color="auto"/>
              <w:right w:val="single" w:sz="4" w:space="0" w:color="auto"/>
            </w:tcBorders>
            <w:shd w:val="clear" w:color="auto" w:fill="auto"/>
            <w:vAlign w:val="center"/>
            <w:hideMark/>
          </w:tcPr>
          <w:p w14:paraId="73A9F129" w14:textId="77777777" w:rsidR="0012451D" w:rsidRPr="002C7773" w:rsidRDefault="0012451D" w:rsidP="002C7773">
            <w:pPr>
              <w:spacing w:after="0" w:line="240" w:lineRule="auto"/>
              <w:rPr>
                <w:rFonts w:ascii="Calibri" w:eastAsia="Times New Roman" w:hAnsi="Calibri" w:cs="Calibri"/>
                <w:b/>
                <w:bCs/>
                <w:color w:val="000000"/>
                <w:sz w:val="24"/>
                <w:szCs w:val="24"/>
              </w:rPr>
            </w:pPr>
            <w:r w:rsidRPr="002C7773">
              <w:rPr>
                <w:rFonts w:ascii="Calibri" w:eastAsia="Times New Roman" w:hAnsi="Calibri" w:cs="Calibri"/>
                <w:b/>
                <w:bCs/>
                <w:color w:val="000000"/>
                <w:sz w:val="24"/>
                <w:szCs w:val="24"/>
              </w:rPr>
              <w:t>% Growth</w:t>
            </w:r>
          </w:p>
        </w:tc>
        <w:tc>
          <w:tcPr>
            <w:tcW w:w="960" w:type="dxa"/>
            <w:tcBorders>
              <w:top w:val="single" w:sz="4" w:space="0" w:color="auto"/>
              <w:left w:val="nil"/>
              <w:bottom w:val="single" w:sz="4" w:space="0" w:color="auto"/>
              <w:right w:val="single" w:sz="4" w:space="0" w:color="auto"/>
            </w:tcBorders>
          </w:tcPr>
          <w:p w14:paraId="42E73B87" w14:textId="77777777" w:rsidR="0012451D" w:rsidRPr="002C7773" w:rsidRDefault="0012451D" w:rsidP="002C7773">
            <w:pPr>
              <w:spacing w:after="0" w:line="240" w:lineRule="auto"/>
              <w:jc w:val="right"/>
              <w:rPr>
                <w:rFonts w:ascii="Calibri" w:eastAsia="Times New Roman" w:hAnsi="Calibri" w:cs="Calibri"/>
                <w:color w:val="000000"/>
                <w:sz w:val="24"/>
                <w:szCs w:val="24"/>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99596D2" w14:textId="7BBE0C8E" w:rsidR="0012451D" w:rsidRPr="002C7773" w:rsidRDefault="00771828" w:rsidP="002C7773">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-26%</w:t>
            </w:r>
            <w:r w:rsidR="0012451D" w:rsidRPr="002C7773">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AC7E9E7"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23%</w:t>
            </w:r>
          </w:p>
        </w:tc>
        <w:tc>
          <w:tcPr>
            <w:tcW w:w="960" w:type="dxa"/>
            <w:tcBorders>
              <w:top w:val="nil"/>
              <w:left w:val="nil"/>
              <w:bottom w:val="single" w:sz="4" w:space="0" w:color="auto"/>
              <w:right w:val="single" w:sz="4" w:space="0" w:color="auto"/>
            </w:tcBorders>
            <w:shd w:val="clear" w:color="auto" w:fill="auto"/>
            <w:vAlign w:val="center"/>
            <w:hideMark/>
          </w:tcPr>
          <w:p w14:paraId="4265272C"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31%</w:t>
            </w:r>
          </w:p>
        </w:tc>
        <w:tc>
          <w:tcPr>
            <w:tcW w:w="960" w:type="dxa"/>
            <w:tcBorders>
              <w:top w:val="nil"/>
              <w:left w:val="nil"/>
              <w:bottom w:val="single" w:sz="4" w:space="0" w:color="auto"/>
              <w:right w:val="single" w:sz="4" w:space="0" w:color="auto"/>
            </w:tcBorders>
            <w:shd w:val="clear" w:color="auto" w:fill="auto"/>
            <w:vAlign w:val="center"/>
            <w:hideMark/>
          </w:tcPr>
          <w:p w14:paraId="3D9C9E2C"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14:paraId="3C6CD9FF"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1%</w:t>
            </w:r>
          </w:p>
        </w:tc>
      </w:tr>
      <w:tr w:rsidR="0012451D" w:rsidRPr="002C7773" w14:paraId="1C799043" w14:textId="77777777" w:rsidTr="0012451D">
        <w:trPr>
          <w:trHeight w:val="179"/>
          <w:jc w:val="center"/>
        </w:trPr>
        <w:tc>
          <w:tcPr>
            <w:tcW w:w="1690" w:type="dxa"/>
            <w:tcBorders>
              <w:top w:val="nil"/>
              <w:left w:val="single" w:sz="4" w:space="0" w:color="auto"/>
              <w:bottom w:val="single" w:sz="4" w:space="0" w:color="auto"/>
              <w:right w:val="single" w:sz="4" w:space="0" w:color="auto"/>
            </w:tcBorders>
            <w:shd w:val="thinDiagStripe" w:color="000000" w:fill="auto"/>
            <w:vAlign w:val="center"/>
            <w:hideMark/>
          </w:tcPr>
          <w:p w14:paraId="4607C75F" w14:textId="77777777" w:rsidR="0012451D" w:rsidRPr="002C7773" w:rsidRDefault="0012451D" w:rsidP="002C7773">
            <w:pPr>
              <w:spacing w:after="0" w:line="240" w:lineRule="auto"/>
              <w:rPr>
                <w:rFonts w:ascii="Calibri" w:eastAsia="Times New Roman" w:hAnsi="Calibri" w:cs="Calibri"/>
                <w:b/>
                <w:bCs/>
                <w:color w:val="000000"/>
                <w:sz w:val="24"/>
                <w:szCs w:val="24"/>
              </w:rPr>
            </w:pPr>
            <w:r w:rsidRPr="002C7773">
              <w:rPr>
                <w:rFonts w:ascii="Calibri" w:eastAsia="Times New Roman" w:hAnsi="Calibri" w:cs="Calibri"/>
                <w:b/>
                <w:bCs/>
                <w:color w:val="000000"/>
                <w:sz w:val="24"/>
                <w:szCs w:val="24"/>
              </w:rPr>
              <w:t> </w:t>
            </w:r>
          </w:p>
        </w:tc>
        <w:tc>
          <w:tcPr>
            <w:tcW w:w="960" w:type="dxa"/>
            <w:tcBorders>
              <w:top w:val="single" w:sz="4" w:space="0" w:color="auto"/>
              <w:left w:val="nil"/>
              <w:bottom w:val="single" w:sz="4" w:space="0" w:color="auto"/>
              <w:right w:val="single" w:sz="4" w:space="0" w:color="auto"/>
            </w:tcBorders>
            <w:shd w:val="thinDiagStripe" w:color="000000" w:fill="auto"/>
          </w:tcPr>
          <w:p w14:paraId="25AFA8BB" w14:textId="77777777" w:rsidR="0012451D" w:rsidRPr="002C7773" w:rsidRDefault="0012451D" w:rsidP="002C7773">
            <w:pPr>
              <w:spacing w:after="0" w:line="240" w:lineRule="auto"/>
              <w:jc w:val="right"/>
              <w:rPr>
                <w:rFonts w:ascii="Calibri" w:eastAsia="Times New Roman" w:hAnsi="Calibri" w:cs="Calibri"/>
                <w:color w:val="000000"/>
                <w:sz w:val="24"/>
                <w:szCs w:val="24"/>
              </w:rPr>
            </w:pPr>
          </w:p>
        </w:tc>
        <w:tc>
          <w:tcPr>
            <w:tcW w:w="960" w:type="dxa"/>
            <w:tcBorders>
              <w:top w:val="nil"/>
              <w:left w:val="single" w:sz="4" w:space="0" w:color="auto"/>
              <w:bottom w:val="single" w:sz="4" w:space="0" w:color="auto"/>
              <w:right w:val="single" w:sz="4" w:space="0" w:color="auto"/>
            </w:tcBorders>
            <w:shd w:val="thinDiagStripe" w:color="000000" w:fill="auto"/>
            <w:vAlign w:val="center"/>
            <w:hideMark/>
          </w:tcPr>
          <w:p w14:paraId="3378609A" w14:textId="48EC20B5"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thinDiagStripe" w:color="000000" w:fill="auto"/>
            <w:vAlign w:val="center"/>
            <w:hideMark/>
          </w:tcPr>
          <w:p w14:paraId="2C1ECCA9"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thinDiagStripe" w:color="000000" w:fill="auto"/>
            <w:vAlign w:val="center"/>
            <w:hideMark/>
          </w:tcPr>
          <w:p w14:paraId="349E4BA2"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thinDiagStripe" w:color="000000" w:fill="auto"/>
            <w:vAlign w:val="center"/>
            <w:hideMark/>
          </w:tcPr>
          <w:p w14:paraId="37C85055"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thinDiagStripe" w:color="000000" w:fill="auto"/>
            <w:vAlign w:val="center"/>
            <w:hideMark/>
          </w:tcPr>
          <w:p w14:paraId="1ABE957D"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 </w:t>
            </w:r>
          </w:p>
        </w:tc>
      </w:tr>
      <w:tr w:rsidR="0012451D" w:rsidRPr="002C7773" w14:paraId="04601762" w14:textId="77777777" w:rsidTr="0012451D">
        <w:trPr>
          <w:trHeight w:val="310"/>
          <w:jc w:val="center"/>
        </w:trPr>
        <w:tc>
          <w:tcPr>
            <w:tcW w:w="1690" w:type="dxa"/>
            <w:tcBorders>
              <w:top w:val="nil"/>
              <w:left w:val="single" w:sz="4" w:space="0" w:color="auto"/>
              <w:bottom w:val="single" w:sz="4" w:space="0" w:color="auto"/>
              <w:right w:val="single" w:sz="4" w:space="0" w:color="auto"/>
            </w:tcBorders>
            <w:shd w:val="clear" w:color="auto" w:fill="auto"/>
            <w:vAlign w:val="center"/>
            <w:hideMark/>
          </w:tcPr>
          <w:p w14:paraId="7EA0287D" w14:textId="77777777" w:rsidR="0012451D" w:rsidRPr="002C7773" w:rsidRDefault="0012451D" w:rsidP="002C7773">
            <w:pPr>
              <w:spacing w:after="0" w:line="240" w:lineRule="auto"/>
              <w:rPr>
                <w:rFonts w:ascii="Calibri" w:eastAsia="Times New Roman" w:hAnsi="Calibri" w:cs="Calibri"/>
                <w:b/>
                <w:bCs/>
                <w:color w:val="000000"/>
                <w:sz w:val="24"/>
                <w:szCs w:val="24"/>
              </w:rPr>
            </w:pPr>
            <w:r w:rsidRPr="002C7773">
              <w:rPr>
                <w:rFonts w:ascii="Calibri" w:eastAsia="Times New Roman" w:hAnsi="Calibri" w:cs="Calibri"/>
                <w:b/>
                <w:bCs/>
                <w:color w:val="000000"/>
                <w:sz w:val="24"/>
                <w:szCs w:val="24"/>
              </w:rPr>
              <w:t>CT Scans</w:t>
            </w:r>
          </w:p>
        </w:tc>
        <w:tc>
          <w:tcPr>
            <w:tcW w:w="960" w:type="dxa"/>
            <w:tcBorders>
              <w:top w:val="single" w:sz="4" w:space="0" w:color="auto"/>
              <w:left w:val="nil"/>
              <w:bottom w:val="single" w:sz="4" w:space="0" w:color="auto"/>
              <w:right w:val="single" w:sz="4" w:space="0" w:color="auto"/>
            </w:tcBorders>
          </w:tcPr>
          <w:p w14:paraId="0566CC55" w14:textId="3E24D385" w:rsidR="0012451D" w:rsidRPr="002C7773" w:rsidRDefault="0012451D" w:rsidP="002C7773">
            <w:pPr>
              <w:spacing w:after="0" w:line="240" w:lineRule="auto"/>
              <w:jc w:val="right"/>
              <w:rPr>
                <w:rFonts w:ascii="Calibri" w:eastAsia="Times New Roman" w:hAnsi="Calibri" w:cs="Calibri"/>
                <w:color w:val="000000"/>
                <w:sz w:val="24"/>
                <w:szCs w:val="24"/>
              </w:rPr>
            </w:pPr>
            <w:r w:rsidRPr="0012451D">
              <w:rPr>
                <w:rFonts w:ascii="Calibri" w:eastAsia="Times New Roman" w:hAnsi="Calibri" w:cs="Calibri"/>
                <w:color w:val="000000"/>
                <w:sz w:val="24"/>
                <w:szCs w:val="24"/>
              </w:rPr>
              <w:t>2635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613E2E8E" w14:textId="15194488"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1,866</w:t>
            </w:r>
          </w:p>
        </w:tc>
        <w:tc>
          <w:tcPr>
            <w:tcW w:w="960" w:type="dxa"/>
            <w:tcBorders>
              <w:top w:val="nil"/>
              <w:left w:val="nil"/>
              <w:bottom w:val="single" w:sz="4" w:space="0" w:color="auto"/>
              <w:right w:val="single" w:sz="4" w:space="0" w:color="auto"/>
            </w:tcBorders>
            <w:shd w:val="clear" w:color="auto" w:fill="auto"/>
            <w:vAlign w:val="center"/>
            <w:hideMark/>
          </w:tcPr>
          <w:p w14:paraId="298CF433"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2,209</w:t>
            </w:r>
          </w:p>
        </w:tc>
        <w:tc>
          <w:tcPr>
            <w:tcW w:w="960" w:type="dxa"/>
            <w:tcBorders>
              <w:top w:val="nil"/>
              <w:left w:val="nil"/>
              <w:bottom w:val="single" w:sz="4" w:space="0" w:color="auto"/>
              <w:right w:val="single" w:sz="4" w:space="0" w:color="auto"/>
            </w:tcBorders>
            <w:shd w:val="clear" w:color="auto" w:fill="auto"/>
            <w:vAlign w:val="center"/>
            <w:hideMark/>
          </w:tcPr>
          <w:p w14:paraId="1F81109C"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2,999</w:t>
            </w:r>
          </w:p>
        </w:tc>
        <w:tc>
          <w:tcPr>
            <w:tcW w:w="960" w:type="dxa"/>
            <w:tcBorders>
              <w:top w:val="nil"/>
              <w:left w:val="nil"/>
              <w:bottom w:val="single" w:sz="4" w:space="0" w:color="auto"/>
              <w:right w:val="single" w:sz="4" w:space="0" w:color="auto"/>
            </w:tcBorders>
            <w:shd w:val="clear" w:color="auto" w:fill="auto"/>
            <w:vAlign w:val="center"/>
            <w:hideMark/>
          </w:tcPr>
          <w:p w14:paraId="35670079"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3,142</w:t>
            </w:r>
          </w:p>
        </w:tc>
        <w:tc>
          <w:tcPr>
            <w:tcW w:w="960" w:type="dxa"/>
            <w:tcBorders>
              <w:top w:val="nil"/>
              <w:left w:val="nil"/>
              <w:bottom w:val="single" w:sz="4" w:space="0" w:color="auto"/>
              <w:right w:val="single" w:sz="4" w:space="0" w:color="auto"/>
            </w:tcBorders>
            <w:shd w:val="clear" w:color="auto" w:fill="auto"/>
            <w:vAlign w:val="center"/>
            <w:hideMark/>
          </w:tcPr>
          <w:p w14:paraId="4B89E697"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3,173</w:t>
            </w:r>
          </w:p>
        </w:tc>
      </w:tr>
      <w:tr w:rsidR="0012451D" w:rsidRPr="002C7773" w14:paraId="32210E4E" w14:textId="77777777" w:rsidTr="0012451D">
        <w:trPr>
          <w:trHeight w:val="310"/>
          <w:jc w:val="center"/>
        </w:trPr>
        <w:tc>
          <w:tcPr>
            <w:tcW w:w="1690" w:type="dxa"/>
            <w:tcBorders>
              <w:top w:val="nil"/>
              <w:left w:val="single" w:sz="4" w:space="0" w:color="auto"/>
              <w:bottom w:val="single" w:sz="4" w:space="0" w:color="auto"/>
              <w:right w:val="single" w:sz="4" w:space="0" w:color="auto"/>
            </w:tcBorders>
            <w:shd w:val="clear" w:color="auto" w:fill="auto"/>
            <w:noWrap/>
            <w:vAlign w:val="bottom"/>
            <w:hideMark/>
          </w:tcPr>
          <w:p w14:paraId="756DCCFC" w14:textId="77777777" w:rsidR="0012451D" w:rsidRPr="002C7773" w:rsidRDefault="0012451D" w:rsidP="002C7773">
            <w:pPr>
              <w:spacing w:after="0" w:line="240" w:lineRule="auto"/>
              <w:rPr>
                <w:rFonts w:ascii="Calibri" w:eastAsia="Times New Roman" w:hAnsi="Calibri" w:cs="Calibri"/>
                <w:b/>
                <w:bCs/>
                <w:color w:val="000000"/>
                <w:sz w:val="24"/>
                <w:szCs w:val="24"/>
              </w:rPr>
            </w:pPr>
            <w:r w:rsidRPr="002C7773">
              <w:rPr>
                <w:rFonts w:ascii="Calibri" w:eastAsia="Times New Roman" w:hAnsi="Calibri" w:cs="Calibri"/>
                <w:b/>
                <w:bCs/>
                <w:color w:val="000000"/>
                <w:sz w:val="24"/>
                <w:szCs w:val="24"/>
              </w:rPr>
              <w:t>% Growth</w:t>
            </w:r>
          </w:p>
        </w:tc>
        <w:tc>
          <w:tcPr>
            <w:tcW w:w="960" w:type="dxa"/>
            <w:tcBorders>
              <w:top w:val="single" w:sz="4" w:space="0" w:color="auto"/>
              <w:left w:val="nil"/>
              <w:bottom w:val="single" w:sz="4" w:space="0" w:color="auto"/>
              <w:right w:val="single" w:sz="4" w:space="0" w:color="auto"/>
            </w:tcBorders>
          </w:tcPr>
          <w:p w14:paraId="5237F02E" w14:textId="77777777" w:rsidR="0012451D" w:rsidRPr="002C7773" w:rsidRDefault="0012451D" w:rsidP="002C7773">
            <w:pPr>
              <w:spacing w:after="0" w:line="240" w:lineRule="auto"/>
              <w:jc w:val="right"/>
              <w:rPr>
                <w:rFonts w:ascii="Calibri" w:eastAsia="Times New Roman" w:hAnsi="Calibri" w:cs="Calibri"/>
                <w:color w:val="000000"/>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5DDD34" w14:textId="55D96DFF" w:rsidR="0012451D" w:rsidRPr="002C7773" w:rsidRDefault="00771828" w:rsidP="002C7773">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-29%</w:t>
            </w:r>
            <w:r w:rsidR="0012451D" w:rsidRPr="002C7773">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BFBDEE4"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18%</w:t>
            </w:r>
          </w:p>
        </w:tc>
        <w:tc>
          <w:tcPr>
            <w:tcW w:w="960" w:type="dxa"/>
            <w:tcBorders>
              <w:top w:val="nil"/>
              <w:left w:val="nil"/>
              <w:bottom w:val="single" w:sz="4" w:space="0" w:color="auto"/>
              <w:right w:val="single" w:sz="4" w:space="0" w:color="auto"/>
            </w:tcBorders>
            <w:shd w:val="clear" w:color="auto" w:fill="auto"/>
            <w:vAlign w:val="center"/>
            <w:hideMark/>
          </w:tcPr>
          <w:p w14:paraId="08A2CA37"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36%</w:t>
            </w:r>
          </w:p>
        </w:tc>
        <w:tc>
          <w:tcPr>
            <w:tcW w:w="960" w:type="dxa"/>
            <w:tcBorders>
              <w:top w:val="nil"/>
              <w:left w:val="nil"/>
              <w:bottom w:val="single" w:sz="4" w:space="0" w:color="auto"/>
              <w:right w:val="single" w:sz="4" w:space="0" w:color="auto"/>
            </w:tcBorders>
            <w:shd w:val="clear" w:color="auto" w:fill="auto"/>
            <w:vAlign w:val="center"/>
            <w:hideMark/>
          </w:tcPr>
          <w:p w14:paraId="68345D58"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5%</w:t>
            </w:r>
          </w:p>
        </w:tc>
        <w:tc>
          <w:tcPr>
            <w:tcW w:w="960" w:type="dxa"/>
            <w:tcBorders>
              <w:top w:val="nil"/>
              <w:left w:val="nil"/>
              <w:bottom w:val="single" w:sz="4" w:space="0" w:color="auto"/>
              <w:right w:val="single" w:sz="4" w:space="0" w:color="auto"/>
            </w:tcBorders>
            <w:shd w:val="clear" w:color="auto" w:fill="auto"/>
            <w:vAlign w:val="center"/>
            <w:hideMark/>
          </w:tcPr>
          <w:p w14:paraId="3BEDF01B" w14:textId="77777777" w:rsidR="0012451D" w:rsidRPr="002C7773" w:rsidRDefault="0012451D" w:rsidP="002C7773">
            <w:pPr>
              <w:spacing w:after="0" w:line="240" w:lineRule="auto"/>
              <w:jc w:val="right"/>
              <w:rPr>
                <w:rFonts w:ascii="Calibri" w:eastAsia="Times New Roman" w:hAnsi="Calibri" w:cs="Calibri"/>
                <w:color w:val="000000"/>
                <w:sz w:val="24"/>
                <w:szCs w:val="24"/>
              </w:rPr>
            </w:pPr>
            <w:r w:rsidRPr="002C7773">
              <w:rPr>
                <w:rFonts w:ascii="Calibri" w:eastAsia="Times New Roman" w:hAnsi="Calibri" w:cs="Calibri"/>
                <w:color w:val="000000"/>
                <w:sz w:val="24"/>
                <w:szCs w:val="24"/>
              </w:rPr>
              <w:t>1%</w:t>
            </w:r>
          </w:p>
        </w:tc>
      </w:tr>
    </w:tbl>
    <w:p w14:paraId="36DBE070" w14:textId="2C3DEC80" w:rsidR="007A3644" w:rsidRDefault="007A3644" w:rsidP="007A3644">
      <w:pPr>
        <w:spacing w:after="0" w:line="240" w:lineRule="auto"/>
        <w:rPr>
          <w:sz w:val="24"/>
          <w:szCs w:val="24"/>
        </w:rPr>
      </w:pPr>
    </w:p>
    <w:p w14:paraId="3EEDF15E" w14:textId="62E1267A" w:rsidR="003E1CDA" w:rsidRPr="009D16FA" w:rsidRDefault="003E1CDA">
      <w:pPr>
        <w:rPr>
          <w:b/>
          <w:bCs/>
          <w:i/>
          <w:iCs/>
          <w:sz w:val="24"/>
          <w:szCs w:val="24"/>
        </w:rPr>
      </w:pPr>
      <w:r w:rsidRPr="00316116">
        <w:rPr>
          <w:b/>
          <w:bCs/>
          <w:i/>
          <w:iCs/>
          <w:sz w:val="24"/>
          <w:szCs w:val="24"/>
        </w:rPr>
        <w:t>Analysis</w:t>
      </w:r>
      <w:r w:rsidR="007A3644" w:rsidRPr="00316116">
        <w:rPr>
          <w:b/>
          <w:bCs/>
          <w:i/>
          <w:iCs/>
          <w:sz w:val="24"/>
          <w:szCs w:val="24"/>
        </w:rPr>
        <w:t xml:space="preserve"> </w:t>
      </w:r>
    </w:p>
    <w:p w14:paraId="44BFB949" w14:textId="4468B702" w:rsidR="00400584" w:rsidRPr="00400584" w:rsidRDefault="00400584" w:rsidP="00400584">
      <w:pPr>
        <w:spacing w:line="240" w:lineRule="auto"/>
        <w:rPr>
          <w:bCs/>
          <w:sz w:val="24"/>
          <w:szCs w:val="24"/>
        </w:rPr>
      </w:pPr>
      <w:r w:rsidRPr="00400584">
        <w:rPr>
          <w:bCs/>
          <w:sz w:val="24"/>
          <w:szCs w:val="24"/>
        </w:rPr>
        <w:t xml:space="preserve">Based on a review of the literature and other DoN applications, staff concurs with the Applicant’s ongoing and growing needs, especially for the aging population which comprises ~25% of their patients as the need for these modalities is particularly due to the prevalence of cancers, cardiovascular, and musculoskeletal diseases. </w:t>
      </w:r>
    </w:p>
    <w:p w14:paraId="0A33F3AC" w14:textId="3894829A" w:rsidR="00400584" w:rsidRPr="00400584" w:rsidRDefault="00400584" w:rsidP="00400584">
      <w:pPr>
        <w:numPr>
          <w:ilvl w:val="0"/>
          <w:numId w:val="24"/>
        </w:numPr>
        <w:spacing w:after="200" w:line="240" w:lineRule="auto"/>
        <w:contextualSpacing/>
        <w:rPr>
          <w:bCs/>
          <w:sz w:val="24"/>
          <w:szCs w:val="24"/>
        </w:rPr>
      </w:pPr>
      <w:r w:rsidRPr="00400584">
        <w:rPr>
          <w:bCs/>
          <w:sz w:val="24"/>
          <w:szCs w:val="24"/>
        </w:rPr>
        <w:t>Cancer is the leading cause of death in Massachusetts with a mortality rate of 155.5/100,000 in 2014. Cancer incidence over the 2011-2015 timeframe was 459.4 per 100,000,</w:t>
      </w:r>
      <w:r w:rsidRPr="00400584">
        <w:rPr>
          <w:sz w:val="24"/>
          <w:szCs w:val="24"/>
          <w:vertAlign w:val="superscript"/>
        </w:rPr>
        <w:endnoteReference w:id="6"/>
      </w:r>
      <w:r w:rsidRPr="00400584">
        <w:rPr>
          <w:bCs/>
          <w:sz w:val="24"/>
          <w:szCs w:val="24"/>
        </w:rPr>
        <w:t xml:space="preserve"> which is higher than the national average.</w:t>
      </w:r>
      <w:r w:rsidRPr="00400584">
        <w:rPr>
          <w:sz w:val="24"/>
          <w:szCs w:val="24"/>
          <w:vertAlign w:val="superscript"/>
        </w:rPr>
        <w:endnoteReference w:id="7"/>
      </w:r>
      <w:r w:rsidRPr="00400584">
        <w:rPr>
          <w:bCs/>
          <w:sz w:val="24"/>
          <w:szCs w:val="24"/>
        </w:rPr>
        <w:t xml:space="preserve"> Advancing age is the most important risk factor for cancer; according to the National Cancer Institute, 83.2% of new cancer cases are diagnosed in people aged 45-84, with one quarter of</w:t>
      </w:r>
      <w:r w:rsidRPr="00400584">
        <w:rPr>
          <w:bCs/>
          <w:sz w:val="24"/>
          <w:szCs w:val="24"/>
          <w:vertAlign w:val="superscript"/>
        </w:rPr>
        <w:t xml:space="preserve"> </w:t>
      </w:r>
      <w:r w:rsidRPr="00400584">
        <w:rPr>
          <w:bCs/>
          <w:sz w:val="24"/>
          <w:szCs w:val="24"/>
        </w:rPr>
        <w:t>new cancer cases being diagnosed in people aged 65-74. The median age for a cancer diagnosis is 66 years.</w:t>
      </w:r>
      <w:r w:rsidRPr="00400584">
        <w:rPr>
          <w:sz w:val="24"/>
          <w:szCs w:val="24"/>
          <w:vertAlign w:val="superscript"/>
        </w:rPr>
        <w:endnoteReference w:id="8"/>
      </w:r>
      <w:r w:rsidRPr="00400584">
        <w:rPr>
          <w:bCs/>
          <w:sz w:val="24"/>
          <w:szCs w:val="24"/>
          <w:vertAlign w:val="superscript"/>
        </w:rPr>
        <w:t>,</w:t>
      </w:r>
      <w:r w:rsidRPr="00400584">
        <w:rPr>
          <w:bCs/>
          <w:sz w:val="24"/>
          <w:szCs w:val="24"/>
        </w:rPr>
        <w:t xml:space="preserve"> </w:t>
      </w:r>
      <w:r w:rsidRPr="00400584">
        <w:rPr>
          <w:sz w:val="24"/>
          <w:szCs w:val="24"/>
          <w:vertAlign w:val="superscript"/>
        </w:rPr>
        <w:endnoteReference w:id="9"/>
      </w:r>
      <w:r w:rsidRPr="00400584">
        <w:rPr>
          <w:bCs/>
          <w:sz w:val="24"/>
          <w:szCs w:val="24"/>
          <w:vertAlign w:val="superscript"/>
        </w:rPr>
        <w:t xml:space="preserve">, </w:t>
      </w:r>
      <w:r w:rsidRPr="00400584">
        <w:rPr>
          <w:sz w:val="24"/>
          <w:szCs w:val="24"/>
          <w:vertAlign w:val="superscript"/>
        </w:rPr>
        <w:endnoteReference w:id="10"/>
      </w:r>
      <w:r w:rsidRPr="00400584">
        <w:rPr>
          <w:bCs/>
          <w:sz w:val="24"/>
          <w:szCs w:val="24"/>
        </w:rPr>
        <w:t xml:space="preserve"> </w:t>
      </w:r>
    </w:p>
    <w:p w14:paraId="0617D246" w14:textId="77777777" w:rsidR="00400584" w:rsidRPr="00400584" w:rsidRDefault="00400584" w:rsidP="00400584">
      <w:pPr>
        <w:numPr>
          <w:ilvl w:val="0"/>
          <w:numId w:val="24"/>
        </w:numPr>
        <w:spacing w:line="240" w:lineRule="auto"/>
        <w:rPr>
          <w:sz w:val="24"/>
          <w:szCs w:val="24"/>
        </w:rPr>
      </w:pPr>
      <w:r w:rsidRPr="00400584">
        <w:rPr>
          <w:sz w:val="24"/>
          <w:szCs w:val="24"/>
        </w:rPr>
        <w:t>Three-quarters of those ages 65 and older suffer from a musculoskeletal disease, including arthritis, back pain and trauma where, depending on the condition, MRI or CT are the most effective imaging modalities. Almost half (49.6%, 22.2 million) of adults aged ≥65 years have arthritis according to recent data.</w:t>
      </w:r>
      <w:r w:rsidRPr="00400584">
        <w:rPr>
          <w:sz w:val="24"/>
          <w:szCs w:val="24"/>
          <w:vertAlign w:val="superscript"/>
        </w:rPr>
        <w:endnoteReference w:id="11"/>
      </w:r>
      <w:r w:rsidRPr="00400584">
        <w:rPr>
          <w:sz w:val="24"/>
          <w:szCs w:val="24"/>
        </w:rPr>
        <w:t xml:space="preserve"> </w:t>
      </w:r>
    </w:p>
    <w:p w14:paraId="5AEA712A" w14:textId="77777777" w:rsidR="00400584" w:rsidRPr="00400584" w:rsidRDefault="00400584" w:rsidP="00400584">
      <w:pPr>
        <w:numPr>
          <w:ilvl w:val="0"/>
          <w:numId w:val="24"/>
        </w:numPr>
        <w:spacing w:line="240" w:lineRule="auto"/>
        <w:rPr>
          <w:bCs/>
          <w:sz w:val="24"/>
          <w:szCs w:val="24"/>
        </w:rPr>
      </w:pPr>
      <w:r w:rsidRPr="00400584">
        <w:rPr>
          <w:bCs/>
          <w:sz w:val="24"/>
          <w:szCs w:val="24"/>
        </w:rPr>
        <w:t>Cardiovascular disease is the second leading cause of death in Massachusetts. From 2013-2015, adults diagnosed with myocardial infarction annually ranged from 5.2-5.7%, and those diagnosed with angina/coronary heart disease from 4.7-5.8%.</w:t>
      </w:r>
      <w:r w:rsidRPr="00400584">
        <w:rPr>
          <w:sz w:val="24"/>
          <w:szCs w:val="24"/>
          <w:vertAlign w:val="superscript"/>
        </w:rPr>
        <w:endnoteReference w:id="12"/>
      </w:r>
      <w:r w:rsidRPr="00400584">
        <w:rPr>
          <w:bCs/>
          <w:sz w:val="24"/>
          <w:szCs w:val="24"/>
        </w:rPr>
        <w:t xml:space="preserve"> </w:t>
      </w:r>
    </w:p>
    <w:p w14:paraId="4D7F9BC1" w14:textId="77777777" w:rsidR="006F4D06" w:rsidRDefault="006F4D06" w:rsidP="002C29FF">
      <w:pPr>
        <w:spacing w:after="0" w:line="240" w:lineRule="auto"/>
        <w:rPr>
          <w:sz w:val="24"/>
          <w:szCs w:val="24"/>
        </w:rPr>
      </w:pPr>
    </w:p>
    <w:p w14:paraId="4A69714A" w14:textId="7064FE8E" w:rsidR="00BF307D" w:rsidRDefault="003C243E" w:rsidP="002C29FF">
      <w:pPr>
        <w:spacing w:after="0" w:line="240" w:lineRule="auto"/>
        <w:rPr>
          <w:sz w:val="24"/>
          <w:szCs w:val="24"/>
        </w:rPr>
      </w:pPr>
      <w:r w:rsidRPr="002C29FF">
        <w:rPr>
          <w:sz w:val="24"/>
          <w:szCs w:val="24"/>
        </w:rPr>
        <w:t xml:space="preserve">Staff </w:t>
      </w:r>
      <w:r w:rsidR="00316116">
        <w:rPr>
          <w:sz w:val="24"/>
          <w:szCs w:val="24"/>
        </w:rPr>
        <w:t xml:space="preserve">notes </w:t>
      </w:r>
      <w:r w:rsidRPr="002C29FF">
        <w:rPr>
          <w:sz w:val="24"/>
          <w:szCs w:val="24"/>
        </w:rPr>
        <w:t xml:space="preserve">that </w:t>
      </w:r>
      <w:r w:rsidR="00316116">
        <w:rPr>
          <w:sz w:val="24"/>
          <w:szCs w:val="24"/>
        </w:rPr>
        <w:t xml:space="preserve">projected volume of </w:t>
      </w:r>
      <w:r w:rsidR="00F3729F">
        <w:rPr>
          <w:sz w:val="24"/>
          <w:szCs w:val="24"/>
        </w:rPr>
        <w:t xml:space="preserve">the </w:t>
      </w:r>
      <w:r w:rsidR="00F51588">
        <w:rPr>
          <w:sz w:val="24"/>
          <w:szCs w:val="24"/>
        </w:rPr>
        <w:t>MRI and CT</w:t>
      </w:r>
      <w:r w:rsidR="007D6615">
        <w:rPr>
          <w:sz w:val="24"/>
          <w:szCs w:val="24"/>
        </w:rPr>
        <w:t xml:space="preserve"> </w:t>
      </w:r>
      <w:r w:rsidR="003E3860">
        <w:rPr>
          <w:sz w:val="24"/>
          <w:szCs w:val="24"/>
        </w:rPr>
        <w:t xml:space="preserve">units </w:t>
      </w:r>
      <w:r w:rsidR="00316116">
        <w:rPr>
          <w:sz w:val="24"/>
          <w:szCs w:val="24"/>
        </w:rPr>
        <w:t xml:space="preserve">at the Plymouth Clinic </w:t>
      </w:r>
      <w:r w:rsidR="003E3860" w:rsidRPr="002C29FF">
        <w:rPr>
          <w:sz w:val="24"/>
          <w:szCs w:val="24"/>
        </w:rPr>
        <w:t>is</w:t>
      </w:r>
      <w:r w:rsidRPr="002C29FF">
        <w:rPr>
          <w:sz w:val="24"/>
          <w:szCs w:val="24"/>
        </w:rPr>
        <w:t xml:space="preserve"> based on </w:t>
      </w:r>
      <w:r w:rsidR="009954CF">
        <w:rPr>
          <w:sz w:val="24"/>
          <w:szCs w:val="24"/>
        </w:rPr>
        <w:t xml:space="preserve">historical data of </w:t>
      </w:r>
      <w:r w:rsidR="00316116">
        <w:rPr>
          <w:sz w:val="24"/>
          <w:szCs w:val="24"/>
        </w:rPr>
        <w:t>physicians</w:t>
      </w:r>
      <w:r w:rsidR="009954CF">
        <w:rPr>
          <w:sz w:val="24"/>
          <w:szCs w:val="24"/>
        </w:rPr>
        <w:t>’</w:t>
      </w:r>
      <w:r w:rsidR="00316116">
        <w:rPr>
          <w:sz w:val="24"/>
          <w:szCs w:val="24"/>
        </w:rPr>
        <w:t xml:space="preserve"> order</w:t>
      </w:r>
      <w:r w:rsidR="009954CF">
        <w:rPr>
          <w:sz w:val="24"/>
          <w:szCs w:val="24"/>
        </w:rPr>
        <w:t>s</w:t>
      </w:r>
      <w:r w:rsidR="00316116">
        <w:rPr>
          <w:sz w:val="24"/>
          <w:szCs w:val="24"/>
        </w:rPr>
        <w:t xml:space="preserve"> and on </w:t>
      </w:r>
      <w:r w:rsidR="009954CF">
        <w:rPr>
          <w:sz w:val="24"/>
          <w:szCs w:val="24"/>
        </w:rPr>
        <w:t xml:space="preserve">data related to </w:t>
      </w:r>
      <w:r w:rsidR="00316116">
        <w:rPr>
          <w:sz w:val="24"/>
          <w:szCs w:val="24"/>
        </w:rPr>
        <w:t xml:space="preserve">recapturing patients once the service is offered within a practice. Staff notes that for both MRI and </w:t>
      </w:r>
      <w:r w:rsidR="002430CD">
        <w:rPr>
          <w:sz w:val="24"/>
          <w:szCs w:val="24"/>
        </w:rPr>
        <w:t>CT, year</w:t>
      </w:r>
      <w:r w:rsidR="00316116">
        <w:rPr>
          <w:sz w:val="24"/>
          <w:szCs w:val="24"/>
        </w:rPr>
        <w:t xml:space="preserve"> </w:t>
      </w:r>
      <w:r w:rsidR="00097B16">
        <w:rPr>
          <w:sz w:val="24"/>
          <w:szCs w:val="24"/>
        </w:rPr>
        <w:t xml:space="preserve">one </w:t>
      </w:r>
      <w:r w:rsidR="00BF307D">
        <w:rPr>
          <w:sz w:val="24"/>
          <w:szCs w:val="24"/>
        </w:rPr>
        <w:t xml:space="preserve">projected </w:t>
      </w:r>
      <w:r w:rsidR="00097B16">
        <w:rPr>
          <w:sz w:val="24"/>
          <w:szCs w:val="24"/>
        </w:rPr>
        <w:t>volume is below the historical order volume</w:t>
      </w:r>
      <w:r w:rsidR="00BF307D">
        <w:rPr>
          <w:sz w:val="24"/>
          <w:szCs w:val="24"/>
        </w:rPr>
        <w:t xml:space="preserve">s </w:t>
      </w:r>
      <w:r w:rsidR="00771828">
        <w:rPr>
          <w:sz w:val="24"/>
          <w:szCs w:val="24"/>
        </w:rPr>
        <w:t xml:space="preserve">by 26% and 29% </w:t>
      </w:r>
      <w:r w:rsidR="00BF307D">
        <w:rPr>
          <w:sz w:val="24"/>
          <w:szCs w:val="24"/>
        </w:rPr>
        <w:t>for MRI and CT, respectively</w:t>
      </w:r>
      <w:r w:rsidR="007F1109">
        <w:rPr>
          <w:sz w:val="24"/>
          <w:szCs w:val="24"/>
        </w:rPr>
        <w:t>,</w:t>
      </w:r>
      <w:r w:rsidR="00771828">
        <w:rPr>
          <w:sz w:val="24"/>
          <w:szCs w:val="24"/>
        </w:rPr>
        <w:t xml:space="preserve"> but recaptured as the facility achieves full operating status</w:t>
      </w:r>
      <w:r w:rsidR="00BF307D">
        <w:rPr>
          <w:sz w:val="24"/>
          <w:szCs w:val="24"/>
        </w:rPr>
        <w:t>.</w:t>
      </w:r>
      <w:r w:rsidR="0002533A">
        <w:rPr>
          <w:rStyle w:val="FootnoteReference"/>
          <w:sz w:val="24"/>
          <w:szCs w:val="24"/>
        </w:rPr>
        <w:footnoteReference w:id="11"/>
      </w:r>
      <w:r w:rsidR="0063044C">
        <w:rPr>
          <w:sz w:val="24"/>
          <w:szCs w:val="24"/>
        </w:rPr>
        <w:t xml:space="preserve"> </w:t>
      </w:r>
    </w:p>
    <w:p w14:paraId="138F8975" w14:textId="77777777" w:rsidR="007F1109" w:rsidRDefault="007F1109" w:rsidP="002C29FF">
      <w:pPr>
        <w:spacing w:after="0" w:line="240" w:lineRule="auto"/>
        <w:rPr>
          <w:sz w:val="24"/>
          <w:szCs w:val="24"/>
        </w:rPr>
      </w:pPr>
    </w:p>
    <w:p w14:paraId="11C20398" w14:textId="7DA3F126" w:rsidR="003E3860" w:rsidRDefault="00097B16" w:rsidP="007F1109">
      <w:pPr>
        <w:spacing w:after="0" w:line="240" w:lineRule="auto"/>
        <w:rPr>
          <w:sz w:val="24"/>
          <w:szCs w:val="24"/>
        </w:rPr>
      </w:pPr>
      <w:r>
        <w:rPr>
          <w:sz w:val="24"/>
          <w:szCs w:val="24"/>
        </w:rPr>
        <w:t xml:space="preserve">For MRI, </w:t>
      </w:r>
      <w:r w:rsidR="00BF307D">
        <w:rPr>
          <w:sz w:val="24"/>
          <w:szCs w:val="24"/>
        </w:rPr>
        <w:t xml:space="preserve">the </w:t>
      </w:r>
      <w:r w:rsidR="003B6167">
        <w:rPr>
          <w:sz w:val="24"/>
          <w:szCs w:val="24"/>
        </w:rPr>
        <w:t xml:space="preserve">projected </w:t>
      </w:r>
      <w:r w:rsidR="00C87EAB">
        <w:rPr>
          <w:sz w:val="24"/>
          <w:szCs w:val="24"/>
        </w:rPr>
        <w:t xml:space="preserve">compound annual growth rate (CAGR) </w:t>
      </w:r>
      <w:r w:rsidR="003B6167">
        <w:rPr>
          <w:sz w:val="24"/>
          <w:szCs w:val="24"/>
        </w:rPr>
        <w:t xml:space="preserve">of </w:t>
      </w:r>
      <w:r w:rsidR="00AD38AA">
        <w:rPr>
          <w:sz w:val="24"/>
          <w:szCs w:val="24"/>
        </w:rPr>
        <w:t xml:space="preserve">exams ordered, </w:t>
      </w:r>
      <w:r w:rsidR="00C87EAB">
        <w:rPr>
          <w:sz w:val="24"/>
          <w:szCs w:val="24"/>
        </w:rPr>
        <w:t xml:space="preserve">for the </w:t>
      </w:r>
      <w:r w:rsidR="00B73D16">
        <w:rPr>
          <w:sz w:val="24"/>
          <w:szCs w:val="24"/>
        </w:rPr>
        <w:t>p</w:t>
      </w:r>
      <w:r w:rsidR="000B36CA">
        <w:rPr>
          <w:sz w:val="24"/>
          <w:szCs w:val="24"/>
        </w:rPr>
        <w:t xml:space="preserve">rojection period </w:t>
      </w:r>
      <w:r w:rsidR="00670E86">
        <w:rPr>
          <w:sz w:val="24"/>
          <w:szCs w:val="24"/>
        </w:rPr>
        <w:t>2022-</w:t>
      </w:r>
      <w:r w:rsidR="003225EA">
        <w:rPr>
          <w:sz w:val="24"/>
          <w:szCs w:val="24"/>
        </w:rPr>
        <w:t>2028</w:t>
      </w:r>
      <w:r w:rsidR="004A0FCB">
        <w:rPr>
          <w:sz w:val="24"/>
          <w:szCs w:val="24"/>
        </w:rPr>
        <w:t>,</w:t>
      </w:r>
      <w:r w:rsidR="003225EA">
        <w:rPr>
          <w:sz w:val="24"/>
          <w:szCs w:val="24"/>
        </w:rPr>
        <w:t xml:space="preserve"> </w:t>
      </w:r>
      <w:r w:rsidR="0002533A">
        <w:rPr>
          <w:sz w:val="24"/>
          <w:szCs w:val="24"/>
        </w:rPr>
        <w:t xml:space="preserve">is </w:t>
      </w:r>
      <w:r w:rsidR="003225EA">
        <w:rPr>
          <w:sz w:val="24"/>
          <w:szCs w:val="24"/>
        </w:rPr>
        <w:t>3.4%</w:t>
      </w:r>
      <w:r w:rsidR="0002533A">
        <w:rPr>
          <w:sz w:val="24"/>
          <w:szCs w:val="24"/>
        </w:rPr>
        <w:t xml:space="preserve">. By </w:t>
      </w:r>
      <w:r w:rsidR="003225EA">
        <w:rPr>
          <w:sz w:val="24"/>
          <w:szCs w:val="24"/>
        </w:rPr>
        <w:t>2028</w:t>
      </w:r>
      <w:r w:rsidR="0002533A">
        <w:rPr>
          <w:sz w:val="24"/>
          <w:szCs w:val="24"/>
        </w:rPr>
        <w:t xml:space="preserve">, </w:t>
      </w:r>
      <w:r w:rsidR="0012451D">
        <w:rPr>
          <w:sz w:val="24"/>
          <w:szCs w:val="24"/>
        </w:rPr>
        <w:t xml:space="preserve">staff calculated that </w:t>
      </w:r>
      <w:r w:rsidR="0002533A">
        <w:rPr>
          <w:sz w:val="24"/>
          <w:szCs w:val="24"/>
        </w:rPr>
        <w:t>the Applicant</w:t>
      </w:r>
      <w:r w:rsidR="009F4751">
        <w:rPr>
          <w:sz w:val="24"/>
          <w:szCs w:val="24"/>
        </w:rPr>
        <w:t xml:space="preserve"> anticipates </w:t>
      </w:r>
      <w:r w:rsidR="0002533A">
        <w:rPr>
          <w:sz w:val="24"/>
          <w:szCs w:val="24"/>
        </w:rPr>
        <w:t xml:space="preserve">performing </w:t>
      </w:r>
      <w:r>
        <w:rPr>
          <w:sz w:val="24"/>
          <w:szCs w:val="24"/>
        </w:rPr>
        <w:lastRenderedPageBreak/>
        <w:t xml:space="preserve">approximately </w:t>
      </w:r>
      <w:r w:rsidR="00817609">
        <w:rPr>
          <w:sz w:val="24"/>
          <w:szCs w:val="24"/>
        </w:rPr>
        <w:t>~</w:t>
      </w:r>
      <w:r>
        <w:rPr>
          <w:sz w:val="24"/>
          <w:szCs w:val="24"/>
        </w:rPr>
        <w:t xml:space="preserve">15 scans per day, </w:t>
      </w:r>
      <w:r w:rsidR="003E3860">
        <w:rPr>
          <w:sz w:val="24"/>
          <w:szCs w:val="24"/>
        </w:rPr>
        <w:t>two days a week</w:t>
      </w:r>
      <w:r w:rsidR="0002533A">
        <w:rPr>
          <w:rStyle w:val="FootnoteReference"/>
          <w:sz w:val="24"/>
          <w:szCs w:val="24"/>
          <w:vertAlign w:val="baseline"/>
        </w:rPr>
        <w:t xml:space="preserve"> which a</w:t>
      </w:r>
      <w:r w:rsidR="0002533A">
        <w:rPr>
          <w:sz w:val="24"/>
          <w:szCs w:val="24"/>
        </w:rPr>
        <w:t>pproaches capacity.</w:t>
      </w:r>
      <w:r w:rsidR="00661902">
        <w:rPr>
          <w:rStyle w:val="FootnoteReference"/>
          <w:sz w:val="24"/>
          <w:szCs w:val="24"/>
        </w:rPr>
        <w:footnoteReference w:id="12"/>
      </w:r>
      <w:r w:rsidR="0002533A">
        <w:rPr>
          <w:sz w:val="24"/>
          <w:szCs w:val="24"/>
        </w:rPr>
        <w:t xml:space="preserve"> Consequently, </w:t>
      </w:r>
      <w:r>
        <w:rPr>
          <w:rStyle w:val="FootnoteReference"/>
          <w:sz w:val="24"/>
          <w:szCs w:val="24"/>
          <w:vertAlign w:val="baseline"/>
        </w:rPr>
        <w:t>it is likely that</w:t>
      </w:r>
      <w:r>
        <w:rPr>
          <w:sz w:val="24"/>
          <w:szCs w:val="24"/>
        </w:rPr>
        <w:t xml:space="preserve"> the Applicant will need to reassess </w:t>
      </w:r>
      <w:r w:rsidR="0002533A">
        <w:rPr>
          <w:sz w:val="24"/>
          <w:szCs w:val="24"/>
        </w:rPr>
        <w:t xml:space="preserve">MRI </w:t>
      </w:r>
      <w:r>
        <w:rPr>
          <w:sz w:val="24"/>
          <w:szCs w:val="24"/>
        </w:rPr>
        <w:t>need at that time.</w:t>
      </w:r>
    </w:p>
    <w:p w14:paraId="1165D53D" w14:textId="0AB24D65" w:rsidR="000B36CA" w:rsidRDefault="000B36CA" w:rsidP="002C29FF">
      <w:pPr>
        <w:spacing w:after="0" w:line="240" w:lineRule="auto"/>
        <w:rPr>
          <w:sz w:val="24"/>
          <w:szCs w:val="24"/>
        </w:rPr>
      </w:pPr>
    </w:p>
    <w:p w14:paraId="754FD30F" w14:textId="4BB23C1B" w:rsidR="000B36CA" w:rsidRPr="00097B16" w:rsidRDefault="000B36CA" w:rsidP="002C29FF">
      <w:pPr>
        <w:spacing w:after="0" w:line="240" w:lineRule="auto"/>
        <w:rPr>
          <w:sz w:val="24"/>
          <w:szCs w:val="24"/>
        </w:rPr>
      </w:pPr>
      <w:r>
        <w:rPr>
          <w:sz w:val="24"/>
          <w:szCs w:val="24"/>
        </w:rPr>
        <w:t xml:space="preserve">For CT, </w:t>
      </w:r>
      <w:r w:rsidR="003B6167">
        <w:rPr>
          <w:sz w:val="24"/>
          <w:szCs w:val="24"/>
        </w:rPr>
        <w:t>the projected C</w:t>
      </w:r>
      <w:r w:rsidR="003225EA">
        <w:rPr>
          <w:sz w:val="24"/>
          <w:szCs w:val="24"/>
        </w:rPr>
        <w:t>AGR</w:t>
      </w:r>
      <w:r w:rsidR="003B6167">
        <w:rPr>
          <w:sz w:val="24"/>
          <w:szCs w:val="24"/>
        </w:rPr>
        <w:t xml:space="preserve"> of </w:t>
      </w:r>
      <w:r>
        <w:rPr>
          <w:sz w:val="24"/>
          <w:szCs w:val="24"/>
        </w:rPr>
        <w:t xml:space="preserve">scans ordered </w:t>
      </w:r>
      <w:r w:rsidR="003B6167" w:rsidRPr="003B6167">
        <w:rPr>
          <w:sz w:val="24"/>
          <w:szCs w:val="24"/>
        </w:rPr>
        <w:t xml:space="preserve">for the </w:t>
      </w:r>
      <w:r w:rsidR="00AE1B0D">
        <w:rPr>
          <w:sz w:val="24"/>
          <w:szCs w:val="24"/>
        </w:rPr>
        <w:t xml:space="preserve">Applicant’s </w:t>
      </w:r>
      <w:r w:rsidR="003B6167" w:rsidRPr="003B6167">
        <w:rPr>
          <w:sz w:val="24"/>
          <w:szCs w:val="24"/>
        </w:rPr>
        <w:t>projection period 2022-2028 is</w:t>
      </w:r>
      <w:r>
        <w:rPr>
          <w:sz w:val="24"/>
          <w:szCs w:val="24"/>
        </w:rPr>
        <w:t xml:space="preserve"> </w:t>
      </w:r>
      <w:r w:rsidR="00FF671E" w:rsidRPr="00AE1B0D">
        <w:rPr>
          <w:sz w:val="24"/>
          <w:szCs w:val="24"/>
        </w:rPr>
        <w:t>2.7%</w:t>
      </w:r>
      <w:r w:rsidRPr="00AE1B0D">
        <w:rPr>
          <w:sz w:val="24"/>
          <w:szCs w:val="24"/>
        </w:rPr>
        <w:t>.</w:t>
      </w:r>
      <w:r>
        <w:rPr>
          <w:sz w:val="24"/>
          <w:szCs w:val="24"/>
        </w:rPr>
        <w:t xml:space="preserve"> </w:t>
      </w:r>
      <w:r w:rsidR="00AE1B0D">
        <w:rPr>
          <w:sz w:val="24"/>
          <w:szCs w:val="24"/>
        </w:rPr>
        <w:t>Based on the Applicants volume projections, b</w:t>
      </w:r>
      <w:r w:rsidR="0012451D" w:rsidRPr="0012451D">
        <w:rPr>
          <w:sz w:val="24"/>
          <w:szCs w:val="24"/>
        </w:rPr>
        <w:t xml:space="preserve">y </w:t>
      </w:r>
      <w:r w:rsidR="00FF671E">
        <w:rPr>
          <w:sz w:val="24"/>
          <w:szCs w:val="24"/>
        </w:rPr>
        <w:t>2028</w:t>
      </w:r>
      <w:r w:rsidR="0012451D" w:rsidRPr="0012451D">
        <w:rPr>
          <w:sz w:val="24"/>
          <w:szCs w:val="24"/>
        </w:rPr>
        <w:t xml:space="preserve">, staff calculated that the Applicant </w:t>
      </w:r>
      <w:r w:rsidR="009F4751">
        <w:rPr>
          <w:sz w:val="24"/>
          <w:szCs w:val="24"/>
        </w:rPr>
        <w:t>anticipates</w:t>
      </w:r>
      <w:r w:rsidR="0012451D" w:rsidRPr="0012451D">
        <w:rPr>
          <w:sz w:val="24"/>
          <w:szCs w:val="24"/>
        </w:rPr>
        <w:t xml:space="preserve"> performing approximately </w:t>
      </w:r>
      <w:r w:rsidR="00817609">
        <w:rPr>
          <w:sz w:val="24"/>
          <w:szCs w:val="24"/>
        </w:rPr>
        <w:t>~</w:t>
      </w:r>
      <w:r w:rsidR="0012451D" w:rsidRPr="0012451D">
        <w:rPr>
          <w:sz w:val="24"/>
          <w:szCs w:val="24"/>
        </w:rPr>
        <w:t>1</w:t>
      </w:r>
      <w:r w:rsidR="0012451D">
        <w:rPr>
          <w:sz w:val="24"/>
          <w:szCs w:val="24"/>
        </w:rPr>
        <w:t>2</w:t>
      </w:r>
      <w:r w:rsidR="0012451D" w:rsidRPr="0012451D">
        <w:rPr>
          <w:sz w:val="24"/>
          <w:szCs w:val="24"/>
        </w:rPr>
        <w:t xml:space="preserve"> scans per day, </w:t>
      </w:r>
      <w:r w:rsidR="0012451D">
        <w:rPr>
          <w:sz w:val="24"/>
          <w:szCs w:val="24"/>
        </w:rPr>
        <w:t>five</w:t>
      </w:r>
      <w:r w:rsidR="0012451D" w:rsidRPr="0012451D">
        <w:rPr>
          <w:sz w:val="24"/>
          <w:szCs w:val="24"/>
        </w:rPr>
        <w:t xml:space="preserve"> days a week</w:t>
      </w:r>
      <w:r w:rsidR="00AE1B0D">
        <w:rPr>
          <w:rStyle w:val="FootnoteReference"/>
          <w:sz w:val="24"/>
          <w:szCs w:val="24"/>
        </w:rPr>
        <w:footnoteReference w:id="13"/>
      </w:r>
      <w:r w:rsidR="0012451D" w:rsidRPr="0012451D">
        <w:rPr>
          <w:sz w:val="24"/>
          <w:szCs w:val="24"/>
        </w:rPr>
        <w:t xml:space="preserve"> </w:t>
      </w:r>
      <w:r w:rsidR="0012451D">
        <w:rPr>
          <w:sz w:val="24"/>
          <w:szCs w:val="24"/>
        </w:rPr>
        <w:t>which is within capacity.</w:t>
      </w:r>
    </w:p>
    <w:p w14:paraId="28D14763" w14:textId="77777777" w:rsidR="003E3860" w:rsidRDefault="003E3860" w:rsidP="002C29FF">
      <w:pPr>
        <w:spacing w:after="0" w:line="240" w:lineRule="auto"/>
        <w:rPr>
          <w:sz w:val="24"/>
          <w:szCs w:val="24"/>
        </w:rPr>
      </w:pPr>
    </w:p>
    <w:p w14:paraId="310E7C53" w14:textId="75018DBD" w:rsidR="00F1356A" w:rsidRDefault="0012451D" w:rsidP="002C29FF">
      <w:pPr>
        <w:spacing w:after="0" w:line="240" w:lineRule="auto"/>
        <w:rPr>
          <w:sz w:val="24"/>
          <w:szCs w:val="24"/>
        </w:rPr>
      </w:pPr>
      <w:r>
        <w:rPr>
          <w:sz w:val="24"/>
          <w:szCs w:val="24"/>
        </w:rPr>
        <w:t xml:space="preserve">Staff finds that the </w:t>
      </w:r>
      <w:r w:rsidR="000A3971">
        <w:rPr>
          <w:sz w:val="24"/>
          <w:szCs w:val="24"/>
        </w:rPr>
        <w:t xml:space="preserve">Applicant’s </w:t>
      </w:r>
      <w:r>
        <w:rPr>
          <w:sz w:val="24"/>
          <w:szCs w:val="24"/>
        </w:rPr>
        <w:t>projected growth rates are reasonable</w:t>
      </w:r>
      <w:r w:rsidR="003B6167">
        <w:rPr>
          <w:sz w:val="24"/>
          <w:szCs w:val="24"/>
        </w:rPr>
        <w:t xml:space="preserve"> given the growth in the local aging population</w:t>
      </w:r>
      <w:r>
        <w:rPr>
          <w:sz w:val="24"/>
          <w:szCs w:val="24"/>
        </w:rPr>
        <w:t xml:space="preserve">, </w:t>
      </w:r>
      <w:r w:rsidR="003B6167">
        <w:rPr>
          <w:sz w:val="24"/>
          <w:szCs w:val="24"/>
        </w:rPr>
        <w:t>age-related conditions and LDCT screenings. T</w:t>
      </w:r>
      <w:r w:rsidR="006227A6">
        <w:rPr>
          <w:sz w:val="24"/>
          <w:szCs w:val="24"/>
        </w:rPr>
        <w:t xml:space="preserve">hrough the Proposed Project, the Applicant will attain </w:t>
      </w:r>
      <w:r w:rsidR="008A2D5E">
        <w:rPr>
          <w:sz w:val="24"/>
          <w:szCs w:val="24"/>
        </w:rPr>
        <w:t>greater control over the provision of imaging services</w:t>
      </w:r>
      <w:r w:rsidR="006227A6">
        <w:rPr>
          <w:sz w:val="24"/>
          <w:szCs w:val="24"/>
        </w:rPr>
        <w:t xml:space="preserve"> </w:t>
      </w:r>
      <w:r w:rsidR="0002533A">
        <w:rPr>
          <w:sz w:val="24"/>
          <w:szCs w:val="24"/>
        </w:rPr>
        <w:t>and</w:t>
      </w:r>
      <w:r w:rsidR="00053BD6">
        <w:rPr>
          <w:sz w:val="24"/>
          <w:szCs w:val="24"/>
        </w:rPr>
        <w:t>, as a result,</w:t>
      </w:r>
      <w:r w:rsidR="00F63408">
        <w:rPr>
          <w:sz w:val="24"/>
          <w:szCs w:val="24"/>
        </w:rPr>
        <w:t xml:space="preserve"> </w:t>
      </w:r>
      <w:r w:rsidR="008A2D5E">
        <w:rPr>
          <w:sz w:val="24"/>
          <w:szCs w:val="24"/>
        </w:rPr>
        <w:t xml:space="preserve">will be able to </w:t>
      </w:r>
      <w:r w:rsidR="0002533A">
        <w:rPr>
          <w:sz w:val="24"/>
          <w:szCs w:val="24"/>
        </w:rPr>
        <w:t>improve timely</w:t>
      </w:r>
      <w:r w:rsidR="008A2D5E">
        <w:rPr>
          <w:sz w:val="24"/>
          <w:szCs w:val="24"/>
        </w:rPr>
        <w:t xml:space="preserve"> local access to high-quality imaging services for </w:t>
      </w:r>
      <w:r w:rsidR="0002533A">
        <w:rPr>
          <w:sz w:val="24"/>
          <w:szCs w:val="24"/>
        </w:rPr>
        <w:t>Atrius’ Plymouth Clinic patients</w:t>
      </w:r>
      <w:r w:rsidR="005960A2">
        <w:rPr>
          <w:sz w:val="24"/>
          <w:szCs w:val="24"/>
        </w:rPr>
        <w:t>, and</w:t>
      </w:r>
      <w:r w:rsidR="006227A6">
        <w:rPr>
          <w:sz w:val="24"/>
          <w:szCs w:val="24"/>
        </w:rPr>
        <w:t xml:space="preserve"> </w:t>
      </w:r>
      <w:r w:rsidR="0002533A">
        <w:rPr>
          <w:sz w:val="24"/>
          <w:szCs w:val="24"/>
        </w:rPr>
        <w:t xml:space="preserve">thereby </w:t>
      </w:r>
      <w:r w:rsidR="006227A6">
        <w:rPr>
          <w:sz w:val="24"/>
          <w:szCs w:val="24"/>
        </w:rPr>
        <w:t>support</w:t>
      </w:r>
      <w:r w:rsidR="000B36CA">
        <w:rPr>
          <w:sz w:val="24"/>
          <w:szCs w:val="24"/>
        </w:rPr>
        <w:t xml:space="preserve"> cost effective, </w:t>
      </w:r>
      <w:r w:rsidR="006227A6">
        <w:rPr>
          <w:sz w:val="24"/>
          <w:szCs w:val="24"/>
        </w:rPr>
        <w:t>continuity of care and improve patient satisfaction</w:t>
      </w:r>
      <w:r w:rsidR="000B36CA">
        <w:rPr>
          <w:sz w:val="24"/>
          <w:szCs w:val="24"/>
        </w:rPr>
        <w:t xml:space="preserve"> as described further below. </w:t>
      </w:r>
    </w:p>
    <w:p w14:paraId="302B69CF" w14:textId="77777777" w:rsidR="00F1356A" w:rsidRDefault="00F1356A" w:rsidP="002C29FF">
      <w:pPr>
        <w:spacing w:after="0" w:line="240" w:lineRule="auto"/>
        <w:rPr>
          <w:sz w:val="24"/>
          <w:szCs w:val="24"/>
        </w:rPr>
      </w:pPr>
    </w:p>
    <w:p w14:paraId="005A463D" w14:textId="0789BEFD" w:rsidR="007774EA" w:rsidRPr="00514E50" w:rsidRDefault="00F1356A" w:rsidP="002C29FF">
      <w:pPr>
        <w:spacing w:after="0" w:line="240" w:lineRule="auto"/>
        <w:rPr>
          <w:bCs/>
          <w:sz w:val="24"/>
          <w:szCs w:val="24"/>
          <w:lang w:val="en"/>
        </w:rPr>
      </w:pPr>
      <w:r w:rsidRPr="00F1356A">
        <w:rPr>
          <w:bCs/>
          <w:sz w:val="24"/>
          <w:szCs w:val="24"/>
          <w:lang w:val="en"/>
        </w:rPr>
        <w:t>As a result of information provided by the Applicant and with additional analysis, Staff finds the Applicant has met the requirements of Factor 1</w:t>
      </w:r>
      <w:r>
        <w:rPr>
          <w:bCs/>
          <w:sz w:val="24"/>
          <w:szCs w:val="24"/>
          <w:lang w:val="en"/>
        </w:rPr>
        <w:t>(</w:t>
      </w:r>
      <w:r w:rsidRPr="00F1356A">
        <w:rPr>
          <w:bCs/>
          <w:sz w:val="24"/>
          <w:szCs w:val="24"/>
          <w:lang w:val="en"/>
        </w:rPr>
        <w:t>a).</w:t>
      </w:r>
    </w:p>
    <w:p w14:paraId="470374CB" w14:textId="77777777" w:rsidR="0002533A" w:rsidRDefault="0002533A" w:rsidP="002C29FF">
      <w:pPr>
        <w:spacing w:after="0" w:line="240" w:lineRule="auto"/>
        <w:rPr>
          <w:sz w:val="24"/>
          <w:szCs w:val="24"/>
        </w:rPr>
      </w:pPr>
    </w:p>
    <w:p w14:paraId="55B52D9C" w14:textId="4B6F48CC" w:rsidR="003E1CDA" w:rsidRPr="003F0CC7" w:rsidRDefault="007D6615" w:rsidP="003F0CC7">
      <w:pPr>
        <w:pStyle w:val="Heading2"/>
        <w:rPr>
          <w:rFonts w:asciiTheme="minorHAnsi" w:hAnsiTheme="minorHAnsi" w:cstheme="minorHAnsi"/>
        </w:rPr>
      </w:pPr>
      <w:bookmarkStart w:id="19" w:name="_Toc131063592"/>
      <w:r w:rsidRPr="003F0CC7">
        <w:rPr>
          <w:rFonts w:asciiTheme="minorHAnsi" w:hAnsiTheme="minorHAnsi" w:cstheme="minorHAnsi"/>
        </w:rPr>
        <w:t>F</w:t>
      </w:r>
      <w:r w:rsidR="003E1CDA" w:rsidRPr="003F0CC7">
        <w:rPr>
          <w:rFonts w:asciiTheme="minorHAnsi" w:hAnsiTheme="minorHAnsi" w:cstheme="minorHAnsi"/>
        </w:rPr>
        <w:t>actor 1</w:t>
      </w:r>
      <w:r w:rsidR="006B605A">
        <w:rPr>
          <w:rFonts w:asciiTheme="minorHAnsi" w:hAnsiTheme="minorHAnsi" w:cstheme="minorHAnsi"/>
        </w:rPr>
        <w:t>(</w:t>
      </w:r>
      <w:r w:rsidR="003E1CDA" w:rsidRPr="003F0CC7">
        <w:rPr>
          <w:rFonts w:asciiTheme="minorHAnsi" w:hAnsiTheme="minorHAnsi" w:cstheme="minorHAnsi"/>
        </w:rPr>
        <w:t>b) Public Health Value</w:t>
      </w:r>
      <w:r w:rsidR="008C7B63">
        <w:rPr>
          <w:rFonts w:asciiTheme="minorHAnsi" w:hAnsiTheme="minorHAnsi" w:cstheme="minorHAnsi"/>
        </w:rPr>
        <w:t>:</w:t>
      </w:r>
      <w:r w:rsidR="003E1CDA" w:rsidRPr="003F0CC7">
        <w:rPr>
          <w:rFonts w:asciiTheme="minorHAnsi" w:hAnsiTheme="minorHAnsi" w:cstheme="minorHAnsi"/>
        </w:rPr>
        <w:t xml:space="preserve"> Improved Health Outcomes </w:t>
      </w:r>
      <w:r w:rsidR="00BF0778" w:rsidRPr="003F0CC7">
        <w:rPr>
          <w:rFonts w:asciiTheme="minorHAnsi" w:hAnsiTheme="minorHAnsi" w:cstheme="minorHAnsi"/>
        </w:rPr>
        <w:t>and</w:t>
      </w:r>
      <w:r w:rsidR="003E1CDA" w:rsidRPr="003F0CC7">
        <w:rPr>
          <w:rFonts w:asciiTheme="minorHAnsi" w:hAnsiTheme="minorHAnsi" w:cstheme="minorHAnsi"/>
        </w:rPr>
        <w:t xml:space="preserve"> Quality </w:t>
      </w:r>
      <w:r w:rsidR="00BF0778">
        <w:rPr>
          <w:rFonts w:asciiTheme="minorHAnsi" w:hAnsiTheme="minorHAnsi" w:cstheme="minorHAnsi"/>
        </w:rPr>
        <w:t>o</w:t>
      </w:r>
      <w:r w:rsidR="003E1CDA" w:rsidRPr="003F0CC7">
        <w:rPr>
          <w:rFonts w:asciiTheme="minorHAnsi" w:hAnsiTheme="minorHAnsi" w:cstheme="minorHAnsi"/>
        </w:rPr>
        <w:t xml:space="preserve">f Life; Assurances </w:t>
      </w:r>
      <w:r w:rsidR="00BF0778">
        <w:rPr>
          <w:rFonts w:asciiTheme="minorHAnsi" w:hAnsiTheme="minorHAnsi" w:cstheme="minorHAnsi"/>
        </w:rPr>
        <w:t>o</w:t>
      </w:r>
      <w:r w:rsidR="003E1CDA" w:rsidRPr="003F0CC7">
        <w:rPr>
          <w:rFonts w:asciiTheme="minorHAnsi" w:hAnsiTheme="minorHAnsi" w:cstheme="minorHAnsi"/>
        </w:rPr>
        <w:t>f Health Equity</w:t>
      </w:r>
      <w:bookmarkEnd w:id="19"/>
      <w:r w:rsidR="00372EA2">
        <w:rPr>
          <w:rFonts w:asciiTheme="minorHAnsi" w:hAnsiTheme="minorHAnsi" w:cstheme="minorHAnsi"/>
        </w:rPr>
        <w:t xml:space="preserve"> </w:t>
      </w:r>
    </w:p>
    <w:p w14:paraId="3A186DEF" w14:textId="2F42FC05" w:rsidR="00174A01" w:rsidRPr="00284F23" w:rsidRDefault="00A726FC" w:rsidP="00174A01">
      <w:pPr>
        <w:spacing w:before="240" w:line="240" w:lineRule="auto"/>
        <w:rPr>
          <w:b/>
          <w:sz w:val="24"/>
          <w:szCs w:val="24"/>
        </w:rPr>
      </w:pPr>
      <w:r>
        <w:rPr>
          <w:b/>
          <w:sz w:val="24"/>
          <w:szCs w:val="24"/>
        </w:rPr>
        <w:t xml:space="preserve">1. </w:t>
      </w:r>
      <w:r w:rsidR="00174A01" w:rsidRPr="00284F23">
        <w:rPr>
          <w:b/>
          <w:sz w:val="24"/>
          <w:szCs w:val="24"/>
        </w:rPr>
        <w:t>Public Health Value</w:t>
      </w:r>
      <w:r w:rsidR="008C7B63">
        <w:rPr>
          <w:b/>
          <w:sz w:val="24"/>
          <w:szCs w:val="24"/>
        </w:rPr>
        <w:t xml:space="preserve">- </w:t>
      </w:r>
      <w:r w:rsidR="00174A01" w:rsidRPr="00284F23">
        <w:rPr>
          <w:b/>
          <w:sz w:val="24"/>
          <w:szCs w:val="24"/>
        </w:rPr>
        <w:t>Evidence-Based</w:t>
      </w:r>
      <w:r w:rsidR="00874EFB">
        <w:rPr>
          <w:b/>
          <w:sz w:val="24"/>
          <w:szCs w:val="24"/>
        </w:rPr>
        <w:t>-</w:t>
      </w:r>
      <w:r w:rsidR="00174A01" w:rsidRPr="00284F23">
        <w:rPr>
          <w:b/>
          <w:sz w:val="24"/>
          <w:szCs w:val="24"/>
        </w:rPr>
        <w:t xml:space="preserve"> </w:t>
      </w:r>
      <w:r w:rsidR="00874EFB">
        <w:rPr>
          <w:b/>
          <w:sz w:val="24"/>
          <w:szCs w:val="24"/>
        </w:rPr>
        <w:t>Improved Health Outcomes</w:t>
      </w:r>
    </w:p>
    <w:p w14:paraId="563E3D12" w14:textId="379537EB" w:rsidR="00174A01" w:rsidRPr="00284F23" w:rsidRDefault="00174A01" w:rsidP="00174A01">
      <w:pPr>
        <w:spacing w:line="240" w:lineRule="auto"/>
        <w:rPr>
          <w:sz w:val="24"/>
          <w:szCs w:val="24"/>
        </w:rPr>
      </w:pPr>
      <w:r w:rsidRPr="00284F23">
        <w:rPr>
          <w:sz w:val="24"/>
          <w:szCs w:val="24"/>
        </w:rPr>
        <w:t>The Applicant states that both MRI and CT are well established technologies delivering accurate information in a non-invasive or minimally invasive manner</w:t>
      </w:r>
      <w:r w:rsidR="00A726FC">
        <w:rPr>
          <w:sz w:val="24"/>
          <w:szCs w:val="24"/>
        </w:rPr>
        <w:t>,</w:t>
      </w:r>
      <w:r w:rsidRPr="00284F23">
        <w:rPr>
          <w:sz w:val="24"/>
          <w:szCs w:val="24"/>
          <w:vertAlign w:val="superscript"/>
        </w:rPr>
        <w:footnoteReference w:id="14"/>
      </w:r>
      <w:r w:rsidRPr="00284F23">
        <w:rPr>
          <w:sz w:val="24"/>
          <w:szCs w:val="24"/>
        </w:rPr>
        <w:t xml:space="preserve"> that enable physicians to make timely and appropriate medical decisions and develop effective treatment plans across numerous clinical conditions. The clinical applications of these two imaging modalities </w:t>
      </w:r>
      <w:r w:rsidR="004A0FCB" w:rsidRPr="00400584">
        <w:rPr>
          <w:sz w:val="24"/>
          <w:szCs w:val="24"/>
        </w:rPr>
        <w:t>have</w:t>
      </w:r>
      <w:r w:rsidRPr="00284F23">
        <w:rPr>
          <w:sz w:val="24"/>
          <w:szCs w:val="24"/>
        </w:rPr>
        <w:t xml:space="preserve"> expanded from initially being employed for joint and spinal imaging, to include imaging the brain, ears, abdomen, lungs and heart. </w:t>
      </w:r>
      <w:r w:rsidR="0081588C" w:rsidRPr="0081588C">
        <w:rPr>
          <w:sz w:val="24"/>
          <w:szCs w:val="24"/>
        </w:rPr>
        <w:t>Applicant notes that within the Atrius Health patient population there is strong prevalence of vascular disease, various cancers, lung disease, stroke, as well as musculoskeletal disease, the incidence of which increases with age.  MRI and CT are both readily used in the diagnosis, treatment planning, and monitoring of these diseases and injury.</w:t>
      </w:r>
    </w:p>
    <w:p w14:paraId="310FF372" w14:textId="666EF249" w:rsidR="00B73D16" w:rsidRDefault="00174A01">
      <w:pPr>
        <w:numPr>
          <w:ilvl w:val="0"/>
          <w:numId w:val="19"/>
        </w:numPr>
        <w:spacing w:line="240" w:lineRule="auto"/>
        <w:ind w:left="360"/>
        <w:rPr>
          <w:sz w:val="24"/>
          <w:szCs w:val="24"/>
        </w:rPr>
      </w:pPr>
      <w:r w:rsidRPr="00B73D16">
        <w:rPr>
          <w:b/>
          <w:sz w:val="24"/>
          <w:szCs w:val="24"/>
        </w:rPr>
        <w:t xml:space="preserve">MRI </w:t>
      </w:r>
      <w:r w:rsidRPr="00B73D16">
        <w:rPr>
          <w:sz w:val="24"/>
          <w:szCs w:val="24"/>
        </w:rPr>
        <w:t>is used in an expanding array of clinical applications and has the advantage of not using ionizing radiation.</w:t>
      </w:r>
      <w:r w:rsidRPr="00284F23">
        <w:rPr>
          <w:sz w:val="24"/>
          <w:szCs w:val="24"/>
          <w:vertAlign w:val="superscript"/>
        </w:rPr>
        <w:endnoteReference w:id="13"/>
      </w:r>
      <w:r w:rsidRPr="00B73D16">
        <w:rPr>
          <w:sz w:val="24"/>
          <w:szCs w:val="24"/>
          <w:vertAlign w:val="superscript"/>
        </w:rPr>
        <w:t xml:space="preserve"> </w:t>
      </w:r>
      <w:r w:rsidRPr="00B73D16">
        <w:rPr>
          <w:sz w:val="24"/>
          <w:szCs w:val="24"/>
        </w:rPr>
        <w:t>MRI is particularly good at differentiating soft tissue abnormalities making the technology ideal for imaging joints, muscles, brain and spinal cord tissue, as well as bones and internal organs.</w:t>
      </w:r>
      <w:r w:rsidRPr="00284F23">
        <w:rPr>
          <w:sz w:val="24"/>
          <w:szCs w:val="24"/>
          <w:vertAlign w:val="superscript"/>
        </w:rPr>
        <w:endnoteReference w:id="14"/>
      </w:r>
      <w:r w:rsidRPr="00B73D16">
        <w:rPr>
          <w:sz w:val="24"/>
          <w:szCs w:val="24"/>
        </w:rPr>
        <w:t xml:space="preserve"> </w:t>
      </w:r>
    </w:p>
    <w:p w14:paraId="6A4DC8F8" w14:textId="0616BAFB" w:rsidR="00174A01" w:rsidRPr="00B73D16" w:rsidRDefault="00174A01" w:rsidP="00B73D16">
      <w:pPr>
        <w:spacing w:line="240" w:lineRule="auto"/>
        <w:ind w:left="360"/>
        <w:rPr>
          <w:sz w:val="24"/>
          <w:szCs w:val="24"/>
        </w:rPr>
      </w:pPr>
      <w:r w:rsidRPr="00B73D16">
        <w:rPr>
          <w:sz w:val="24"/>
          <w:szCs w:val="24"/>
        </w:rPr>
        <w:t xml:space="preserve">As mentioned under Factor 1(a), 95% of all MRI orders entered by </w:t>
      </w:r>
      <w:r w:rsidR="00572395" w:rsidRPr="00B73D16">
        <w:rPr>
          <w:sz w:val="24"/>
          <w:szCs w:val="24"/>
        </w:rPr>
        <w:t xml:space="preserve">Plymouth Clinic </w:t>
      </w:r>
      <w:r w:rsidRPr="00B73D16">
        <w:rPr>
          <w:sz w:val="24"/>
          <w:szCs w:val="24"/>
        </w:rPr>
        <w:t>providers are for patients with conditions in the</w:t>
      </w:r>
      <w:r w:rsidR="00041489" w:rsidRPr="00B73D16">
        <w:rPr>
          <w:sz w:val="24"/>
          <w:szCs w:val="24"/>
        </w:rPr>
        <w:t xml:space="preserve"> above referenced</w:t>
      </w:r>
      <w:r w:rsidRPr="00B73D16">
        <w:rPr>
          <w:sz w:val="24"/>
          <w:szCs w:val="24"/>
        </w:rPr>
        <w:t xml:space="preserve"> categories. MRI is vital to identifying demyelinating plaques, cerebral contusions, syringomyelia, and infarction including </w:t>
      </w:r>
      <w:r w:rsidRPr="00B73D16">
        <w:rPr>
          <w:sz w:val="24"/>
          <w:szCs w:val="24"/>
        </w:rPr>
        <w:lastRenderedPageBreak/>
        <w:t>hemorrhagic and ischemic stroke, allowing early intervention and treatment leading to better patient outcomes.</w:t>
      </w:r>
      <w:r w:rsidRPr="00284F23">
        <w:rPr>
          <w:sz w:val="24"/>
          <w:szCs w:val="24"/>
          <w:vertAlign w:val="superscript"/>
        </w:rPr>
        <w:endnoteReference w:id="15"/>
      </w:r>
      <w:r w:rsidRPr="00B73D16">
        <w:rPr>
          <w:sz w:val="24"/>
          <w:szCs w:val="24"/>
          <w:vertAlign w:val="superscript"/>
        </w:rPr>
        <w:t xml:space="preserve">, </w:t>
      </w:r>
      <w:r w:rsidRPr="00284F23">
        <w:rPr>
          <w:sz w:val="24"/>
          <w:szCs w:val="24"/>
          <w:vertAlign w:val="superscript"/>
        </w:rPr>
        <w:endnoteReference w:id="16"/>
      </w:r>
      <w:r w:rsidRPr="00B73D16">
        <w:rPr>
          <w:sz w:val="24"/>
          <w:szCs w:val="24"/>
          <w:vertAlign w:val="superscript"/>
        </w:rPr>
        <w:t xml:space="preserve">   </w:t>
      </w:r>
      <w:r w:rsidRPr="00B73D16">
        <w:rPr>
          <w:sz w:val="24"/>
          <w:szCs w:val="24"/>
        </w:rPr>
        <w:t>Orthopedic imaging with MRI of the joints and spine provides high diagnostic accuracy for ligament and tendon tears, disc herniation, annular tears and other soft tissue and bony abnormalities. MRI imaging also provides disease progression and staging for oncology patients.</w:t>
      </w:r>
      <w:r w:rsidRPr="00284F23">
        <w:rPr>
          <w:sz w:val="24"/>
          <w:szCs w:val="24"/>
          <w:vertAlign w:val="superscript"/>
        </w:rPr>
        <w:endnoteReference w:id="17"/>
      </w:r>
      <w:r w:rsidRPr="00B73D16">
        <w:rPr>
          <w:sz w:val="24"/>
          <w:szCs w:val="24"/>
        </w:rPr>
        <w:t xml:space="preserve"> </w:t>
      </w:r>
    </w:p>
    <w:p w14:paraId="4523CC14" w14:textId="273E217B" w:rsidR="00174A01" w:rsidRPr="00284F23" w:rsidRDefault="00174A01" w:rsidP="003E70BE">
      <w:pPr>
        <w:numPr>
          <w:ilvl w:val="0"/>
          <w:numId w:val="19"/>
        </w:numPr>
        <w:spacing w:line="240" w:lineRule="auto"/>
        <w:ind w:left="360"/>
        <w:rPr>
          <w:sz w:val="24"/>
          <w:szCs w:val="24"/>
        </w:rPr>
      </w:pPr>
      <w:r w:rsidRPr="00284F23">
        <w:rPr>
          <w:b/>
          <w:sz w:val="24"/>
          <w:szCs w:val="24"/>
        </w:rPr>
        <w:t xml:space="preserve">CT </w:t>
      </w:r>
      <w:r w:rsidR="00B73D16" w:rsidRPr="00800425">
        <w:rPr>
          <w:bCs/>
          <w:sz w:val="24"/>
          <w:szCs w:val="24"/>
        </w:rPr>
        <w:t>is</w:t>
      </w:r>
      <w:r w:rsidR="00B73D16">
        <w:rPr>
          <w:b/>
          <w:sz w:val="24"/>
          <w:szCs w:val="24"/>
        </w:rPr>
        <w:t xml:space="preserve"> </w:t>
      </w:r>
      <w:r w:rsidRPr="00284F23">
        <w:rPr>
          <w:sz w:val="24"/>
          <w:szCs w:val="24"/>
        </w:rPr>
        <w:t>used to identify disease or injury within various regions of the body including lesions in the abdomen, lungs, and brain. CT is particularly useful in diagnosing pulmonary embolisms (blood clots in the pulmonary veins) and brain hemorrhage.</w:t>
      </w:r>
      <w:r w:rsidRPr="00284F23">
        <w:rPr>
          <w:sz w:val="24"/>
          <w:szCs w:val="24"/>
          <w:vertAlign w:val="superscript"/>
        </w:rPr>
        <w:endnoteReference w:id="18"/>
      </w:r>
      <w:r w:rsidRPr="00284F23">
        <w:rPr>
          <w:sz w:val="24"/>
          <w:szCs w:val="24"/>
        </w:rPr>
        <w:t xml:space="preserve"> </w:t>
      </w:r>
      <w:r w:rsidR="003E70BE">
        <w:rPr>
          <w:sz w:val="24"/>
          <w:szCs w:val="24"/>
        </w:rPr>
        <w:t xml:space="preserve">Within minutes, </w:t>
      </w:r>
      <w:r w:rsidRPr="00284F23">
        <w:rPr>
          <w:sz w:val="24"/>
          <w:szCs w:val="24"/>
        </w:rPr>
        <w:t>CT scans provide physicians with a diagnosis or exclusion of disease and have been shown to reduce the rate of hospitalizations.</w:t>
      </w:r>
      <w:r w:rsidRPr="00284F23">
        <w:rPr>
          <w:sz w:val="24"/>
          <w:szCs w:val="24"/>
          <w:vertAlign w:val="superscript"/>
        </w:rPr>
        <w:endnoteReference w:id="19"/>
      </w:r>
      <w:r w:rsidRPr="00284F23">
        <w:rPr>
          <w:sz w:val="24"/>
          <w:szCs w:val="24"/>
        </w:rPr>
        <w:t xml:space="preserve"> </w:t>
      </w:r>
    </w:p>
    <w:p w14:paraId="2086ADC8" w14:textId="23D18A2D" w:rsidR="003D1701" w:rsidRPr="003D1701" w:rsidRDefault="005B1D60" w:rsidP="003D1701">
      <w:pPr>
        <w:spacing w:line="240" w:lineRule="auto"/>
        <w:ind w:left="360"/>
        <w:rPr>
          <w:sz w:val="24"/>
          <w:szCs w:val="24"/>
        </w:rPr>
      </w:pPr>
      <w:r>
        <w:rPr>
          <w:sz w:val="24"/>
          <w:szCs w:val="24"/>
        </w:rPr>
        <w:t>Studies demonstrate t</w:t>
      </w:r>
      <w:r w:rsidR="00174A01" w:rsidRPr="00284F23">
        <w:rPr>
          <w:sz w:val="24"/>
          <w:szCs w:val="24"/>
        </w:rPr>
        <w:t>he accessibility and availability of diagnostic imaging (as well as the quality of subsequent treatment) are directly associated with lung cancer outcomes. The National Cancer Institute’s National Lung Screening Trial documented that heavy smokers between the ages of 55-74 are 20% less likely to die from lung cancer when they are screened with LDCT of the chest.</w:t>
      </w:r>
      <w:r w:rsidR="00174A01" w:rsidRPr="00284F23">
        <w:rPr>
          <w:sz w:val="24"/>
          <w:szCs w:val="24"/>
          <w:vertAlign w:val="superscript"/>
        </w:rPr>
        <w:endnoteReference w:id="20"/>
      </w:r>
      <w:r w:rsidR="00174A01" w:rsidRPr="00284F23">
        <w:rPr>
          <w:sz w:val="24"/>
          <w:szCs w:val="24"/>
        </w:rPr>
        <w:t xml:space="preserve"> </w:t>
      </w:r>
      <w:r w:rsidR="003D1701" w:rsidRPr="003D1701">
        <w:rPr>
          <w:sz w:val="24"/>
          <w:szCs w:val="24"/>
        </w:rPr>
        <w:t>According to the American Cancer Society, annual LDCT screening for persons who meet eligibility criteria</w:t>
      </w:r>
      <w:r w:rsidR="003D1701" w:rsidRPr="003D1701">
        <w:rPr>
          <w:sz w:val="24"/>
          <w:szCs w:val="24"/>
          <w:vertAlign w:val="superscript"/>
        </w:rPr>
        <w:footnoteReference w:id="15"/>
      </w:r>
      <w:r w:rsidR="003D1701" w:rsidRPr="003D1701">
        <w:rPr>
          <w:sz w:val="24"/>
          <w:szCs w:val="24"/>
        </w:rPr>
        <w:t xml:space="preserve"> has been shown to result in a significantly lower chance of dying from lung cancer based on early detection.</w:t>
      </w:r>
      <w:r w:rsidR="003D1701" w:rsidRPr="003D1701">
        <w:rPr>
          <w:sz w:val="24"/>
          <w:szCs w:val="24"/>
          <w:vertAlign w:val="superscript"/>
        </w:rPr>
        <w:endnoteReference w:id="21"/>
      </w:r>
      <w:r w:rsidR="003D1701" w:rsidRPr="003D1701">
        <w:rPr>
          <w:sz w:val="24"/>
          <w:szCs w:val="24"/>
        </w:rPr>
        <w:t xml:space="preserve"> </w:t>
      </w:r>
    </w:p>
    <w:p w14:paraId="60E2371E" w14:textId="0F7757BB" w:rsidR="00196CF3" w:rsidRDefault="00174A01" w:rsidP="00196CF3">
      <w:pPr>
        <w:spacing w:after="0" w:line="240" w:lineRule="auto"/>
        <w:ind w:left="360"/>
        <w:rPr>
          <w:sz w:val="24"/>
          <w:szCs w:val="24"/>
        </w:rPr>
      </w:pPr>
      <w:r w:rsidRPr="00284F23">
        <w:rPr>
          <w:sz w:val="24"/>
          <w:szCs w:val="24"/>
        </w:rPr>
        <w:t>As noted in Factor F1.</w:t>
      </w:r>
      <w:r w:rsidR="009F4751">
        <w:rPr>
          <w:sz w:val="24"/>
          <w:szCs w:val="24"/>
        </w:rPr>
        <w:t>(</w:t>
      </w:r>
      <w:r w:rsidRPr="00284F23">
        <w:rPr>
          <w:sz w:val="24"/>
          <w:szCs w:val="24"/>
        </w:rPr>
        <w:t>a</w:t>
      </w:r>
      <w:r w:rsidR="009F4751">
        <w:rPr>
          <w:sz w:val="24"/>
          <w:szCs w:val="24"/>
        </w:rPr>
        <w:t>)</w:t>
      </w:r>
      <w:r w:rsidRPr="00284F23">
        <w:rPr>
          <w:sz w:val="24"/>
          <w:szCs w:val="24"/>
        </w:rPr>
        <w:t>, 25% of CT orders are specifically for LDCT</w:t>
      </w:r>
      <w:r w:rsidR="00235693">
        <w:rPr>
          <w:sz w:val="24"/>
          <w:szCs w:val="24"/>
        </w:rPr>
        <w:t xml:space="preserve"> of the lungs</w:t>
      </w:r>
      <w:r w:rsidR="006346C7">
        <w:rPr>
          <w:sz w:val="24"/>
          <w:szCs w:val="24"/>
        </w:rPr>
        <w:t xml:space="preserve"> and their screening program</w:t>
      </w:r>
      <w:r w:rsidR="00E24EA2">
        <w:rPr>
          <w:sz w:val="24"/>
          <w:szCs w:val="24"/>
        </w:rPr>
        <w:t xml:space="preserve"> </w:t>
      </w:r>
      <w:r w:rsidRPr="00284F23">
        <w:rPr>
          <w:sz w:val="24"/>
          <w:szCs w:val="24"/>
        </w:rPr>
        <w:t>follow</w:t>
      </w:r>
      <w:r w:rsidR="00E24EA2">
        <w:rPr>
          <w:sz w:val="24"/>
          <w:szCs w:val="24"/>
        </w:rPr>
        <w:t>s</w:t>
      </w:r>
      <w:r w:rsidRPr="00284F23">
        <w:rPr>
          <w:sz w:val="24"/>
          <w:szCs w:val="24"/>
        </w:rPr>
        <w:t xml:space="preserve"> the guidelines set forth by the Centers for Medicare &amp; Medicaid Services (CMS). </w:t>
      </w:r>
      <w:r w:rsidRPr="00284F23">
        <w:rPr>
          <w:rStyle w:val="FootnoteReference"/>
          <w:sz w:val="24"/>
          <w:szCs w:val="24"/>
        </w:rPr>
        <w:footnoteReference w:id="16"/>
      </w:r>
      <w:r w:rsidR="00196CF3">
        <w:rPr>
          <w:sz w:val="24"/>
          <w:szCs w:val="24"/>
        </w:rPr>
        <w:t xml:space="preserve"> </w:t>
      </w:r>
    </w:p>
    <w:p w14:paraId="3316719F" w14:textId="61697740" w:rsidR="00174A01" w:rsidRPr="00284F23" w:rsidRDefault="00174A01" w:rsidP="003E70BE">
      <w:pPr>
        <w:spacing w:line="240" w:lineRule="auto"/>
        <w:ind w:left="360"/>
        <w:rPr>
          <w:sz w:val="24"/>
          <w:szCs w:val="24"/>
        </w:rPr>
      </w:pPr>
    </w:p>
    <w:p w14:paraId="25D49D53" w14:textId="5ECA9F4D" w:rsidR="001A5B3D" w:rsidRDefault="00174A01" w:rsidP="00A726FC">
      <w:pPr>
        <w:pStyle w:val="ListParagraph"/>
        <w:numPr>
          <w:ilvl w:val="0"/>
          <w:numId w:val="21"/>
        </w:numPr>
        <w:spacing w:line="240" w:lineRule="auto"/>
        <w:rPr>
          <w:sz w:val="24"/>
          <w:szCs w:val="24"/>
        </w:rPr>
      </w:pPr>
      <w:r w:rsidRPr="00284F23">
        <w:rPr>
          <w:b/>
          <w:bCs/>
          <w:sz w:val="24"/>
          <w:szCs w:val="24"/>
        </w:rPr>
        <w:t>Maintain Patient satisfaction and convenience</w:t>
      </w:r>
    </w:p>
    <w:p w14:paraId="6589BF1E" w14:textId="03F2B92F" w:rsidR="00174A01" w:rsidRPr="001A5B3D" w:rsidRDefault="00174A01" w:rsidP="001A5B3D">
      <w:pPr>
        <w:spacing w:line="240" w:lineRule="auto"/>
        <w:rPr>
          <w:sz w:val="24"/>
          <w:szCs w:val="24"/>
        </w:rPr>
      </w:pPr>
      <w:r w:rsidRPr="001A5B3D">
        <w:rPr>
          <w:sz w:val="24"/>
          <w:szCs w:val="24"/>
        </w:rPr>
        <w:t>The Applicant asserts the Proposed Project will positively affect patient satisfaction by ensuring continued access to local</w:t>
      </w:r>
      <w:r w:rsidR="008E6984">
        <w:rPr>
          <w:sz w:val="24"/>
          <w:szCs w:val="24"/>
        </w:rPr>
        <w:t>,</w:t>
      </w:r>
      <w:r w:rsidRPr="001A5B3D">
        <w:rPr>
          <w:sz w:val="24"/>
          <w:szCs w:val="24"/>
        </w:rPr>
        <w:t xml:space="preserve"> in network MRI and CT services negating the need for patients to travel either outside the Atrius system services to the nearest</w:t>
      </w:r>
      <w:r w:rsidR="00850B96">
        <w:rPr>
          <w:sz w:val="24"/>
          <w:szCs w:val="24"/>
        </w:rPr>
        <w:t xml:space="preserve"> hospital out-patient department</w:t>
      </w:r>
      <w:r w:rsidRPr="001A5B3D">
        <w:rPr>
          <w:sz w:val="24"/>
          <w:szCs w:val="24"/>
        </w:rPr>
        <w:t xml:space="preserve"> </w:t>
      </w:r>
      <w:r w:rsidR="004A0FCB">
        <w:rPr>
          <w:sz w:val="24"/>
          <w:szCs w:val="24"/>
        </w:rPr>
        <w:t>(</w:t>
      </w:r>
      <w:r w:rsidRPr="001A5B3D">
        <w:rPr>
          <w:sz w:val="24"/>
          <w:szCs w:val="24"/>
        </w:rPr>
        <w:t>HOPD</w:t>
      </w:r>
      <w:r w:rsidR="004A0FCB">
        <w:rPr>
          <w:sz w:val="24"/>
          <w:szCs w:val="24"/>
        </w:rPr>
        <w:t>)</w:t>
      </w:r>
      <w:r w:rsidRPr="001A5B3D">
        <w:rPr>
          <w:sz w:val="24"/>
          <w:szCs w:val="24"/>
        </w:rPr>
        <w:t xml:space="preserve"> or to the next closest Atrius facilit</w:t>
      </w:r>
      <w:r w:rsidR="00A24E46">
        <w:rPr>
          <w:sz w:val="24"/>
          <w:szCs w:val="24"/>
        </w:rPr>
        <w:t>y</w:t>
      </w:r>
      <w:r w:rsidRPr="001A5B3D">
        <w:rPr>
          <w:sz w:val="24"/>
          <w:szCs w:val="24"/>
        </w:rPr>
        <w:t xml:space="preserve"> that offer</w:t>
      </w:r>
      <w:r w:rsidR="00A24E46">
        <w:rPr>
          <w:sz w:val="24"/>
          <w:szCs w:val="24"/>
        </w:rPr>
        <w:t>s</w:t>
      </w:r>
      <w:r w:rsidRPr="001A5B3D">
        <w:rPr>
          <w:sz w:val="24"/>
          <w:szCs w:val="24"/>
        </w:rPr>
        <w:t xml:space="preserve"> advanced imaging</w:t>
      </w:r>
      <w:r w:rsidR="00A24E46">
        <w:rPr>
          <w:sz w:val="24"/>
          <w:szCs w:val="24"/>
        </w:rPr>
        <w:t xml:space="preserve">, </w:t>
      </w:r>
      <w:r w:rsidRPr="001A5B3D">
        <w:rPr>
          <w:sz w:val="24"/>
          <w:szCs w:val="24"/>
        </w:rPr>
        <w:t>which is over 30 minutes away. Patient satisfaction is linked to patient compliance with their medical care plan, which leads to improved health outcomes.</w:t>
      </w:r>
    </w:p>
    <w:p w14:paraId="4EFE4A92" w14:textId="1E4E43A9" w:rsidR="001A5B3D" w:rsidRPr="00FB4DAD" w:rsidRDefault="00174A01" w:rsidP="00A726FC">
      <w:pPr>
        <w:pStyle w:val="ListParagraph"/>
        <w:numPr>
          <w:ilvl w:val="0"/>
          <w:numId w:val="21"/>
        </w:numPr>
        <w:spacing w:line="240" w:lineRule="auto"/>
        <w:rPr>
          <w:b/>
          <w:sz w:val="24"/>
          <w:szCs w:val="24"/>
        </w:rPr>
      </w:pPr>
      <w:r w:rsidRPr="00284F23">
        <w:rPr>
          <w:b/>
          <w:bCs/>
          <w:sz w:val="24"/>
          <w:szCs w:val="24"/>
        </w:rPr>
        <w:t xml:space="preserve">Addressing Atrius System Access </w:t>
      </w:r>
      <w:r w:rsidR="0045320F">
        <w:rPr>
          <w:b/>
          <w:bCs/>
          <w:sz w:val="24"/>
          <w:szCs w:val="24"/>
        </w:rPr>
        <w:t xml:space="preserve">with </w:t>
      </w:r>
      <w:r w:rsidRPr="00284F23">
        <w:rPr>
          <w:b/>
          <w:bCs/>
          <w:sz w:val="24"/>
          <w:szCs w:val="24"/>
        </w:rPr>
        <w:t>Ongoing COVID-Related Challenges</w:t>
      </w:r>
    </w:p>
    <w:p w14:paraId="3B867972" w14:textId="77777777" w:rsidR="00FB4DAD" w:rsidRPr="001A5B3D" w:rsidRDefault="00FB4DAD" w:rsidP="00FB4DAD">
      <w:pPr>
        <w:pStyle w:val="ListParagraph"/>
        <w:spacing w:line="240" w:lineRule="auto"/>
        <w:ind w:left="360"/>
        <w:rPr>
          <w:b/>
          <w:sz w:val="24"/>
          <w:szCs w:val="24"/>
        </w:rPr>
      </w:pPr>
    </w:p>
    <w:p w14:paraId="0D5564D2" w14:textId="79C554ED" w:rsidR="00174A01" w:rsidRPr="00284F23" w:rsidRDefault="001A5B3D" w:rsidP="001A5B3D">
      <w:pPr>
        <w:pStyle w:val="ListParagraph"/>
        <w:spacing w:line="240" w:lineRule="auto"/>
        <w:ind w:left="0"/>
        <w:rPr>
          <w:b/>
          <w:sz w:val="24"/>
          <w:szCs w:val="24"/>
        </w:rPr>
      </w:pPr>
      <w:r>
        <w:rPr>
          <w:sz w:val="24"/>
          <w:szCs w:val="24"/>
        </w:rPr>
        <w:t>T</w:t>
      </w:r>
      <w:r w:rsidR="00174A01" w:rsidRPr="00284F23">
        <w:rPr>
          <w:sz w:val="24"/>
          <w:szCs w:val="24"/>
        </w:rPr>
        <w:t>he COVID-19 pandemic challenged accessibility to MRI and CT services by increasing wait times</w:t>
      </w:r>
      <w:r w:rsidR="00A24E46">
        <w:rPr>
          <w:sz w:val="24"/>
          <w:szCs w:val="24"/>
        </w:rPr>
        <w:t xml:space="preserve"> leading</w:t>
      </w:r>
      <w:r w:rsidR="00174A01" w:rsidRPr="00284F23">
        <w:rPr>
          <w:sz w:val="24"/>
          <w:szCs w:val="24"/>
        </w:rPr>
        <w:t xml:space="preserve"> to delayed diagnosis and treatment of disease nationally and internationally.</w:t>
      </w:r>
      <w:r w:rsidR="00174A01" w:rsidRPr="00284F23">
        <w:rPr>
          <w:sz w:val="24"/>
          <w:szCs w:val="24"/>
          <w:vertAlign w:val="superscript"/>
        </w:rPr>
        <w:endnoteReference w:id="22"/>
      </w:r>
      <w:r w:rsidR="00174A01" w:rsidRPr="00284F23">
        <w:rPr>
          <w:sz w:val="24"/>
          <w:szCs w:val="24"/>
          <w:vertAlign w:val="superscript"/>
        </w:rPr>
        <w:t xml:space="preserve">, </w:t>
      </w:r>
      <w:r w:rsidR="00174A01" w:rsidRPr="00284F23">
        <w:rPr>
          <w:sz w:val="24"/>
          <w:szCs w:val="24"/>
          <w:vertAlign w:val="superscript"/>
        </w:rPr>
        <w:endnoteReference w:id="23"/>
      </w:r>
      <w:r w:rsidR="00174A01" w:rsidRPr="00284F23">
        <w:rPr>
          <w:sz w:val="24"/>
          <w:szCs w:val="24"/>
          <w:vertAlign w:val="superscript"/>
        </w:rPr>
        <w:t xml:space="preserve"> </w:t>
      </w:r>
      <w:r w:rsidR="00174A01" w:rsidRPr="00284F23">
        <w:rPr>
          <w:sz w:val="24"/>
          <w:szCs w:val="24"/>
        </w:rPr>
        <w:t xml:space="preserve"> Local hospitals have been overwhelmed by the number of patients needing imaging due to deferred care during the pandemic.</w:t>
      </w:r>
      <w:r w:rsidR="00174A01" w:rsidRPr="00284F23">
        <w:rPr>
          <w:sz w:val="24"/>
          <w:szCs w:val="24"/>
          <w:vertAlign w:val="superscript"/>
        </w:rPr>
        <w:endnoteReference w:id="24"/>
      </w:r>
      <w:r w:rsidR="00174A01" w:rsidRPr="00284F23">
        <w:rPr>
          <w:sz w:val="24"/>
          <w:szCs w:val="24"/>
        </w:rPr>
        <w:t xml:space="preserve"> When in an HOPD, a patient’s imaging can be delayed</w:t>
      </w:r>
      <w:r w:rsidR="00C866F1">
        <w:rPr>
          <w:sz w:val="24"/>
          <w:szCs w:val="24"/>
        </w:rPr>
        <w:t xml:space="preserve"> for more emergent </w:t>
      </w:r>
      <w:r w:rsidR="00C866F1">
        <w:rPr>
          <w:sz w:val="24"/>
          <w:szCs w:val="24"/>
        </w:rPr>
        <w:lastRenderedPageBreak/>
        <w:t>cases</w:t>
      </w:r>
      <w:r w:rsidR="00174A01" w:rsidRPr="00284F23">
        <w:rPr>
          <w:sz w:val="24"/>
          <w:szCs w:val="24"/>
        </w:rPr>
        <w:t xml:space="preserve">. </w:t>
      </w:r>
      <w:r w:rsidR="00FB266D">
        <w:rPr>
          <w:sz w:val="24"/>
          <w:szCs w:val="24"/>
        </w:rPr>
        <w:t>E</w:t>
      </w:r>
      <w:r w:rsidR="00AC7630">
        <w:rPr>
          <w:sz w:val="24"/>
          <w:szCs w:val="24"/>
        </w:rPr>
        <w:t>nhancing</w:t>
      </w:r>
      <w:r w:rsidR="00FB266D" w:rsidRPr="00284F23">
        <w:rPr>
          <w:sz w:val="24"/>
          <w:szCs w:val="24"/>
        </w:rPr>
        <w:t xml:space="preserve"> </w:t>
      </w:r>
      <w:r w:rsidR="007B0AEF">
        <w:rPr>
          <w:sz w:val="24"/>
          <w:szCs w:val="24"/>
        </w:rPr>
        <w:t xml:space="preserve">MRI and </w:t>
      </w:r>
      <w:r w:rsidR="00AC7630">
        <w:rPr>
          <w:sz w:val="24"/>
          <w:szCs w:val="24"/>
        </w:rPr>
        <w:t xml:space="preserve">establishing </w:t>
      </w:r>
      <w:r w:rsidR="007B0AEF">
        <w:rPr>
          <w:sz w:val="24"/>
          <w:szCs w:val="24"/>
        </w:rPr>
        <w:t>CT</w:t>
      </w:r>
      <w:r w:rsidR="00174A01" w:rsidRPr="00284F23">
        <w:rPr>
          <w:sz w:val="24"/>
          <w:szCs w:val="24"/>
        </w:rPr>
        <w:t xml:space="preserve"> services within Atrius Health’s Plymouth </w:t>
      </w:r>
      <w:r w:rsidR="006E13FE">
        <w:rPr>
          <w:sz w:val="24"/>
          <w:szCs w:val="24"/>
        </w:rPr>
        <w:t>Clinic</w:t>
      </w:r>
      <w:r w:rsidR="00174A01" w:rsidRPr="00284F23">
        <w:rPr>
          <w:sz w:val="24"/>
          <w:szCs w:val="24"/>
        </w:rPr>
        <w:t>, will ensure patients have timely access while optimizing quality of care</w:t>
      </w:r>
      <w:bookmarkStart w:id="20" w:name="_Hlk119487961"/>
      <w:r w:rsidR="00174A01" w:rsidRPr="00284F23">
        <w:rPr>
          <w:sz w:val="24"/>
          <w:szCs w:val="24"/>
        </w:rPr>
        <w:t xml:space="preserve"> </w:t>
      </w:r>
      <w:r w:rsidR="00BD2F2F">
        <w:rPr>
          <w:sz w:val="24"/>
          <w:szCs w:val="24"/>
        </w:rPr>
        <w:t xml:space="preserve">through </w:t>
      </w:r>
      <w:r w:rsidR="00174A01" w:rsidRPr="00284F23">
        <w:rPr>
          <w:sz w:val="24"/>
          <w:szCs w:val="24"/>
        </w:rPr>
        <w:t>timely and efficient diagnosis and treatment</w:t>
      </w:r>
      <w:r w:rsidR="001C45AD">
        <w:rPr>
          <w:sz w:val="24"/>
          <w:szCs w:val="24"/>
        </w:rPr>
        <w:t xml:space="preserve"> which </w:t>
      </w:r>
      <w:r w:rsidR="00174A01" w:rsidRPr="00284F23">
        <w:rPr>
          <w:sz w:val="24"/>
          <w:szCs w:val="24"/>
        </w:rPr>
        <w:t>can decrease hospitalization, morbidity and mortality of the aging population.</w:t>
      </w:r>
      <w:r w:rsidR="00174A01" w:rsidRPr="00284F23">
        <w:rPr>
          <w:sz w:val="24"/>
          <w:szCs w:val="24"/>
          <w:vertAlign w:val="superscript"/>
        </w:rPr>
        <w:endnoteReference w:id="25"/>
      </w:r>
      <w:r w:rsidR="00CF74F8">
        <w:rPr>
          <w:sz w:val="24"/>
          <w:szCs w:val="24"/>
        </w:rPr>
        <w:t xml:space="preserve"> </w:t>
      </w:r>
      <w:r w:rsidR="00AE5461">
        <w:rPr>
          <w:sz w:val="24"/>
          <w:szCs w:val="24"/>
        </w:rPr>
        <w:t xml:space="preserve"> </w:t>
      </w:r>
    </w:p>
    <w:bookmarkEnd w:id="20"/>
    <w:p w14:paraId="294BDECC" w14:textId="3CB3C530" w:rsidR="00174A01" w:rsidRPr="00284F23" w:rsidRDefault="00AE5461" w:rsidP="00174A01">
      <w:pPr>
        <w:spacing w:line="240" w:lineRule="auto"/>
        <w:rPr>
          <w:sz w:val="24"/>
          <w:szCs w:val="24"/>
        </w:rPr>
      </w:pPr>
      <w:r>
        <w:rPr>
          <w:sz w:val="24"/>
          <w:szCs w:val="24"/>
        </w:rPr>
        <w:t xml:space="preserve">The Applicant asserts that </w:t>
      </w:r>
      <w:r w:rsidR="00E56317">
        <w:rPr>
          <w:sz w:val="24"/>
          <w:szCs w:val="24"/>
        </w:rPr>
        <w:t xml:space="preserve">through avoidance of the </w:t>
      </w:r>
      <w:r w:rsidR="000120F1">
        <w:rPr>
          <w:sz w:val="24"/>
          <w:szCs w:val="24"/>
        </w:rPr>
        <w:t>confusion of a hospital</w:t>
      </w:r>
      <w:r w:rsidR="004A0FCB">
        <w:rPr>
          <w:sz w:val="24"/>
          <w:szCs w:val="24"/>
        </w:rPr>
        <w:t>-</w:t>
      </w:r>
      <w:r w:rsidR="000120F1">
        <w:rPr>
          <w:sz w:val="24"/>
          <w:szCs w:val="24"/>
        </w:rPr>
        <w:t>based setting</w:t>
      </w:r>
      <w:r w:rsidR="00E56317">
        <w:rPr>
          <w:sz w:val="24"/>
          <w:szCs w:val="24"/>
        </w:rPr>
        <w:t xml:space="preserve"> </w:t>
      </w:r>
      <w:r>
        <w:rPr>
          <w:sz w:val="24"/>
          <w:szCs w:val="24"/>
        </w:rPr>
        <w:t>it</w:t>
      </w:r>
      <w:r w:rsidR="00A61F9A">
        <w:rPr>
          <w:sz w:val="24"/>
          <w:szCs w:val="24"/>
        </w:rPr>
        <w:t>,</w:t>
      </w:r>
      <w:r w:rsidRPr="00AE5461">
        <w:rPr>
          <w:sz w:val="24"/>
          <w:szCs w:val="24"/>
        </w:rPr>
        <w:t xml:space="preserve"> expect</w:t>
      </w:r>
      <w:r w:rsidR="000120F1">
        <w:rPr>
          <w:sz w:val="24"/>
          <w:szCs w:val="24"/>
        </w:rPr>
        <w:t>s</w:t>
      </w:r>
      <w:r w:rsidRPr="00AE5461">
        <w:rPr>
          <w:sz w:val="24"/>
          <w:szCs w:val="24"/>
        </w:rPr>
        <w:t xml:space="preserve"> to improve compliance with imaging orders, and thus improve health outcomes</w:t>
      </w:r>
      <w:r w:rsidR="000120F1">
        <w:rPr>
          <w:sz w:val="24"/>
          <w:szCs w:val="24"/>
        </w:rPr>
        <w:t xml:space="preserve">, </w:t>
      </w:r>
      <w:r w:rsidR="00174A01" w:rsidRPr="00284F23">
        <w:rPr>
          <w:sz w:val="24"/>
          <w:szCs w:val="24"/>
        </w:rPr>
        <w:t xml:space="preserve">particularly </w:t>
      </w:r>
      <w:r w:rsidR="00D225DF">
        <w:rPr>
          <w:sz w:val="24"/>
          <w:szCs w:val="24"/>
        </w:rPr>
        <w:t>older adults and the chronically ill.</w:t>
      </w:r>
      <w:r w:rsidR="00173CF8">
        <w:rPr>
          <w:sz w:val="24"/>
          <w:szCs w:val="24"/>
        </w:rPr>
        <w:t xml:space="preserve"> </w:t>
      </w:r>
    </w:p>
    <w:p w14:paraId="49E69667" w14:textId="23464C96" w:rsidR="003E1CDA" w:rsidRPr="00B76EBA" w:rsidRDefault="00EC0CFC" w:rsidP="003E1CDA">
      <w:pPr>
        <w:spacing w:line="240" w:lineRule="auto"/>
        <w:rPr>
          <w:b/>
          <w:bCs/>
          <w:color w:val="FF0000"/>
          <w:sz w:val="24"/>
          <w:szCs w:val="24"/>
        </w:rPr>
      </w:pPr>
      <w:r>
        <w:rPr>
          <w:b/>
          <w:bCs/>
          <w:sz w:val="24"/>
          <w:szCs w:val="24"/>
        </w:rPr>
        <w:t xml:space="preserve">4. </w:t>
      </w:r>
      <w:r w:rsidR="003E1CDA" w:rsidRPr="002A724A">
        <w:rPr>
          <w:b/>
          <w:bCs/>
          <w:sz w:val="24"/>
          <w:szCs w:val="24"/>
        </w:rPr>
        <w:t>Health Equity and Social Determinants of Health (SDOH)</w:t>
      </w:r>
      <w:r w:rsidR="00B76EBA">
        <w:rPr>
          <w:b/>
          <w:bCs/>
          <w:color w:val="FF0000"/>
          <w:sz w:val="24"/>
          <w:szCs w:val="24"/>
        </w:rPr>
        <w:t xml:space="preserve"> </w:t>
      </w:r>
    </w:p>
    <w:p w14:paraId="70F8CABC" w14:textId="6B716FC7" w:rsidR="00A05C85" w:rsidRPr="00A05C85" w:rsidRDefault="00A05C85" w:rsidP="00765BA2">
      <w:pPr>
        <w:spacing w:line="240" w:lineRule="auto"/>
        <w:rPr>
          <w:rFonts w:ascii="Calibri" w:eastAsia="Calibri" w:hAnsi="Calibri" w:cs="Times New Roman"/>
        </w:rPr>
      </w:pPr>
      <w:r w:rsidRPr="00F957AB">
        <w:rPr>
          <w:rFonts w:ascii="Calibri" w:eastAsia="Calibri" w:hAnsi="Calibri" w:cs="Times New Roman"/>
          <w:sz w:val="24"/>
          <w:szCs w:val="24"/>
        </w:rPr>
        <w:t>The Applicant affirms its commitment to serving a diverse patient population and strives to address the needs of individuals who may be at risk for poor health</w:t>
      </w:r>
      <w:r w:rsidR="0070036A">
        <w:rPr>
          <w:rFonts w:ascii="Calibri" w:eastAsia="Calibri" w:hAnsi="Calibri" w:cs="Times New Roman"/>
          <w:sz w:val="24"/>
          <w:szCs w:val="24"/>
        </w:rPr>
        <w:t xml:space="preserve"> </w:t>
      </w:r>
      <w:r w:rsidR="0030358F">
        <w:rPr>
          <w:rFonts w:ascii="Calibri" w:eastAsia="Calibri" w:hAnsi="Calibri" w:cs="Times New Roman"/>
          <w:sz w:val="24"/>
          <w:szCs w:val="24"/>
        </w:rPr>
        <w:t>due to</w:t>
      </w:r>
      <w:r w:rsidRPr="00F957AB">
        <w:rPr>
          <w:rFonts w:ascii="Calibri" w:eastAsia="Calibri" w:hAnsi="Calibri" w:cs="Times New Roman"/>
          <w:sz w:val="24"/>
          <w:szCs w:val="24"/>
        </w:rPr>
        <w:t xml:space="preserve"> </w:t>
      </w:r>
      <w:r w:rsidR="00F957AB" w:rsidRPr="00F957AB">
        <w:rPr>
          <w:rFonts w:ascii="Calibri" w:eastAsia="Calibri" w:hAnsi="Calibri" w:cs="Times New Roman"/>
          <w:sz w:val="24"/>
          <w:szCs w:val="24"/>
        </w:rPr>
        <w:t>SDOH</w:t>
      </w:r>
      <w:r w:rsidRPr="00F957AB">
        <w:rPr>
          <w:rFonts w:ascii="Calibri" w:eastAsia="Calibri" w:hAnsi="Calibri" w:cs="Times New Roman"/>
          <w:sz w:val="24"/>
          <w:szCs w:val="24"/>
        </w:rPr>
        <w:t xml:space="preserve"> </w:t>
      </w:r>
      <w:r w:rsidR="0030358F">
        <w:rPr>
          <w:rFonts w:ascii="Calibri" w:eastAsia="Calibri" w:hAnsi="Calibri" w:cs="Times New Roman"/>
          <w:sz w:val="24"/>
          <w:szCs w:val="24"/>
        </w:rPr>
        <w:t>issue</w:t>
      </w:r>
      <w:r w:rsidRPr="00F957AB">
        <w:rPr>
          <w:rFonts w:ascii="Calibri" w:eastAsia="Calibri" w:hAnsi="Calibri" w:cs="Times New Roman"/>
          <w:sz w:val="24"/>
          <w:szCs w:val="24"/>
        </w:rPr>
        <w:t>s. Atrius Health’s model of care is focused on the individual, regardless of payer source or ability to pay and it works with patients who have difficulty paying for care</w:t>
      </w:r>
      <w:r w:rsidRPr="00A05C85">
        <w:rPr>
          <w:rFonts w:ascii="Calibri" w:eastAsia="Calibri" w:hAnsi="Calibri" w:cs="Times New Roman"/>
        </w:rPr>
        <w:t xml:space="preserve">. </w:t>
      </w:r>
    </w:p>
    <w:p w14:paraId="31953C42" w14:textId="6BAA3EC8" w:rsidR="00BD3454" w:rsidRDefault="00A05C85" w:rsidP="00BD3454">
      <w:pPr>
        <w:spacing w:line="240" w:lineRule="auto"/>
        <w:rPr>
          <w:rFonts w:ascii="Calibri" w:eastAsia="Calibri" w:hAnsi="Calibri" w:cs="Times New Roman"/>
          <w:sz w:val="24"/>
          <w:szCs w:val="24"/>
        </w:rPr>
      </w:pPr>
      <w:r w:rsidRPr="00F957AB">
        <w:rPr>
          <w:rFonts w:ascii="Calibri" w:eastAsia="Calibri" w:hAnsi="Calibri" w:cs="Times New Roman"/>
          <w:sz w:val="24"/>
          <w:szCs w:val="24"/>
        </w:rPr>
        <w:t xml:space="preserve">The Applicant asserts it has always participated in Medicaid (MassHealth) and currently participates as the ACO Partner in the MassHealth ACO plan, Tufts Health Together with Atrius Health, serving some of the Commonwealth’s most vulnerable populations. </w:t>
      </w:r>
      <w:r w:rsidR="00BD3454">
        <w:rPr>
          <w:rFonts w:ascii="Calibri" w:eastAsia="Calibri" w:hAnsi="Calibri" w:cs="Times New Roman"/>
          <w:sz w:val="24"/>
          <w:szCs w:val="24"/>
        </w:rPr>
        <w:t>Through t</w:t>
      </w:r>
      <w:r w:rsidRPr="00F957AB">
        <w:rPr>
          <w:rFonts w:ascii="Calibri" w:eastAsia="Calibri" w:hAnsi="Calibri" w:cs="Times New Roman"/>
          <w:sz w:val="24"/>
          <w:szCs w:val="24"/>
        </w:rPr>
        <w:t>he Proposed Project</w:t>
      </w:r>
      <w:r w:rsidR="00E65D10">
        <w:rPr>
          <w:rFonts w:ascii="Calibri" w:eastAsia="Calibri" w:hAnsi="Calibri" w:cs="Times New Roman"/>
          <w:sz w:val="24"/>
          <w:szCs w:val="24"/>
        </w:rPr>
        <w:t>,</w:t>
      </w:r>
      <w:r w:rsidRPr="00F957AB">
        <w:rPr>
          <w:rFonts w:ascii="Calibri" w:eastAsia="Calibri" w:hAnsi="Calibri" w:cs="Times New Roman"/>
          <w:sz w:val="24"/>
          <w:szCs w:val="24"/>
        </w:rPr>
        <w:t xml:space="preserve"> this segment of the Atrius Health population </w:t>
      </w:r>
      <w:r w:rsidR="00BD3454" w:rsidRPr="00BD3454">
        <w:rPr>
          <w:rFonts w:ascii="Calibri" w:eastAsia="Calibri" w:hAnsi="Calibri" w:cs="Times New Roman"/>
          <w:sz w:val="24"/>
          <w:szCs w:val="24"/>
        </w:rPr>
        <w:t>will</w:t>
      </w:r>
      <w:r w:rsidR="00BD3454">
        <w:rPr>
          <w:rFonts w:ascii="Calibri" w:eastAsia="Calibri" w:hAnsi="Calibri" w:cs="Times New Roman"/>
          <w:sz w:val="24"/>
          <w:szCs w:val="24"/>
        </w:rPr>
        <w:t xml:space="preserve"> gain affordable</w:t>
      </w:r>
      <w:r w:rsidR="00BD3454" w:rsidRPr="00BD3454">
        <w:rPr>
          <w:rFonts w:ascii="Calibri" w:eastAsia="Calibri" w:hAnsi="Calibri" w:cs="Times New Roman"/>
          <w:sz w:val="24"/>
          <w:szCs w:val="24"/>
        </w:rPr>
        <w:t xml:space="preserve"> access to advanced imaging services</w:t>
      </w:r>
      <w:r w:rsidR="00BD3454">
        <w:rPr>
          <w:rFonts w:ascii="Calibri" w:eastAsia="Calibri" w:hAnsi="Calibri" w:cs="Times New Roman"/>
          <w:sz w:val="24"/>
          <w:szCs w:val="24"/>
        </w:rPr>
        <w:t xml:space="preserve">. </w:t>
      </w:r>
    </w:p>
    <w:p w14:paraId="30F437BF" w14:textId="5C78D401" w:rsidR="00BD3454" w:rsidRPr="00BD3454" w:rsidRDefault="00BD3454" w:rsidP="00BD3454">
      <w:pPr>
        <w:spacing w:line="240" w:lineRule="auto"/>
        <w:rPr>
          <w:rFonts w:ascii="Calibri" w:eastAsia="Calibri" w:hAnsi="Calibri" w:cs="Times New Roman"/>
          <w:sz w:val="24"/>
          <w:szCs w:val="24"/>
        </w:rPr>
      </w:pPr>
      <w:r>
        <w:rPr>
          <w:rFonts w:ascii="Calibri" w:eastAsia="Calibri" w:hAnsi="Calibri" w:cs="Times New Roman"/>
          <w:sz w:val="24"/>
          <w:szCs w:val="24"/>
        </w:rPr>
        <w:t xml:space="preserve">Since </w:t>
      </w:r>
      <w:r w:rsidR="00F957AB" w:rsidRPr="00F957AB">
        <w:rPr>
          <w:rFonts w:ascii="Calibri" w:eastAsia="Calibri" w:hAnsi="Calibri" w:cs="Times New Roman"/>
          <w:sz w:val="24"/>
          <w:szCs w:val="24"/>
        </w:rPr>
        <w:t>the closest Atrius Health service is at least 30 minutes away</w:t>
      </w:r>
      <w:r w:rsidR="00F4696E">
        <w:rPr>
          <w:rFonts w:ascii="Calibri" w:eastAsia="Calibri" w:hAnsi="Calibri" w:cs="Times New Roman"/>
          <w:sz w:val="24"/>
          <w:szCs w:val="24"/>
        </w:rPr>
        <w:t>,</w:t>
      </w:r>
      <w:r>
        <w:rPr>
          <w:rFonts w:ascii="Calibri" w:eastAsia="Calibri" w:hAnsi="Calibri" w:cs="Times New Roman"/>
          <w:sz w:val="24"/>
          <w:szCs w:val="24"/>
        </w:rPr>
        <w:t xml:space="preserve"> access will also be more convenient: </w:t>
      </w:r>
      <w:r w:rsidRPr="00BD3454">
        <w:rPr>
          <w:rFonts w:ascii="Calibri" w:eastAsia="Calibri" w:hAnsi="Calibri" w:cs="Times New Roman"/>
          <w:sz w:val="24"/>
          <w:szCs w:val="24"/>
        </w:rPr>
        <w:t xml:space="preserve">offering services closer to home, reduces costs associated with transport, time away from work, and child and elder care, which can meaningfully impact lower-income families. </w:t>
      </w:r>
    </w:p>
    <w:p w14:paraId="54E1D0C1" w14:textId="3FC74758" w:rsidR="00A05C85" w:rsidRPr="00765BA2" w:rsidRDefault="00765BA2" w:rsidP="00765BA2">
      <w:pPr>
        <w:spacing w:line="240" w:lineRule="auto"/>
        <w:rPr>
          <w:rFonts w:ascii="Calibri" w:eastAsia="Calibri" w:hAnsi="Calibri" w:cs="Times New Roman"/>
          <w:sz w:val="24"/>
          <w:szCs w:val="24"/>
        </w:rPr>
      </w:pPr>
      <w:r w:rsidRPr="00765BA2">
        <w:rPr>
          <w:rFonts w:ascii="Calibri" w:eastAsia="Calibri" w:hAnsi="Calibri" w:cs="Times New Roman"/>
          <w:sz w:val="24"/>
          <w:szCs w:val="24"/>
        </w:rPr>
        <w:t xml:space="preserve">The Applicant states that </w:t>
      </w:r>
      <w:r w:rsidR="00A05C85" w:rsidRPr="00765BA2">
        <w:rPr>
          <w:rFonts w:ascii="Calibri" w:eastAsia="Calibri" w:hAnsi="Calibri" w:cs="Times New Roman"/>
          <w:sz w:val="24"/>
          <w:szCs w:val="24"/>
        </w:rPr>
        <w:t>Atrius Health respects and honors the cultural differences among its patient and staff</w:t>
      </w:r>
      <w:r w:rsidR="00B76EBA">
        <w:rPr>
          <w:rFonts w:ascii="Calibri" w:eastAsia="Calibri" w:hAnsi="Calibri" w:cs="Times New Roman"/>
          <w:sz w:val="24"/>
          <w:szCs w:val="24"/>
        </w:rPr>
        <w:t xml:space="preserve">. </w:t>
      </w:r>
      <w:r w:rsidR="00B76EBA" w:rsidRPr="00B76EBA">
        <w:rPr>
          <w:rFonts w:ascii="Calibri" w:eastAsia="Calibri" w:hAnsi="Calibri" w:cs="Times New Roman"/>
          <w:sz w:val="24"/>
          <w:szCs w:val="24"/>
        </w:rPr>
        <w:t>Radiology Services leadership is culturally diverse and the staff performing the CT and MRI imaging provide respectful, compassionate</w:t>
      </w:r>
      <w:r w:rsidR="00BD3454">
        <w:rPr>
          <w:rFonts w:ascii="Calibri" w:eastAsia="Calibri" w:hAnsi="Calibri" w:cs="Times New Roman"/>
          <w:sz w:val="24"/>
          <w:szCs w:val="24"/>
        </w:rPr>
        <w:t xml:space="preserve"> </w:t>
      </w:r>
      <w:r w:rsidR="00B76EBA" w:rsidRPr="00B76EBA">
        <w:rPr>
          <w:rFonts w:ascii="Calibri" w:eastAsia="Calibri" w:hAnsi="Calibri" w:cs="Times New Roman"/>
          <w:sz w:val="24"/>
          <w:szCs w:val="24"/>
        </w:rPr>
        <w:t>care to all patients</w:t>
      </w:r>
      <w:r w:rsidR="00041000">
        <w:rPr>
          <w:rFonts w:ascii="Calibri" w:eastAsia="Calibri" w:hAnsi="Calibri" w:cs="Times New Roman"/>
          <w:sz w:val="24"/>
          <w:szCs w:val="24"/>
        </w:rPr>
        <w:t xml:space="preserve">. </w:t>
      </w:r>
      <w:r w:rsidR="00436ED8">
        <w:rPr>
          <w:rFonts w:ascii="Calibri" w:eastAsia="Calibri" w:hAnsi="Calibri" w:cs="Times New Roman"/>
          <w:sz w:val="24"/>
          <w:szCs w:val="24"/>
        </w:rPr>
        <w:t>E</w:t>
      </w:r>
      <w:r w:rsidR="00B76EBA">
        <w:rPr>
          <w:rFonts w:ascii="Calibri" w:eastAsia="Calibri" w:hAnsi="Calibri" w:cs="Times New Roman"/>
          <w:sz w:val="24"/>
          <w:szCs w:val="24"/>
        </w:rPr>
        <w:t xml:space="preserve">xamples of </w:t>
      </w:r>
      <w:r w:rsidR="00BD3454">
        <w:rPr>
          <w:rFonts w:ascii="Calibri" w:eastAsia="Calibri" w:hAnsi="Calibri" w:cs="Times New Roman"/>
          <w:sz w:val="24"/>
          <w:szCs w:val="24"/>
        </w:rPr>
        <w:t>existing</w:t>
      </w:r>
      <w:r w:rsidR="00B76EBA">
        <w:rPr>
          <w:rFonts w:ascii="Calibri" w:eastAsia="Calibri" w:hAnsi="Calibri" w:cs="Times New Roman"/>
          <w:sz w:val="24"/>
          <w:szCs w:val="24"/>
        </w:rPr>
        <w:t xml:space="preserve"> programs and initiatives</w:t>
      </w:r>
      <w:r w:rsidR="00D22AD3">
        <w:rPr>
          <w:rFonts w:ascii="Calibri" w:eastAsia="Calibri" w:hAnsi="Calibri" w:cs="Times New Roman"/>
          <w:sz w:val="24"/>
          <w:szCs w:val="24"/>
        </w:rPr>
        <w:t xml:space="preserve"> were provided</w:t>
      </w:r>
      <w:r w:rsidR="00B76EBA">
        <w:rPr>
          <w:rFonts w:ascii="Calibri" w:eastAsia="Calibri" w:hAnsi="Calibri" w:cs="Times New Roman"/>
          <w:sz w:val="24"/>
          <w:szCs w:val="24"/>
        </w:rPr>
        <w:t>.</w:t>
      </w:r>
      <w:r>
        <w:rPr>
          <w:rFonts w:ascii="Calibri" w:eastAsia="Calibri" w:hAnsi="Calibri" w:cs="Times New Roman"/>
          <w:sz w:val="24"/>
          <w:szCs w:val="24"/>
        </w:rPr>
        <w:t xml:space="preserve"> </w:t>
      </w:r>
      <w:r w:rsidR="00B76EBA">
        <w:rPr>
          <w:rFonts w:ascii="Calibri" w:eastAsia="Calibri" w:hAnsi="Calibri" w:cs="Times New Roman"/>
          <w:sz w:val="24"/>
          <w:szCs w:val="24"/>
        </w:rPr>
        <w:t>First, a</w:t>
      </w:r>
      <w:r w:rsidRPr="00765BA2">
        <w:rPr>
          <w:rFonts w:ascii="Calibri" w:eastAsia="Calibri" w:hAnsi="Calibri" w:cs="Times New Roman"/>
          <w:sz w:val="24"/>
          <w:szCs w:val="24"/>
        </w:rPr>
        <w:t>s part of an effort to address disparities and inequities in patient care</w:t>
      </w:r>
      <w:r>
        <w:rPr>
          <w:rFonts w:ascii="Calibri" w:eastAsia="Calibri" w:hAnsi="Calibri" w:cs="Times New Roman"/>
          <w:sz w:val="24"/>
          <w:szCs w:val="24"/>
        </w:rPr>
        <w:t xml:space="preserve">, </w:t>
      </w:r>
      <w:r w:rsidR="004E6657">
        <w:rPr>
          <w:rFonts w:ascii="Calibri" w:eastAsia="Calibri" w:hAnsi="Calibri" w:cs="Times New Roman"/>
          <w:sz w:val="24"/>
          <w:szCs w:val="24"/>
        </w:rPr>
        <w:t xml:space="preserve">the Applicant states </w:t>
      </w:r>
      <w:r w:rsidR="00B76EBA">
        <w:rPr>
          <w:rFonts w:ascii="Calibri" w:eastAsia="Calibri" w:hAnsi="Calibri" w:cs="Times New Roman"/>
          <w:sz w:val="24"/>
          <w:szCs w:val="24"/>
        </w:rPr>
        <w:t>i</w:t>
      </w:r>
      <w:r>
        <w:rPr>
          <w:rFonts w:ascii="Calibri" w:eastAsia="Calibri" w:hAnsi="Calibri" w:cs="Times New Roman"/>
          <w:sz w:val="24"/>
          <w:szCs w:val="24"/>
        </w:rPr>
        <w:t xml:space="preserve">t </w:t>
      </w:r>
      <w:r w:rsidR="00A05C85" w:rsidRPr="00765BA2">
        <w:rPr>
          <w:rFonts w:ascii="Calibri" w:eastAsia="Calibri" w:hAnsi="Calibri" w:cs="Times New Roman"/>
          <w:sz w:val="24"/>
          <w:szCs w:val="24"/>
        </w:rPr>
        <w:t xml:space="preserve">has a robust diversity, equity and </w:t>
      </w:r>
      <w:r w:rsidR="00B76EBA" w:rsidRPr="00765BA2">
        <w:rPr>
          <w:rFonts w:ascii="Calibri" w:eastAsia="Calibri" w:hAnsi="Calibri" w:cs="Times New Roman"/>
          <w:sz w:val="24"/>
          <w:szCs w:val="24"/>
        </w:rPr>
        <w:t>inclusion</w:t>
      </w:r>
      <w:r w:rsidR="00B76EBA">
        <w:rPr>
          <w:rFonts w:ascii="Calibri" w:eastAsia="Calibri" w:hAnsi="Calibri" w:cs="Times New Roman"/>
          <w:sz w:val="24"/>
          <w:szCs w:val="24"/>
        </w:rPr>
        <w:t xml:space="preserve"> (</w:t>
      </w:r>
      <w:r>
        <w:rPr>
          <w:rFonts w:ascii="Calibri" w:eastAsia="Calibri" w:hAnsi="Calibri" w:cs="Times New Roman"/>
          <w:sz w:val="24"/>
          <w:szCs w:val="24"/>
        </w:rPr>
        <w:t>DEI)</w:t>
      </w:r>
      <w:r w:rsidR="00A05C85" w:rsidRPr="00765BA2">
        <w:rPr>
          <w:rFonts w:ascii="Calibri" w:eastAsia="Calibri" w:hAnsi="Calibri" w:cs="Times New Roman"/>
          <w:sz w:val="24"/>
          <w:szCs w:val="24"/>
        </w:rPr>
        <w:t xml:space="preserve"> program, which provides training to staff on cultural and socioeconomic differences</w:t>
      </w:r>
      <w:r w:rsidR="00B76EBA">
        <w:rPr>
          <w:rFonts w:ascii="Calibri" w:eastAsia="Calibri" w:hAnsi="Calibri" w:cs="Times New Roman"/>
          <w:sz w:val="24"/>
          <w:szCs w:val="24"/>
        </w:rPr>
        <w:t xml:space="preserve">. Second, it </w:t>
      </w:r>
      <w:r w:rsidR="00A05C85" w:rsidRPr="00765BA2">
        <w:rPr>
          <w:rFonts w:ascii="Calibri" w:eastAsia="Calibri" w:hAnsi="Calibri" w:cs="Times New Roman"/>
          <w:sz w:val="24"/>
          <w:szCs w:val="24"/>
        </w:rPr>
        <w:t>also provides interpreter services for 240 spoken languages for patients in their preferred language as well as American Sign Language.</w:t>
      </w:r>
      <w:r w:rsidR="00222331">
        <w:rPr>
          <w:rFonts w:ascii="Calibri" w:eastAsia="Calibri" w:hAnsi="Calibri" w:cs="Times New Roman"/>
          <w:sz w:val="24"/>
          <w:szCs w:val="24"/>
        </w:rPr>
        <w:t xml:space="preserve"> </w:t>
      </w:r>
      <w:r w:rsidR="00B76EBA">
        <w:rPr>
          <w:rFonts w:ascii="Calibri" w:eastAsia="Calibri" w:hAnsi="Calibri" w:cs="Times New Roman"/>
          <w:sz w:val="24"/>
          <w:szCs w:val="24"/>
        </w:rPr>
        <w:t xml:space="preserve">Third, </w:t>
      </w:r>
      <w:r w:rsidR="00A05C85" w:rsidRPr="00765BA2">
        <w:rPr>
          <w:rFonts w:ascii="Calibri" w:eastAsia="Calibri" w:hAnsi="Calibri" w:cs="Times New Roman"/>
          <w:sz w:val="24"/>
          <w:szCs w:val="24"/>
        </w:rPr>
        <w:t>The Atrius Health Equity Steering Committee is charged with monitoring health disparities and establishing plans to reduce inequities,</w:t>
      </w:r>
      <w:r w:rsidR="00BD3454">
        <w:rPr>
          <w:rFonts w:ascii="Calibri" w:eastAsia="Calibri" w:hAnsi="Calibri" w:cs="Times New Roman"/>
          <w:sz w:val="24"/>
          <w:szCs w:val="24"/>
        </w:rPr>
        <w:t xml:space="preserve"> thereby</w:t>
      </w:r>
      <w:r w:rsidR="00A05C85" w:rsidRPr="00765BA2">
        <w:rPr>
          <w:rFonts w:ascii="Calibri" w:eastAsia="Calibri" w:hAnsi="Calibri" w:cs="Times New Roman"/>
          <w:sz w:val="24"/>
          <w:szCs w:val="24"/>
        </w:rPr>
        <w:t xml:space="preserve"> improving equitable access to services for all Atrius Health patients. The scope of the Health Equity Steering Committee is broad and includes ancillary and </w:t>
      </w:r>
      <w:r w:rsidR="00BD3454">
        <w:rPr>
          <w:rFonts w:ascii="Calibri" w:eastAsia="Calibri" w:hAnsi="Calibri" w:cs="Times New Roman"/>
          <w:sz w:val="24"/>
          <w:szCs w:val="24"/>
        </w:rPr>
        <w:t xml:space="preserve">all </w:t>
      </w:r>
      <w:r w:rsidR="00A05C85" w:rsidRPr="00765BA2">
        <w:rPr>
          <w:rFonts w:ascii="Calibri" w:eastAsia="Calibri" w:hAnsi="Calibri" w:cs="Times New Roman"/>
          <w:sz w:val="24"/>
          <w:szCs w:val="24"/>
        </w:rPr>
        <w:t>imaging services</w:t>
      </w:r>
      <w:r w:rsidR="00BD3454">
        <w:rPr>
          <w:rFonts w:ascii="Calibri" w:eastAsia="Calibri" w:hAnsi="Calibri" w:cs="Times New Roman"/>
          <w:sz w:val="24"/>
          <w:szCs w:val="24"/>
        </w:rPr>
        <w:t>.</w:t>
      </w:r>
    </w:p>
    <w:p w14:paraId="761263F6" w14:textId="457E77AC" w:rsidR="00A05C85" w:rsidRPr="005004DC" w:rsidRDefault="00A05C85" w:rsidP="00A05C85">
      <w:pPr>
        <w:spacing w:line="256" w:lineRule="auto"/>
        <w:rPr>
          <w:rFonts w:ascii="Calibri" w:eastAsia="Calibri" w:hAnsi="Calibri" w:cs="Times New Roman"/>
          <w:b/>
          <w:bCs/>
          <w:i/>
          <w:iCs/>
          <w:sz w:val="24"/>
          <w:szCs w:val="24"/>
        </w:rPr>
      </w:pPr>
      <w:r w:rsidRPr="005004DC">
        <w:rPr>
          <w:rFonts w:ascii="Calibri" w:eastAsia="Calibri" w:hAnsi="Calibri" w:cs="Times New Roman"/>
          <w:b/>
          <w:bCs/>
          <w:i/>
          <w:iCs/>
          <w:sz w:val="24"/>
          <w:szCs w:val="24"/>
        </w:rPr>
        <w:t>Analysis</w:t>
      </w:r>
      <w:r w:rsidR="00B76EBA" w:rsidRPr="005004DC">
        <w:rPr>
          <w:rFonts w:ascii="Calibri" w:eastAsia="Calibri" w:hAnsi="Calibri" w:cs="Times New Roman"/>
          <w:b/>
          <w:bCs/>
          <w:i/>
          <w:iCs/>
          <w:sz w:val="24"/>
          <w:szCs w:val="24"/>
        </w:rPr>
        <w:t xml:space="preserve"> </w:t>
      </w:r>
    </w:p>
    <w:p w14:paraId="73095833" w14:textId="14AD6F9A" w:rsidR="00817609" w:rsidRPr="00817609" w:rsidRDefault="00817609" w:rsidP="00817609">
      <w:pPr>
        <w:spacing w:line="240" w:lineRule="auto"/>
        <w:rPr>
          <w:rFonts w:ascii="Calibri" w:eastAsia="Calibri" w:hAnsi="Calibri" w:cs="Times New Roman"/>
          <w:sz w:val="24"/>
          <w:szCs w:val="24"/>
        </w:rPr>
      </w:pPr>
      <w:r w:rsidRPr="00817609">
        <w:rPr>
          <w:rFonts w:ascii="Calibri" w:eastAsia="Calibri" w:hAnsi="Calibri" w:cs="Times New Roman"/>
          <w:bCs/>
          <w:sz w:val="24"/>
          <w:szCs w:val="24"/>
        </w:rPr>
        <w:t xml:space="preserve">Staff concur </w:t>
      </w:r>
      <w:r>
        <w:rPr>
          <w:rFonts w:ascii="Calibri" w:eastAsia="Calibri" w:hAnsi="Calibri" w:cs="Times New Roman"/>
          <w:bCs/>
          <w:sz w:val="24"/>
          <w:szCs w:val="24"/>
        </w:rPr>
        <w:t xml:space="preserve">with the Applicant’s assertion </w:t>
      </w:r>
      <w:r w:rsidRPr="00817609">
        <w:rPr>
          <w:rFonts w:ascii="Calibri" w:eastAsia="Calibri" w:hAnsi="Calibri" w:cs="Times New Roman"/>
          <w:bCs/>
          <w:sz w:val="24"/>
          <w:szCs w:val="24"/>
        </w:rPr>
        <w:t>that providing timely</w:t>
      </w:r>
      <w:r w:rsidR="004C3B08">
        <w:rPr>
          <w:rFonts w:ascii="Calibri" w:eastAsia="Calibri" w:hAnsi="Calibri" w:cs="Times New Roman"/>
          <w:bCs/>
          <w:sz w:val="24"/>
          <w:szCs w:val="24"/>
        </w:rPr>
        <w:t>,</w:t>
      </w:r>
      <w:r w:rsidRPr="00817609">
        <w:rPr>
          <w:rFonts w:ascii="Calibri" w:eastAsia="Calibri" w:hAnsi="Calibri" w:cs="Times New Roman"/>
          <w:bCs/>
          <w:sz w:val="24"/>
          <w:szCs w:val="24"/>
        </w:rPr>
        <w:t xml:space="preserve"> </w:t>
      </w:r>
      <w:r w:rsidR="004C3B08">
        <w:rPr>
          <w:rFonts w:ascii="Calibri" w:eastAsia="Calibri" w:hAnsi="Calibri" w:cs="Times New Roman"/>
          <w:bCs/>
          <w:sz w:val="24"/>
          <w:szCs w:val="24"/>
        </w:rPr>
        <w:t xml:space="preserve">local </w:t>
      </w:r>
      <w:r w:rsidRPr="00817609">
        <w:rPr>
          <w:rFonts w:ascii="Calibri" w:eastAsia="Calibri" w:hAnsi="Calibri" w:cs="Times New Roman"/>
          <w:bCs/>
          <w:sz w:val="24"/>
          <w:szCs w:val="24"/>
        </w:rPr>
        <w:t xml:space="preserve">access to imaging services </w:t>
      </w:r>
      <w:r>
        <w:rPr>
          <w:rFonts w:ascii="Calibri" w:eastAsia="Calibri" w:hAnsi="Calibri" w:cs="Times New Roman"/>
          <w:bCs/>
          <w:sz w:val="24"/>
          <w:szCs w:val="24"/>
        </w:rPr>
        <w:t xml:space="preserve">may </w:t>
      </w:r>
      <w:r w:rsidRPr="00817609">
        <w:rPr>
          <w:rFonts w:ascii="Calibri" w:eastAsia="Calibri" w:hAnsi="Calibri" w:cs="Times New Roman"/>
          <w:bCs/>
          <w:sz w:val="24"/>
          <w:szCs w:val="24"/>
        </w:rPr>
        <w:t>contribute to improved health outcomes and patient satisfaction. Review of t</w:t>
      </w:r>
      <w:r w:rsidRPr="00817609">
        <w:rPr>
          <w:rFonts w:ascii="Calibri" w:eastAsia="Calibri" w:hAnsi="Calibri" w:cs="Times New Roman"/>
          <w:sz w:val="24"/>
          <w:szCs w:val="24"/>
        </w:rPr>
        <w:t>he literature supports the assertion that patient satisfaction is an important indicator for measuring quality in healthcare; patient satisfaction impacts clinical outcomes, patient retention, medical malpractice claims; and timely, efficient, and patient-centered care directly influence patient satisfaction.</w:t>
      </w:r>
      <w:r w:rsidRPr="00817609">
        <w:rPr>
          <w:rFonts w:ascii="Calibri" w:eastAsia="Calibri" w:hAnsi="Calibri" w:cs="Times New Roman"/>
          <w:sz w:val="24"/>
          <w:szCs w:val="24"/>
          <w:vertAlign w:val="superscript"/>
        </w:rPr>
        <w:endnoteReference w:id="26"/>
      </w:r>
    </w:p>
    <w:p w14:paraId="4889A486" w14:textId="3679B1C3" w:rsidR="00817609" w:rsidRPr="00817609" w:rsidRDefault="00817609" w:rsidP="00817609">
      <w:pPr>
        <w:spacing w:line="240" w:lineRule="auto"/>
        <w:rPr>
          <w:rFonts w:ascii="Calibri" w:eastAsia="Calibri" w:hAnsi="Calibri" w:cs="Times New Roman"/>
          <w:bCs/>
          <w:sz w:val="24"/>
          <w:szCs w:val="24"/>
        </w:rPr>
      </w:pPr>
      <w:r w:rsidRPr="00817609">
        <w:rPr>
          <w:rFonts w:ascii="Calibri" w:eastAsia="Calibri" w:hAnsi="Calibri" w:cs="Times New Roman"/>
          <w:bCs/>
          <w:sz w:val="24"/>
          <w:szCs w:val="24"/>
        </w:rPr>
        <w:t xml:space="preserve">Advanced imaging can improve disease detection, diagnosis and treatment </w:t>
      </w:r>
      <w:r>
        <w:rPr>
          <w:rFonts w:ascii="Calibri" w:eastAsia="Calibri" w:hAnsi="Calibri" w:cs="Times New Roman"/>
          <w:bCs/>
          <w:sz w:val="24"/>
          <w:szCs w:val="24"/>
        </w:rPr>
        <w:t>by enabling</w:t>
      </w:r>
      <w:r w:rsidRPr="00817609">
        <w:rPr>
          <w:rFonts w:ascii="Calibri" w:eastAsia="Calibri" w:hAnsi="Calibri" w:cs="Times New Roman"/>
          <w:bCs/>
          <w:sz w:val="24"/>
          <w:szCs w:val="24"/>
        </w:rPr>
        <w:t xml:space="preserve"> more accurate diagnosis and treatment and </w:t>
      </w:r>
      <w:r w:rsidR="004C3B08">
        <w:rPr>
          <w:rFonts w:ascii="Calibri" w:eastAsia="Calibri" w:hAnsi="Calibri" w:cs="Times New Roman"/>
          <w:bCs/>
          <w:sz w:val="24"/>
          <w:szCs w:val="24"/>
        </w:rPr>
        <w:t xml:space="preserve">it can </w:t>
      </w:r>
      <w:r>
        <w:rPr>
          <w:rFonts w:ascii="Calibri" w:eastAsia="Calibri" w:hAnsi="Calibri" w:cs="Times New Roman"/>
          <w:bCs/>
          <w:sz w:val="24"/>
          <w:szCs w:val="24"/>
        </w:rPr>
        <w:t xml:space="preserve">also </w:t>
      </w:r>
      <w:r w:rsidR="004C3B08">
        <w:rPr>
          <w:rFonts w:ascii="Calibri" w:eastAsia="Calibri" w:hAnsi="Calibri" w:cs="Times New Roman"/>
          <w:bCs/>
          <w:sz w:val="24"/>
          <w:szCs w:val="24"/>
        </w:rPr>
        <w:t xml:space="preserve">result in </w:t>
      </w:r>
      <w:r w:rsidRPr="00817609">
        <w:rPr>
          <w:rFonts w:ascii="Calibri" w:eastAsia="Calibri" w:hAnsi="Calibri" w:cs="Times New Roman"/>
          <w:bCs/>
          <w:sz w:val="24"/>
          <w:szCs w:val="24"/>
        </w:rPr>
        <w:t>the avoidance of more invasive and costly procedures</w:t>
      </w:r>
      <w:r w:rsidRPr="00817609">
        <w:rPr>
          <w:rFonts w:ascii="Calibri" w:eastAsia="Calibri" w:hAnsi="Calibri" w:cs="Times New Roman"/>
          <w:bCs/>
          <w:sz w:val="24"/>
          <w:szCs w:val="24"/>
          <w:vertAlign w:val="superscript"/>
        </w:rPr>
        <w:endnoteReference w:id="27"/>
      </w:r>
      <w:r w:rsidRPr="00817609">
        <w:rPr>
          <w:rFonts w:ascii="Calibri" w:eastAsia="Calibri" w:hAnsi="Calibri" w:cs="Times New Roman"/>
          <w:bCs/>
          <w:sz w:val="24"/>
          <w:szCs w:val="24"/>
        </w:rPr>
        <w:t xml:space="preserve">  </w:t>
      </w:r>
      <w:r>
        <w:rPr>
          <w:rFonts w:ascii="Calibri" w:eastAsia="Calibri" w:hAnsi="Calibri" w:cs="Times New Roman"/>
          <w:bCs/>
          <w:sz w:val="24"/>
          <w:szCs w:val="24"/>
        </w:rPr>
        <w:t xml:space="preserve">leading to </w:t>
      </w:r>
      <w:r w:rsidRPr="00817609">
        <w:rPr>
          <w:rFonts w:ascii="Calibri" w:eastAsia="Calibri" w:hAnsi="Calibri" w:cs="Times New Roman"/>
          <w:bCs/>
          <w:sz w:val="24"/>
          <w:szCs w:val="24"/>
        </w:rPr>
        <w:t>improve</w:t>
      </w:r>
      <w:r>
        <w:rPr>
          <w:rFonts w:ascii="Calibri" w:eastAsia="Calibri" w:hAnsi="Calibri" w:cs="Times New Roman"/>
          <w:bCs/>
          <w:sz w:val="24"/>
          <w:szCs w:val="24"/>
        </w:rPr>
        <w:t>d</w:t>
      </w:r>
      <w:r w:rsidRPr="00817609">
        <w:rPr>
          <w:rFonts w:ascii="Calibri" w:eastAsia="Calibri" w:hAnsi="Calibri" w:cs="Times New Roman"/>
          <w:bCs/>
          <w:sz w:val="24"/>
          <w:szCs w:val="24"/>
        </w:rPr>
        <w:t xml:space="preserve"> </w:t>
      </w:r>
      <w:r w:rsidRPr="00817609">
        <w:rPr>
          <w:rFonts w:ascii="Calibri" w:eastAsia="Calibri" w:hAnsi="Calibri" w:cs="Times New Roman"/>
          <w:sz w:val="24"/>
          <w:szCs w:val="24"/>
        </w:rPr>
        <w:t xml:space="preserve">health outcomes. Since the 65+ population comprises about one </w:t>
      </w:r>
      <w:r w:rsidRPr="00817609">
        <w:rPr>
          <w:rFonts w:ascii="Calibri" w:eastAsia="Calibri" w:hAnsi="Calibri" w:cs="Times New Roman"/>
          <w:sz w:val="24"/>
          <w:szCs w:val="24"/>
        </w:rPr>
        <w:lastRenderedPageBreak/>
        <w:t xml:space="preserve">quarter of </w:t>
      </w:r>
      <w:r>
        <w:rPr>
          <w:rFonts w:ascii="Calibri" w:eastAsia="Calibri" w:hAnsi="Calibri" w:cs="Times New Roman"/>
          <w:sz w:val="24"/>
          <w:szCs w:val="24"/>
        </w:rPr>
        <w:t xml:space="preserve">the Applicant’s </w:t>
      </w:r>
      <w:r w:rsidRPr="00817609">
        <w:rPr>
          <w:rFonts w:ascii="Calibri" w:eastAsia="Calibri" w:hAnsi="Calibri" w:cs="Times New Roman"/>
          <w:sz w:val="24"/>
          <w:szCs w:val="24"/>
        </w:rPr>
        <w:t xml:space="preserve">patient population, staff affirms </w:t>
      </w:r>
      <w:r>
        <w:rPr>
          <w:rFonts w:ascii="Calibri" w:eastAsia="Calibri" w:hAnsi="Calibri" w:cs="Times New Roman"/>
          <w:sz w:val="24"/>
          <w:szCs w:val="24"/>
        </w:rPr>
        <w:t xml:space="preserve">the </w:t>
      </w:r>
      <w:r w:rsidRPr="00817609">
        <w:rPr>
          <w:rFonts w:ascii="Calibri" w:eastAsia="Calibri" w:hAnsi="Calibri" w:cs="Times New Roman"/>
          <w:sz w:val="24"/>
          <w:szCs w:val="24"/>
        </w:rPr>
        <w:t xml:space="preserve">ongoing need for MRI and CT services </w:t>
      </w:r>
      <w:r w:rsidR="00364312">
        <w:rPr>
          <w:rFonts w:ascii="Calibri" w:eastAsia="Calibri" w:hAnsi="Calibri" w:cs="Times New Roman"/>
          <w:sz w:val="24"/>
          <w:szCs w:val="24"/>
        </w:rPr>
        <w:t>as the</w:t>
      </w:r>
      <w:r w:rsidRPr="00817609">
        <w:rPr>
          <w:rFonts w:ascii="Calibri" w:eastAsia="Calibri" w:hAnsi="Calibri" w:cs="Times New Roman"/>
          <w:sz w:val="24"/>
          <w:szCs w:val="24"/>
        </w:rPr>
        <w:t xml:space="preserve"> risk for cancer, cardiovascular disease, and Alzheimer’s, the leading causes of death in Massachusetts, increase with age, and consequently demand for the proposed imaging services is likely to increase with a growing aging population.</w:t>
      </w:r>
      <w:r w:rsidRPr="00817609">
        <w:rPr>
          <w:rFonts w:ascii="Calibri" w:eastAsia="Calibri" w:hAnsi="Calibri" w:cs="Times New Roman"/>
          <w:sz w:val="24"/>
          <w:szCs w:val="24"/>
          <w:vertAlign w:val="superscript"/>
        </w:rPr>
        <w:endnoteReference w:id="28"/>
      </w:r>
      <w:r w:rsidRPr="00817609">
        <w:rPr>
          <w:rFonts w:ascii="Calibri" w:eastAsia="Calibri" w:hAnsi="Calibri" w:cs="Times New Roman"/>
          <w:sz w:val="24"/>
          <w:szCs w:val="24"/>
        </w:rPr>
        <w:t xml:space="preserve"> </w:t>
      </w:r>
    </w:p>
    <w:p w14:paraId="3A91CB21" w14:textId="76D4B8D2" w:rsidR="00A05C85" w:rsidRPr="00A05C85" w:rsidRDefault="00A05C85" w:rsidP="00B87018">
      <w:pPr>
        <w:spacing w:line="240" w:lineRule="auto"/>
        <w:rPr>
          <w:rFonts w:ascii="Calibri" w:eastAsia="Calibri" w:hAnsi="Calibri" w:cs="Times New Roman"/>
          <w:sz w:val="24"/>
          <w:szCs w:val="24"/>
        </w:rPr>
      </w:pPr>
      <w:r w:rsidRPr="00A05C85">
        <w:rPr>
          <w:rFonts w:ascii="Calibri" w:eastAsia="Calibri" w:hAnsi="Calibri" w:cs="Times New Roman"/>
          <w:sz w:val="24"/>
          <w:szCs w:val="24"/>
        </w:rPr>
        <w:t>The H</w:t>
      </w:r>
      <w:r w:rsidR="00D22AD3">
        <w:rPr>
          <w:rFonts w:ascii="Calibri" w:eastAsia="Calibri" w:hAnsi="Calibri" w:cs="Times New Roman"/>
          <w:sz w:val="24"/>
          <w:szCs w:val="24"/>
        </w:rPr>
        <w:t xml:space="preserve">ealth </w:t>
      </w:r>
      <w:r w:rsidRPr="00A05C85">
        <w:rPr>
          <w:rFonts w:ascii="Calibri" w:eastAsia="Calibri" w:hAnsi="Calibri" w:cs="Times New Roman"/>
          <w:sz w:val="24"/>
          <w:szCs w:val="24"/>
        </w:rPr>
        <w:t>P</w:t>
      </w:r>
      <w:r w:rsidR="00D22AD3">
        <w:rPr>
          <w:rFonts w:ascii="Calibri" w:eastAsia="Calibri" w:hAnsi="Calibri" w:cs="Times New Roman"/>
          <w:sz w:val="24"/>
          <w:szCs w:val="24"/>
        </w:rPr>
        <w:t xml:space="preserve">olicy </w:t>
      </w:r>
      <w:r w:rsidRPr="00A05C85">
        <w:rPr>
          <w:rFonts w:ascii="Calibri" w:eastAsia="Calibri" w:hAnsi="Calibri" w:cs="Times New Roman"/>
          <w:sz w:val="24"/>
          <w:szCs w:val="24"/>
        </w:rPr>
        <w:t>C</w:t>
      </w:r>
      <w:r w:rsidR="00D22AD3">
        <w:rPr>
          <w:rFonts w:ascii="Calibri" w:eastAsia="Calibri" w:hAnsi="Calibri" w:cs="Times New Roman"/>
          <w:sz w:val="24"/>
          <w:szCs w:val="24"/>
        </w:rPr>
        <w:t>ommission</w:t>
      </w:r>
      <w:r w:rsidRPr="00A05C85">
        <w:rPr>
          <w:rFonts w:ascii="Calibri" w:eastAsia="Calibri" w:hAnsi="Calibri" w:cs="Times New Roman"/>
          <w:sz w:val="24"/>
          <w:szCs w:val="24"/>
        </w:rPr>
        <w:t xml:space="preserve"> conducted an analysis </w:t>
      </w:r>
      <w:r w:rsidR="001A27D9">
        <w:rPr>
          <w:rFonts w:ascii="Calibri" w:eastAsia="Calibri" w:hAnsi="Calibri" w:cs="Times New Roman"/>
          <w:sz w:val="24"/>
          <w:szCs w:val="24"/>
        </w:rPr>
        <w:t xml:space="preserve">that </w:t>
      </w:r>
      <w:r w:rsidR="001A27D9" w:rsidRPr="001A27D9">
        <w:rPr>
          <w:rFonts w:ascii="Calibri" w:eastAsia="Calibri" w:hAnsi="Calibri" w:cs="Times New Roman"/>
          <w:sz w:val="24"/>
          <w:szCs w:val="24"/>
        </w:rPr>
        <w:t>demonstrates the importance of ensuring that lower income patients achieve convenient</w:t>
      </w:r>
      <w:r w:rsidR="00636C6D">
        <w:rPr>
          <w:rFonts w:ascii="Calibri" w:eastAsia="Calibri" w:hAnsi="Calibri" w:cs="Times New Roman"/>
          <w:sz w:val="24"/>
          <w:szCs w:val="24"/>
        </w:rPr>
        <w:t>, and</w:t>
      </w:r>
      <w:r w:rsidR="001A27D9" w:rsidRPr="001A27D9">
        <w:rPr>
          <w:rFonts w:ascii="Calibri" w:eastAsia="Calibri" w:hAnsi="Calibri" w:cs="Times New Roman"/>
          <w:sz w:val="24"/>
          <w:szCs w:val="24"/>
        </w:rPr>
        <w:t xml:space="preserve"> early access to affordable diagnostic services. </w:t>
      </w:r>
      <w:r w:rsidR="001A27D9">
        <w:rPr>
          <w:rFonts w:ascii="Calibri" w:eastAsia="Calibri" w:hAnsi="Calibri" w:cs="Times New Roman"/>
          <w:sz w:val="24"/>
          <w:szCs w:val="24"/>
        </w:rPr>
        <w:t xml:space="preserve">The Study </w:t>
      </w:r>
      <w:r w:rsidRPr="00A05C85">
        <w:rPr>
          <w:rFonts w:ascii="Calibri" w:eastAsia="Calibri" w:hAnsi="Calibri" w:cs="Times New Roman"/>
          <w:sz w:val="24"/>
          <w:szCs w:val="24"/>
        </w:rPr>
        <w:t xml:space="preserve">of the </w:t>
      </w:r>
      <w:r w:rsidR="00993DA2" w:rsidRPr="00993DA2">
        <w:rPr>
          <w:rFonts w:ascii="Calibri" w:eastAsia="Calibri" w:hAnsi="Calibri" w:cs="Times New Roman"/>
          <w:sz w:val="24"/>
          <w:szCs w:val="24"/>
        </w:rPr>
        <w:t xml:space="preserve">Center for Health Information and Analysis </w:t>
      </w:r>
      <w:r w:rsidR="00993DA2">
        <w:rPr>
          <w:rFonts w:ascii="Calibri" w:eastAsia="Calibri" w:hAnsi="Calibri" w:cs="Times New Roman"/>
          <w:sz w:val="24"/>
          <w:szCs w:val="24"/>
        </w:rPr>
        <w:t>(</w:t>
      </w:r>
      <w:r w:rsidR="001A5B3D" w:rsidRPr="00A05C85">
        <w:rPr>
          <w:rFonts w:ascii="Calibri" w:eastAsia="Calibri" w:hAnsi="Calibri" w:cs="Times New Roman"/>
          <w:sz w:val="24"/>
          <w:szCs w:val="24"/>
        </w:rPr>
        <w:t>CHIA)</w:t>
      </w:r>
      <w:r w:rsidR="001A5B3D">
        <w:rPr>
          <w:rFonts w:ascii="Calibri" w:eastAsia="Calibri" w:hAnsi="Calibri" w:cs="Times New Roman"/>
          <w:sz w:val="24"/>
          <w:szCs w:val="24"/>
        </w:rPr>
        <w:t xml:space="preserve"> </w:t>
      </w:r>
      <w:r w:rsidRPr="00A05C85">
        <w:rPr>
          <w:rFonts w:ascii="Calibri" w:eastAsia="Calibri" w:hAnsi="Calibri" w:cs="Times New Roman"/>
          <w:sz w:val="24"/>
          <w:szCs w:val="24"/>
        </w:rPr>
        <w:t>2019 Massachusetts Health Insurance Survey</w:t>
      </w:r>
      <w:r w:rsidR="001800E4">
        <w:rPr>
          <w:rFonts w:ascii="Calibri" w:eastAsia="Calibri" w:hAnsi="Calibri" w:cs="Times New Roman"/>
          <w:sz w:val="24"/>
          <w:szCs w:val="24"/>
        </w:rPr>
        <w:t xml:space="preserve"> and found </w:t>
      </w:r>
      <w:r w:rsidRPr="00A05C85">
        <w:rPr>
          <w:rFonts w:ascii="Calibri" w:eastAsia="Calibri" w:hAnsi="Calibri" w:cs="Times New Roman"/>
          <w:sz w:val="24"/>
          <w:szCs w:val="24"/>
        </w:rPr>
        <w:t xml:space="preserve">that among Massachusetts commercially insured patients with lower incomes, 59% had trouble accessing care due to cost; it also found that lower-income residents disproportionately </w:t>
      </w:r>
      <w:bookmarkStart w:id="21" w:name="_BPDCD_58"/>
      <w:r w:rsidRPr="00A05C85">
        <w:rPr>
          <w:rFonts w:ascii="Calibri" w:eastAsia="Calibri" w:hAnsi="Calibri" w:cs="Times New Roman"/>
          <w:sz w:val="24"/>
          <w:szCs w:val="24"/>
        </w:rPr>
        <w:t xml:space="preserve">forgo </w:t>
      </w:r>
      <w:bookmarkEnd w:id="21"/>
      <w:r w:rsidRPr="00A05C85">
        <w:rPr>
          <w:rFonts w:ascii="Calibri" w:eastAsia="Calibri" w:hAnsi="Calibri" w:cs="Times New Roman"/>
          <w:sz w:val="24"/>
          <w:szCs w:val="24"/>
        </w:rPr>
        <w:t>needed care.</w:t>
      </w:r>
      <w:r w:rsidR="00624762" w:rsidRPr="00A05C85">
        <w:rPr>
          <w:rFonts w:ascii="Calibri" w:eastAsia="Calibri" w:hAnsi="Calibri" w:cs="Times New Roman"/>
          <w:sz w:val="24"/>
          <w:szCs w:val="24"/>
          <w:vertAlign w:val="superscript"/>
        </w:rPr>
        <w:endnoteReference w:id="29"/>
      </w:r>
      <w:r w:rsidR="00624762" w:rsidRPr="00A05C85">
        <w:rPr>
          <w:rFonts w:ascii="Calibri" w:eastAsia="Calibri" w:hAnsi="Calibri" w:cs="Times New Roman"/>
          <w:sz w:val="24"/>
          <w:szCs w:val="24"/>
        </w:rPr>
        <w:t xml:space="preserve"> </w:t>
      </w:r>
    </w:p>
    <w:p w14:paraId="062A8716" w14:textId="6E8A243F" w:rsidR="00A05C85" w:rsidRDefault="00A05C85" w:rsidP="00B87018">
      <w:pPr>
        <w:spacing w:line="240" w:lineRule="auto"/>
        <w:rPr>
          <w:rFonts w:ascii="Calibri" w:eastAsia="Calibri" w:hAnsi="Calibri" w:cs="Times New Roman"/>
          <w:sz w:val="24"/>
          <w:szCs w:val="24"/>
        </w:rPr>
      </w:pPr>
      <w:r w:rsidRPr="00A05C85">
        <w:rPr>
          <w:rFonts w:ascii="Calibri" w:eastAsia="Calibri" w:hAnsi="Calibri" w:cs="Times New Roman"/>
          <w:sz w:val="24"/>
          <w:szCs w:val="24"/>
        </w:rPr>
        <w:t>The Applicant ha</w:t>
      </w:r>
      <w:r w:rsidR="00B76EBA">
        <w:rPr>
          <w:rFonts w:ascii="Calibri" w:eastAsia="Calibri" w:hAnsi="Calibri" w:cs="Times New Roman"/>
          <w:sz w:val="24"/>
          <w:szCs w:val="24"/>
        </w:rPr>
        <w:t>s</w:t>
      </w:r>
      <w:r w:rsidRPr="00A05C85">
        <w:rPr>
          <w:rFonts w:ascii="Calibri" w:eastAsia="Calibri" w:hAnsi="Calibri" w:cs="Times New Roman"/>
          <w:sz w:val="24"/>
          <w:szCs w:val="24"/>
        </w:rPr>
        <w:t xml:space="preserve"> described its ongoing commitment to ensuring public health value and equity </w:t>
      </w:r>
      <w:r w:rsidR="00B76EBA">
        <w:rPr>
          <w:rFonts w:ascii="Calibri" w:eastAsia="Calibri" w:hAnsi="Calibri" w:cs="Times New Roman"/>
          <w:sz w:val="24"/>
          <w:szCs w:val="24"/>
        </w:rPr>
        <w:t xml:space="preserve">through its DEI initiatives, </w:t>
      </w:r>
      <w:r w:rsidRPr="00A05C85">
        <w:rPr>
          <w:rFonts w:ascii="Calibri" w:eastAsia="Calibri" w:hAnsi="Calibri" w:cs="Times New Roman"/>
          <w:sz w:val="24"/>
          <w:szCs w:val="24"/>
        </w:rPr>
        <w:t xml:space="preserve">demonstrating that the Proposed Project will contribute to </w:t>
      </w:r>
      <w:bookmarkStart w:id="22" w:name="_BPDCI_57"/>
      <w:r w:rsidRPr="00A05C85">
        <w:rPr>
          <w:rFonts w:ascii="Calibri" w:eastAsia="Calibri" w:hAnsi="Calibri" w:cs="Times New Roman"/>
          <w:sz w:val="24"/>
          <w:szCs w:val="24"/>
        </w:rPr>
        <w:t xml:space="preserve">Atrius Health’s </w:t>
      </w:r>
      <w:bookmarkEnd w:id="22"/>
      <w:r w:rsidRPr="00A05C85">
        <w:rPr>
          <w:rFonts w:ascii="Calibri" w:eastAsia="Calibri" w:hAnsi="Calibri" w:cs="Times New Roman"/>
          <w:sz w:val="24"/>
          <w:szCs w:val="24"/>
        </w:rPr>
        <w:t>continued efforts to improve access to care for underserved populations</w:t>
      </w:r>
      <w:r w:rsidR="00B76EBA">
        <w:rPr>
          <w:rFonts w:ascii="Calibri" w:eastAsia="Calibri" w:hAnsi="Calibri" w:cs="Times New Roman"/>
          <w:sz w:val="24"/>
          <w:szCs w:val="24"/>
        </w:rPr>
        <w:t xml:space="preserve"> </w:t>
      </w:r>
      <w:r w:rsidRPr="00A05C85">
        <w:rPr>
          <w:rFonts w:ascii="Calibri" w:eastAsia="Calibri" w:hAnsi="Calibri" w:cs="Times New Roman"/>
          <w:sz w:val="24"/>
          <w:szCs w:val="24"/>
        </w:rPr>
        <w:t xml:space="preserve">by making MRI and CT services accessible at a lower cost to the Plymouth </w:t>
      </w:r>
      <w:r w:rsidR="00716578">
        <w:rPr>
          <w:rFonts w:ascii="Calibri" w:eastAsia="Calibri" w:hAnsi="Calibri" w:cs="Times New Roman"/>
          <w:sz w:val="24"/>
          <w:szCs w:val="24"/>
        </w:rPr>
        <w:t xml:space="preserve">Clinic </w:t>
      </w:r>
      <w:r w:rsidR="00070E31">
        <w:rPr>
          <w:rFonts w:ascii="Calibri" w:eastAsia="Calibri" w:hAnsi="Calibri" w:cs="Times New Roman"/>
          <w:sz w:val="24"/>
          <w:szCs w:val="24"/>
        </w:rPr>
        <w:t>patients</w:t>
      </w:r>
      <w:r w:rsidR="00716578">
        <w:rPr>
          <w:rFonts w:ascii="Calibri" w:eastAsia="Calibri" w:hAnsi="Calibri" w:cs="Times New Roman"/>
          <w:sz w:val="24"/>
          <w:szCs w:val="24"/>
        </w:rPr>
        <w:t>.</w:t>
      </w:r>
      <w:r w:rsidR="00070E31">
        <w:rPr>
          <w:rFonts w:ascii="Calibri" w:eastAsia="Calibri" w:hAnsi="Calibri" w:cs="Times New Roman"/>
          <w:sz w:val="24"/>
          <w:szCs w:val="24"/>
        </w:rPr>
        <w:t xml:space="preserve"> </w:t>
      </w:r>
      <w:r w:rsidR="00D22AD3">
        <w:rPr>
          <w:rFonts w:ascii="Calibri" w:eastAsia="Calibri" w:hAnsi="Calibri" w:cs="Times New Roman"/>
          <w:sz w:val="24"/>
          <w:szCs w:val="24"/>
        </w:rPr>
        <w:t xml:space="preserve">Staff reviewed its </w:t>
      </w:r>
      <w:r w:rsidR="002430CD">
        <w:rPr>
          <w:rFonts w:ascii="Calibri" w:eastAsia="Calibri" w:hAnsi="Calibri" w:cs="Times New Roman"/>
          <w:sz w:val="24"/>
          <w:szCs w:val="24"/>
        </w:rPr>
        <w:t>public</w:t>
      </w:r>
      <w:r w:rsidR="00D22AD3">
        <w:rPr>
          <w:rFonts w:ascii="Calibri" w:eastAsia="Calibri" w:hAnsi="Calibri" w:cs="Times New Roman"/>
          <w:sz w:val="24"/>
          <w:szCs w:val="24"/>
        </w:rPr>
        <w:t xml:space="preserve"> payor-mix and notes that there appears to be no decline in access to these advanced imaging modalities over the overall Atrius Patient Panel. </w:t>
      </w:r>
    </w:p>
    <w:p w14:paraId="69F0DDA6" w14:textId="03FF6A44" w:rsidR="00F1356A" w:rsidRPr="00F1356A" w:rsidRDefault="00F1356A" w:rsidP="00F1356A">
      <w:pPr>
        <w:spacing w:line="240" w:lineRule="auto"/>
        <w:rPr>
          <w:rFonts w:ascii="Calibri" w:eastAsia="Calibri" w:hAnsi="Calibri" w:cs="Times New Roman"/>
          <w:bCs/>
          <w:sz w:val="24"/>
          <w:szCs w:val="24"/>
          <w:lang w:val="en"/>
        </w:rPr>
      </w:pPr>
      <w:r w:rsidRPr="00F1356A">
        <w:rPr>
          <w:rFonts w:ascii="Calibri" w:eastAsia="Calibri" w:hAnsi="Calibri" w:cs="Times New Roman"/>
          <w:bCs/>
          <w:sz w:val="24"/>
          <w:szCs w:val="24"/>
          <w:lang w:val="en"/>
        </w:rPr>
        <w:t>As a result of information provided by the Applicant and with additional analysis, Staff finds the Applicant has met the requirements of Factor 1</w:t>
      </w:r>
      <w:r>
        <w:rPr>
          <w:rFonts w:ascii="Calibri" w:eastAsia="Calibri" w:hAnsi="Calibri" w:cs="Times New Roman"/>
          <w:bCs/>
          <w:sz w:val="24"/>
          <w:szCs w:val="24"/>
          <w:lang w:val="en"/>
        </w:rPr>
        <w:t>(b</w:t>
      </w:r>
      <w:r w:rsidRPr="00F1356A">
        <w:rPr>
          <w:rFonts w:ascii="Calibri" w:eastAsia="Calibri" w:hAnsi="Calibri" w:cs="Times New Roman"/>
          <w:bCs/>
          <w:sz w:val="24"/>
          <w:szCs w:val="24"/>
          <w:lang w:val="en"/>
        </w:rPr>
        <w:t>).</w:t>
      </w:r>
    </w:p>
    <w:p w14:paraId="41ED1AEB" w14:textId="1B29C88C" w:rsidR="003E1CDA" w:rsidRPr="003F0CC7" w:rsidRDefault="003E1CDA" w:rsidP="003F0CC7">
      <w:pPr>
        <w:pStyle w:val="Heading2"/>
        <w:rPr>
          <w:rFonts w:asciiTheme="minorHAnsi" w:hAnsiTheme="minorHAnsi" w:cstheme="minorHAnsi"/>
        </w:rPr>
      </w:pPr>
      <w:bookmarkStart w:id="23" w:name="_Toc131063593"/>
      <w:r w:rsidRPr="003F0CC7">
        <w:rPr>
          <w:rFonts w:asciiTheme="minorHAnsi" w:hAnsiTheme="minorHAnsi" w:cstheme="minorHAnsi"/>
        </w:rPr>
        <w:t>Factor 1</w:t>
      </w:r>
      <w:r w:rsidR="006B605A">
        <w:rPr>
          <w:rFonts w:asciiTheme="minorHAnsi" w:hAnsiTheme="minorHAnsi" w:cstheme="minorHAnsi"/>
        </w:rPr>
        <w:t>(</w:t>
      </w:r>
      <w:r w:rsidRPr="003F0CC7">
        <w:rPr>
          <w:rFonts w:asciiTheme="minorHAnsi" w:hAnsiTheme="minorHAnsi" w:cstheme="minorHAnsi"/>
        </w:rPr>
        <w:t>c) Efficiency, Continuity of Care, Coordination of Care</w:t>
      </w:r>
      <w:bookmarkEnd w:id="23"/>
    </w:p>
    <w:p w14:paraId="172E22F9" w14:textId="6F882CE5" w:rsidR="00B558E2" w:rsidRDefault="00D42D33" w:rsidP="00B87018">
      <w:pPr>
        <w:spacing w:before="240" w:line="240" w:lineRule="auto"/>
        <w:rPr>
          <w:sz w:val="24"/>
          <w:szCs w:val="24"/>
        </w:rPr>
      </w:pPr>
      <w:r w:rsidRPr="0035170A">
        <w:rPr>
          <w:sz w:val="24"/>
          <w:szCs w:val="24"/>
        </w:rPr>
        <w:t xml:space="preserve">The Applicant asserts that the Proposed Project will </w:t>
      </w:r>
      <w:r w:rsidR="00EF40BF">
        <w:rPr>
          <w:sz w:val="24"/>
          <w:szCs w:val="24"/>
        </w:rPr>
        <w:t xml:space="preserve">improve efficiency, continuity and coordination of care through </w:t>
      </w:r>
      <w:r w:rsidR="00905004">
        <w:rPr>
          <w:sz w:val="24"/>
          <w:szCs w:val="24"/>
        </w:rPr>
        <w:t xml:space="preserve">1) </w:t>
      </w:r>
      <w:r w:rsidR="00EF40BF">
        <w:rPr>
          <w:sz w:val="24"/>
          <w:szCs w:val="24"/>
        </w:rPr>
        <w:t xml:space="preserve">expansion of </w:t>
      </w:r>
      <w:r w:rsidR="00685D0D">
        <w:rPr>
          <w:sz w:val="24"/>
          <w:szCs w:val="24"/>
        </w:rPr>
        <w:t xml:space="preserve">Atrius Health’s </w:t>
      </w:r>
      <w:r w:rsidR="00336760">
        <w:rPr>
          <w:sz w:val="24"/>
          <w:szCs w:val="24"/>
        </w:rPr>
        <w:t xml:space="preserve">existing integrated services to </w:t>
      </w:r>
      <w:r w:rsidR="00346DE6">
        <w:rPr>
          <w:sz w:val="24"/>
          <w:szCs w:val="24"/>
        </w:rPr>
        <w:t xml:space="preserve">a </w:t>
      </w:r>
      <w:r w:rsidR="00336760">
        <w:rPr>
          <w:sz w:val="24"/>
          <w:szCs w:val="24"/>
        </w:rPr>
        <w:t xml:space="preserve">new </w:t>
      </w:r>
      <w:r w:rsidR="00346DE6">
        <w:rPr>
          <w:sz w:val="24"/>
          <w:szCs w:val="24"/>
        </w:rPr>
        <w:t xml:space="preserve">site </w:t>
      </w:r>
      <w:r w:rsidR="00F50476">
        <w:rPr>
          <w:sz w:val="24"/>
          <w:szCs w:val="24"/>
        </w:rPr>
        <w:t xml:space="preserve">and </w:t>
      </w:r>
      <w:r w:rsidR="00685D0D">
        <w:rPr>
          <w:sz w:val="24"/>
          <w:szCs w:val="24"/>
        </w:rPr>
        <w:t xml:space="preserve">2) </w:t>
      </w:r>
      <w:r w:rsidR="00F50476">
        <w:rPr>
          <w:sz w:val="24"/>
          <w:szCs w:val="24"/>
        </w:rPr>
        <w:t>co-location of the</w:t>
      </w:r>
      <w:r w:rsidR="0043395E">
        <w:rPr>
          <w:sz w:val="24"/>
          <w:szCs w:val="24"/>
        </w:rPr>
        <w:t xml:space="preserve"> new imaging with </w:t>
      </w:r>
      <w:r w:rsidR="00905004">
        <w:rPr>
          <w:sz w:val="24"/>
          <w:szCs w:val="24"/>
        </w:rPr>
        <w:t xml:space="preserve">primary and specialty care providers at the Plymouth </w:t>
      </w:r>
      <w:r w:rsidR="00070E31">
        <w:rPr>
          <w:sz w:val="24"/>
          <w:szCs w:val="24"/>
        </w:rPr>
        <w:t>Clinic</w:t>
      </w:r>
      <w:r w:rsidR="00905004">
        <w:rPr>
          <w:sz w:val="24"/>
          <w:szCs w:val="24"/>
        </w:rPr>
        <w:t xml:space="preserve"> site</w:t>
      </w:r>
      <w:r w:rsidR="001A27D9">
        <w:rPr>
          <w:sz w:val="24"/>
          <w:szCs w:val="24"/>
        </w:rPr>
        <w:t xml:space="preserve"> </w:t>
      </w:r>
      <w:r w:rsidR="00EF40BF" w:rsidRPr="00EF40BF">
        <w:rPr>
          <w:sz w:val="24"/>
          <w:szCs w:val="24"/>
        </w:rPr>
        <w:t xml:space="preserve">where the imaging reports are integrated into the patient’s medical record </w:t>
      </w:r>
      <w:r w:rsidR="00A70957">
        <w:rPr>
          <w:sz w:val="24"/>
          <w:szCs w:val="24"/>
        </w:rPr>
        <w:t xml:space="preserve">(EMR) </w:t>
      </w:r>
      <w:r w:rsidR="00EF40BF" w:rsidRPr="00EF40BF">
        <w:rPr>
          <w:sz w:val="24"/>
          <w:szCs w:val="24"/>
        </w:rPr>
        <w:t xml:space="preserve">and immediately accessible by the patient’s </w:t>
      </w:r>
      <w:r w:rsidR="00B558E2">
        <w:rPr>
          <w:sz w:val="24"/>
          <w:szCs w:val="24"/>
        </w:rPr>
        <w:t>clinical care team</w:t>
      </w:r>
      <w:r w:rsidR="00EF40BF" w:rsidRPr="00EF40BF">
        <w:rPr>
          <w:sz w:val="24"/>
          <w:szCs w:val="24"/>
        </w:rPr>
        <w:t>.</w:t>
      </w:r>
      <w:r w:rsidR="00EF40BF" w:rsidRPr="00EF40BF" w:rsidDel="008C6A35">
        <w:rPr>
          <w:sz w:val="24"/>
          <w:szCs w:val="24"/>
        </w:rPr>
        <w:t xml:space="preserve"> </w:t>
      </w:r>
    </w:p>
    <w:p w14:paraId="6F2C13D9" w14:textId="7F133F99" w:rsidR="00800425" w:rsidRPr="00800425" w:rsidRDefault="00800425" w:rsidP="00B87018">
      <w:pPr>
        <w:spacing w:before="240" w:line="240" w:lineRule="auto"/>
        <w:rPr>
          <w:sz w:val="24"/>
          <w:szCs w:val="24"/>
        </w:rPr>
      </w:pPr>
      <w:r w:rsidRPr="00800425">
        <w:rPr>
          <w:sz w:val="24"/>
          <w:szCs w:val="24"/>
        </w:rPr>
        <w:t xml:space="preserve">All of Atrius Health’s imaging is integrated in the </w:t>
      </w:r>
      <w:r>
        <w:rPr>
          <w:sz w:val="24"/>
          <w:szCs w:val="24"/>
        </w:rPr>
        <w:t xml:space="preserve">EMR </w:t>
      </w:r>
      <w:r w:rsidRPr="00800425">
        <w:rPr>
          <w:sz w:val="24"/>
          <w:szCs w:val="24"/>
        </w:rPr>
        <w:t>via a link to picture archiving and communications (PAC) system resulting in effective, timely communication among providers with more comprehensive diagnostic reports, thereby promoting early diagnosis and treatment to improve health outcomes and quality of life.</w:t>
      </w:r>
    </w:p>
    <w:p w14:paraId="09025D47" w14:textId="77777777" w:rsidR="00800425" w:rsidRPr="00800425" w:rsidRDefault="00800425" w:rsidP="00B87018">
      <w:pPr>
        <w:spacing w:before="240" w:line="240" w:lineRule="auto"/>
        <w:rPr>
          <w:sz w:val="24"/>
          <w:szCs w:val="24"/>
        </w:rPr>
      </w:pPr>
      <w:r w:rsidRPr="00800425">
        <w:rPr>
          <w:sz w:val="24"/>
          <w:szCs w:val="24"/>
        </w:rPr>
        <w:t>In contrast, the Applicant asserts that when patients receive care at a hospital radiology department timely communication of important abnormal results is a challenge among providers who use a different EMR, despite advances in EMR interoperability. Through this current process, delays can occur due to inefficiencies in coordination of care.</w:t>
      </w:r>
    </w:p>
    <w:p w14:paraId="76BB08BC" w14:textId="5F21EF1C" w:rsidR="00EF40BF" w:rsidRDefault="00EF40BF" w:rsidP="00B87018">
      <w:pPr>
        <w:spacing w:line="240" w:lineRule="auto"/>
        <w:rPr>
          <w:sz w:val="24"/>
          <w:szCs w:val="24"/>
        </w:rPr>
      </w:pPr>
      <w:r w:rsidRPr="00EF40BF">
        <w:rPr>
          <w:sz w:val="24"/>
          <w:szCs w:val="24"/>
        </w:rPr>
        <w:t xml:space="preserve">Co-location of these services within the Plymouth </w:t>
      </w:r>
      <w:r w:rsidR="00070E31">
        <w:rPr>
          <w:sz w:val="24"/>
          <w:szCs w:val="24"/>
        </w:rPr>
        <w:t>Clinic</w:t>
      </w:r>
      <w:r w:rsidRPr="00EF40BF">
        <w:rPr>
          <w:sz w:val="24"/>
          <w:szCs w:val="24"/>
        </w:rPr>
        <w:t xml:space="preserve"> will improve efficiency and continuity and coordination of care for </w:t>
      </w:r>
      <w:r w:rsidR="00A86822">
        <w:rPr>
          <w:sz w:val="24"/>
          <w:szCs w:val="24"/>
        </w:rPr>
        <w:t xml:space="preserve">patients </w:t>
      </w:r>
      <w:r w:rsidRPr="00EF40BF">
        <w:rPr>
          <w:sz w:val="24"/>
          <w:szCs w:val="24"/>
        </w:rPr>
        <w:t>by easing coordination of visits to multiple providers</w:t>
      </w:r>
      <w:r w:rsidR="00DE619D">
        <w:rPr>
          <w:sz w:val="24"/>
          <w:szCs w:val="24"/>
        </w:rPr>
        <w:t xml:space="preserve"> </w:t>
      </w:r>
      <w:r w:rsidR="00A7268F">
        <w:rPr>
          <w:sz w:val="24"/>
          <w:szCs w:val="24"/>
        </w:rPr>
        <w:t xml:space="preserve">through EMR integration and documentation in a single record, </w:t>
      </w:r>
      <w:r w:rsidR="00DE619D">
        <w:rPr>
          <w:sz w:val="24"/>
          <w:szCs w:val="24"/>
        </w:rPr>
        <w:t xml:space="preserve">thereby reducing delays in </w:t>
      </w:r>
      <w:r w:rsidR="00A7268F">
        <w:rPr>
          <w:sz w:val="24"/>
          <w:szCs w:val="24"/>
        </w:rPr>
        <w:t xml:space="preserve">developing and initiating the patient’s </w:t>
      </w:r>
      <w:r w:rsidR="00DE619D">
        <w:rPr>
          <w:sz w:val="24"/>
          <w:szCs w:val="24"/>
        </w:rPr>
        <w:t>care</w:t>
      </w:r>
      <w:r w:rsidR="00A7268F">
        <w:rPr>
          <w:sz w:val="24"/>
          <w:szCs w:val="24"/>
        </w:rPr>
        <w:t xml:space="preserve"> plan.</w:t>
      </w:r>
      <w:r w:rsidR="00112AEC">
        <w:rPr>
          <w:sz w:val="24"/>
          <w:szCs w:val="24"/>
        </w:rPr>
        <w:t xml:space="preserve"> </w:t>
      </w:r>
    </w:p>
    <w:p w14:paraId="689111E3" w14:textId="1ED21D0C" w:rsidR="00B8657D" w:rsidRDefault="006E1C50" w:rsidP="00B87018">
      <w:pPr>
        <w:spacing w:line="240" w:lineRule="auto"/>
        <w:rPr>
          <w:sz w:val="24"/>
          <w:szCs w:val="24"/>
        </w:rPr>
      </w:pPr>
      <w:bookmarkStart w:id="24" w:name="_Hlk119488650"/>
      <w:r w:rsidRPr="006E1C50">
        <w:rPr>
          <w:sz w:val="24"/>
          <w:szCs w:val="24"/>
        </w:rPr>
        <w:t xml:space="preserve">To ensure medical appropriateness and to provide guidance as to how the exam is clinically performed, all CT and MRI examinations orders at Atrius Health undergo a clinical review prior to </w:t>
      </w:r>
      <w:r w:rsidRPr="006E1C50">
        <w:rPr>
          <w:sz w:val="24"/>
          <w:szCs w:val="24"/>
        </w:rPr>
        <w:lastRenderedPageBreak/>
        <w:t xml:space="preserve">imaging. Exam protocols are individually determined, with a review of relevant portions of the patient’s </w:t>
      </w:r>
      <w:r w:rsidR="00800425">
        <w:rPr>
          <w:sz w:val="24"/>
          <w:szCs w:val="24"/>
        </w:rPr>
        <w:t>EMR</w:t>
      </w:r>
      <w:r w:rsidRPr="006E1C50">
        <w:rPr>
          <w:sz w:val="24"/>
          <w:szCs w:val="24"/>
        </w:rPr>
        <w:t xml:space="preserve">. </w:t>
      </w:r>
    </w:p>
    <w:bookmarkEnd w:id="24"/>
    <w:p w14:paraId="677F6D9F" w14:textId="6F29F4C1" w:rsidR="003E1CDA" w:rsidRPr="0076136D" w:rsidRDefault="003E1CDA">
      <w:pPr>
        <w:rPr>
          <w:b/>
          <w:bCs/>
          <w:i/>
          <w:iCs/>
          <w:sz w:val="24"/>
          <w:szCs w:val="24"/>
        </w:rPr>
      </w:pPr>
      <w:r w:rsidRPr="0076136D">
        <w:rPr>
          <w:b/>
          <w:bCs/>
          <w:i/>
          <w:iCs/>
          <w:sz w:val="24"/>
          <w:szCs w:val="24"/>
        </w:rPr>
        <w:t>Analysis</w:t>
      </w:r>
    </w:p>
    <w:p w14:paraId="008FBDC3" w14:textId="787551F3" w:rsidR="00A155B4" w:rsidRDefault="00E316F1" w:rsidP="00200E14">
      <w:pPr>
        <w:spacing w:line="240" w:lineRule="auto"/>
        <w:rPr>
          <w:sz w:val="24"/>
          <w:szCs w:val="24"/>
        </w:rPr>
      </w:pPr>
      <w:r w:rsidRPr="00250142">
        <w:rPr>
          <w:sz w:val="24"/>
          <w:szCs w:val="24"/>
        </w:rPr>
        <w:t>Review of the literature suggests access to integrated health information technology systems directly impacts health outcomes through reducing fragmentation and improving coordination among care providers.</w:t>
      </w:r>
      <w:r w:rsidRPr="00220821">
        <w:rPr>
          <w:rStyle w:val="EndnoteReference"/>
          <w:sz w:val="24"/>
          <w:szCs w:val="24"/>
        </w:rPr>
        <w:endnoteReference w:id="30"/>
      </w:r>
      <w:r w:rsidR="00220821" w:rsidRPr="00220821">
        <w:rPr>
          <w:sz w:val="24"/>
          <w:szCs w:val="24"/>
          <w:vertAlign w:val="superscript"/>
        </w:rPr>
        <w:t>,</w:t>
      </w:r>
      <w:r w:rsidR="005F6037">
        <w:rPr>
          <w:sz w:val="24"/>
          <w:szCs w:val="24"/>
          <w:vertAlign w:val="superscript"/>
        </w:rPr>
        <w:t xml:space="preserve"> </w:t>
      </w:r>
      <w:r w:rsidR="00750FA4" w:rsidRPr="00220821">
        <w:rPr>
          <w:rStyle w:val="EndnoteReference"/>
          <w:sz w:val="24"/>
          <w:szCs w:val="24"/>
        </w:rPr>
        <w:endnoteReference w:id="31"/>
      </w:r>
      <w:r w:rsidRPr="00250142">
        <w:rPr>
          <w:sz w:val="24"/>
          <w:szCs w:val="24"/>
        </w:rPr>
        <w:t xml:space="preserve"> </w:t>
      </w:r>
      <w:r w:rsidR="005F6037">
        <w:rPr>
          <w:sz w:val="24"/>
          <w:szCs w:val="24"/>
        </w:rPr>
        <w:t xml:space="preserve">Additional </w:t>
      </w:r>
      <w:r w:rsidRPr="00250142">
        <w:rPr>
          <w:sz w:val="24"/>
          <w:szCs w:val="24"/>
        </w:rPr>
        <w:t>studies show as access to a single, integrated health record, can reduce errors, improve patient safety, and support better patient outcomes.</w:t>
      </w:r>
      <w:r w:rsidRPr="00250142">
        <w:rPr>
          <w:rStyle w:val="EndnoteReference"/>
          <w:sz w:val="24"/>
          <w:szCs w:val="24"/>
        </w:rPr>
        <w:endnoteReference w:id="32"/>
      </w:r>
      <w:r>
        <w:rPr>
          <w:sz w:val="24"/>
          <w:szCs w:val="24"/>
        </w:rPr>
        <w:t xml:space="preserve"> </w:t>
      </w:r>
    </w:p>
    <w:p w14:paraId="58559BD4" w14:textId="3ADE034B" w:rsidR="00A301AD" w:rsidRPr="00A301AD" w:rsidRDefault="00A301AD" w:rsidP="00A301AD">
      <w:pPr>
        <w:spacing w:line="240" w:lineRule="auto"/>
        <w:rPr>
          <w:bCs/>
          <w:sz w:val="24"/>
          <w:szCs w:val="24"/>
          <w:lang w:val="en"/>
        </w:rPr>
      </w:pPr>
      <w:r w:rsidRPr="00A301AD">
        <w:rPr>
          <w:bCs/>
          <w:sz w:val="24"/>
          <w:szCs w:val="24"/>
          <w:lang w:val="en"/>
        </w:rPr>
        <w:t>As a result of information provided by the Applicant and with additional analysis, Staff finds the Applicant has met the requirements of Factor 1(</w:t>
      </w:r>
      <w:r>
        <w:rPr>
          <w:bCs/>
          <w:sz w:val="24"/>
          <w:szCs w:val="24"/>
          <w:lang w:val="en"/>
        </w:rPr>
        <w:t>c</w:t>
      </w:r>
      <w:r w:rsidRPr="00A301AD">
        <w:rPr>
          <w:bCs/>
          <w:sz w:val="24"/>
          <w:szCs w:val="24"/>
          <w:lang w:val="en"/>
        </w:rPr>
        <w:t>).</w:t>
      </w:r>
    </w:p>
    <w:p w14:paraId="5401ABD5" w14:textId="4C50CB79" w:rsidR="003E1CDA" w:rsidRPr="003F0CC7" w:rsidRDefault="003E1CDA" w:rsidP="003F0CC7">
      <w:pPr>
        <w:pStyle w:val="Heading2"/>
        <w:rPr>
          <w:rFonts w:asciiTheme="minorHAnsi" w:hAnsiTheme="minorHAnsi" w:cstheme="minorHAnsi"/>
        </w:rPr>
      </w:pPr>
      <w:bookmarkStart w:id="25" w:name="_Toc131063594"/>
      <w:r w:rsidRPr="003F0CC7">
        <w:rPr>
          <w:rFonts w:asciiTheme="minorHAnsi" w:hAnsiTheme="minorHAnsi" w:cstheme="minorHAnsi"/>
        </w:rPr>
        <w:t>Factor 1</w:t>
      </w:r>
      <w:r w:rsidR="006B605A">
        <w:rPr>
          <w:rFonts w:asciiTheme="minorHAnsi" w:hAnsiTheme="minorHAnsi" w:cstheme="minorHAnsi"/>
        </w:rPr>
        <w:t>(</w:t>
      </w:r>
      <w:r w:rsidRPr="003F0CC7">
        <w:rPr>
          <w:rFonts w:asciiTheme="minorHAnsi" w:hAnsiTheme="minorHAnsi" w:cstheme="minorHAnsi"/>
        </w:rPr>
        <w:t>d) Consultation</w:t>
      </w:r>
      <w:bookmarkEnd w:id="25"/>
      <w:r w:rsidRPr="003F0CC7">
        <w:rPr>
          <w:rFonts w:asciiTheme="minorHAnsi" w:hAnsiTheme="minorHAnsi" w:cstheme="minorHAnsi"/>
        </w:rPr>
        <w:t xml:space="preserve"> </w:t>
      </w:r>
    </w:p>
    <w:p w14:paraId="684705EE" w14:textId="41B1832F" w:rsidR="003E1CDA" w:rsidRDefault="003E1CDA" w:rsidP="00226863">
      <w:pPr>
        <w:spacing w:before="240" w:after="0" w:line="240" w:lineRule="auto"/>
        <w:rPr>
          <w:sz w:val="24"/>
          <w:szCs w:val="24"/>
        </w:rPr>
      </w:pPr>
      <w:r w:rsidRPr="003E1CDA">
        <w:rPr>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w:t>
      </w:r>
      <w:r w:rsidR="00226863">
        <w:rPr>
          <w:sz w:val="24"/>
          <w:szCs w:val="24"/>
        </w:rPr>
        <w:t xml:space="preserve"> </w:t>
      </w:r>
    </w:p>
    <w:p w14:paraId="636DAF40" w14:textId="77777777" w:rsidR="00226863" w:rsidRDefault="00226863" w:rsidP="003F0CC7">
      <w:pPr>
        <w:pStyle w:val="Heading2"/>
        <w:rPr>
          <w:rFonts w:asciiTheme="minorHAnsi" w:hAnsiTheme="minorHAnsi" w:cstheme="minorHAnsi"/>
        </w:rPr>
      </w:pPr>
    </w:p>
    <w:p w14:paraId="38445CEF" w14:textId="3EF8A20D" w:rsidR="003E1CDA" w:rsidRPr="003F0CC7" w:rsidRDefault="003E1CDA" w:rsidP="003F0CC7">
      <w:pPr>
        <w:pStyle w:val="Heading2"/>
        <w:rPr>
          <w:rFonts w:asciiTheme="minorHAnsi" w:hAnsiTheme="minorHAnsi" w:cstheme="minorHAnsi"/>
        </w:rPr>
      </w:pPr>
      <w:bookmarkStart w:id="26" w:name="_Toc131063595"/>
      <w:r w:rsidRPr="003F0CC7">
        <w:rPr>
          <w:rFonts w:asciiTheme="minorHAnsi" w:hAnsiTheme="minorHAnsi" w:cstheme="minorHAnsi"/>
        </w:rPr>
        <w:t>Factor 1</w:t>
      </w:r>
      <w:r w:rsidR="006B605A">
        <w:rPr>
          <w:rFonts w:asciiTheme="minorHAnsi" w:hAnsiTheme="minorHAnsi" w:cstheme="minorHAnsi"/>
        </w:rPr>
        <w:t>(</w:t>
      </w:r>
      <w:r w:rsidRPr="003F0CC7">
        <w:rPr>
          <w:rFonts w:asciiTheme="minorHAnsi" w:hAnsiTheme="minorHAnsi" w:cstheme="minorHAnsi"/>
        </w:rPr>
        <w:t>e) Evidence of Sound Community Engagement through the Patient Panel</w:t>
      </w:r>
      <w:bookmarkEnd w:id="26"/>
      <w:r w:rsidRPr="003F0CC7">
        <w:rPr>
          <w:rFonts w:asciiTheme="minorHAnsi" w:hAnsiTheme="minorHAnsi" w:cstheme="minorHAnsi"/>
        </w:rPr>
        <w:t xml:space="preserve"> </w:t>
      </w:r>
    </w:p>
    <w:p w14:paraId="31AE182A" w14:textId="1EB50AFA" w:rsidR="00624762" w:rsidRPr="003E1CDA" w:rsidRDefault="003E1CDA" w:rsidP="00B87018">
      <w:pPr>
        <w:spacing w:before="240" w:after="0" w:line="240" w:lineRule="auto"/>
        <w:rPr>
          <w:sz w:val="24"/>
          <w:szCs w:val="24"/>
        </w:rPr>
      </w:pPr>
      <w:r w:rsidRPr="003E1CDA">
        <w:rPr>
          <w:sz w:val="24"/>
          <w:szCs w:val="24"/>
        </w:rPr>
        <w:t>The Department’s Guideline</w:t>
      </w:r>
      <w:r w:rsidRPr="003E1CDA">
        <w:rPr>
          <w:sz w:val="24"/>
          <w:szCs w:val="24"/>
          <w:vertAlign w:val="superscript"/>
        </w:rPr>
        <w:footnoteReference w:id="17"/>
      </w:r>
      <w:r w:rsidRPr="003E1CDA">
        <w:rPr>
          <w:sz w:val="24"/>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00624762" w:rsidRPr="003E1CDA">
        <w:rPr>
          <w:sz w:val="24"/>
          <w:szCs w:val="24"/>
          <w:vertAlign w:val="superscript"/>
        </w:rPr>
        <w:endnoteReference w:id="33"/>
      </w:r>
    </w:p>
    <w:p w14:paraId="1A2E1F10" w14:textId="77777777" w:rsidR="00B87018" w:rsidRDefault="00B87018" w:rsidP="00B87018">
      <w:pPr>
        <w:spacing w:after="0" w:line="240" w:lineRule="auto"/>
        <w:rPr>
          <w:sz w:val="24"/>
          <w:szCs w:val="24"/>
        </w:rPr>
      </w:pPr>
    </w:p>
    <w:p w14:paraId="6C52F0C0" w14:textId="0D33E03C" w:rsidR="0037001A" w:rsidRDefault="003A4DC9" w:rsidP="00B87018">
      <w:pPr>
        <w:spacing w:line="240" w:lineRule="auto"/>
      </w:pPr>
      <w:r>
        <w:rPr>
          <w:sz w:val="24"/>
          <w:szCs w:val="24"/>
        </w:rPr>
        <w:t>T</w:t>
      </w:r>
      <w:r w:rsidR="009C334A">
        <w:rPr>
          <w:sz w:val="24"/>
          <w:szCs w:val="24"/>
        </w:rPr>
        <w:t xml:space="preserve">he Applicant conducted </w:t>
      </w:r>
      <w:r w:rsidR="003F5D31">
        <w:rPr>
          <w:sz w:val="24"/>
          <w:szCs w:val="24"/>
        </w:rPr>
        <w:t>a</w:t>
      </w:r>
      <w:r w:rsidR="0037001A" w:rsidRPr="00615BC6">
        <w:rPr>
          <w:sz w:val="24"/>
          <w:szCs w:val="24"/>
        </w:rPr>
        <w:t xml:space="preserve"> virtual focus group</w:t>
      </w:r>
      <w:r w:rsidR="000E18C9" w:rsidRPr="00615BC6">
        <w:rPr>
          <w:sz w:val="24"/>
          <w:szCs w:val="24"/>
        </w:rPr>
        <w:t xml:space="preserve"> involving </w:t>
      </w:r>
      <w:r w:rsidR="0037001A" w:rsidRPr="00615BC6">
        <w:rPr>
          <w:sz w:val="24"/>
          <w:szCs w:val="24"/>
        </w:rPr>
        <w:t xml:space="preserve">a representative group of </w:t>
      </w:r>
      <w:r w:rsidR="00A86822">
        <w:rPr>
          <w:sz w:val="24"/>
          <w:szCs w:val="24"/>
        </w:rPr>
        <w:t xml:space="preserve">Plymouth </w:t>
      </w:r>
      <w:r w:rsidR="009C334A">
        <w:rPr>
          <w:sz w:val="24"/>
          <w:szCs w:val="24"/>
        </w:rPr>
        <w:t xml:space="preserve">patient </w:t>
      </w:r>
      <w:r w:rsidR="0037001A" w:rsidRPr="00615BC6">
        <w:rPr>
          <w:sz w:val="24"/>
          <w:szCs w:val="24"/>
        </w:rPr>
        <w:t>volunteers on August 3, 2022</w:t>
      </w:r>
      <w:r w:rsidR="000E18C9" w:rsidRPr="00615BC6">
        <w:rPr>
          <w:sz w:val="24"/>
          <w:szCs w:val="24"/>
        </w:rPr>
        <w:t>.</w:t>
      </w:r>
      <w:r w:rsidR="00B10901">
        <w:rPr>
          <w:rStyle w:val="FootnoteReference"/>
          <w:sz w:val="24"/>
          <w:szCs w:val="24"/>
        </w:rPr>
        <w:footnoteReference w:id="18"/>
      </w:r>
      <w:r w:rsidR="000E18C9" w:rsidRPr="00615BC6">
        <w:rPr>
          <w:sz w:val="24"/>
          <w:szCs w:val="24"/>
        </w:rPr>
        <w:t xml:space="preserve"> </w:t>
      </w:r>
      <w:r w:rsidR="009C334A">
        <w:rPr>
          <w:sz w:val="24"/>
          <w:szCs w:val="24"/>
        </w:rPr>
        <w:t>F</w:t>
      </w:r>
      <w:r w:rsidR="000E18C9" w:rsidRPr="00615BC6">
        <w:rPr>
          <w:sz w:val="24"/>
          <w:szCs w:val="24"/>
        </w:rPr>
        <w:t xml:space="preserve">ollowing </w:t>
      </w:r>
      <w:r w:rsidR="0037001A" w:rsidRPr="00615BC6">
        <w:rPr>
          <w:sz w:val="24"/>
          <w:szCs w:val="24"/>
        </w:rPr>
        <w:t xml:space="preserve">a presentation </w:t>
      </w:r>
      <w:r w:rsidR="00A16434">
        <w:rPr>
          <w:sz w:val="24"/>
          <w:szCs w:val="24"/>
        </w:rPr>
        <w:t xml:space="preserve">of an </w:t>
      </w:r>
      <w:r w:rsidR="0037001A" w:rsidRPr="00615BC6">
        <w:rPr>
          <w:sz w:val="24"/>
          <w:szCs w:val="24"/>
        </w:rPr>
        <w:t xml:space="preserve">overview of the new </w:t>
      </w:r>
      <w:r w:rsidR="009C334A">
        <w:rPr>
          <w:sz w:val="24"/>
          <w:szCs w:val="24"/>
        </w:rPr>
        <w:t>site</w:t>
      </w:r>
      <w:r w:rsidR="0037001A" w:rsidRPr="00615BC6">
        <w:rPr>
          <w:sz w:val="24"/>
          <w:szCs w:val="24"/>
        </w:rPr>
        <w:t xml:space="preserve"> and the proposed new CT and MRI service,</w:t>
      </w:r>
      <w:r w:rsidR="009C334A">
        <w:rPr>
          <w:sz w:val="24"/>
          <w:szCs w:val="24"/>
        </w:rPr>
        <w:t xml:space="preserve"> there was</w:t>
      </w:r>
      <w:r w:rsidR="0037001A" w:rsidRPr="00615BC6">
        <w:rPr>
          <w:sz w:val="24"/>
          <w:szCs w:val="24"/>
        </w:rPr>
        <w:t xml:space="preserve"> a discussion of the implications for patients of having </w:t>
      </w:r>
      <w:r w:rsidR="00A16434">
        <w:rPr>
          <w:sz w:val="24"/>
          <w:szCs w:val="24"/>
        </w:rPr>
        <w:t xml:space="preserve">local </w:t>
      </w:r>
      <w:r w:rsidR="0037001A" w:rsidRPr="00615BC6">
        <w:rPr>
          <w:sz w:val="24"/>
          <w:szCs w:val="24"/>
        </w:rPr>
        <w:t xml:space="preserve">CT and MRI services provided internally to Atrius Health, </w:t>
      </w:r>
      <w:r w:rsidR="00A16434">
        <w:rPr>
          <w:sz w:val="24"/>
          <w:szCs w:val="24"/>
        </w:rPr>
        <w:t xml:space="preserve">which </w:t>
      </w:r>
      <w:r w:rsidR="0037001A" w:rsidRPr="00615BC6">
        <w:rPr>
          <w:sz w:val="24"/>
          <w:szCs w:val="24"/>
        </w:rPr>
        <w:t>includ</w:t>
      </w:r>
      <w:r w:rsidR="00A16434">
        <w:rPr>
          <w:sz w:val="24"/>
          <w:szCs w:val="24"/>
        </w:rPr>
        <w:t>e</w:t>
      </w:r>
      <w:r w:rsidR="005F6037">
        <w:rPr>
          <w:sz w:val="24"/>
          <w:szCs w:val="24"/>
        </w:rPr>
        <w:t>d</w:t>
      </w:r>
      <w:r w:rsidR="0037001A" w:rsidRPr="00615BC6">
        <w:rPr>
          <w:sz w:val="24"/>
          <w:szCs w:val="24"/>
        </w:rPr>
        <w:t xml:space="preserve"> improved coordination of care</w:t>
      </w:r>
      <w:r w:rsidR="00A16434">
        <w:rPr>
          <w:sz w:val="24"/>
          <w:szCs w:val="24"/>
        </w:rPr>
        <w:t>,</w:t>
      </w:r>
      <w:r w:rsidR="0037001A" w:rsidRPr="00615BC6">
        <w:rPr>
          <w:sz w:val="24"/>
          <w:szCs w:val="24"/>
        </w:rPr>
        <w:t xml:space="preserve"> </w:t>
      </w:r>
      <w:r w:rsidR="00A16434">
        <w:rPr>
          <w:sz w:val="24"/>
          <w:szCs w:val="24"/>
        </w:rPr>
        <w:t xml:space="preserve">and improved </w:t>
      </w:r>
      <w:r w:rsidR="0037001A" w:rsidRPr="00615BC6">
        <w:rPr>
          <w:sz w:val="24"/>
          <w:szCs w:val="24"/>
        </w:rPr>
        <w:t xml:space="preserve">access to high quality, low-cost CT and MRI imaging services. </w:t>
      </w:r>
      <w:r w:rsidR="00DA01F2">
        <w:rPr>
          <w:sz w:val="24"/>
          <w:szCs w:val="24"/>
        </w:rPr>
        <w:t>Participants</w:t>
      </w:r>
      <w:r w:rsidR="005F6037">
        <w:rPr>
          <w:sz w:val="24"/>
          <w:szCs w:val="24"/>
        </w:rPr>
        <w:t xml:space="preserve"> </w:t>
      </w:r>
      <w:r w:rsidR="00A16434">
        <w:rPr>
          <w:sz w:val="24"/>
          <w:szCs w:val="24"/>
        </w:rPr>
        <w:t>express</w:t>
      </w:r>
      <w:r w:rsidR="005F6037">
        <w:rPr>
          <w:sz w:val="24"/>
          <w:szCs w:val="24"/>
        </w:rPr>
        <w:t xml:space="preserve">ed </w:t>
      </w:r>
      <w:r w:rsidR="0037001A" w:rsidRPr="0037001A">
        <w:rPr>
          <w:sz w:val="24"/>
          <w:szCs w:val="24"/>
        </w:rPr>
        <w:t>interest in the types of imaging, the timeframe</w:t>
      </w:r>
      <w:r w:rsidR="009C334A">
        <w:rPr>
          <w:sz w:val="24"/>
          <w:szCs w:val="24"/>
        </w:rPr>
        <w:t xml:space="preserve">, and </w:t>
      </w:r>
      <w:r w:rsidR="0037001A" w:rsidRPr="00B10901">
        <w:rPr>
          <w:sz w:val="24"/>
          <w:szCs w:val="24"/>
        </w:rPr>
        <w:t xml:space="preserve">enthusiasm for a local option that </w:t>
      </w:r>
      <w:r w:rsidR="009C334A">
        <w:rPr>
          <w:sz w:val="24"/>
          <w:szCs w:val="24"/>
        </w:rPr>
        <w:t xml:space="preserve">eliminated the necessity to </w:t>
      </w:r>
      <w:r w:rsidR="0037001A" w:rsidRPr="00B10901">
        <w:rPr>
          <w:sz w:val="24"/>
          <w:szCs w:val="24"/>
        </w:rPr>
        <w:t xml:space="preserve">travel </w:t>
      </w:r>
      <w:r w:rsidR="009C334A">
        <w:rPr>
          <w:sz w:val="24"/>
          <w:szCs w:val="24"/>
        </w:rPr>
        <w:t xml:space="preserve">or to </w:t>
      </w:r>
      <w:r w:rsidR="0037001A" w:rsidRPr="00B10901">
        <w:rPr>
          <w:sz w:val="24"/>
          <w:szCs w:val="24"/>
        </w:rPr>
        <w:t>a hospital.</w:t>
      </w:r>
      <w:r w:rsidR="00B10901">
        <w:rPr>
          <w:rStyle w:val="FootnoteReference"/>
          <w:sz w:val="24"/>
          <w:szCs w:val="24"/>
        </w:rPr>
        <w:footnoteReference w:id="19"/>
      </w:r>
    </w:p>
    <w:p w14:paraId="351C8F1D" w14:textId="46770857" w:rsidR="003E1CDA" w:rsidRPr="003E1CDA" w:rsidRDefault="003E1CDA" w:rsidP="003E1CDA">
      <w:pPr>
        <w:spacing w:after="0" w:line="240" w:lineRule="auto"/>
        <w:rPr>
          <w:b/>
          <w:bCs/>
          <w:i/>
          <w:iCs/>
          <w:sz w:val="24"/>
          <w:szCs w:val="24"/>
        </w:rPr>
      </w:pPr>
      <w:r w:rsidRPr="003E1CDA">
        <w:rPr>
          <w:b/>
          <w:bCs/>
          <w:i/>
          <w:iCs/>
          <w:sz w:val="24"/>
          <w:szCs w:val="24"/>
        </w:rPr>
        <w:t xml:space="preserve">Analysis </w:t>
      </w:r>
    </w:p>
    <w:p w14:paraId="4F343094" w14:textId="0FB8A9A2" w:rsidR="003E1CDA" w:rsidRPr="008A6F6B" w:rsidRDefault="003E1CDA" w:rsidP="008A6F6B">
      <w:pPr>
        <w:spacing w:before="240" w:line="240" w:lineRule="auto"/>
        <w:rPr>
          <w:sz w:val="24"/>
          <w:szCs w:val="24"/>
        </w:rPr>
      </w:pPr>
      <w:r w:rsidRPr="003E1CDA">
        <w:rPr>
          <w:sz w:val="24"/>
          <w:szCs w:val="24"/>
        </w:rPr>
        <w:lastRenderedPageBreak/>
        <w:t>Staff finds that the Applicant met the required community engagement standard of Consult in the planning phase of the Proposed Project.</w:t>
      </w:r>
      <w:r w:rsidR="00255E10">
        <w:rPr>
          <w:sz w:val="24"/>
          <w:szCs w:val="24"/>
        </w:rPr>
        <w:t xml:space="preserve"> </w:t>
      </w:r>
      <w:r w:rsidR="00255E10" w:rsidRPr="00A301AD">
        <w:rPr>
          <w:bCs/>
          <w:sz w:val="24"/>
          <w:szCs w:val="24"/>
          <w:lang w:val="en"/>
        </w:rPr>
        <w:t>As a result of information provided by the Applicant and with additional analysis, Staff finds the Applicant has met the requirements of Factor 1(</w:t>
      </w:r>
      <w:r w:rsidR="009135B8">
        <w:rPr>
          <w:bCs/>
          <w:sz w:val="24"/>
          <w:szCs w:val="24"/>
          <w:lang w:val="en"/>
        </w:rPr>
        <w:t>e</w:t>
      </w:r>
      <w:r w:rsidR="00255E10" w:rsidRPr="00A301AD">
        <w:rPr>
          <w:bCs/>
          <w:sz w:val="24"/>
          <w:szCs w:val="24"/>
          <w:lang w:val="en"/>
        </w:rPr>
        <w:t>).</w:t>
      </w:r>
    </w:p>
    <w:p w14:paraId="2E0D1A03" w14:textId="6FCE09CD" w:rsidR="003E1CDA" w:rsidRPr="003F0CC7" w:rsidRDefault="003E1CDA" w:rsidP="003F0CC7">
      <w:pPr>
        <w:pStyle w:val="Heading2"/>
        <w:rPr>
          <w:rFonts w:asciiTheme="minorHAnsi" w:hAnsiTheme="minorHAnsi" w:cstheme="minorHAnsi"/>
        </w:rPr>
      </w:pPr>
      <w:bookmarkStart w:id="27" w:name="_Toc131063596"/>
      <w:r w:rsidRPr="003F0CC7">
        <w:rPr>
          <w:rFonts w:asciiTheme="minorHAnsi" w:hAnsiTheme="minorHAnsi" w:cstheme="minorHAnsi"/>
        </w:rPr>
        <w:t>Factor 1</w:t>
      </w:r>
      <w:r w:rsidR="006B605A">
        <w:rPr>
          <w:rFonts w:asciiTheme="minorHAnsi" w:hAnsiTheme="minorHAnsi" w:cstheme="minorHAnsi"/>
        </w:rPr>
        <w:t>(</w:t>
      </w:r>
      <w:r w:rsidRPr="003F0CC7">
        <w:rPr>
          <w:rFonts w:asciiTheme="minorHAnsi" w:hAnsiTheme="minorHAnsi" w:cstheme="minorHAnsi"/>
        </w:rPr>
        <w:t xml:space="preserve">f) Competition </w:t>
      </w:r>
      <w:r w:rsidR="00703497" w:rsidRPr="003F0CC7">
        <w:rPr>
          <w:rFonts w:asciiTheme="minorHAnsi" w:hAnsiTheme="minorHAnsi" w:cstheme="minorHAnsi"/>
        </w:rPr>
        <w:t>on</w:t>
      </w:r>
      <w:r w:rsidRPr="003F0CC7">
        <w:rPr>
          <w:rFonts w:asciiTheme="minorHAnsi" w:hAnsiTheme="minorHAnsi" w:cstheme="minorHAnsi"/>
        </w:rPr>
        <w:t xml:space="preserve"> Price, Total Medical Expenses (TME), Costs </w:t>
      </w:r>
      <w:r w:rsidR="002430CD" w:rsidRPr="003F0CC7">
        <w:rPr>
          <w:rFonts w:asciiTheme="minorHAnsi" w:hAnsiTheme="minorHAnsi" w:cstheme="minorHAnsi"/>
        </w:rPr>
        <w:t>and</w:t>
      </w:r>
      <w:r w:rsidRPr="003F0CC7">
        <w:rPr>
          <w:rFonts w:asciiTheme="minorHAnsi" w:hAnsiTheme="minorHAnsi" w:cstheme="minorHAnsi"/>
        </w:rPr>
        <w:t xml:space="preserve"> Other Measures Of Health Care Spending</w:t>
      </w:r>
      <w:bookmarkEnd w:id="27"/>
    </w:p>
    <w:p w14:paraId="4857DEDD" w14:textId="3AFF024E" w:rsidR="00EA6E5C" w:rsidRPr="00EA6E5C" w:rsidRDefault="00655AC6" w:rsidP="00B87018">
      <w:pPr>
        <w:spacing w:before="240" w:after="0" w:line="240" w:lineRule="auto"/>
        <w:rPr>
          <w:sz w:val="24"/>
          <w:szCs w:val="24"/>
        </w:rPr>
      </w:pPr>
      <w:r w:rsidRPr="00B269B1">
        <w:rPr>
          <w:sz w:val="24"/>
          <w:szCs w:val="24"/>
        </w:rPr>
        <w:t xml:space="preserve">The Applicant asserts that the Proposed Project </w:t>
      </w:r>
      <w:r w:rsidR="007B055F" w:rsidRPr="00B269B1">
        <w:rPr>
          <w:sz w:val="24"/>
          <w:szCs w:val="24"/>
        </w:rPr>
        <w:t xml:space="preserve">will </w:t>
      </w:r>
      <w:r w:rsidR="007B055F" w:rsidRPr="00A20E2C">
        <w:rPr>
          <w:sz w:val="24"/>
          <w:szCs w:val="24"/>
        </w:rPr>
        <w:t>compete</w:t>
      </w:r>
      <w:r w:rsidR="00A20E2C" w:rsidRPr="00A20E2C">
        <w:rPr>
          <w:sz w:val="24"/>
          <w:szCs w:val="24"/>
        </w:rPr>
        <w:t xml:space="preserve"> on the basis of price, total medical expense, provider costs and other recognized measures of health care spending </w:t>
      </w:r>
      <w:r w:rsidR="00EA6E5C" w:rsidRPr="00EA6E5C">
        <w:rPr>
          <w:sz w:val="24"/>
          <w:szCs w:val="24"/>
        </w:rPr>
        <w:t>based on the following:</w:t>
      </w:r>
    </w:p>
    <w:p w14:paraId="00A3E6AF" w14:textId="2AD57D99" w:rsidR="00EA6E5C" w:rsidRDefault="00EA6E5C" w:rsidP="00B87018">
      <w:pPr>
        <w:spacing w:after="0" w:line="240" w:lineRule="auto"/>
        <w:rPr>
          <w:sz w:val="24"/>
          <w:szCs w:val="24"/>
        </w:rPr>
      </w:pPr>
    </w:p>
    <w:p w14:paraId="112A7E3F" w14:textId="3F4371A7" w:rsidR="00543E4A" w:rsidRPr="00432EE4" w:rsidRDefault="009947D3" w:rsidP="00B87018">
      <w:pPr>
        <w:pStyle w:val="ListParagraph"/>
        <w:numPr>
          <w:ilvl w:val="0"/>
          <w:numId w:val="15"/>
        </w:numPr>
        <w:spacing w:after="0" w:line="240" w:lineRule="auto"/>
        <w:rPr>
          <w:sz w:val="24"/>
          <w:szCs w:val="24"/>
        </w:rPr>
      </w:pPr>
      <w:r w:rsidRPr="00432EE4">
        <w:rPr>
          <w:sz w:val="24"/>
          <w:szCs w:val="24"/>
        </w:rPr>
        <w:t>I</w:t>
      </w:r>
      <w:r w:rsidR="00A20E2C" w:rsidRPr="00432EE4">
        <w:rPr>
          <w:sz w:val="24"/>
          <w:szCs w:val="24"/>
        </w:rPr>
        <w:t>t will provide a lower cost alternative to the only CT and MRI available to the Plymouth region</w:t>
      </w:r>
      <w:r w:rsidR="00A23778">
        <w:rPr>
          <w:sz w:val="24"/>
          <w:szCs w:val="24"/>
        </w:rPr>
        <w:t>, which</w:t>
      </w:r>
      <w:r w:rsidR="00543E4A" w:rsidRPr="00432EE4">
        <w:rPr>
          <w:sz w:val="24"/>
          <w:szCs w:val="24"/>
        </w:rPr>
        <w:t xml:space="preserve"> is </w:t>
      </w:r>
      <w:r w:rsidR="00A20E2C" w:rsidRPr="00432EE4">
        <w:rPr>
          <w:sz w:val="24"/>
          <w:szCs w:val="24"/>
        </w:rPr>
        <w:t>located at a higher cost hospital outpatient department</w:t>
      </w:r>
      <w:r w:rsidR="00BF4F04" w:rsidRPr="00432EE4">
        <w:rPr>
          <w:sz w:val="24"/>
          <w:szCs w:val="24"/>
        </w:rPr>
        <w:t>,</w:t>
      </w:r>
    </w:p>
    <w:p w14:paraId="568D80D5" w14:textId="77777777" w:rsidR="009947D3" w:rsidRDefault="009947D3" w:rsidP="00B87018">
      <w:pPr>
        <w:spacing w:after="0" w:line="240" w:lineRule="auto"/>
        <w:rPr>
          <w:sz w:val="24"/>
          <w:szCs w:val="24"/>
        </w:rPr>
      </w:pPr>
    </w:p>
    <w:p w14:paraId="55D7B156" w14:textId="52606632" w:rsidR="00BF4F04" w:rsidRDefault="00543E4A" w:rsidP="00B87018">
      <w:pPr>
        <w:pStyle w:val="ListParagraph"/>
        <w:numPr>
          <w:ilvl w:val="0"/>
          <w:numId w:val="15"/>
        </w:numPr>
        <w:spacing w:after="0" w:line="240" w:lineRule="auto"/>
        <w:rPr>
          <w:sz w:val="24"/>
          <w:szCs w:val="24"/>
        </w:rPr>
      </w:pPr>
      <w:r w:rsidRPr="00432EE4">
        <w:rPr>
          <w:sz w:val="24"/>
          <w:szCs w:val="24"/>
        </w:rPr>
        <w:t xml:space="preserve">It will save patients and staff time and </w:t>
      </w:r>
      <w:r w:rsidR="00BF4F04" w:rsidRPr="00432EE4">
        <w:rPr>
          <w:sz w:val="24"/>
          <w:szCs w:val="24"/>
        </w:rPr>
        <w:t>money,</w:t>
      </w:r>
      <w:r w:rsidR="00432EE4" w:rsidRPr="00432EE4">
        <w:rPr>
          <w:sz w:val="24"/>
          <w:szCs w:val="24"/>
        </w:rPr>
        <w:t xml:space="preserve"> </w:t>
      </w:r>
      <w:r w:rsidR="00432EE4">
        <w:rPr>
          <w:sz w:val="24"/>
          <w:szCs w:val="24"/>
        </w:rPr>
        <w:t xml:space="preserve">through improved coordination of care </w:t>
      </w:r>
      <w:r w:rsidR="00432EE4" w:rsidRPr="00432EE4">
        <w:rPr>
          <w:sz w:val="24"/>
          <w:szCs w:val="24"/>
        </w:rPr>
        <w:t>since Atrius Health uses a single, integrated EMR across its practices</w:t>
      </w:r>
      <w:r w:rsidR="00432EE4">
        <w:rPr>
          <w:sz w:val="24"/>
          <w:szCs w:val="24"/>
        </w:rPr>
        <w:t>.</w:t>
      </w:r>
    </w:p>
    <w:p w14:paraId="30FB2072" w14:textId="77777777" w:rsidR="00FA4345" w:rsidRPr="00FA4345" w:rsidRDefault="00FA4345" w:rsidP="00B87018">
      <w:pPr>
        <w:spacing w:after="0" w:line="240" w:lineRule="auto"/>
        <w:rPr>
          <w:sz w:val="24"/>
          <w:szCs w:val="24"/>
        </w:rPr>
      </w:pPr>
    </w:p>
    <w:p w14:paraId="3723E45E" w14:textId="3DCDDF53" w:rsidR="00B72F82" w:rsidRDefault="00BF4F04" w:rsidP="00B87018">
      <w:pPr>
        <w:pStyle w:val="ListParagraph"/>
        <w:numPr>
          <w:ilvl w:val="0"/>
          <w:numId w:val="15"/>
        </w:numPr>
        <w:spacing w:after="0" w:line="240" w:lineRule="auto"/>
        <w:rPr>
          <w:sz w:val="24"/>
          <w:szCs w:val="24"/>
        </w:rPr>
      </w:pPr>
      <w:r w:rsidRPr="00432EE4">
        <w:rPr>
          <w:sz w:val="24"/>
          <w:szCs w:val="24"/>
        </w:rPr>
        <w:t xml:space="preserve">It will enhance </w:t>
      </w:r>
      <w:r w:rsidR="00077DA8" w:rsidRPr="00432EE4">
        <w:rPr>
          <w:sz w:val="24"/>
          <w:szCs w:val="24"/>
        </w:rPr>
        <w:t>Atrius</w:t>
      </w:r>
      <w:r w:rsidR="00DE772B">
        <w:rPr>
          <w:sz w:val="24"/>
          <w:szCs w:val="24"/>
        </w:rPr>
        <w:t xml:space="preserve"> Health’s</w:t>
      </w:r>
      <w:r w:rsidR="00077DA8" w:rsidRPr="00432EE4">
        <w:rPr>
          <w:sz w:val="24"/>
          <w:szCs w:val="24"/>
        </w:rPr>
        <w:t xml:space="preserve"> </w:t>
      </w:r>
      <w:r w:rsidR="00A20E2C" w:rsidRPr="00432EE4">
        <w:rPr>
          <w:sz w:val="24"/>
          <w:szCs w:val="24"/>
        </w:rPr>
        <w:t xml:space="preserve">value-based primary care </w:t>
      </w:r>
      <w:r w:rsidR="00432EE4" w:rsidRPr="00432EE4">
        <w:rPr>
          <w:sz w:val="24"/>
          <w:szCs w:val="24"/>
        </w:rPr>
        <w:t xml:space="preserve">since nearly 85% of </w:t>
      </w:r>
      <w:r w:rsidR="00DE772B">
        <w:rPr>
          <w:sz w:val="24"/>
          <w:szCs w:val="24"/>
        </w:rPr>
        <w:t>its</w:t>
      </w:r>
      <w:r w:rsidR="00432EE4" w:rsidRPr="00432EE4">
        <w:rPr>
          <w:sz w:val="24"/>
          <w:szCs w:val="24"/>
        </w:rPr>
        <w:t xml:space="preserve"> revenue is derived from risk-based arrangements </w:t>
      </w:r>
      <w:r w:rsidR="00077DA8" w:rsidRPr="00432EE4">
        <w:rPr>
          <w:sz w:val="24"/>
          <w:szCs w:val="24"/>
        </w:rPr>
        <w:t xml:space="preserve">which </w:t>
      </w:r>
      <w:r w:rsidR="00A20E2C" w:rsidRPr="00432EE4">
        <w:rPr>
          <w:sz w:val="24"/>
          <w:szCs w:val="24"/>
        </w:rPr>
        <w:t>is at the core of the practice’s strategy</w:t>
      </w:r>
      <w:r w:rsidR="00077DA8" w:rsidRPr="00432EE4">
        <w:rPr>
          <w:sz w:val="24"/>
          <w:szCs w:val="24"/>
        </w:rPr>
        <w:t>,</w:t>
      </w:r>
      <w:r w:rsidR="00A20E2C" w:rsidRPr="00432EE4">
        <w:rPr>
          <w:sz w:val="24"/>
          <w:szCs w:val="24"/>
        </w:rPr>
        <w:t xml:space="preserve"> operations, and culture</w:t>
      </w:r>
      <w:r w:rsidR="00432EE4">
        <w:rPr>
          <w:sz w:val="24"/>
          <w:szCs w:val="24"/>
        </w:rPr>
        <w:t>. B</w:t>
      </w:r>
      <w:r w:rsidR="0050100A" w:rsidRPr="00432EE4">
        <w:rPr>
          <w:sz w:val="24"/>
          <w:szCs w:val="24"/>
        </w:rPr>
        <w:t xml:space="preserve">y </w:t>
      </w:r>
      <w:r w:rsidR="00BB1DBC" w:rsidRPr="00432EE4">
        <w:rPr>
          <w:sz w:val="24"/>
          <w:szCs w:val="24"/>
        </w:rPr>
        <w:t>creat</w:t>
      </w:r>
      <w:r w:rsidR="009947D3" w:rsidRPr="00432EE4">
        <w:rPr>
          <w:sz w:val="24"/>
          <w:szCs w:val="24"/>
        </w:rPr>
        <w:t>ing</w:t>
      </w:r>
      <w:r w:rsidR="00BB1DBC" w:rsidRPr="00432EE4">
        <w:rPr>
          <w:sz w:val="24"/>
          <w:szCs w:val="24"/>
        </w:rPr>
        <w:t xml:space="preserve"> value for patients, purchasers, and </w:t>
      </w:r>
      <w:r w:rsidR="0050100A" w:rsidRPr="00432EE4">
        <w:rPr>
          <w:sz w:val="24"/>
          <w:szCs w:val="24"/>
        </w:rPr>
        <w:t>payers (</w:t>
      </w:r>
      <w:r w:rsidR="00C71FE1" w:rsidRPr="00432EE4">
        <w:rPr>
          <w:sz w:val="24"/>
          <w:szCs w:val="24"/>
        </w:rPr>
        <w:t xml:space="preserve">both </w:t>
      </w:r>
      <w:r w:rsidR="00BB1DBC" w:rsidRPr="00432EE4">
        <w:rPr>
          <w:sz w:val="24"/>
          <w:szCs w:val="24"/>
        </w:rPr>
        <w:t>public and private</w:t>
      </w:r>
      <w:r w:rsidR="0050100A" w:rsidRPr="00432EE4">
        <w:rPr>
          <w:sz w:val="24"/>
          <w:szCs w:val="24"/>
        </w:rPr>
        <w:t>)</w:t>
      </w:r>
      <w:r w:rsidR="00BB1DBC" w:rsidRPr="00432EE4">
        <w:rPr>
          <w:sz w:val="24"/>
          <w:szCs w:val="24"/>
        </w:rPr>
        <w:t xml:space="preserve"> population-based payments </w:t>
      </w:r>
      <w:r w:rsidR="00B72F82" w:rsidRPr="00432EE4">
        <w:rPr>
          <w:sz w:val="24"/>
          <w:szCs w:val="24"/>
        </w:rPr>
        <w:t xml:space="preserve">are leveraged </w:t>
      </w:r>
      <w:r w:rsidR="00BB1DBC" w:rsidRPr="00432EE4">
        <w:rPr>
          <w:sz w:val="24"/>
          <w:szCs w:val="24"/>
        </w:rPr>
        <w:t xml:space="preserve">to deliver market leading </w:t>
      </w:r>
      <w:r w:rsidR="00432EE4">
        <w:rPr>
          <w:sz w:val="24"/>
          <w:szCs w:val="24"/>
        </w:rPr>
        <w:t xml:space="preserve">reduced </w:t>
      </w:r>
      <w:r w:rsidR="00BB1DBC" w:rsidRPr="00432EE4">
        <w:rPr>
          <w:sz w:val="24"/>
          <w:szCs w:val="24"/>
        </w:rPr>
        <w:t>total medical expense</w:t>
      </w:r>
      <w:r w:rsidR="00B72F82" w:rsidRPr="00432EE4">
        <w:rPr>
          <w:sz w:val="24"/>
          <w:szCs w:val="24"/>
        </w:rPr>
        <w:t xml:space="preserve"> </w:t>
      </w:r>
      <w:r w:rsidR="00432EE4">
        <w:rPr>
          <w:sz w:val="24"/>
          <w:szCs w:val="24"/>
        </w:rPr>
        <w:t xml:space="preserve">(TME) </w:t>
      </w:r>
      <w:r w:rsidR="00B72F82" w:rsidRPr="00432EE4">
        <w:rPr>
          <w:sz w:val="24"/>
          <w:szCs w:val="24"/>
        </w:rPr>
        <w:t>results</w:t>
      </w:r>
      <w:r w:rsidR="00BB1DBC" w:rsidRPr="00432EE4">
        <w:rPr>
          <w:sz w:val="24"/>
          <w:szCs w:val="24"/>
        </w:rPr>
        <w:t xml:space="preserve">, with efficiency in inpatient and outpatient hospital utilization, </w:t>
      </w:r>
      <w:bookmarkStart w:id="28" w:name="_BPDCD_35"/>
      <w:r w:rsidR="00BB1DBC" w:rsidRPr="00432EE4">
        <w:rPr>
          <w:sz w:val="24"/>
          <w:szCs w:val="24"/>
        </w:rPr>
        <w:t xml:space="preserve">while providing a high </w:t>
      </w:r>
      <w:bookmarkEnd w:id="28"/>
      <w:r w:rsidR="00BB1DBC" w:rsidRPr="00432EE4">
        <w:rPr>
          <w:sz w:val="24"/>
          <w:szCs w:val="24"/>
        </w:rPr>
        <w:t>quality of care.</w:t>
      </w:r>
      <w:r w:rsidR="00C71FE1" w:rsidRPr="00432EE4">
        <w:rPr>
          <w:sz w:val="24"/>
          <w:szCs w:val="24"/>
        </w:rPr>
        <w:t xml:space="preserve"> </w:t>
      </w:r>
    </w:p>
    <w:p w14:paraId="5DA459FA" w14:textId="77777777" w:rsidR="00432EE4" w:rsidRPr="00432EE4" w:rsidRDefault="00432EE4" w:rsidP="00B87018">
      <w:pPr>
        <w:pStyle w:val="ListParagraph"/>
        <w:spacing w:after="0" w:line="240" w:lineRule="auto"/>
        <w:rPr>
          <w:sz w:val="24"/>
          <w:szCs w:val="24"/>
        </w:rPr>
      </w:pPr>
    </w:p>
    <w:p w14:paraId="7715049E" w14:textId="6B00C750" w:rsidR="00624762" w:rsidRDefault="0073525F" w:rsidP="00B87018">
      <w:pPr>
        <w:spacing w:after="0" w:line="240" w:lineRule="auto"/>
        <w:rPr>
          <w:sz w:val="24"/>
          <w:szCs w:val="24"/>
        </w:rPr>
      </w:pPr>
      <w:r>
        <w:rPr>
          <w:sz w:val="24"/>
          <w:szCs w:val="24"/>
        </w:rPr>
        <w:t xml:space="preserve">The Applicant </w:t>
      </w:r>
      <w:r w:rsidR="00A7268F">
        <w:rPr>
          <w:sz w:val="24"/>
          <w:szCs w:val="24"/>
        </w:rPr>
        <w:t xml:space="preserve">notes </w:t>
      </w:r>
      <w:r>
        <w:rPr>
          <w:sz w:val="24"/>
          <w:szCs w:val="24"/>
        </w:rPr>
        <w:t>t</w:t>
      </w:r>
      <w:r w:rsidR="00A20E2C" w:rsidRPr="00A20E2C">
        <w:rPr>
          <w:sz w:val="24"/>
          <w:szCs w:val="24"/>
        </w:rPr>
        <w:t xml:space="preserve">he most recent </w:t>
      </w:r>
      <w:r w:rsidR="005E36D2">
        <w:rPr>
          <w:sz w:val="24"/>
          <w:szCs w:val="24"/>
        </w:rPr>
        <w:t>HPC</w:t>
      </w:r>
      <w:r w:rsidR="00A20E2C" w:rsidRPr="00A20E2C">
        <w:rPr>
          <w:sz w:val="24"/>
          <w:szCs w:val="24"/>
        </w:rPr>
        <w:t xml:space="preserve"> </w:t>
      </w:r>
      <w:r w:rsidR="00DE772B">
        <w:rPr>
          <w:sz w:val="24"/>
          <w:szCs w:val="24"/>
        </w:rPr>
        <w:t>C</w:t>
      </w:r>
      <w:r w:rsidR="00A20E2C" w:rsidRPr="00A20E2C">
        <w:rPr>
          <w:sz w:val="24"/>
          <w:szCs w:val="24"/>
        </w:rPr>
        <w:t xml:space="preserve">ost </w:t>
      </w:r>
      <w:r w:rsidR="00DE772B">
        <w:rPr>
          <w:sz w:val="24"/>
          <w:szCs w:val="24"/>
        </w:rPr>
        <w:t>T</w:t>
      </w:r>
      <w:r w:rsidR="00A20E2C" w:rsidRPr="00A20E2C">
        <w:rPr>
          <w:sz w:val="24"/>
          <w:szCs w:val="24"/>
        </w:rPr>
        <w:t xml:space="preserve">rends </w:t>
      </w:r>
      <w:r w:rsidR="00DE772B">
        <w:rPr>
          <w:sz w:val="24"/>
          <w:szCs w:val="24"/>
        </w:rPr>
        <w:t>R</w:t>
      </w:r>
      <w:r w:rsidR="00A20E2C" w:rsidRPr="00A20E2C">
        <w:rPr>
          <w:sz w:val="24"/>
          <w:szCs w:val="24"/>
        </w:rPr>
        <w:t>eport show</w:t>
      </w:r>
      <w:r>
        <w:rPr>
          <w:sz w:val="24"/>
          <w:szCs w:val="24"/>
        </w:rPr>
        <w:t>s</w:t>
      </w:r>
      <w:r w:rsidR="00A20E2C" w:rsidRPr="00A20E2C">
        <w:rPr>
          <w:sz w:val="24"/>
          <w:szCs w:val="24"/>
        </w:rPr>
        <w:t xml:space="preserve"> Atrius Health </w:t>
      </w:r>
      <w:r w:rsidR="00B72F82">
        <w:rPr>
          <w:sz w:val="24"/>
          <w:szCs w:val="24"/>
        </w:rPr>
        <w:t xml:space="preserve">had </w:t>
      </w:r>
      <w:r w:rsidR="00A20E2C" w:rsidRPr="00A20E2C">
        <w:rPr>
          <w:sz w:val="24"/>
          <w:szCs w:val="24"/>
        </w:rPr>
        <w:t xml:space="preserve">the lowest </w:t>
      </w:r>
      <w:bookmarkStart w:id="29" w:name="_BPDCD_36"/>
      <w:r w:rsidR="00A20E2C" w:rsidRPr="00A20E2C">
        <w:rPr>
          <w:sz w:val="24"/>
          <w:szCs w:val="24"/>
        </w:rPr>
        <w:t>percentage among provider</w:t>
      </w:r>
      <w:r>
        <w:rPr>
          <w:sz w:val="24"/>
          <w:szCs w:val="24"/>
        </w:rPr>
        <w:t xml:space="preserve"> </w:t>
      </w:r>
      <w:r w:rsidR="00A20E2C" w:rsidRPr="00A20E2C">
        <w:rPr>
          <w:sz w:val="24"/>
          <w:szCs w:val="24"/>
        </w:rPr>
        <w:t xml:space="preserve">organizations </w:t>
      </w:r>
      <w:bookmarkEnd w:id="29"/>
      <w:r w:rsidR="00A20E2C" w:rsidRPr="00A20E2C">
        <w:rPr>
          <w:sz w:val="24"/>
          <w:szCs w:val="24"/>
        </w:rPr>
        <w:t xml:space="preserve">of certain services </w:t>
      </w:r>
      <w:r w:rsidR="00A7268F">
        <w:rPr>
          <w:sz w:val="24"/>
          <w:szCs w:val="24"/>
        </w:rPr>
        <w:t>occurring</w:t>
      </w:r>
      <w:r w:rsidR="00A20E2C" w:rsidRPr="00A20E2C">
        <w:rPr>
          <w:sz w:val="24"/>
          <w:szCs w:val="24"/>
        </w:rPr>
        <w:t xml:space="preserve"> at a hospital outpatient department in 2019, and second lowest in 2020.</w:t>
      </w:r>
      <w:r w:rsidR="00624762" w:rsidRPr="00A20E2C">
        <w:rPr>
          <w:sz w:val="24"/>
          <w:szCs w:val="24"/>
          <w:vertAlign w:val="superscript"/>
        </w:rPr>
        <w:endnoteReference w:id="34"/>
      </w:r>
      <w:r w:rsidR="00624762" w:rsidRPr="00A20E2C">
        <w:rPr>
          <w:sz w:val="24"/>
          <w:szCs w:val="24"/>
        </w:rPr>
        <w:t xml:space="preserve">  Because Atrius Health operates as one system, using fully integrated </w:t>
      </w:r>
      <w:r w:rsidR="00624762">
        <w:rPr>
          <w:sz w:val="24"/>
          <w:szCs w:val="24"/>
        </w:rPr>
        <w:t xml:space="preserve">radiologists, </w:t>
      </w:r>
      <w:r w:rsidR="00624762" w:rsidRPr="00A20E2C">
        <w:rPr>
          <w:sz w:val="24"/>
          <w:szCs w:val="24"/>
        </w:rPr>
        <w:t>EMR and PACS software platforms, Atrius Health can operate at a high level of efficiency</w:t>
      </w:r>
      <w:r w:rsidR="00852159">
        <w:rPr>
          <w:sz w:val="24"/>
          <w:szCs w:val="24"/>
        </w:rPr>
        <w:t xml:space="preserve"> </w:t>
      </w:r>
      <w:r w:rsidR="00624762" w:rsidRPr="00A20E2C">
        <w:rPr>
          <w:sz w:val="24"/>
          <w:szCs w:val="24"/>
        </w:rPr>
        <w:t xml:space="preserve">at a lower cost per imaging exam. </w:t>
      </w:r>
    </w:p>
    <w:p w14:paraId="70E88CFC" w14:textId="77777777" w:rsidR="00624762" w:rsidRPr="00A20E2C" w:rsidRDefault="00624762" w:rsidP="00B87018">
      <w:pPr>
        <w:spacing w:after="0" w:line="240" w:lineRule="auto"/>
        <w:rPr>
          <w:sz w:val="24"/>
          <w:szCs w:val="24"/>
        </w:rPr>
      </w:pPr>
    </w:p>
    <w:p w14:paraId="39656059" w14:textId="6F75D5F8" w:rsidR="004C3B08" w:rsidRPr="004C3B08" w:rsidRDefault="004C3B08" w:rsidP="00B87018">
      <w:pPr>
        <w:spacing w:after="0" w:line="240" w:lineRule="auto"/>
        <w:rPr>
          <w:b/>
          <w:bCs/>
          <w:i/>
          <w:iCs/>
          <w:sz w:val="24"/>
          <w:szCs w:val="24"/>
        </w:rPr>
      </w:pPr>
      <w:r w:rsidRPr="004C3B08">
        <w:rPr>
          <w:b/>
          <w:bCs/>
          <w:i/>
          <w:iCs/>
          <w:sz w:val="24"/>
          <w:szCs w:val="24"/>
        </w:rPr>
        <w:t>Analysis</w:t>
      </w:r>
    </w:p>
    <w:p w14:paraId="5F2B57AF" w14:textId="77777777" w:rsidR="004C3B08" w:rsidRDefault="004C3B08" w:rsidP="00B87018">
      <w:pPr>
        <w:spacing w:after="0" w:line="240" w:lineRule="auto"/>
        <w:rPr>
          <w:sz w:val="24"/>
          <w:szCs w:val="24"/>
          <w:highlight w:val="yellow"/>
        </w:rPr>
      </w:pPr>
    </w:p>
    <w:p w14:paraId="7C5F160F" w14:textId="714D3133" w:rsidR="00624762" w:rsidRDefault="00624762" w:rsidP="00B87018">
      <w:pPr>
        <w:spacing w:after="0" w:line="240" w:lineRule="auto"/>
        <w:rPr>
          <w:sz w:val="24"/>
          <w:szCs w:val="24"/>
        </w:rPr>
      </w:pPr>
      <w:r w:rsidRPr="004C3B08">
        <w:rPr>
          <w:sz w:val="24"/>
          <w:szCs w:val="24"/>
        </w:rPr>
        <w:t xml:space="preserve">The </w:t>
      </w:r>
      <w:bookmarkStart w:id="30" w:name="_BPDCD_38"/>
      <w:r w:rsidRPr="004C3B08">
        <w:rPr>
          <w:sz w:val="24"/>
          <w:szCs w:val="24"/>
        </w:rPr>
        <w:t>HPC</w:t>
      </w:r>
      <w:r w:rsidRPr="00A20E2C">
        <w:rPr>
          <w:sz w:val="24"/>
          <w:szCs w:val="24"/>
        </w:rPr>
        <w:t xml:space="preserve"> </w:t>
      </w:r>
      <w:bookmarkEnd w:id="30"/>
      <w:r w:rsidRPr="00A20E2C">
        <w:rPr>
          <w:sz w:val="24"/>
          <w:szCs w:val="24"/>
        </w:rPr>
        <w:t xml:space="preserve">reported in its Board Meeting on June 8, 2022, that Atrius Health was consistently among the three provider groups with the lowest unadjusted total medical spending </w:t>
      </w:r>
      <w:r>
        <w:rPr>
          <w:sz w:val="24"/>
          <w:szCs w:val="24"/>
        </w:rPr>
        <w:t>by payments per member year (</w:t>
      </w:r>
      <w:r w:rsidRPr="00A20E2C">
        <w:rPr>
          <w:sz w:val="24"/>
          <w:szCs w:val="24"/>
        </w:rPr>
        <w:t>PMPY</w:t>
      </w:r>
      <w:bookmarkStart w:id="31" w:name="_BPDCD_40"/>
      <w:r>
        <w:rPr>
          <w:sz w:val="24"/>
          <w:szCs w:val="24"/>
        </w:rPr>
        <w:t>)</w:t>
      </w:r>
      <w:r w:rsidRPr="00A20E2C">
        <w:rPr>
          <w:sz w:val="24"/>
          <w:szCs w:val="24"/>
        </w:rPr>
        <w:t xml:space="preserve"> </w:t>
      </w:r>
      <w:bookmarkEnd w:id="31"/>
      <w:r w:rsidRPr="00A20E2C">
        <w:rPr>
          <w:sz w:val="24"/>
          <w:szCs w:val="24"/>
        </w:rPr>
        <w:t>for the five-year period 2015-2020.</w:t>
      </w:r>
      <w:r w:rsidRPr="00A20E2C">
        <w:rPr>
          <w:sz w:val="24"/>
          <w:szCs w:val="24"/>
          <w:vertAlign w:val="superscript"/>
        </w:rPr>
        <w:endnoteReference w:id="35"/>
      </w:r>
      <w:r w:rsidRPr="00A20E2C">
        <w:rPr>
          <w:sz w:val="24"/>
          <w:szCs w:val="24"/>
        </w:rPr>
        <w:t xml:space="preserve"> After adjusting for patient risk scores and other characteristics, the HPC reported Atrius Health had the second lowest medical claims spending PMPY in 2019</w:t>
      </w:r>
      <w:r>
        <w:rPr>
          <w:sz w:val="24"/>
          <w:szCs w:val="24"/>
        </w:rPr>
        <w:t>.</w:t>
      </w:r>
      <w:r w:rsidRPr="00A20E2C">
        <w:rPr>
          <w:sz w:val="24"/>
          <w:szCs w:val="24"/>
          <w:vertAlign w:val="superscript"/>
        </w:rPr>
        <w:endnoteReference w:id="36"/>
      </w:r>
    </w:p>
    <w:p w14:paraId="61F35326" w14:textId="78AF08DE" w:rsidR="009135B8" w:rsidRDefault="009135B8" w:rsidP="00B87018">
      <w:pPr>
        <w:spacing w:after="0" w:line="240" w:lineRule="auto"/>
        <w:rPr>
          <w:sz w:val="24"/>
          <w:szCs w:val="24"/>
        </w:rPr>
      </w:pPr>
    </w:p>
    <w:p w14:paraId="6DF43371" w14:textId="00768505" w:rsidR="009135B8" w:rsidRPr="00A20E2C" w:rsidRDefault="009135B8" w:rsidP="00B87018">
      <w:pPr>
        <w:spacing w:after="0" w:line="240" w:lineRule="auto"/>
        <w:rPr>
          <w:sz w:val="24"/>
          <w:szCs w:val="24"/>
        </w:rPr>
      </w:pPr>
      <w:r w:rsidRPr="00A301AD">
        <w:rPr>
          <w:bCs/>
          <w:sz w:val="24"/>
          <w:szCs w:val="24"/>
          <w:lang w:val="en"/>
        </w:rPr>
        <w:t>As a result of information provided by the Applicant and with additional analysis, Staff finds the Applicant has met the requirements of Factor 1(</w:t>
      </w:r>
      <w:r>
        <w:rPr>
          <w:bCs/>
          <w:sz w:val="24"/>
          <w:szCs w:val="24"/>
          <w:lang w:val="en"/>
        </w:rPr>
        <w:t>f</w:t>
      </w:r>
      <w:r w:rsidRPr="00A301AD">
        <w:rPr>
          <w:bCs/>
          <w:sz w:val="24"/>
          <w:szCs w:val="24"/>
          <w:lang w:val="en"/>
        </w:rPr>
        <w:t>).</w:t>
      </w:r>
    </w:p>
    <w:p w14:paraId="01FC261D" w14:textId="414ED571" w:rsidR="00A20E2C" w:rsidRDefault="00A20E2C" w:rsidP="00B269B1">
      <w:pPr>
        <w:spacing w:after="0" w:line="240" w:lineRule="auto"/>
        <w:rPr>
          <w:sz w:val="24"/>
          <w:szCs w:val="24"/>
        </w:rPr>
      </w:pPr>
    </w:p>
    <w:p w14:paraId="085F1EA8" w14:textId="7B31C07B" w:rsidR="00A20E2C" w:rsidRDefault="00797C38" w:rsidP="00B269B1">
      <w:pPr>
        <w:spacing w:after="0" w:line="240" w:lineRule="auto"/>
        <w:rPr>
          <w:sz w:val="24"/>
          <w:szCs w:val="24"/>
        </w:rPr>
      </w:pPr>
      <w:r w:rsidRPr="00797C38">
        <w:rPr>
          <w:b/>
          <w:bCs/>
          <w:i/>
          <w:iCs/>
          <w:sz w:val="24"/>
          <w:szCs w:val="24"/>
        </w:rPr>
        <w:t>Analysis</w:t>
      </w:r>
      <w:r w:rsidR="009135B8">
        <w:rPr>
          <w:b/>
          <w:bCs/>
          <w:i/>
          <w:iCs/>
          <w:sz w:val="24"/>
          <w:szCs w:val="24"/>
        </w:rPr>
        <w:t xml:space="preserve"> of Factor 1</w:t>
      </w:r>
    </w:p>
    <w:p w14:paraId="149C4972" w14:textId="77777777" w:rsidR="00514E50" w:rsidRDefault="00514E50" w:rsidP="00226863">
      <w:pPr>
        <w:spacing w:after="0" w:line="240" w:lineRule="auto"/>
        <w:rPr>
          <w:sz w:val="24"/>
          <w:szCs w:val="24"/>
        </w:rPr>
      </w:pPr>
    </w:p>
    <w:p w14:paraId="3000434D" w14:textId="07A308FB" w:rsidR="00226863" w:rsidRDefault="003E1CDA" w:rsidP="00226863">
      <w:pPr>
        <w:spacing w:after="0" w:line="240" w:lineRule="auto"/>
        <w:rPr>
          <w:sz w:val="24"/>
          <w:szCs w:val="24"/>
        </w:rPr>
      </w:pPr>
      <w:r w:rsidRPr="003E1CDA">
        <w:rPr>
          <w:sz w:val="24"/>
          <w:szCs w:val="24"/>
        </w:rPr>
        <w:lastRenderedPageBreak/>
        <w:t xml:space="preserve">As a result of information provided by the Applicant and additional analysis, staff finds that the Applicant has demonstrated that the Proposed Project has met Factor 1(a-f). The Applicant proposed specific outcome, and process measures to track the impact of the Proposed Project which staff has reviewed, and which will become a part of the reporting requirements. </w:t>
      </w:r>
      <w:r w:rsidR="008454E1">
        <w:rPr>
          <w:sz w:val="24"/>
          <w:szCs w:val="24"/>
        </w:rPr>
        <w:t xml:space="preserve">The </w:t>
      </w:r>
    </w:p>
    <w:p w14:paraId="0ADE0888" w14:textId="02F94608" w:rsidR="003E1CDA" w:rsidRPr="002B05B4" w:rsidRDefault="003E1CDA" w:rsidP="00226863">
      <w:pPr>
        <w:spacing w:after="0" w:line="240" w:lineRule="auto"/>
      </w:pPr>
      <w:r w:rsidRPr="002B05B4">
        <w:t xml:space="preserve">Factor 2: Cost </w:t>
      </w:r>
      <w:r w:rsidR="00B675A1" w:rsidRPr="002B05B4">
        <w:t>C</w:t>
      </w:r>
      <w:r w:rsidRPr="002B05B4">
        <w:t xml:space="preserve">ontainment, Improved Public Health Outcomes and Delivery System Transformation </w:t>
      </w:r>
    </w:p>
    <w:p w14:paraId="7181318C" w14:textId="77777777" w:rsidR="003633D0" w:rsidRPr="003633D0" w:rsidRDefault="003633D0" w:rsidP="003633D0">
      <w:pPr>
        <w:spacing w:before="240" w:line="240" w:lineRule="auto"/>
        <w:rPr>
          <w:b/>
          <w:bCs/>
          <w:sz w:val="24"/>
          <w:szCs w:val="24"/>
        </w:rPr>
      </w:pPr>
      <w:r w:rsidRPr="003633D0">
        <w:rPr>
          <w:b/>
          <w:bCs/>
          <w:sz w:val="24"/>
          <w:szCs w:val="24"/>
        </w:rPr>
        <w:t>Cost Containment</w:t>
      </w:r>
    </w:p>
    <w:p w14:paraId="0456BD80" w14:textId="2F31DAD9" w:rsidR="003633D0" w:rsidRPr="003633D0" w:rsidRDefault="003633D0" w:rsidP="003633D0">
      <w:pPr>
        <w:spacing w:before="240" w:line="240" w:lineRule="auto"/>
        <w:rPr>
          <w:sz w:val="24"/>
          <w:szCs w:val="24"/>
        </w:rPr>
      </w:pPr>
      <w:r w:rsidRPr="003633D0">
        <w:rPr>
          <w:sz w:val="24"/>
          <w:szCs w:val="24"/>
        </w:rPr>
        <w:t>The Applicant asserts the Proposed Project will contribute directly and meaningfully to the Commonwealth’s cost containment goals by improving availability and accessibility of MRI and CT services in a lower cost setting, as an alternative to higher cost, hospital-based services where over 80% of its P</w:t>
      </w:r>
      <w:r w:rsidR="007F5DAE">
        <w:rPr>
          <w:sz w:val="24"/>
          <w:szCs w:val="24"/>
        </w:rPr>
        <w:t>lymouth Clinic</w:t>
      </w:r>
      <w:r w:rsidRPr="003633D0">
        <w:rPr>
          <w:sz w:val="24"/>
          <w:szCs w:val="24"/>
        </w:rPr>
        <w:t xml:space="preserve"> patients currently go for advanced imaging. Atrius Health has a documented established track record in managing TME (adjusted and unadjusted) and minimizing the use of low-value services.</w:t>
      </w:r>
      <w:r w:rsidRPr="003633D0">
        <w:rPr>
          <w:sz w:val="24"/>
          <w:szCs w:val="24"/>
          <w:vertAlign w:val="superscript"/>
        </w:rPr>
        <w:endnoteReference w:id="37"/>
      </w:r>
      <w:r w:rsidRPr="003633D0">
        <w:rPr>
          <w:sz w:val="24"/>
          <w:szCs w:val="24"/>
        </w:rPr>
        <w:t xml:space="preserve"> The Proposed Project will help ensure that Atrius Health continues to deliver timely, </w:t>
      </w:r>
      <w:r w:rsidR="007F5DAE">
        <w:rPr>
          <w:sz w:val="24"/>
          <w:szCs w:val="24"/>
        </w:rPr>
        <w:t xml:space="preserve">integrated </w:t>
      </w:r>
      <w:r w:rsidRPr="003633D0">
        <w:rPr>
          <w:sz w:val="24"/>
          <w:szCs w:val="24"/>
        </w:rPr>
        <w:t xml:space="preserve">and coordinated care to its patients, facilitated by its integrated EMR. </w:t>
      </w:r>
    </w:p>
    <w:p w14:paraId="0EB091DF" w14:textId="196BE45E" w:rsidR="003633D0" w:rsidRPr="003633D0" w:rsidRDefault="003633D0" w:rsidP="003633D0">
      <w:pPr>
        <w:spacing w:before="240" w:line="240" w:lineRule="auto"/>
        <w:rPr>
          <w:sz w:val="24"/>
          <w:szCs w:val="24"/>
        </w:rPr>
      </w:pPr>
      <w:r w:rsidRPr="003633D0">
        <w:rPr>
          <w:sz w:val="24"/>
          <w:szCs w:val="24"/>
        </w:rPr>
        <w:t xml:space="preserve">The Proposed Project will further contribute to lowering TME for the Plymouth </w:t>
      </w:r>
      <w:r w:rsidR="00890F38">
        <w:rPr>
          <w:sz w:val="24"/>
          <w:szCs w:val="24"/>
        </w:rPr>
        <w:t xml:space="preserve">Clinic </w:t>
      </w:r>
      <w:r w:rsidRPr="003633D0">
        <w:rPr>
          <w:sz w:val="24"/>
          <w:szCs w:val="24"/>
        </w:rPr>
        <w:t xml:space="preserve">patients since over 45% of patients are enrolled in risk-based health plans for which Atrius Health bears most of the financial responsibility for the costs of care delivered to the patient. By providing services within the Atrius Health system, care is coordinated for every patient and services are delivered at a lower cost than other providers and savings accrue for the consumer and the Commonwealth. </w:t>
      </w:r>
    </w:p>
    <w:p w14:paraId="26D8DE99" w14:textId="77777777" w:rsidR="003633D0" w:rsidRPr="003633D0" w:rsidRDefault="003633D0" w:rsidP="003633D0">
      <w:pPr>
        <w:spacing w:before="240" w:line="240" w:lineRule="auto"/>
        <w:rPr>
          <w:sz w:val="24"/>
          <w:szCs w:val="24"/>
        </w:rPr>
      </w:pPr>
      <w:r w:rsidRPr="003633D0">
        <w:rPr>
          <w:sz w:val="24"/>
          <w:szCs w:val="24"/>
        </w:rPr>
        <w:t>Atrius Health’s delivery model is focused on providing high quality care in a cost-efficient manner. Several tools within the EMR are utilized to promote the appropriate use of CT and MRI. Prior to the patient’s being seen, order requisitions are reviewed in the context of the patient’s history (as documented in the EMR), any prior imaging (including external to Atrius), and exam appropriateness given the patient’s clinical indications. These tools and processes improve the efficiency of care delivery.</w:t>
      </w:r>
    </w:p>
    <w:p w14:paraId="71A43DBC" w14:textId="1F41C15B" w:rsidR="00514E50" w:rsidRPr="003633D0" w:rsidRDefault="003633D0" w:rsidP="003633D0">
      <w:pPr>
        <w:spacing w:before="240" w:line="240" w:lineRule="auto"/>
        <w:rPr>
          <w:sz w:val="24"/>
          <w:szCs w:val="24"/>
        </w:rPr>
      </w:pPr>
      <w:r w:rsidRPr="003633D0">
        <w:rPr>
          <w:sz w:val="24"/>
          <w:szCs w:val="24"/>
        </w:rPr>
        <w:t xml:space="preserve">Other cost containment efforts of the Proposed Project include that additional capital equipment expense is avoided since Atrius Health elected to maximize the use of its existing mobile MRI contract as described in Factor 1; and Atrius Health’s selection of CT equipment for the Proposed Project reflects the minimum requirements for an outpatient practice, rather than a higher end, more expensive unit that </w:t>
      </w:r>
      <w:r w:rsidR="007F5DAE">
        <w:rPr>
          <w:sz w:val="24"/>
          <w:szCs w:val="24"/>
        </w:rPr>
        <w:t xml:space="preserve">the Applicant posits </w:t>
      </w:r>
      <w:r w:rsidRPr="003633D0">
        <w:rPr>
          <w:sz w:val="24"/>
          <w:szCs w:val="24"/>
        </w:rPr>
        <w:t xml:space="preserve">might be more appropriate for a hospital with intensive care needs. </w:t>
      </w:r>
    </w:p>
    <w:p w14:paraId="7FAE1522" w14:textId="77777777" w:rsidR="003633D0" w:rsidRPr="003633D0" w:rsidRDefault="003633D0" w:rsidP="003633D0">
      <w:pPr>
        <w:spacing w:before="240" w:line="240" w:lineRule="auto"/>
        <w:rPr>
          <w:sz w:val="24"/>
          <w:szCs w:val="24"/>
        </w:rPr>
      </w:pPr>
      <w:r w:rsidRPr="003633D0">
        <w:rPr>
          <w:b/>
          <w:bCs/>
          <w:sz w:val="24"/>
          <w:szCs w:val="24"/>
        </w:rPr>
        <w:t>Public Health Outcomes</w:t>
      </w:r>
    </w:p>
    <w:p w14:paraId="546DC0BF" w14:textId="6E1D9BC8" w:rsidR="003633D0" w:rsidRPr="003633D0" w:rsidRDefault="003633D0" w:rsidP="003633D0">
      <w:pPr>
        <w:spacing w:before="240" w:line="240" w:lineRule="auto"/>
        <w:rPr>
          <w:sz w:val="24"/>
          <w:szCs w:val="24"/>
        </w:rPr>
      </w:pPr>
      <w:bookmarkStart w:id="32" w:name="_Hlk119480744"/>
      <w:r w:rsidRPr="003633D0">
        <w:rPr>
          <w:sz w:val="24"/>
          <w:szCs w:val="24"/>
        </w:rPr>
        <w:t>The Proposed Project will improve public health outcomes by improving speed of access to high quality, low-cost CT and MRI services, thereby leading to more timely diagnosis and treatment</w:t>
      </w:r>
      <w:bookmarkEnd w:id="32"/>
      <w:r w:rsidRPr="003633D0">
        <w:rPr>
          <w:sz w:val="24"/>
          <w:szCs w:val="24"/>
        </w:rPr>
        <w:t xml:space="preserve">. As stated in Factor 1, CT and MRI are well established modalities, critical to properly diagnosing and treatment planning for many common health conditions, including cancer, cardiovascular disease, pulmonary conditions, and arthritis. In addition, ensuring access to MRI and CT services at the Plymouth </w:t>
      </w:r>
      <w:r w:rsidR="00890F38">
        <w:rPr>
          <w:sz w:val="24"/>
          <w:szCs w:val="24"/>
        </w:rPr>
        <w:t xml:space="preserve">Clinic </w:t>
      </w:r>
      <w:r w:rsidRPr="003633D0">
        <w:rPr>
          <w:sz w:val="24"/>
          <w:szCs w:val="24"/>
        </w:rPr>
        <w:t xml:space="preserve">and integrating them into Atrius Health’s delivery system, will result in </w:t>
      </w:r>
      <w:r w:rsidRPr="003633D0">
        <w:rPr>
          <w:sz w:val="24"/>
          <w:szCs w:val="24"/>
        </w:rPr>
        <w:lastRenderedPageBreak/>
        <w:t xml:space="preserve">improvements in both continuity and coordination of care, with attendant improvements in health outcomes for </w:t>
      </w:r>
      <w:r w:rsidR="003B0CE8">
        <w:rPr>
          <w:sz w:val="24"/>
          <w:szCs w:val="24"/>
        </w:rPr>
        <w:t xml:space="preserve">its </w:t>
      </w:r>
      <w:r w:rsidRPr="003633D0">
        <w:rPr>
          <w:sz w:val="24"/>
          <w:szCs w:val="24"/>
        </w:rPr>
        <w:t xml:space="preserve">patients. </w:t>
      </w:r>
    </w:p>
    <w:p w14:paraId="118841EC" w14:textId="68CF12FD" w:rsidR="003633D0" w:rsidRPr="003633D0" w:rsidRDefault="003633D0" w:rsidP="003633D0">
      <w:pPr>
        <w:spacing w:before="240" w:line="240" w:lineRule="auto"/>
        <w:rPr>
          <w:sz w:val="24"/>
          <w:szCs w:val="24"/>
        </w:rPr>
      </w:pPr>
      <w:r w:rsidRPr="003633D0">
        <w:rPr>
          <w:sz w:val="24"/>
          <w:szCs w:val="24"/>
        </w:rPr>
        <w:t xml:space="preserve">The Proposed Project will allow </w:t>
      </w:r>
      <w:r w:rsidRPr="00770238">
        <w:rPr>
          <w:sz w:val="24"/>
          <w:szCs w:val="24"/>
        </w:rPr>
        <w:t>same-day</w:t>
      </w:r>
      <w:r w:rsidRPr="003633D0">
        <w:rPr>
          <w:sz w:val="24"/>
          <w:szCs w:val="24"/>
        </w:rPr>
        <w:t xml:space="preserve"> access to CT exams, and MRI exams completed within a week. In the event there is a “critical result”</w:t>
      </w:r>
      <w:bookmarkStart w:id="33" w:name="_BPDCD_67"/>
      <w:r w:rsidRPr="003633D0">
        <w:rPr>
          <w:sz w:val="24"/>
          <w:szCs w:val="24"/>
        </w:rPr>
        <w:t xml:space="preserve"> </w:t>
      </w:r>
      <w:bookmarkEnd w:id="33"/>
      <w:r w:rsidRPr="003633D0">
        <w:rPr>
          <w:sz w:val="24"/>
          <w:szCs w:val="24"/>
        </w:rPr>
        <w:t xml:space="preserve">Atrius Health Radiologists immediately direct message the ordering provider through the EMR since these will be fully integrated into the Atrius </w:t>
      </w:r>
      <w:r w:rsidR="00ED5078">
        <w:rPr>
          <w:sz w:val="24"/>
          <w:szCs w:val="24"/>
        </w:rPr>
        <w:t>s</w:t>
      </w:r>
      <w:r w:rsidRPr="003633D0">
        <w:rPr>
          <w:sz w:val="24"/>
          <w:szCs w:val="24"/>
        </w:rPr>
        <w:t>ystem.</w:t>
      </w:r>
    </w:p>
    <w:p w14:paraId="3355A8BE" w14:textId="77777777" w:rsidR="003633D0" w:rsidRPr="003633D0" w:rsidRDefault="003633D0" w:rsidP="003633D0">
      <w:pPr>
        <w:spacing w:before="240" w:line="240" w:lineRule="auto"/>
        <w:rPr>
          <w:b/>
          <w:bCs/>
          <w:sz w:val="24"/>
          <w:szCs w:val="24"/>
        </w:rPr>
      </w:pPr>
      <w:r w:rsidRPr="003633D0">
        <w:rPr>
          <w:b/>
          <w:bCs/>
          <w:sz w:val="24"/>
          <w:szCs w:val="24"/>
        </w:rPr>
        <w:t xml:space="preserve">Delivery System Transformation </w:t>
      </w:r>
    </w:p>
    <w:p w14:paraId="783748BA" w14:textId="79B57C98" w:rsidR="003633D0" w:rsidRPr="003633D0" w:rsidRDefault="00C45BB2" w:rsidP="003633D0">
      <w:pPr>
        <w:spacing w:before="240" w:line="240" w:lineRule="auto"/>
        <w:rPr>
          <w:sz w:val="24"/>
          <w:szCs w:val="24"/>
        </w:rPr>
      </w:pPr>
      <w:r>
        <w:rPr>
          <w:sz w:val="24"/>
          <w:szCs w:val="24"/>
        </w:rPr>
        <w:t>As noted in Factor 1(b), t</w:t>
      </w:r>
      <w:r w:rsidR="003633D0" w:rsidRPr="003633D0">
        <w:rPr>
          <w:sz w:val="24"/>
          <w:szCs w:val="24"/>
        </w:rPr>
        <w:t xml:space="preserve">he Applicant stresses that in delivering </w:t>
      </w:r>
      <w:r w:rsidR="003633D0" w:rsidRPr="00436ED8">
        <w:rPr>
          <w:sz w:val="24"/>
          <w:szCs w:val="24"/>
        </w:rPr>
        <w:t>effective</w:t>
      </w:r>
      <w:r w:rsidR="00850B96" w:rsidRPr="00436ED8">
        <w:rPr>
          <w:sz w:val="24"/>
          <w:szCs w:val="24"/>
        </w:rPr>
        <w:t>,</w:t>
      </w:r>
      <w:r w:rsidR="003633D0" w:rsidRPr="00436ED8">
        <w:rPr>
          <w:sz w:val="24"/>
          <w:szCs w:val="24"/>
        </w:rPr>
        <w:t xml:space="preserve"> coordinated, care</w:t>
      </w:r>
      <w:r w:rsidR="003633D0" w:rsidRPr="003633D0">
        <w:rPr>
          <w:sz w:val="24"/>
          <w:szCs w:val="24"/>
        </w:rPr>
        <w:t xml:space="preserve"> to adult and pediatric patients in eastern</w:t>
      </w:r>
      <w:r w:rsidR="00D10CAF">
        <w:rPr>
          <w:sz w:val="24"/>
          <w:szCs w:val="24"/>
        </w:rPr>
        <w:t xml:space="preserve"> Massachusetts</w:t>
      </w:r>
      <w:r w:rsidR="003633D0" w:rsidRPr="003633D0">
        <w:rPr>
          <w:sz w:val="24"/>
          <w:szCs w:val="24"/>
        </w:rPr>
        <w:t xml:space="preserve"> it aims to consistently provide culturally competent care to its patient</w:t>
      </w:r>
      <w:r w:rsidR="00436ED8">
        <w:rPr>
          <w:sz w:val="24"/>
          <w:szCs w:val="24"/>
        </w:rPr>
        <w:t>s</w:t>
      </w:r>
      <w:r w:rsidR="003633D0" w:rsidRPr="003633D0">
        <w:rPr>
          <w:sz w:val="24"/>
          <w:szCs w:val="24"/>
        </w:rPr>
        <w:t>. It further states its emphasis on diversity, equity, and inclusion (DEI) guides major decisions made by the organization. Atrius Health regularly trains staff to fully respect patients of all cultural, racial, and ethnic backgrounds. In 2023 all patient-facing staff will complete implicit bias training. In addition to trainings, Atrius Health offers DEI resources on its Intranet, available to all staff.</w:t>
      </w:r>
    </w:p>
    <w:p w14:paraId="2D8CC4E8" w14:textId="0258A56F" w:rsidR="00C45BB2" w:rsidRDefault="00C45BB2" w:rsidP="003633D0">
      <w:pPr>
        <w:spacing w:before="240" w:line="240" w:lineRule="auto"/>
        <w:rPr>
          <w:sz w:val="24"/>
          <w:szCs w:val="24"/>
        </w:rPr>
      </w:pPr>
      <w:r>
        <w:rPr>
          <w:sz w:val="24"/>
          <w:szCs w:val="24"/>
        </w:rPr>
        <w:t>Additionally, s</w:t>
      </w:r>
      <w:r w:rsidR="003633D0" w:rsidRPr="003633D0">
        <w:rPr>
          <w:sz w:val="24"/>
          <w:szCs w:val="24"/>
        </w:rPr>
        <w:t xml:space="preserve">ince Atrius Health patients speak dozens of languages, </w:t>
      </w:r>
      <w:r w:rsidR="00C71C7C">
        <w:rPr>
          <w:sz w:val="24"/>
          <w:szCs w:val="24"/>
        </w:rPr>
        <w:t xml:space="preserve">to </w:t>
      </w:r>
      <w:r>
        <w:rPr>
          <w:sz w:val="24"/>
          <w:szCs w:val="24"/>
        </w:rPr>
        <w:t>en</w:t>
      </w:r>
      <w:r w:rsidR="003633D0" w:rsidRPr="003633D0">
        <w:rPr>
          <w:sz w:val="24"/>
          <w:szCs w:val="24"/>
        </w:rPr>
        <w:t>sure patients fully understand imaging procedures</w:t>
      </w:r>
      <w:r w:rsidR="00850B96">
        <w:rPr>
          <w:sz w:val="24"/>
          <w:szCs w:val="24"/>
        </w:rPr>
        <w:t>,</w:t>
      </w:r>
      <w:r w:rsidR="00EC67C5" w:rsidRPr="00EC67C5">
        <w:rPr>
          <w:sz w:val="24"/>
          <w:szCs w:val="24"/>
        </w:rPr>
        <w:t xml:space="preserve"> interpreter services</w:t>
      </w:r>
      <w:r w:rsidR="003633D0" w:rsidRPr="003633D0">
        <w:rPr>
          <w:sz w:val="24"/>
          <w:szCs w:val="24"/>
        </w:rPr>
        <w:t xml:space="preserve"> </w:t>
      </w:r>
      <w:r w:rsidR="00257D4B" w:rsidRPr="003633D0">
        <w:rPr>
          <w:sz w:val="24"/>
          <w:szCs w:val="24"/>
        </w:rPr>
        <w:t>are</w:t>
      </w:r>
      <w:r w:rsidR="00257D4B" w:rsidRPr="00257D4B">
        <w:rPr>
          <w:sz w:val="24"/>
          <w:szCs w:val="24"/>
        </w:rPr>
        <w:t xml:space="preserve"> available in person and via an iPad app</w:t>
      </w:r>
      <w:r w:rsidR="00257D4B">
        <w:rPr>
          <w:sz w:val="24"/>
          <w:szCs w:val="24"/>
        </w:rPr>
        <w:t xml:space="preserve">. </w:t>
      </w:r>
    </w:p>
    <w:p w14:paraId="74B2F3DA" w14:textId="0CF1A67D" w:rsidR="003633D0" w:rsidRPr="003633D0" w:rsidRDefault="00257D4B" w:rsidP="003633D0">
      <w:pPr>
        <w:spacing w:before="240" w:line="240" w:lineRule="auto"/>
        <w:rPr>
          <w:sz w:val="24"/>
          <w:szCs w:val="24"/>
        </w:rPr>
      </w:pPr>
      <w:r>
        <w:rPr>
          <w:sz w:val="24"/>
          <w:szCs w:val="24"/>
        </w:rPr>
        <w:t xml:space="preserve">Further, </w:t>
      </w:r>
      <w:r w:rsidR="003633D0" w:rsidRPr="003633D0">
        <w:rPr>
          <w:sz w:val="24"/>
          <w:szCs w:val="24"/>
        </w:rPr>
        <w:t>Atrius Health routinely screens for social determinants of health in its pediatric and adult populations and when vulnerabilities are identified, it helps connect patients to internal and external resources (e.g., social work; community services) to support their needs, including but not limited to those specific to an aging population. The efforts will be integrated into the Proposed Project.</w:t>
      </w:r>
    </w:p>
    <w:p w14:paraId="1041D8ED" w14:textId="5082B175" w:rsidR="003633D0" w:rsidRPr="003633D0" w:rsidRDefault="00C45BB2" w:rsidP="003633D0">
      <w:pPr>
        <w:spacing w:before="240" w:line="240" w:lineRule="auto"/>
        <w:rPr>
          <w:sz w:val="24"/>
          <w:szCs w:val="24"/>
        </w:rPr>
      </w:pPr>
      <w:r>
        <w:rPr>
          <w:sz w:val="24"/>
          <w:szCs w:val="24"/>
        </w:rPr>
        <w:t>Finally</w:t>
      </w:r>
      <w:r w:rsidR="003633D0" w:rsidRPr="003633D0">
        <w:rPr>
          <w:sz w:val="24"/>
          <w:szCs w:val="24"/>
        </w:rPr>
        <w:t xml:space="preserve">, Atrius Health is </w:t>
      </w:r>
      <w:r w:rsidR="00257D4B">
        <w:rPr>
          <w:sz w:val="24"/>
          <w:szCs w:val="24"/>
        </w:rPr>
        <w:t xml:space="preserve">implementing </w:t>
      </w:r>
      <w:r w:rsidR="003633D0" w:rsidRPr="003633D0">
        <w:rPr>
          <w:sz w:val="24"/>
          <w:szCs w:val="24"/>
        </w:rPr>
        <w:t xml:space="preserve">an IT project to develop the necessary fields and capabilities to capture race and ethnicity data more accurately and in greater detail to help better identify and address disparities. </w:t>
      </w:r>
    </w:p>
    <w:p w14:paraId="492BB0C6" w14:textId="77777777" w:rsidR="003633D0" w:rsidRPr="003633D0" w:rsidRDefault="003633D0" w:rsidP="003633D0">
      <w:pPr>
        <w:spacing w:before="240" w:line="240" w:lineRule="auto"/>
        <w:rPr>
          <w:b/>
          <w:bCs/>
          <w:i/>
          <w:iCs/>
          <w:sz w:val="24"/>
          <w:szCs w:val="24"/>
        </w:rPr>
      </w:pPr>
      <w:r w:rsidRPr="003633D0">
        <w:rPr>
          <w:b/>
          <w:bCs/>
          <w:i/>
          <w:iCs/>
          <w:sz w:val="24"/>
          <w:szCs w:val="24"/>
        </w:rPr>
        <w:t>Analysis: Cost Containment, Public Health Outcomes, and Delivery System Transformation</w:t>
      </w:r>
    </w:p>
    <w:p w14:paraId="4BD48C8B" w14:textId="36A1CE1D" w:rsidR="003633D0" w:rsidRPr="003633D0" w:rsidRDefault="003633D0" w:rsidP="003633D0">
      <w:pPr>
        <w:spacing w:before="240" w:line="240" w:lineRule="auto"/>
        <w:rPr>
          <w:sz w:val="24"/>
          <w:szCs w:val="24"/>
        </w:rPr>
      </w:pPr>
      <w:r w:rsidRPr="003633D0">
        <w:rPr>
          <w:sz w:val="24"/>
          <w:szCs w:val="24"/>
        </w:rPr>
        <w:t>As described herein, the Applicant is a documented quality low-cost provider. Given its high proportion of risk-based contracts</w:t>
      </w:r>
      <w:r w:rsidR="006709FC">
        <w:rPr>
          <w:sz w:val="24"/>
          <w:szCs w:val="24"/>
        </w:rPr>
        <w:t>,</w:t>
      </w:r>
      <w:r w:rsidRPr="003633D0">
        <w:rPr>
          <w:sz w:val="24"/>
          <w:szCs w:val="24"/>
        </w:rPr>
        <w:t xml:space="preserve"> it has a strong incentive to ensure that care is delivered in the most appropriate efficient manner, minimizing low-value care. The Proposed Project seeks to improve access to imaging services within Atrius Health’s lower-cost setting while improving the coordination and effectiveness of advanced imaging services. </w:t>
      </w:r>
      <w:r w:rsidR="00257D4B">
        <w:rPr>
          <w:sz w:val="24"/>
          <w:szCs w:val="24"/>
        </w:rPr>
        <w:t>E</w:t>
      </w:r>
      <w:r w:rsidRPr="003633D0">
        <w:rPr>
          <w:sz w:val="24"/>
          <w:szCs w:val="24"/>
        </w:rPr>
        <w:t xml:space="preserve">nsuring timely access to coordinated imaging services can reduce delays in diagnosis and treatment, and thus contribute to improved patient satisfaction and health outcomes. </w:t>
      </w:r>
    </w:p>
    <w:p w14:paraId="342084B7" w14:textId="55036E76" w:rsidR="003633D0" w:rsidRPr="003633D0" w:rsidRDefault="003633D0" w:rsidP="003633D0">
      <w:pPr>
        <w:spacing w:before="240" w:line="240" w:lineRule="auto"/>
        <w:rPr>
          <w:sz w:val="24"/>
          <w:szCs w:val="24"/>
        </w:rPr>
      </w:pPr>
      <w:r w:rsidRPr="003633D0">
        <w:rPr>
          <w:sz w:val="24"/>
          <w:szCs w:val="24"/>
        </w:rPr>
        <w:t>Central to the goal of Delivery System Transformation is the integration of social services and community-based expertise. It is documented that persistent disparities in a number of health outcomes, including some of the leading causes of death, points to the importance of screening for and relief from SDOH related health disparities, prevention and disease promotion.</w:t>
      </w:r>
      <w:r w:rsidRPr="003633D0">
        <w:rPr>
          <w:sz w:val="24"/>
          <w:szCs w:val="24"/>
          <w:vertAlign w:val="superscript"/>
        </w:rPr>
        <w:endnoteReference w:id="38"/>
      </w:r>
      <w:r w:rsidRPr="003633D0">
        <w:rPr>
          <w:sz w:val="24"/>
          <w:szCs w:val="24"/>
        </w:rPr>
        <w:t xml:space="preserve"> The </w:t>
      </w:r>
      <w:r w:rsidRPr="003633D0">
        <w:rPr>
          <w:sz w:val="24"/>
          <w:szCs w:val="24"/>
        </w:rPr>
        <w:lastRenderedPageBreak/>
        <w:t xml:space="preserve">Applicant’s SDoH screening is integrated into the care processes, to identify and address health </w:t>
      </w:r>
      <w:r w:rsidR="00257D4B" w:rsidRPr="003633D0">
        <w:rPr>
          <w:sz w:val="24"/>
          <w:szCs w:val="24"/>
        </w:rPr>
        <w:t>disparities</w:t>
      </w:r>
      <w:r w:rsidRPr="003633D0">
        <w:rPr>
          <w:sz w:val="24"/>
          <w:szCs w:val="24"/>
        </w:rPr>
        <w:t xml:space="preserve"> and risks</w:t>
      </w:r>
      <w:r w:rsidR="00257D4B">
        <w:rPr>
          <w:sz w:val="24"/>
          <w:szCs w:val="24"/>
        </w:rPr>
        <w:t>.</w:t>
      </w:r>
      <w:r w:rsidRPr="003633D0">
        <w:rPr>
          <w:sz w:val="24"/>
          <w:szCs w:val="24"/>
        </w:rPr>
        <w:t xml:space="preserve"> </w:t>
      </w:r>
    </w:p>
    <w:p w14:paraId="32EFC99C" w14:textId="403B71EC" w:rsidR="004C3B08" w:rsidRPr="004C3B08" w:rsidRDefault="004C3B08" w:rsidP="004C3B08">
      <w:pPr>
        <w:spacing w:before="240" w:line="240" w:lineRule="auto"/>
        <w:rPr>
          <w:sz w:val="24"/>
          <w:szCs w:val="24"/>
        </w:rPr>
      </w:pPr>
      <w:r w:rsidRPr="004C3B08">
        <w:rPr>
          <w:bCs/>
          <w:sz w:val="24"/>
          <w:szCs w:val="24"/>
          <w:lang w:val="en"/>
        </w:rPr>
        <w:t>As a result of information provided by the Applicant and with additional analysis, Staff finds the Applicant has met the requirements of Factor</w:t>
      </w:r>
      <w:r>
        <w:rPr>
          <w:bCs/>
          <w:sz w:val="24"/>
          <w:szCs w:val="24"/>
          <w:lang w:val="en"/>
        </w:rPr>
        <w:t xml:space="preserve"> 2</w:t>
      </w:r>
      <w:r w:rsidRPr="004C3B08">
        <w:rPr>
          <w:bCs/>
          <w:sz w:val="24"/>
          <w:szCs w:val="24"/>
          <w:lang w:val="en"/>
        </w:rPr>
        <w:t>.</w:t>
      </w:r>
    </w:p>
    <w:p w14:paraId="5E90409D" w14:textId="34162BE1" w:rsidR="003633D0" w:rsidRPr="003633D0" w:rsidRDefault="003633D0" w:rsidP="003633D0">
      <w:pPr>
        <w:spacing w:before="240" w:line="240" w:lineRule="auto"/>
        <w:rPr>
          <w:b/>
          <w:bCs/>
          <w:sz w:val="24"/>
          <w:szCs w:val="24"/>
        </w:rPr>
      </w:pPr>
    </w:p>
    <w:p w14:paraId="37B182AD" w14:textId="2085E719" w:rsidR="003E1CDA" w:rsidRPr="003E1CDA" w:rsidRDefault="003E1CDA" w:rsidP="0024289A">
      <w:pPr>
        <w:pStyle w:val="Heading1"/>
      </w:pPr>
      <w:bookmarkStart w:id="34" w:name="_Toc131063597"/>
      <w:r w:rsidRPr="003E1CDA">
        <w:t>Factor 3: Relevant Licensure/Oversight Compliance</w:t>
      </w:r>
      <w:bookmarkEnd w:id="34"/>
      <w:r w:rsidRPr="003E1CDA">
        <w:t xml:space="preserve"> </w:t>
      </w:r>
    </w:p>
    <w:p w14:paraId="2FEEFBF8" w14:textId="61611A33" w:rsidR="003E1CDA" w:rsidRPr="003E1CDA" w:rsidRDefault="00897CCF" w:rsidP="003F0CC7">
      <w:pPr>
        <w:spacing w:before="240" w:after="0" w:line="240" w:lineRule="auto"/>
        <w:rPr>
          <w:b/>
          <w:bCs/>
          <w:sz w:val="24"/>
          <w:szCs w:val="24"/>
        </w:rPr>
      </w:pPr>
      <w:r>
        <w:rPr>
          <w:sz w:val="24"/>
          <w:szCs w:val="24"/>
        </w:rPr>
        <w:t>Staff finds that the</w:t>
      </w:r>
      <w:r w:rsidRPr="003E1CDA">
        <w:rPr>
          <w:sz w:val="24"/>
          <w:szCs w:val="24"/>
        </w:rPr>
        <w:t xml:space="preserve"> </w:t>
      </w:r>
      <w:r w:rsidR="003E1CDA" w:rsidRPr="003E1CDA">
        <w:rPr>
          <w:sz w:val="24"/>
          <w:szCs w:val="24"/>
        </w:rPr>
        <w:t>Applicant has provided evidence of compliance and good standing with federal, state, and local laws and regulations and will not be addressed further in this report.</w:t>
      </w:r>
    </w:p>
    <w:p w14:paraId="23B352B5" w14:textId="3211D8B1" w:rsidR="003E1CDA" w:rsidRDefault="003E1CDA" w:rsidP="0024289A">
      <w:pPr>
        <w:pStyle w:val="Heading1"/>
      </w:pPr>
      <w:bookmarkStart w:id="35" w:name="_Toc131063598"/>
      <w:r w:rsidRPr="003E1CDA">
        <w:t xml:space="preserve">Factor 4: </w:t>
      </w:r>
      <w:r w:rsidR="002B05B4">
        <w:t>Financial Feasibility</w:t>
      </w:r>
      <w:bookmarkEnd w:id="35"/>
    </w:p>
    <w:p w14:paraId="1983E44F" w14:textId="211C389F" w:rsidR="008213E7" w:rsidRDefault="00C06DBE" w:rsidP="00B87018">
      <w:pPr>
        <w:spacing w:before="240" w:line="240" w:lineRule="auto"/>
        <w:rPr>
          <w:sz w:val="24"/>
          <w:szCs w:val="24"/>
        </w:rPr>
      </w:pPr>
      <w:r>
        <w:rPr>
          <w:sz w:val="24"/>
          <w:szCs w:val="24"/>
        </w:rPr>
        <w:t>The</w:t>
      </w:r>
      <w:r w:rsidR="00600AA5" w:rsidRPr="005F07C5">
        <w:rPr>
          <w:sz w:val="24"/>
          <w:szCs w:val="24"/>
        </w:rPr>
        <w:t xml:space="preserve"> Applicant </w:t>
      </w:r>
      <w:r w:rsidR="00080653">
        <w:rPr>
          <w:sz w:val="24"/>
          <w:szCs w:val="24"/>
        </w:rPr>
        <w:t xml:space="preserve">has </w:t>
      </w:r>
      <w:r w:rsidR="00600AA5" w:rsidRPr="005F07C5">
        <w:rPr>
          <w:sz w:val="24"/>
          <w:szCs w:val="24"/>
        </w:rPr>
        <w:t>demonstrate</w:t>
      </w:r>
      <w:r w:rsidR="00080653">
        <w:rPr>
          <w:sz w:val="24"/>
          <w:szCs w:val="24"/>
        </w:rPr>
        <w:t>d</w:t>
      </w:r>
      <w:r w:rsidR="00600AA5" w:rsidRPr="005F07C5">
        <w:rPr>
          <w:sz w:val="24"/>
          <w:szCs w:val="24"/>
        </w:rPr>
        <w:t xml:space="preserve"> that it has sufficient funds available for capital and operating costs necessary to support the Proposed Project without negative effects or consequences to the existing </w:t>
      </w:r>
      <w:r w:rsidR="00600AA5">
        <w:rPr>
          <w:sz w:val="24"/>
          <w:szCs w:val="24"/>
        </w:rPr>
        <w:t>P</w:t>
      </w:r>
      <w:r w:rsidR="00600AA5" w:rsidRPr="005F07C5">
        <w:rPr>
          <w:sz w:val="24"/>
          <w:szCs w:val="24"/>
        </w:rPr>
        <w:t xml:space="preserve">atient </w:t>
      </w:r>
      <w:r w:rsidR="00600AA5">
        <w:rPr>
          <w:sz w:val="24"/>
          <w:szCs w:val="24"/>
        </w:rPr>
        <w:t>P</w:t>
      </w:r>
      <w:r w:rsidR="00600AA5" w:rsidRPr="005F07C5">
        <w:rPr>
          <w:sz w:val="24"/>
          <w:szCs w:val="24"/>
        </w:rPr>
        <w:t xml:space="preserve">anel. Documentation sufficient to make such finding </w:t>
      </w:r>
      <w:r w:rsidR="004827B6">
        <w:rPr>
          <w:sz w:val="24"/>
          <w:szCs w:val="24"/>
        </w:rPr>
        <w:t>is supported</w:t>
      </w:r>
      <w:r w:rsidR="00600AA5" w:rsidRPr="005F07C5">
        <w:rPr>
          <w:sz w:val="24"/>
          <w:szCs w:val="24"/>
        </w:rPr>
        <w:t xml:space="preserve"> by an analysis by an independent CPA. </w:t>
      </w:r>
    </w:p>
    <w:p w14:paraId="717745EC" w14:textId="64148B91" w:rsidR="00E726C7" w:rsidRPr="00E726C7" w:rsidRDefault="00E726C7" w:rsidP="00B87018">
      <w:pPr>
        <w:spacing w:line="240" w:lineRule="auto"/>
        <w:rPr>
          <w:sz w:val="24"/>
          <w:szCs w:val="24"/>
        </w:rPr>
      </w:pPr>
      <w:r w:rsidRPr="00E726C7">
        <w:rPr>
          <w:sz w:val="24"/>
          <w:szCs w:val="24"/>
        </w:rPr>
        <w:t>The scope of the CPA Report, performed by BDO, is limited to an analysis of the seven-year Projections for the fiscal years ending December 31, 2022, through 2028, prepared by Management, and the supporting documentation The CPA reviewed documents produced by Management as well as third party industry data sources to formulate its conclusions; these documents included:</w:t>
      </w:r>
    </w:p>
    <w:p w14:paraId="07C26C2B" w14:textId="77777777" w:rsidR="00E726C7" w:rsidRPr="00E726C7" w:rsidRDefault="00E726C7" w:rsidP="00B87018">
      <w:pPr>
        <w:numPr>
          <w:ilvl w:val="0"/>
          <w:numId w:val="13"/>
        </w:numPr>
        <w:spacing w:after="0" w:line="240" w:lineRule="auto"/>
        <w:rPr>
          <w:sz w:val="24"/>
          <w:szCs w:val="24"/>
        </w:rPr>
      </w:pPr>
      <w:r w:rsidRPr="00E726C7">
        <w:rPr>
          <w:sz w:val="24"/>
          <w:szCs w:val="24"/>
        </w:rPr>
        <w:t>Financial Model for Atrius Health for the periods ending December 31, 2018 through December 31, 2028;</w:t>
      </w:r>
    </w:p>
    <w:p w14:paraId="48BC63CB" w14:textId="77777777" w:rsidR="00E726C7" w:rsidRPr="00E726C7" w:rsidRDefault="00E726C7" w:rsidP="00B87018">
      <w:pPr>
        <w:numPr>
          <w:ilvl w:val="0"/>
          <w:numId w:val="13"/>
        </w:numPr>
        <w:spacing w:after="0" w:line="240" w:lineRule="auto"/>
        <w:rPr>
          <w:sz w:val="24"/>
          <w:szCs w:val="24"/>
        </w:rPr>
      </w:pPr>
      <w:r w:rsidRPr="00E726C7">
        <w:rPr>
          <w:sz w:val="24"/>
          <w:szCs w:val="24"/>
        </w:rPr>
        <w:t>Atrius Health – 2022 Gap Closure Plan updated March 14, 2022;</w:t>
      </w:r>
    </w:p>
    <w:p w14:paraId="7E4D4918" w14:textId="77777777" w:rsidR="00E726C7" w:rsidRPr="00E726C7" w:rsidRDefault="00E726C7" w:rsidP="00B87018">
      <w:pPr>
        <w:numPr>
          <w:ilvl w:val="0"/>
          <w:numId w:val="13"/>
        </w:numPr>
        <w:spacing w:after="0" w:line="240" w:lineRule="auto"/>
        <w:rPr>
          <w:sz w:val="24"/>
          <w:szCs w:val="24"/>
        </w:rPr>
      </w:pPr>
      <w:r w:rsidRPr="00E726C7">
        <w:rPr>
          <w:sz w:val="24"/>
          <w:szCs w:val="24"/>
        </w:rPr>
        <w:t>Signed Atrius-GE CT Quote dated April 29, 2022;</w:t>
      </w:r>
    </w:p>
    <w:p w14:paraId="75FA2290" w14:textId="77777777" w:rsidR="00E726C7" w:rsidRPr="00E726C7" w:rsidRDefault="00E726C7" w:rsidP="00B87018">
      <w:pPr>
        <w:numPr>
          <w:ilvl w:val="0"/>
          <w:numId w:val="13"/>
        </w:numPr>
        <w:spacing w:after="0" w:line="240" w:lineRule="auto"/>
        <w:rPr>
          <w:sz w:val="24"/>
          <w:szCs w:val="24"/>
        </w:rPr>
      </w:pPr>
      <w:r w:rsidRPr="00E726C7">
        <w:rPr>
          <w:sz w:val="24"/>
          <w:szCs w:val="24"/>
        </w:rPr>
        <w:t>Atrius DON Sketch dated June 21, 2022;</w:t>
      </w:r>
    </w:p>
    <w:p w14:paraId="180CF077" w14:textId="77777777" w:rsidR="00E726C7" w:rsidRPr="00E726C7" w:rsidRDefault="00E726C7" w:rsidP="00B87018">
      <w:pPr>
        <w:numPr>
          <w:ilvl w:val="0"/>
          <w:numId w:val="13"/>
        </w:numPr>
        <w:spacing w:after="0" w:line="240" w:lineRule="auto"/>
        <w:rPr>
          <w:sz w:val="24"/>
          <w:szCs w:val="24"/>
        </w:rPr>
      </w:pPr>
      <w:r w:rsidRPr="00E726C7">
        <w:rPr>
          <w:sz w:val="24"/>
          <w:szCs w:val="24"/>
        </w:rPr>
        <w:t>MRI and CT Construction Cost Budget dated June 22, 2022;</w:t>
      </w:r>
    </w:p>
    <w:p w14:paraId="4371CC56" w14:textId="77777777" w:rsidR="00E726C7" w:rsidRPr="00E726C7" w:rsidRDefault="00E726C7" w:rsidP="00B87018">
      <w:pPr>
        <w:numPr>
          <w:ilvl w:val="0"/>
          <w:numId w:val="13"/>
        </w:numPr>
        <w:spacing w:after="0" w:line="240" w:lineRule="auto"/>
        <w:rPr>
          <w:sz w:val="24"/>
          <w:szCs w:val="24"/>
        </w:rPr>
      </w:pPr>
      <w:r w:rsidRPr="00E726C7">
        <w:rPr>
          <w:sz w:val="24"/>
          <w:szCs w:val="24"/>
        </w:rPr>
        <w:t>Audited Financial Statements for Atrius Health, Inc. and Affiliates for Fiscal Years Ended December 31, 2021, 2020, 2019, and 2018;</w:t>
      </w:r>
    </w:p>
    <w:p w14:paraId="7FB8E78A" w14:textId="77777777" w:rsidR="00E726C7" w:rsidRPr="00E726C7" w:rsidRDefault="00E726C7" w:rsidP="00B87018">
      <w:pPr>
        <w:numPr>
          <w:ilvl w:val="0"/>
          <w:numId w:val="13"/>
        </w:numPr>
        <w:spacing w:after="0" w:line="240" w:lineRule="auto"/>
        <w:rPr>
          <w:sz w:val="24"/>
          <w:szCs w:val="24"/>
        </w:rPr>
      </w:pPr>
      <w:r w:rsidRPr="00E726C7">
        <w:rPr>
          <w:sz w:val="24"/>
          <w:szCs w:val="24"/>
        </w:rPr>
        <w:t>Unaudited Cash Flow Statements for Atrius Health, Inc. for Fiscal Years Ended December 31, 2021, 2020, 2019, and 2018;</w:t>
      </w:r>
    </w:p>
    <w:p w14:paraId="73979357" w14:textId="77777777" w:rsidR="00E726C7" w:rsidRPr="00E726C7" w:rsidRDefault="00E726C7" w:rsidP="00B87018">
      <w:pPr>
        <w:numPr>
          <w:ilvl w:val="0"/>
          <w:numId w:val="13"/>
        </w:numPr>
        <w:spacing w:after="0" w:line="240" w:lineRule="auto"/>
        <w:rPr>
          <w:sz w:val="24"/>
          <w:szCs w:val="24"/>
        </w:rPr>
      </w:pPr>
      <w:r w:rsidRPr="00E726C7">
        <w:rPr>
          <w:sz w:val="24"/>
          <w:szCs w:val="24"/>
        </w:rPr>
        <w:t>Determination of Need Application Instructions dated March 2017 and draft DON Narrative Report and Factor 4 Charts;</w:t>
      </w:r>
    </w:p>
    <w:p w14:paraId="18FC5456" w14:textId="77777777" w:rsidR="00E726C7" w:rsidRPr="00E726C7" w:rsidRDefault="00E726C7" w:rsidP="00B87018">
      <w:pPr>
        <w:numPr>
          <w:ilvl w:val="0"/>
          <w:numId w:val="13"/>
        </w:numPr>
        <w:spacing w:after="0" w:line="240" w:lineRule="auto"/>
        <w:rPr>
          <w:sz w:val="24"/>
          <w:szCs w:val="24"/>
        </w:rPr>
      </w:pPr>
      <w:r w:rsidRPr="00E726C7">
        <w:rPr>
          <w:sz w:val="24"/>
          <w:szCs w:val="24"/>
        </w:rPr>
        <w:t xml:space="preserve">2021 Annual Health Care Cost Trends Report </w:t>
      </w:r>
      <w:proofErr w:type="spellStart"/>
      <w:r w:rsidRPr="00E726C7">
        <w:rPr>
          <w:sz w:val="24"/>
          <w:szCs w:val="24"/>
        </w:rPr>
        <w:t>Chartpack</w:t>
      </w:r>
      <w:proofErr w:type="spellEnd"/>
      <w:r w:rsidRPr="00E726C7">
        <w:rPr>
          <w:sz w:val="24"/>
          <w:szCs w:val="24"/>
        </w:rPr>
        <w:t>, Massachusetts Health Policy Commission, dated September 2021;</w:t>
      </w:r>
    </w:p>
    <w:p w14:paraId="233C3818" w14:textId="77777777" w:rsidR="00E726C7" w:rsidRPr="00E726C7" w:rsidRDefault="00E726C7" w:rsidP="00B87018">
      <w:pPr>
        <w:numPr>
          <w:ilvl w:val="0"/>
          <w:numId w:val="13"/>
        </w:numPr>
        <w:spacing w:after="0" w:line="240" w:lineRule="auto"/>
        <w:rPr>
          <w:sz w:val="24"/>
          <w:szCs w:val="24"/>
        </w:rPr>
      </w:pPr>
      <w:r w:rsidRPr="00E726C7">
        <w:rPr>
          <w:sz w:val="24"/>
          <w:szCs w:val="24"/>
        </w:rPr>
        <w:t xml:space="preserve">Integra Reports, published by </w:t>
      </w:r>
      <w:proofErr w:type="spellStart"/>
      <w:r w:rsidRPr="00E726C7">
        <w:rPr>
          <w:sz w:val="24"/>
          <w:szCs w:val="24"/>
        </w:rPr>
        <w:t>MicroBilt</w:t>
      </w:r>
      <w:proofErr w:type="spellEnd"/>
      <w:r w:rsidRPr="00E726C7">
        <w:rPr>
          <w:sz w:val="24"/>
          <w:szCs w:val="24"/>
        </w:rPr>
        <w:t xml:space="preserve"> Corporation;</w:t>
      </w:r>
    </w:p>
    <w:p w14:paraId="5840A3D2" w14:textId="77777777" w:rsidR="00E726C7" w:rsidRPr="00E726C7" w:rsidRDefault="00E726C7" w:rsidP="00B87018">
      <w:pPr>
        <w:numPr>
          <w:ilvl w:val="0"/>
          <w:numId w:val="13"/>
        </w:numPr>
        <w:spacing w:line="240" w:lineRule="auto"/>
        <w:rPr>
          <w:sz w:val="24"/>
          <w:szCs w:val="24"/>
        </w:rPr>
      </w:pPr>
      <w:r w:rsidRPr="00E726C7">
        <w:rPr>
          <w:sz w:val="24"/>
          <w:szCs w:val="24"/>
        </w:rPr>
        <w:t>IBISWorld Industry Report, Primary Care Doctors in the US, dated August 2022.</w:t>
      </w:r>
    </w:p>
    <w:p w14:paraId="483DC8E3" w14:textId="77777777" w:rsidR="00E27548" w:rsidRPr="003E77D6" w:rsidRDefault="00E27548" w:rsidP="00B87018">
      <w:pPr>
        <w:spacing w:line="240" w:lineRule="auto"/>
        <w:rPr>
          <w:b/>
          <w:bCs/>
          <w:sz w:val="24"/>
          <w:szCs w:val="24"/>
        </w:rPr>
      </w:pPr>
      <w:r w:rsidRPr="003E77D6">
        <w:rPr>
          <w:b/>
          <w:bCs/>
          <w:sz w:val="24"/>
          <w:szCs w:val="24"/>
        </w:rPr>
        <w:t>Revenue</w:t>
      </w:r>
    </w:p>
    <w:p w14:paraId="05508974" w14:textId="1F389F41" w:rsidR="00E27548" w:rsidRDefault="00E27548" w:rsidP="00B87018">
      <w:pPr>
        <w:spacing w:line="240" w:lineRule="auto"/>
        <w:rPr>
          <w:sz w:val="24"/>
          <w:szCs w:val="24"/>
        </w:rPr>
      </w:pPr>
      <w:r w:rsidRPr="0050184A">
        <w:rPr>
          <w:sz w:val="24"/>
          <w:szCs w:val="24"/>
        </w:rPr>
        <w:lastRenderedPageBreak/>
        <w:t>Total revenue for the Applicant includes capitation revenue, fee for service (“FFS”) revenue, pharmacy revenue, and other revenue</w:t>
      </w:r>
      <w:r w:rsidR="00F4241F">
        <w:rPr>
          <w:sz w:val="24"/>
          <w:szCs w:val="24"/>
        </w:rPr>
        <w:t>.</w:t>
      </w:r>
      <w:r>
        <w:rPr>
          <w:sz w:val="24"/>
          <w:szCs w:val="24"/>
        </w:rPr>
        <w:t xml:space="preserve"> </w:t>
      </w:r>
      <w:r w:rsidR="00F4241F">
        <w:rPr>
          <w:sz w:val="24"/>
          <w:szCs w:val="24"/>
        </w:rPr>
        <w:t>C</w:t>
      </w:r>
      <w:r w:rsidRPr="0050184A">
        <w:rPr>
          <w:sz w:val="24"/>
          <w:szCs w:val="24"/>
        </w:rPr>
        <w:t>apitation revenue compris</w:t>
      </w:r>
      <w:r w:rsidR="00F4241F">
        <w:rPr>
          <w:sz w:val="24"/>
          <w:szCs w:val="24"/>
        </w:rPr>
        <w:t>es</w:t>
      </w:r>
      <w:r>
        <w:rPr>
          <w:sz w:val="24"/>
          <w:szCs w:val="24"/>
        </w:rPr>
        <w:t xml:space="preserve"> ~</w:t>
      </w:r>
      <w:r w:rsidRPr="0050184A">
        <w:rPr>
          <w:sz w:val="24"/>
          <w:szCs w:val="24"/>
        </w:rPr>
        <w:t>75</w:t>
      </w:r>
      <w:r>
        <w:rPr>
          <w:sz w:val="24"/>
          <w:szCs w:val="24"/>
        </w:rPr>
        <w:t>%</w:t>
      </w:r>
      <w:r w:rsidRPr="0050184A">
        <w:rPr>
          <w:sz w:val="24"/>
          <w:szCs w:val="24"/>
        </w:rPr>
        <w:t xml:space="preserve"> of the cumulative total revenue from FY 2022 through FY 2028.</w:t>
      </w:r>
      <w:r>
        <w:rPr>
          <w:sz w:val="24"/>
          <w:szCs w:val="24"/>
        </w:rPr>
        <w:t xml:space="preserve"> </w:t>
      </w:r>
      <w:r w:rsidRPr="00E66FFF">
        <w:rPr>
          <w:sz w:val="24"/>
          <w:szCs w:val="24"/>
        </w:rPr>
        <w:t xml:space="preserve">The revenue projected for the Proposed Project is equal to </w:t>
      </w:r>
      <w:r>
        <w:rPr>
          <w:sz w:val="24"/>
          <w:szCs w:val="24"/>
        </w:rPr>
        <w:t>~</w:t>
      </w:r>
      <w:r w:rsidRPr="00E66FFF">
        <w:rPr>
          <w:sz w:val="24"/>
          <w:szCs w:val="24"/>
        </w:rPr>
        <w:t xml:space="preserve">0.1 </w:t>
      </w:r>
      <w:r>
        <w:rPr>
          <w:sz w:val="24"/>
          <w:szCs w:val="24"/>
        </w:rPr>
        <w:t xml:space="preserve">% </w:t>
      </w:r>
      <w:r w:rsidRPr="00E66FFF">
        <w:rPr>
          <w:sz w:val="24"/>
          <w:szCs w:val="24"/>
        </w:rPr>
        <w:t>of the Applicant’s total revenue and is based upon number of scans and estimated net revenue per scan per year.</w:t>
      </w:r>
      <w:r>
        <w:rPr>
          <w:sz w:val="24"/>
          <w:szCs w:val="24"/>
        </w:rPr>
        <w:t xml:space="preserve"> </w:t>
      </w:r>
      <w:r w:rsidR="00F4241F">
        <w:rPr>
          <w:sz w:val="24"/>
          <w:szCs w:val="24"/>
        </w:rPr>
        <w:t>Projections based on</w:t>
      </w:r>
      <w:r w:rsidR="00F4241F" w:rsidRPr="00F4241F">
        <w:rPr>
          <w:sz w:val="24"/>
          <w:szCs w:val="24"/>
        </w:rPr>
        <w:t xml:space="preserve"> historical operating results and anticipated demographic trends in the Atrius Health service area</w:t>
      </w:r>
      <w:r w:rsidR="00F4241F">
        <w:rPr>
          <w:sz w:val="24"/>
          <w:szCs w:val="24"/>
        </w:rPr>
        <w:t>,</w:t>
      </w:r>
      <w:r w:rsidR="00F4241F" w:rsidRPr="00F4241F">
        <w:rPr>
          <w:sz w:val="24"/>
          <w:szCs w:val="24"/>
        </w:rPr>
        <w:t xml:space="preserve"> </w:t>
      </w:r>
      <w:r w:rsidR="00F4241F">
        <w:rPr>
          <w:sz w:val="24"/>
          <w:szCs w:val="24"/>
        </w:rPr>
        <w:t>show that r</w:t>
      </w:r>
      <w:r w:rsidRPr="00E66FFF">
        <w:rPr>
          <w:sz w:val="24"/>
          <w:szCs w:val="24"/>
        </w:rPr>
        <w:t xml:space="preserve">evenue </w:t>
      </w:r>
      <w:r w:rsidR="00F4241F">
        <w:rPr>
          <w:sz w:val="24"/>
          <w:szCs w:val="24"/>
        </w:rPr>
        <w:t xml:space="preserve">will increase </w:t>
      </w:r>
      <w:r w:rsidRPr="00E66FFF">
        <w:rPr>
          <w:sz w:val="24"/>
          <w:szCs w:val="24"/>
        </w:rPr>
        <w:t xml:space="preserve">from $1.6 million to $2.8 million </w:t>
      </w:r>
      <w:r w:rsidR="00F4241F">
        <w:rPr>
          <w:sz w:val="24"/>
          <w:szCs w:val="24"/>
        </w:rPr>
        <w:t xml:space="preserve">beginning in </w:t>
      </w:r>
      <w:r w:rsidRPr="00E66FFF">
        <w:rPr>
          <w:sz w:val="24"/>
          <w:szCs w:val="24"/>
        </w:rPr>
        <w:t>FY</w:t>
      </w:r>
      <w:r w:rsidR="00F4241F">
        <w:rPr>
          <w:sz w:val="24"/>
          <w:szCs w:val="24"/>
        </w:rPr>
        <w:t xml:space="preserve"> 2024 through FY </w:t>
      </w:r>
      <w:r w:rsidRPr="00E66FFF">
        <w:rPr>
          <w:sz w:val="24"/>
          <w:szCs w:val="24"/>
        </w:rPr>
        <w:t>2028.</w:t>
      </w:r>
      <w:r>
        <w:rPr>
          <w:sz w:val="24"/>
          <w:szCs w:val="24"/>
        </w:rPr>
        <w:t xml:space="preserve"> Since the projections are </w:t>
      </w:r>
      <w:r w:rsidRPr="00BB4C5A">
        <w:rPr>
          <w:sz w:val="24"/>
          <w:szCs w:val="24"/>
        </w:rPr>
        <w:t>within the range of annual revenue growth rates for the Applicant between FY 2019 and FY 2021</w:t>
      </w:r>
      <w:r>
        <w:rPr>
          <w:sz w:val="24"/>
          <w:szCs w:val="24"/>
        </w:rPr>
        <w:t xml:space="preserve"> the CPA concluded that they </w:t>
      </w:r>
      <w:r w:rsidRPr="00ED65DB">
        <w:rPr>
          <w:sz w:val="24"/>
          <w:szCs w:val="24"/>
        </w:rPr>
        <w:t>reflect a reasonable estimation of future revenue of Atrius Health.</w:t>
      </w:r>
    </w:p>
    <w:p w14:paraId="7DB5EA93" w14:textId="77777777" w:rsidR="00E27548" w:rsidRPr="004A32DC" w:rsidRDefault="00E27548" w:rsidP="00B87018">
      <w:pPr>
        <w:spacing w:line="240" w:lineRule="auto"/>
        <w:rPr>
          <w:b/>
          <w:bCs/>
          <w:sz w:val="24"/>
          <w:szCs w:val="24"/>
        </w:rPr>
      </w:pPr>
      <w:r w:rsidRPr="004A32DC">
        <w:rPr>
          <w:b/>
          <w:bCs/>
          <w:sz w:val="24"/>
          <w:szCs w:val="24"/>
        </w:rPr>
        <w:t>Operating Expenses</w:t>
      </w:r>
    </w:p>
    <w:p w14:paraId="46F4F586" w14:textId="77777777" w:rsidR="00E27548" w:rsidRPr="004A32DC" w:rsidRDefault="00E27548" w:rsidP="00B87018">
      <w:pPr>
        <w:spacing w:line="240" w:lineRule="auto"/>
        <w:rPr>
          <w:sz w:val="24"/>
          <w:szCs w:val="24"/>
        </w:rPr>
      </w:pPr>
      <w:r>
        <w:rPr>
          <w:sz w:val="24"/>
          <w:szCs w:val="24"/>
        </w:rPr>
        <w:t xml:space="preserve">The CPA </w:t>
      </w:r>
      <w:r w:rsidRPr="004A32DC">
        <w:rPr>
          <w:sz w:val="24"/>
          <w:szCs w:val="24"/>
        </w:rPr>
        <w:t>analyzed each categor</w:t>
      </w:r>
      <w:r>
        <w:rPr>
          <w:sz w:val="24"/>
          <w:szCs w:val="24"/>
        </w:rPr>
        <w:t>y of</w:t>
      </w:r>
      <w:r w:rsidRPr="004A32DC">
        <w:rPr>
          <w:sz w:val="24"/>
          <w:szCs w:val="24"/>
        </w:rPr>
        <w:t xml:space="preserve"> operating expenses for reasonableness and feasibility related to the Projections. </w:t>
      </w:r>
      <w:r w:rsidRPr="004A32DC">
        <w:rPr>
          <w:i/>
          <w:iCs/>
          <w:sz w:val="24"/>
          <w:szCs w:val="24"/>
        </w:rPr>
        <w:t>Leakage</w:t>
      </w:r>
      <w:r w:rsidRPr="004A32DC">
        <w:rPr>
          <w:sz w:val="24"/>
          <w:szCs w:val="24"/>
        </w:rPr>
        <w:t xml:space="preserve"> and </w:t>
      </w:r>
      <w:r w:rsidRPr="004A32DC">
        <w:rPr>
          <w:i/>
          <w:iCs/>
          <w:sz w:val="24"/>
          <w:szCs w:val="24"/>
        </w:rPr>
        <w:t>Salary and Benefits</w:t>
      </w:r>
      <w:r w:rsidRPr="004A32DC">
        <w:rPr>
          <w:sz w:val="24"/>
          <w:szCs w:val="24"/>
        </w:rPr>
        <w:t xml:space="preserve"> account for </w:t>
      </w:r>
      <w:r>
        <w:rPr>
          <w:sz w:val="24"/>
          <w:szCs w:val="24"/>
        </w:rPr>
        <w:t>~</w:t>
      </w:r>
      <w:r w:rsidRPr="004A32DC">
        <w:rPr>
          <w:sz w:val="24"/>
          <w:szCs w:val="24"/>
        </w:rPr>
        <w:t>57.0</w:t>
      </w:r>
      <w:r>
        <w:rPr>
          <w:sz w:val="24"/>
          <w:szCs w:val="24"/>
        </w:rPr>
        <w:t>%</w:t>
      </w:r>
      <w:r w:rsidRPr="004A32DC">
        <w:rPr>
          <w:sz w:val="24"/>
          <w:szCs w:val="24"/>
        </w:rPr>
        <w:t xml:space="preserve"> and 27.0</w:t>
      </w:r>
      <w:r>
        <w:rPr>
          <w:sz w:val="24"/>
          <w:szCs w:val="24"/>
        </w:rPr>
        <w:t>%</w:t>
      </w:r>
      <w:r w:rsidRPr="004A32DC">
        <w:rPr>
          <w:sz w:val="24"/>
          <w:szCs w:val="24"/>
        </w:rPr>
        <w:t xml:space="preserve"> of total operating expenses, respectively.</w:t>
      </w:r>
    </w:p>
    <w:p w14:paraId="3E7BF3B7" w14:textId="77777777" w:rsidR="00E27548" w:rsidRPr="004A32DC" w:rsidRDefault="00E27548" w:rsidP="00B87018">
      <w:pPr>
        <w:spacing w:line="240" w:lineRule="auto"/>
        <w:rPr>
          <w:sz w:val="24"/>
          <w:szCs w:val="24"/>
        </w:rPr>
      </w:pPr>
      <w:r w:rsidRPr="004A32DC">
        <w:rPr>
          <w:sz w:val="24"/>
          <w:szCs w:val="24"/>
        </w:rPr>
        <w:t>After FY 2023, the weighted average change in the leakage rate is equal to 1.9 percent annually. This falls within the historical rate of change in the blended leakage rate of -0.8 percent to 12.5 percent from FY 2019 to FY 2021.</w:t>
      </w:r>
    </w:p>
    <w:p w14:paraId="34418BBF" w14:textId="77777777" w:rsidR="00E27548" w:rsidRPr="004A32DC" w:rsidRDefault="00E27548" w:rsidP="00B87018">
      <w:pPr>
        <w:spacing w:line="240" w:lineRule="auto"/>
        <w:rPr>
          <w:sz w:val="24"/>
          <w:szCs w:val="24"/>
        </w:rPr>
      </w:pPr>
      <w:r w:rsidRPr="004A32DC">
        <w:rPr>
          <w:i/>
          <w:iCs/>
          <w:sz w:val="24"/>
          <w:szCs w:val="24"/>
        </w:rPr>
        <w:t>Salary</w:t>
      </w:r>
      <w:r w:rsidRPr="004A32DC">
        <w:rPr>
          <w:sz w:val="24"/>
          <w:szCs w:val="24"/>
        </w:rPr>
        <w:t xml:space="preserve"> was projected based on estimated full time equivalent (“FTE”) per department and salary per FTE. </w:t>
      </w:r>
      <w:r>
        <w:rPr>
          <w:sz w:val="24"/>
          <w:szCs w:val="24"/>
        </w:rPr>
        <w:t>O</w:t>
      </w:r>
      <w:r w:rsidRPr="004A32DC">
        <w:rPr>
          <w:sz w:val="24"/>
          <w:szCs w:val="24"/>
        </w:rPr>
        <w:t>verall salary and benefits expense are projected to increase annually between 2.2</w:t>
      </w:r>
      <w:r>
        <w:rPr>
          <w:sz w:val="24"/>
          <w:szCs w:val="24"/>
        </w:rPr>
        <w:t xml:space="preserve">% </w:t>
      </w:r>
      <w:r w:rsidRPr="004A32DC">
        <w:rPr>
          <w:sz w:val="24"/>
          <w:szCs w:val="24"/>
        </w:rPr>
        <w:t>and 8.0</w:t>
      </w:r>
      <w:r>
        <w:rPr>
          <w:sz w:val="24"/>
          <w:szCs w:val="24"/>
        </w:rPr>
        <w:t>%</w:t>
      </w:r>
      <w:r w:rsidRPr="004A32DC">
        <w:rPr>
          <w:sz w:val="24"/>
          <w:szCs w:val="24"/>
        </w:rPr>
        <w:t xml:space="preserve"> the Projections, which falls within or exceeds the historical rate of increases in salary and benefits ranging from -7.7</w:t>
      </w:r>
      <w:r>
        <w:rPr>
          <w:sz w:val="24"/>
          <w:szCs w:val="24"/>
        </w:rPr>
        <w:t>%</w:t>
      </w:r>
      <w:r w:rsidRPr="004A32DC">
        <w:rPr>
          <w:sz w:val="24"/>
          <w:szCs w:val="24"/>
        </w:rPr>
        <w:t xml:space="preserve"> to 3.3</w:t>
      </w:r>
      <w:r>
        <w:rPr>
          <w:sz w:val="24"/>
          <w:szCs w:val="24"/>
        </w:rPr>
        <w:t>%</w:t>
      </w:r>
      <w:r w:rsidRPr="004A32DC">
        <w:rPr>
          <w:sz w:val="24"/>
          <w:szCs w:val="24"/>
        </w:rPr>
        <w:t>.</w:t>
      </w:r>
    </w:p>
    <w:p w14:paraId="41095C8E" w14:textId="77777777" w:rsidR="00E27548" w:rsidRPr="004A32DC" w:rsidRDefault="00E27548" w:rsidP="00B87018">
      <w:pPr>
        <w:spacing w:line="240" w:lineRule="auto"/>
        <w:rPr>
          <w:sz w:val="24"/>
          <w:szCs w:val="24"/>
        </w:rPr>
      </w:pPr>
      <w:r>
        <w:rPr>
          <w:sz w:val="24"/>
          <w:szCs w:val="24"/>
        </w:rPr>
        <w:t>Since t</w:t>
      </w:r>
      <w:r w:rsidRPr="004A32DC">
        <w:rPr>
          <w:sz w:val="24"/>
          <w:szCs w:val="24"/>
        </w:rPr>
        <w:t>he projected increases in total operating expenses are within range of annual expense growth rates between FY 2019 and FY 2021</w:t>
      </w:r>
      <w:r>
        <w:rPr>
          <w:sz w:val="24"/>
          <w:szCs w:val="24"/>
        </w:rPr>
        <w:t>, it is the CPA’s</w:t>
      </w:r>
      <w:r w:rsidRPr="004A32DC">
        <w:rPr>
          <w:sz w:val="24"/>
          <w:szCs w:val="24"/>
        </w:rPr>
        <w:t xml:space="preserve"> opinion that the operating expenses reflect reasonable estimation of future expenses of the Applicant</w:t>
      </w:r>
      <w:r>
        <w:rPr>
          <w:sz w:val="24"/>
          <w:szCs w:val="24"/>
        </w:rPr>
        <w:t xml:space="preserve">. The CPA further </w:t>
      </w:r>
      <w:r w:rsidRPr="004A32DC">
        <w:rPr>
          <w:sz w:val="24"/>
          <w:szCs w:val="24"/>
        </w:rPr>
        <w:t>note</w:t>
      </w:r>
      <w:r>
        <w:rPr>
          <w:sz w:val="24"/>
          <w:szCs w:val="24"/>
        </w:rPr>
        <w:t>s</w:t>
      </w:r>
      <w:r w:rsidRPr="004A32DC">
        <w:rPr>
          <w:sz w:val="24"/>
          <w:szCs w:val="24"/>
        </w:rPr>
        <w:t xml:space="preserve"> that the projected total expenses as a percentage of total revenue range from 96.9</w:t>
      </w:r>
      <w:r>
        <w:rPr>
          <w:sz w:val="24"/>
          <w:szCs w:val="24"/>
        </w:rPr>
        <w:t xml:space="preserve">% </w:t>
      </w:r>
      <w:r w:rsidRPr="004A32DC">
        <w:rPr>
          <w:sz w:val="24"/>
          <w:szCs w:val="24"/>
        </w:rPr>
        <w:t>to 102.4</w:t>
      </w:r>
      <w:r>
        <w:rPr>
          <w:sz w:val="24"/>
          <w:szCs w:val="24"/>
        </w:rPr>
        <w:t>%.</w:t>
      </w:r>
    </w:p>
    <w:p w14:paraId="46205666" w14:textId="77777777" w:rsidR="00346A32" w:rsidRPr="00346A32" w:rsidRDefault="00346A32" w:rsidP="00B87018">
      <w:pPr>
        <w:spacing w:line="240" w:lineRule="auto"/>
        <w:rPr>
          <w:b/>
          <w:bCs/>
          <w:sz w:val="24"/>
          <w:szCs w:val="24"/>
        </w:rPr>
      </w:pPr>
      <w:r w:rsidRPr="00346A32">
        <w:rPr>
          <w:b/>
          <w:bCs/>
          <w:sz w:val="24"/>
          <w:szCs w:val="24"/>
        </w:rPr>
        <w:t>Capital Expenditures and Proposed Project Financing</w:t>
      </w:r>
    </w:p>
    <w:p w14:paraId="619F62C4" w14:textId="277713EC" w:rsidR="00346A32" w:rsidRPr="00346A32" w:rsidRDefault="00346A32" w:rsidP="00B87018">
      <w:pPr>
        <w:spacing w:line="240" w:lineRule="auto"/>
        <w:rPr>
          <w:sz w:val="24"/>
          <w:szCs w:val="24"/>
        </w:rPr>
      </w:pPr>
      <w:r w:rsidRPr="00346A32">
        <w:rPr>
          <w:sz w:val="24"/>
          <w:szCs w:val="24"/>
        </w:rPr>
        <w:t>The CPA reviewed the capital expenditures and financing projected related to the Proposed Project. The capital costs related to the Proposed Project are projected to be ~$978,000 and include the build out cost for the MRI and for the CT unit</w:t>
      </w:r>
      <w:r w:rsidR="00332955">
        <w:rPr>
          <w:sz w:val="24"/>
          <w:szCs w:val="24"/>
        </w:rPr>
        <w:t>s and are</w:t>
      </w:r>
      <w:r w:rsidRPr="00346A32">
        <w:rPr>
          <w:sz w:val="24"/>
          <w:szCs w:val="24"/>
        </w:rPr>
        <w:t xml:space="preserve"> based upon prior experience, developed sketches and a quote from the CT equipment vendor.</w:t>
      </w:r>
    </w:p>
    <w:p w14:paraId="3A9CDFA1" w14:textId="7A4F8F65" w:rsidR="00346A32" w:rsidRPr="00346A32" w:rsidRDefault="00346A32" w:rsidP="00B87018">
      <w:pPr>
        <w:spacing w:line="240" w:lineRule="auto"/>
        <w:rPr>
          <w:sz w:val="24"/>
          <w:szCs w:val="24"/>
        </w:rPr>
      </w:pPr>
      <w:r w:rsidRPr="00346A32">
        <w:rPr>
          <w:sz w:val="24"/>
          <w:szCs w:val="24"/>
        </w:rPr>
        <w:t xml:space="preserve">Funding of the project will be through capital/cash on hand. The Applicant has an unrestricted cash and investments balance exceeding $340 million throughout the projection period. As such, the Applicant </w:t>
      </w:r>
      <w:r w:rsidR="00332955">
        <w:rPr>
          <w:sz w:val="24"/>
          <w:szCs w:val="24"/>
        </w:rPr>
        <w:t>appears to have</w:t>
      </w:r>
      <w:r w:rsidRPr="00346A32">
        <w:rPr>
          <w:sz w:val="24"/>
          <w:szCs w:val="24"/>
        </w:rPr>
        <w:t xml:space="preserve"> sufficient capital to fund the Proposed Project without requiring debt financing.</w:t>
      </w:r>
    </w:p>
    <w:p w14:paraId="28C823F7" w14:textId="316B7D32" w:rsidR="008D5E0C" w:rsidRPr="008D5E0C" w:rsidRDefault="00346A32" w:rsidP="00B87018">
      <w:pPr>
        <w:spacing w:line="240" w:lineRule="auto"/>
        <w:rPr>
          <w:i/>
          <w:iCs/>
          <w:sz w:val="24"/>
          <w:szCs w:val="24"/>
        </w:rPr>
      </w:pPr>
      <w:r>
        <w:rPr>
          <w:sz w:val="24"/>
          <w:szCs w:val="24"/>
        </w:rPr>
        <w:t>CPA concluded that “</w:t>
      </w:r>
      <w:r w:rsidR="008D5E0C" w:rsidRPr="008D5E0C">
        <w:rPr>
          <w:i/>
          <w:iCs/>
          <w:sz w:val="24"/>
          <w:szCs w:val="24"/>
        </w:rPr>
        <w:t>The Projections exhibit a cumulative operating EBITDA</w:t>
      </w:r>
      <w:r w:rsidR="008D5E0C" w:rsidRPr="008D5E0C">
        <w:rPr>
          <w:i/>
          <w:iCs/>
          <w:sz w:val="24"/>
          <w:szCs w:val="24"/>
          <w:vertAlign w:val="superscript"/>
        </w:rPr>
        <w:footnoteReference w:id="20"/>
      </w:r>
      <w:r w:rsidR="008D5E0C" w:rsidRPr="008D5E0C">
        <w:rPr>
          <w:i/>
          <w:iCs/>
          <w:sz w:val="24"/>
          <w:szCs w:val="24"/>
        </w:rPr>
        <w:t xml:space="preserve"> surplus of approximately 1.9</w:t>
      </w:r>
      <w:r w:rsidR="00332955">
        <w:rPr>
          <w:i/>
          <w:iCs/>
          <w:sz w:val="24"/>
          <w:szCs w:val="24"/>
        </w:rPr>
        <w:t>%</w:t>
      </w:r>
      <w:r w:rsidR="008D5E0C" w:rsidRPr="008D5E0C">
        <w:rPr>
          <w:i/>
          <w:iCs/>
          <w:sz w:val="24"/>
          <w:szCs w:val="24"/>
        </w:rPr>
        <w:t xml:space="preserve"> of cumulative projected revenue of Atrius Health for the seven years from fiscal year (“FY”) 2022 through 2028. Based upon our review of the relevant documents and analysis of the Projections, we determined the anticipated operating EBITDA surplus is a reasonable </w:t>
      </w:r>
      <w:r w:rsidR="008D5E0C" w:rsidRPr="008D5E0C">
        <w:rPr>
          <w:i/>
          <w:iCs/>
          <w:sz w:val="24"/>
          <w:szCs w:val="24"/>
        </w:rPr>
        <w:lastRenderedPageBreak/>
        <w:t>expectation and based upon feasible financial assumptions. Accordingly, we determined that the Projections are reasonable and feasible, and not likely to have a negative impact on the Applicant’s patient panel or result in a liquidation of Atrius Health’s assets.</w:t>
      </w:r>
      <w:r>
        <w:rPr>
          <w:i/>
          <w:iCs/>
          <w:sz w:val="24"/>
          <w:szCs w:val="24"/>
        </w:rPr>
        <w:t>”</w:t>
      </w:r>
    </w:p>
    <w:p w14:paraId="447BF411" w14:textId="77777777" w:rsidR="008D5E0C" w:rsidRDefault="008D5E0C" w:rsidP="00B87018">
      <w:pPr>
        <w:spacing w:after="0" w:line="240" w:lineRule="auto"/>
        <w:rPr>
          <w:b/>
          <w:bCs/>
          <w:i/>
          <w:iCs/>
          <w:sz w:val="24"/>
          <w:szCs w:val="24"/>
        </w:rPr>
      </w:pPr>
    </w:p>
    <w:p w14:paraId="11B4E354" w14:textId="4ABA6019" w:rsidR="003E1CDA" w:rsidRDefault="003E1CDA" w:rsidP="00B87018">
      <w:pPr>
        <w:spacing w:after="0" w:line="240" w:lineRule="auto"/>
        <w:rPr>
          <w:b/>
          <w:bCs/>
          <w:i/>
          <w:iCs/>
          <w:sz w:val="24"/>
          <w:szCs w:val="24"/>
        </w:rPr>
      </w:pPr>
      <w:r w:rsidRPr="003E1CDA">
        <w:rPr>
          <w:b/>
          <w:bCs/>
          <w:i/>
          <w:iCs/>
          <w:sz w:val="24"/>
          <w:szCs w:val="24"/>
        </w:rPr>
        <w:t xml:space="preserve">Analysis </w:t>
      </w:r>
    </w:p>
    <w:p w14:paraId="6B057612" w14:textId="77777777" w:rsidR="00514E50" w:rsidRPr="003E1CDA" w:rsidRDefault="00514E50" w:rsidP="00B87018">
      <w:pPr>
        <w:spacing w:after="0" w:line="240" w:lineRule="auto"/>
        <w:rPr>
          <w:b/>
          <w:bCs/>
          <w:i/>
          <w:iCs/>
          <w:sz w:val="24"/>
          <w:szCs w:val="24"/>
        </w:rPr>
      </w:pPr>
    </w:p>
    <w:p w14:paraId="6381C6AF" w14:textId="14EB3273" w:rsidR="003E1CDA" w:rsidRPr="003E1CDA" w:rsidRDefault="003E1CDA" w:rsidP="00B87018">
      <w:pPr>
        <w:spacing w:after="0" w:line="240" w:lineRule="auto"/>
        <w:rPr>
          <w:sz w:val="24"/>
          <w:szCs w:val="24"/>
        </w:rPr>
      </w:pPr>
      <w:r w:rsidRPr="003E1CDA">
        <w:rPr>
          <w:sz w:val="24"/>
          <w:szCs w:val="24"/>
        </w:rPr>
        <w:t xml:space="preserve">Staff </w:t>
      </w:r>
      <w:r w:rsidR="00602685">
        <w:rPr>
          <w:sz w:val="24"/>
          <w:szCs w:val="24"/>
        </w:rPr>
        <w:t>has determined</w:t>
      </w:r>
      <w:r w:rsidR="007F3C3D">
        <w:rPr>
          <w:sz w:val="24"/>
          <w:szCs w:val="24"/>
        </w:rPr>
        <w:t xml:space="preserve"> that the </w:t>
      </w:r>
      <w:r w:rsidR="00F50F3A">
        <w:rPr>
          <w:sz w:val="24"/>
          <w:szCs w:val="24"/>
        </w:rPr>
        <w:t>Applicant</w:t>
      </w:r>
      <w:r w:rsidR="007F3C3D">
        <w:rPr>
          <w:sz w:val="24"/>
          <w:szCs w:val="24"/>
        </w:rPr>
        <w:t xml:space="preserve"> has provided sufficient documentation of the availability of sufficient funds for capital and ongoing operating costs necessary to support t</w:t>
      </w:r>
      <w:r w:rsidR="00F50F3A">
        <w:rPr>
          <w:sz w:val="24"/>
          <w:szCs w:val="24"/>
        </w:rPr>
        <w:t>h</w:t>
      </w:r>
      <w:r w:rsidR="007F3C3D">
        <w:rPr>
          <w:sz w:val="24"/>
          <w:szCs w:val="24"/>
        </w:rPr>
        <w:t xml:space="preserve">e Proposed Project without negative impacts or consequences to the </w:t>
      </w:r>
      <w:r w:rsidR="0012327E">
        <w:rPr>
          <w:sz w:val="24"/>
          <w:szCs w:val="24"/>
        </w:rPr>
        <w:t>Applicant’s</w:t>
      </w:r>
      <w:r w:rsidR="007F3C3D">
        <w:rPr>
          <w:sz w:val="24"/>
          <w:szCs w:val="24"/>
        </w:rPr>
        <w:t xml:space="preserve"> Patient Panel</w:t>
      </w:r>
      <w:r w:rsidR="00F50F3A">
        <w:rPr>
          <w:sz w:val="24"/>
          <w:szCs w:val="24"/>
        </w:rPr>
        <w:t>, based on the</w:t>
      </w:r>
      <w:r w:rsidRPr="003E1CDA">
        <w:rPr>
          <w:sz w:val="24"/>
          <w:szCs w:val="24"/>
        </w:rPr>
        <w:t xml:space="preserve"> CPA’s analysis</w:t>
      </w:r>
      <w:r w:rsidR="00F50F3A">
        <w:rPr>
          <w:sz w:val="24"/>
          <w:szCs w:val="24"/>
        </w:rPr>
        <w:t xml:space="preserve">, and as a result, </w:t>
      </w:r>
      <w:r w:rsidRPr="003E1CDA">
        <w:rPr>
          <w:sz w:val="24"/>
          <w:szCs w:val="24"/>
        </w:rPr>
        <w:t>Staff finds that the Applicant has met the requirements of Factor 4.</w:t>
      </w:r>
    </w:p>
    <w:p w14:paraId="5ED2CFD6" w14:textId="2F3B6283" w:rsidR="003E1CDA" w:rsidRPr="003E1CDA" w:rsidRDefault="003E1CDA" w:rsidP="0024289A">
      <w:pPr>
        <w:pStyle w:val="Heading1"/>
      </w:pPr>
      <w:bookmarkStart w:id="36" w:name="_Toc131063599"/>
      <w:r w:rsidRPr="003E1CDA">
        <w:t>Factor 5: Assessment of the Proposed Project’s Relative Merit</w:t>
      </w:r>
      <w:bookmarkEnd w:id="36"/>
      <w:r w:rsidRPr="003E1CDA">
        <w:t xml:space="preserve"> </w:t>
      </w:r>
    </w:p>
    <w:p w14:paraId="4B2D0853" w14:textId="14D2E80A" w:rsidR="00F67C18" w:rsidRPr="003E1CDA" w:rsidRDefault="003E1CDA" w:rsidP="00B87018">
      <w:pPr>
        <w:spacing w:before="240" w:line="240" w:lineRule="auto"/>
        <w:rPr>
          <w:sz w:val="24"/>
          <w:szCs w:val="24"/>
        </w:rPr>
      </w:pPr>
      <w:r w:rsidRPr="003E1CDA">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3EE5ED27" w14:textId="77777777" w:rsidR="00600415" w:rsidRPr="00600415" w:rsidRDefault="00600415" w:rsidP="00332955">
      <w:pPr>
        <w:spacing w:line="240" w:lineRule="auto"/>
        <w:rPr>
          <w:sz w:val="24"/>
          <w:szCs w:val="24"/>
        </w:rPr>
      </w:pPr>
      <w:r w:rsidRPr="00600415">
        <w:rPr>
          <w:sz w:val="24"/>
          <w:szCs w:val="24"/>
        </w:rPr>
        <w:t>The Applicant reports that it evaluated and rejected two alternatives to the proposed project:</w:t>
      </w:r>
    </w:p>
    <w:p w14:paraId="15C7D7E6" w14:textId="09884DD4" w:rsidR="00600415" w:rsidRPr="00600415" w:rsidRDefault="00600415" w:rsidP="00332955">
      <w:pPr>
        <w:numPr>
          <w:ilvl w:val="0"/>
          <w:numId w:val="22"/>
        </w:numPr>
        <w:spacing w:line="240" w:lineRule="auto"/>
        <w:rPr>
          <w:sz w:val="24"/>
          <w:szCs w:val="24"/>
        </w:rPr>
      </w:pPr>
      <w:r w:rsidRPr="00600415">
        <w:rPr>
          <w:sz w:val="24"/>
          <w:szCs w:val="24"/>
        </w:rPr>
        <w:t xml:space="preserve">To Maintain status quo- to continue to utilize external providers for CT and MRI imaging and to not acquire CT or expand days of mobile MRI to extend MRI services to the Plymouth </w:t>
      </w:r>
      <w:r w:rsidR="003B0CE8">
        <w:rPr>
          <w:sz w:val="24"/>
          <w:szCs w:val="24"/>
        </w:rPr>
        <w:t>Clinic</w:t>
      </w:r>
      <w:r w:rsidRPr="00600415">
        <w:rPr>
          <w:sz w:val="24"/>
          <w:szCs w:val="24"/>
        </w:rPr>
        <w:t xml:space="preserve">. </w:t>
      </w:r>
    </w:p>
    <w:p w14:paraId="2EB24728" w14:textId="77777777" w:rsidR="00600415" w:rsidRPr="00600415" w:rsidRDefault="00600415" w:rsidP="00332955">
      <w:pPr>
        <w:numPr>
          <w:ilvl w:val="0"/>
          <w:numId w:val="22"/>
        </w:numPr>
        <w:spacing w:line="240" w:lineRule="auto"/>
        <w:rPr>
          <w:sz w:val="24"/>
          <w:szCs w:val="24"/>
        </w:rPr>
      </w:pPr>
      <w:r w:rsidRPr="00600415">
        <w:rPr>
          <w:sz w:val="24"/>
          <w:szCs w:val="24"/>
        </w:rPr>
        <w:t>To install both fixed CT and a fixed MRI units.</w:t>
      </w:r>
    </w:p>
    <w:p w14:paraId="7B99A583" w14:textId="5752C292" w:rsidR="00600415" w:rsidRPr="008A6F6B" w:rsidRDefault="008A6F6B" w:rsidP="00B87018">
      <w:pPr>
        <w:spacing w:line="240" w:lineRule="auto"/>
        <w:rPr>
          <w:sz w:val="24"/>
          <w:szCs w:val="24"/>
        </w:rPr>
      </w:pPr>
      <w:r>
        <w:rPr>
          <w:sz w:val="24"/>
          <w:szCs w:val="24"/>
        </w:rPr>
        <w:t xml:space="preserve">1. </w:t>
      </w:r>
      <w:r w:rsidR="00600415" w:rsidRPr="008A6F6B">
        <w:rPr>
          <w:sz w:val="24"/>
          <w:szCs w:val="24"/>
        </w:rPr>
        <w:t xml:space="preserve">Maintaining the current situation </w:t>
      </w:r>
      <w:r w:rsidR="007F6584">
        <w:rPr>
          <w:sz w:val="24"/>
          <w:szCs w:val="24"/>
        </w:rPr>
        <w:t>does not address</w:t>
      </w:r>
      <w:r w:rsidR="00600415" w:rsidRPr="008A6F6B">
        <w:rPr>
          <w:sz w:val="24"/>
          <w:szCs w:val="24"/>
        </w:rPr>
        <w:t xml:space="preserve"> the efficiency, quality and cost needs described throughout the Application and this staff report.</w:t>
      </w:r>
      <w:r w:rsidR="00222331" w:rsidRPr="008A6F6B">
        <w:rPr>
          <w:sz w:val="24"/>
          <w:szCs w:val="24"/>
        </w:rPr>
        <w:t xml:space="preserve"> </w:t>
      </w:r>
      <w:r w:rsidR="00600415" w:rsidRPr="008A6F6B">
        <w:rPr>
          <w:sz w:val="24"/>
          <w:szCs w:val="24"/>
        </w:rPr>
        <w:t xml:space="preserve">The benefits of operational and cost controls that the Proposed Project affords would not be achieved- there would be no same day service, less coordination of care and increased operating costs from patients leaving the Atrius Health system of care where image and service quality are dependent on outside factors over which Atrius Health has no control and limited ability to monitor. </w:t>
      </w:r>
    </w:p>
    <w:p w14:paraId="506F8CCC" w14:textId="6451E418" w:rsidR="00600415" w:rsidRPr="00600415" w:rsidRDefault="008A6F6B" w:rsidP="00B87018">
      <w:pPr>
        <w:spacing w:line="240" w:lineRule="auto"/>
        <w:rPr>
          <w:sz w:val="24"/>
          <w:szCs w:val="24"/>
        </w:rPr>
      </w:pPr>
      <w:r>
        <w:rPr>
          <w:sz w:val="24"/>
          <w:szCs w:val="24"/>
        </w:rPr>
        <w:t xml:space="preserve">2. </w:t>
      </w:r>
      <w:r w:rsidR="00600415">
        <w:rPr>
          <w:sz w:val="24"/>
          <w:szCs w:val="24"/>
        </w:rPr>
        <w:t>T</w:t>
      </w:r>
      <w:r w:rsidR="00600415" w:rsidRPr="00600415">
        <w:rPr>
          <w:sz w:val="24"/>
          <w:szCs w:val="24"/>
        </w:rPr>
        <w:t>o install both a fixed CT scanner and a fixed MRI scanner.</w:t>
      </w:r>
    </w:p>
    <w:p w14:paraId="627951D6" w14:textId="4F62B39C" w:rsidR="00600415" w:rsidRPr="00600415" w:rsidRDefault="00600415" w:rsidP="00B87018">
      <w:pPr>
        <w:spacing w:line="240" w:lineRule="auto"/>
        <w:rPr>
          <w:sz w:val="24"/>
          <w:szCs w:val="24"/>
        </w:rPr>
      </w:pPr>
      <w:r w:rsidRPr="00600415">
        <w:rPr>
          <w:sz w:val="24"/>
          <w:szCs w:val="24"/>
        </w:rPr>
        <w:t xml:space="preserve">While the level of quality and efficiency for alternative 2 is the same as the Proposed Project, capital costs would be greater because this option would include the acquisition of an MRI </w:t>
      </w:r>
      <w:r w:rsidR="00332955">
        <w:rPr>
          <w:sz w:val="24"/>
          <w:szCs w:val="24"/>
        </w:rPr>
        <w:t xml:space="preserve">with </w:t>
      </w:r>
      <w:r w:rsidR="00332955" w:rsidRPr="00600415">
        <w:rPr>
          <w:sz w:val="24"/>
          <w:szCs w:val="24"/>
        </w:rPr>
        <w:t>construction</w:t>
      </w:r>
      <w:r w:rsidRPr="00600415">
        <w:rPr>
          <w:sz w:val="24"/>
          <w:szCs w:val="24"/>
        </w:rPr>
        <w:t xml:space="preserve"> to house the fixed unit. Because Atrius Health has two days per week of service available on an existing MRI that is currently leased on a monthly basis, there is no additional capital expense for the unit other than construction of a vestibule. </w:t>
      </w:r>
    </w:p>
    <w:p w14:paraId="634575E0" w14:textId="77777777" w:rsidR="00600415" w:rsidRPr="00600415" w:rsidRDefault="00600415" w:rsidP="00B87018">
      <w:pPr>
        <w:spacing w:line="240" w:lineRule="auto"/>
        <w:rPr>
          <w:b/>
          <w:bCs/>
          <w:i/>
          <w:iCs/>
          <w:sz w:val="24"/>
          <w:szCs w:val="24"/>
        </w:rPr>
      </w:pPr>
      <w:r w:rsidRPr="00600415">
        <w:rPr>
          <w:b/>
          <w:bCs/>
          <w:i/>
          <w:iCs/>
          <w:sz w:val="24"/>
          <w:szCs w:val="24"/>
        </w:rPr>
        <w:t>Analysis</w:t>
      </w:r>
    </w:p>
    <w:p w14:paraId="70712002" w14:textId="25D9DC7E" w:rsidR="00600415" w:rsidRDefault="00600415" w:rsidP="00B87018">
      <w:pPr>
        <w:spacing w:line="240" w:lineRule="auto"/>
        <w:rPr>
          <w:sz w:val="24"/>
          <w:szCs w:val="24"/>
        </w:rPr>
      </w:pPr>
      <w:r w:rsidRPr="00600415">
        <w:rPr>
          <w:sz w:val="24"/>
          <w:szCs w:val="24"/>
        </w:rPr>
        <w:t>The Proposed Project was chosen as the best alternative to meet the needs of the Plymouth</w:t>
      </w:r>
      <w:r w:rsidR="007F3216">
        <w:rPr>
          <w:sz w:val="24"/>
          <w:szCs w:val="24"/>
        </w:rPr>
        <w:t xml:space="preserve"> </w:t>
      </w:r>
      <w:r w:rsidR="003B0CE8">
        <w:rPr>
          <w:sz w:val="24"/>
          <w:szCs w:val="24"/>
        </w:rPr>
        <w:t xml:space="preserve">Clinic </w:t>
      </w:r>
      <w:r w:rsidR="007F3216">
        <w:rPr>
          <w:sz w:val="24"/>
          <w:szCs w:val="24"/>
        </w:rPr>
        <w:t>patients</w:t>
      </w:r>
      <w:r w:rsidRPr="00600415">
        <w:rPr>
          <w:sz w:val="24"/>
          <w:szCs w:val="24"/>
        </w:rPr>
        <w:t xml:space="preserve">. </w:t>
      </w:r>
      <w:r w:rsidR="008A6F6B">
        <w:rPr>
          <w:sz w:val="24"/>
          <w:szCs w:val="24"/>
        </w:rPr>
        <w:t>Throughout the Application, Atrius Health made a case that q</w:t>
      </w:r>
      <w:r w:rsidRPr="00600415">
        <w:rPr>
          <w:sz w:val="24"/>
          <w:szCs w:val="24"/>
        </w:rPr>
        <w:t xml:space="preserve">uality and efficiency of care </w:t>
      </w:r>
      <w:r w:rsidRPr="00600415">
        <w:rPr>
          <w:sz w:val="24"/>
          <w:szCs w:val="24"/>
        </w:rPr>
        <w:lastRenderedPageBreak/>
        <w:t xml:space="preserve">will be improved, and capital expense and operating costs will be kept to a minimum </w:t>
      </w:r>
      <w:r w:rsidR="008A6F6B">
        <w:rPr>
          <w:sz w:val="24"/>
          <w:szCs w:val="24"/>
        </w:rPr>
        <w:t xml:space="preserve">with </w:t>
      </w:r>
      <w:r w:rsidRPr="00600415">
        <w:rPr>
          <w:sz w:val="24"/>
          <w:szCs w:val="24"/>
        </w:rPr>
        <w:t xml:space="preserve">the Proposed Project; it is also the least costly alternative. The expected cost of the CT scanner is $561,120 which is less than the cost of a CT unit in an acute care setting. The estimated capital cost to construct the space for the CT scanner is $266,500. </w:t>
      </w:r>
      <w:r w:rsidR="00332955">
        <w:rPr>
          <w:sz w:val="24"/>
          <w:szCs w:val="24"/>
        </w:rPr>
        <w:t>S</w:t>
      </w:r>
      <w:r w:rsidR="008A6F6B">
        <w:rPr>
          <w:sz w:val="24"/>
          <w:szCs w:val="24"/>
        </w:rPr>
        <w:t xml:space="preserve">ince </w:t>
      </w:r>
      <w:r w:rsidRPr="00600415">
        <w:rPr>
          <w:sz w:val="24"/>
          <w:szCs w:val="24"/>
        </w:rPr>
        <w:t xml:space="preserve">Atrius Health currently leases a mobile MRI on a monthly basis that is only utilized five days per week, there is no capital equipment cost, only an estimated cost of $111,500 to construct the MRI vestibule. The additional two days/week operating costs includes the costs of relocating the MRI unit, clinical staff to operate the scanner, and minor supply costs. </w:t>
      </w:r>
    </w:p>
    <w:p w14:paraId="634995B1" w14:textId="12D0C0AD" w:rsidR="003E1CDA" w:rsidRPr="003E1CDA" w:rsidRDefault="00600415" w:rsidP="00B87018">
      <w:pPr>
        <w:spacing w:after="0" w:line="240" w:lineRule="auto"/>
        <w:rPr>
          <w:sz w:val="24"/>
          <w:szCs w:val="24"/>
        </w:rPr>
      </w:pPr>
      <w:r>
        <w:rPr>
          <w:sz w:val="24"/>
          <w:szCs w:val="24"/>
        </w:rPr>
        <w:t>S</w:t>
      </w:r>
      <w:r w:rsidR="003E1CDA" w:rsidRPr="003E1CDA">
        <w:rPr>
          <w:sz w:val="24"/>
          <w:szCs w:val="24"/>
        </w:rPr>
        <w:t xml:space="preserve">taff finds that the Applicant has appropriately considered the quality, efficiency, and capital and operating costs of the Proposed Project relative to potential alternatives. As a result of information provided by the Applicant and </w:t>
      </w:r>
      <w:r w:rsidR="00364312">
        <w:rPr>
          <w:sz w:val="24"/>
          <w:szCs w:val="24"/>
        </w:rPr>
        <w:t xml:space="preserve">with </w:t>
      </w:r>
      <w:r w:rsidR="003E1CDA" w:rsidRPr="003E1CDA">
        <w:rPr>
          <w:sz w:val="24"/>
          <w:szCs w:val="24"/>
        </w:rPr>
        <w:t xml:space="preserve">additional analysis, staff finds the Applicant has met the </w:t>
      </w:r>
      <w:r w:rsidR="00364312">
        <w:rPr>
          <w:sz w:val="24"/>
          <w:szCs w:val="24"/>
        </w:rPr>
        <w:t>r</w:t>
      </w:r>
      <w:r w:rsidR="004C3B08">
        <w:rPr>
          <w:sz w:val="24"/>
          <w:szCs w:val="24"/>
        </w:rPr>
        <w:t>equirements</w:t>
      </w:r>
      <w:r w:rsidR="003E1CDA" w:rsidRPr="003E1CDA">
        <w:rPr>
          <w:sz w:val="24"/>
          <w:szCs w:val="24"/>
        </w:rPr>
        <w:t xml:space="preserve"> of Factor 5.</w:t>
      </w:r>
      <w:r w:rsidR="00364312" w:rsidRPr="00364312">
        <w:rPr>
          <w:bCs/>
          <w:sz w:val="24"/>
          <w:szCs w:val="24"/>
          <w:lang w:val="en"/>
        </w:rPr>
        <w:t xml:space="preserve"> </w:t>
      </w:r>
    </w:p>
    <w:p w14:paraId="28CCA38F" w14:textId="77777777" w:rsidR="008213E7" w:rsidRDefault="00FA6CD1" w:rsidP="0024289A">
      <w:pPr>
        <w:pStyle w:val="Heading1"/>
      </w:pPr>
      <w:bookmarkStart w:id="37" w:name="_Toc131063600"/>
      <w:r w:rsidRPr="00FA6CD1">
        <w:t>Factor 6: Fulfillment of DPH Community-based Health Initiatives Guideline</w:t>
      </w:r>
      <w:bookmarkEnd w:id="37"/>
    </w:p>
    <w:p w14:paraId="257E82A8" w14:textId="1BEC824A" w:rsidR="004302AA" w:rsidRDefault="004302AA" w:rsidP="00B87018">
      <w:pPr>
        <w:spacing w:before="240" w:after="0" w:line="240" w:lineRule="auto"/>
        <w:ind w:right="540"/>
        <w:textAlignment w:val="baseline"/>
        <w:rPr>
          <w:rFonts w:ascii="Calibri" w:eastAsia="Times New Roman" w:hAnsi="Calibri" w:cs="Calibri"/>
          <w:sz w:val="24"/>
          <w:szCs w:val="24"/>
        </w:rPr>
      </w:pPr>
      <w:r w:rsidRPr="004302AA">
        <w:rPr>
          <w:rFonts w:ascii="Calibri" w:eastAsia="Times New Roman" w:hAnsi="Calibri" w:cs="Calibri"/>
          <w:sz w:val="24"/>
          <w:szCs w:val="24"/>
        </w:rPr>
        <w:t xml:space="preserve">This is a DoN project that will result in a Tier 1 Community-based Health Initiative (CHI). </w:t>
      </w:r>
      <w:r w:rsidR="00104080" w:rsidRPr="004302AA">
        <w:rPr>
          <w:rFonts w:ascii="Calibri" w:eastAsia="Times New Roman" w:hAnsi="Calibri" w:cs="Calibri"/>
          <w:sz w:val="24"/>
          <w:szCs w:val="24"/>
        </w:rPr>
        <w:t>The Applicant</w:t>
      </w:r>
      <w:r w:rsidRPr="004302AA">
        <w:rPr>
          <w:rFonts w:ascii="Calibri" w:eastAsia="Times New Roman" w:hAnsi="Calibri" w:cs="Calibri"/>
          <w:sz w:val="24"/>
          <w:szCs w:val="24"/>
        </w:rPr>
        <w:t xml:space="preserve"> </w:t>
      </w:r>
      <w:r w:rsidR="00104080">
        <w:rPr>
          <w:rFonts w:ascii="Calibri" w:eastAsia="Times New Roman" w:hAnsi="Calibri" w:cs="Calibri"/>
          <w:sz w:val="24"/>
          <w:szCs w:val="24"/>
        </w:rPr>
        <w:t>pla</w:t>
      </w:r>
      <w:r w:rsidRPr="004302AA">
        <w:rPr>
          <w:rFonts w:ascii="Calibri" w:eastAsia="Times New Roman" w:hAnsi="Calibri" w:cs="Calibri"/>
          <w:sz w:val="24"/>
          <w:szCs w:val="24"/>
        </w:rPr>
        <w:t>ns to establish Computerized Tomography (CT) and mobile MRI services that constitutes a DoN-Required Equipment acquired by an entity other than a hospital. As such, Atrius</w:t>
      </w:r>
      <w:r w:rsidR="00104080">
        <w:rPr>
          <w:rFonts w:ascii="Calibri" w:eastAsia="Times New Roman" w:hAnsi="Calibri" w:cs="Calibri"/>
          <w:sz w:val="24"/>
          <w:szCs w:val="24"/>
        </w:rPr>
        <w:t xml:space="preserve"> Health’s</w:t>
      </w:r>
      <w:r w:rsidRPr="004302AA">
        <w:rPr>
          <w:rFonts w:ascii="Calibri" w:eastAsia="Times New Roman" w:hAnsi="Calibri" w:cs="Calibri"/>
          <w:sz w:val="24"/>
          <w:szCs w:val="24"/>
        </w:rPr>
        <w:t xml:space="preserve"> </w:t>
      </w:r>
      <w:r w:rsidR="00104080">
        <w:rPr>
          <w:rFonts w:ascii="Calibri" w:eastAsia="Times New Roman" w:hAnsi="Calibri" w:cs="Calibri"/>
          <w:sz w:val="24"/>
          <w:szCs w:val="24"/>
        </w:rPr>
        <w:t>P</w:t>
      </w:r>
      <w:r w:rsidRPr="004302AA">
        <w:rPr>
          <w:rFonts w:ascii="Calibri" w:eastAsia="Times New Roman" w:hAnsi="Calibri" w:cs="Calibri"/>
          <w:sz w:val="24"/>
          <w:szCs w:val="24"/>
        </w:rPr>
        <w:t xml:space="preserve">roposed </w:t>
      </w:r>
      <w:r w:rsidR="00104080">
        <w:rPr>
          <w:rFonts w:ascii="Calibri" w:eastAsia="Times New Roman" w:hAnsi="Calibri" w:cs="Calibri"/>
          <w:sz w:val="24"/>
          <w:szCs w:val="24"/>
        </w:rPr>
        <w:t>P</w:t>
      </w:r>
      <w:r w:rsidRPr="004302AA">
        <w:rPr>
          <w:rFonts w:ascii="Calibri" w:eastAsia="Times New Roman" w:hAnsi="Calibri" w:cs="Calibri"/>
          <w:sz w:val="24"/>
          <w:szCs w:val="24"/>
        </w:rPr>
        <w:t>roject does not require the Applicant to submit CHI forms.</w:t>
      </w:r>
    </w:p>
    <w:p w14:paraId="422F967A" w14:textId="5E01CAAA" w:rsidR="008213E7" w:rsidRPr="004302AA" w:rsidRDefault="00104080" w:rsidP="00B87018">
      <w:pPr>
        <w:spacing w:before="240" w:after="0" w:line="240" w:lineRule="auto"/>
        <w:rPr>
          <w:sz w:val="24"/>
          <w:szCs w:val="24"/>
        </w:rPr>
      </w:pPr>
      <w:r>
        <w:rPr>
          <w:sz w:val="24"/>
          <w:szCs w:val="24"/>
        </w:rPr>
        <w:t>T</w:t>
      </w:r>
      <w:r w:rsidRPr="00104080">
        <w:rPr>
          <w:sz w:val="24"/>
          <w:szCs w:val="24"/>
        </w:rPr>
        <w:t>o fulfill Factor 6 requirements</w:t>
      </w:r>
      <w:r>
        <w:rPr>
          <w:sz w:val="24"/>
          <w:szCs w:val="24"/>
        </w:rPr>
        <w:t xml:space="preserve">, </w:t>
      </w:r>
      <w:r w:rsidR="004302AA" w:rsidRPr="004302AA">
        <w:rPr>
          <w:sz w:val="24"/>
          <w:szCs w:val="24"/>
        </w:rPr>
        <w:t xml:space="preserve">Atrius </w:t>
      </w:r>
      <w:r>
        <w:rPr>
          <w:sz w:val="24"/>
          <w:szCs w:val="24"/>
        </w:rPr>
        <w:t xml:space="preserve">Health </w:t>
      </w:r>
      <w:r w:rsidR="004302AA" w:rsidRPr="004302AA">
        <w:rPr>
          <w:sz w:val="24"/>
          <w:szCs w:val="24"/>
        </w:rPr>
        <w:t>will contribute their full CHI contribution to the Community Health Fund</w:t>
      </w:r>
      <w:r w:rsidR="00AF449C">
        <w:rPr>
          <w:sz w:val="24"/>
          <w:szCs w:val="24"/>
        </w:rPr>
        <w:t>.</w:t>
      </w:r>
      <w:r w:rsidR="004302AA" w:rsidRPr="004302AA">
        <w:rPr>
          <w:sz w:val="24"/>
          <w:szCs w:val="24"/>
        </w:rPr>
        <w:t xml:space="preserve"> With fulfillment of the below conditions, the Applicant will have demonstrated that the Proposed Project has met Factor 6.</w:t>
      </w:r>
    </w:p>
    <w:p w14:paraId="36ACF3A1" w14:textId="11D03F2E" w:rsidR="003E1CDA" w:rsidRPr="003E1CDA" w:rsidRDefault="00FA6CD1" w:rsidP="0024289A">
      <w:pPr>
        <w:pStyle w:val="Heading1"/>
      </w:pPr>
      <w:bookmarkStart w:id="38" w:name="_Toc131063601"/>
      <w:r w:rsidRPr="00FA6CD1">
        <w:t>Overall Application</w:t>
      </w:r>
      <w:r w:rsidR="003F0CC7">
        <w:t xml:space="preserve">: </w:t>
      </w:r>
      <w:r w:rsidR="003E1CDA" w:rsidRPr="003E1CDA">
        <w:t>Findings and Recommendations</w:t>
      </w:r>
      <w:bookmarkEnd w:id="38"/>
      <w:r w:rsidR="003E1CDA" w:rsidRPr="003E1CDA">
        <w:t xml:space="preserve"> </w:t>
      </w:r>
    </w:p>
    <w:p w14:paraId="240B4334" w14:textId="1BAC74E7" w:rsidR="003E1CDA" w:rsidRPr="003E1CDA" w:rsidRDefault="003E1CDA" w:rsidP="00B87018">
      <w:pPr>
        <w:spacing w:before="240" w:after="0" w:line="240" w:lineRule="auto"/>
        <w:rPr>
          <w:sz w:val="24"/>
          <w:szCs w:val="24"/>
        </w:rPr>
      </w:pPr>
      <w:r w:rsidRPr="003E1CDA">
        <w:rPr>
          <w:sz w:val="24"/>
          <w:szCs w:val="24"/>
        </w:rPr>
        <w:t xml:space="preserve">Based upon a review of the materials submitted, Staff finds that, with the addition of the recommended conditions detailed below, the Applicant has met each DoN Factor for the Proposed </w:t>
      </w:r>
      <w:r w:rsidR="00104080" w:rsidRPr="003E1CDA">
        <w:rPr>
          <w:sz w:val="24"/>
          <w:szCs w:val="24"/>
        </w:rPr>
        <w:t>Project and</w:t>
      </w:r>
      <w:r w:rsidRPr="003E1CDA">
        <w:rPr>
          <w:sz w:val="24"/>
          <w:szCs w:val="24"/>
        </w:rPr>
        <w:t xml:space="preserve"> recommends that the Department approve this Determination of Need, subject to all applicable standard and Other Conditions. </w:t>
      </w:r>
    </w:p>
    <w:p w14:paraId="1EFA40B6" w14:textId="223AAE51" w:rsidR="003E1CDA" w:rsidRDefault="00FA6CD1" w:rsidP="0024289A">
      <w:pPr>
        <w:pStyle w:val="Heading1"/>
      </w:pPr>
      <w:bookmarkStart w:id="39" w:name="_Toc131063602"/>
      <w:r>
        <w:t>Conditions to the DoN</w:t>
      </w:r>
      <w:bookmarkEnd w:id="39"/>
    </w:p>
    <w:p w14:paraId="3A7673C5" w14:textId="371A0B40" w:rsidR="00981365" w:rsidRDefault="00981365" w:rsidP="00B87018">
      <w:pPr>
        <w:pStyle w:val="NormalWeb"/>
        <w:numPr>
          <w:ilvl w:val="0"/>
          <w:numId w:val="17"/>
        </w:numPr>
        <w:shd w:val="clear" w:color="auto" w:fill="FFFFFF" w:themeFill="background1"/>
        <w:spacing w:before="240" w:beforeAutospacing="0" w:after="0" w:afterAutospacing="0"/>
        <w:ind w:left="360"/>
        <w:rPr>
          <w:rFonts w:asciiTheme="minorHAnsi" w:hAnsiTheme="minorHAnsi" w:cstheme="minorHAnsi"/>
          <w:color w:val="242424"/>
        </w:rPr>
      </w:pPr>
      <w:r w:rsidRPr="00981365">
        <w:rPr>
          <w:rFonts w:asciiTheme="minorHAnsi" w:hAnsiTheme="minorHAnsi" w:cstheme="minorHAnsi"/>
          <w:color w:val="242424"/>
        </w:rPr>
        <w:t>The total required CHI contribution of $48,900.00 will be directed to the Massachusetts Statewide Community Health Fund.</w:t>
      </w:r>
    </w:p>
    <w:p w14:paraId="54060714" w14:textId="77777777" w:rsidR="00981365" w:rsidRPr="00981365" w:rsidRDefault="00981365" w:rsidP="00B87018">
      <w:pPr>
        <w:pStyle w:val="NormalWeb"/>
        <w:shd w:val="clear" w:color="auto" w:fill="FFFFFF" w:themeFill="background1"/>
        <w:spacing w:before="0" w:beforeAutospacing="0" w:after="0" w:afterAutospacing="0"/>
        <w:ind w:left="360"/>
        <w:rPr>
          <w:rFonts w:asciiTheme="minorHAnsi" w:hAnsiTheme="minorHAnsi" w:cstheme="minorHAnsi"/>
          <w:color w:val="242424"/>
        </w:rPr>
      </w:pPr>
    </w:p>
    <w:p w14:paraId="6D4412D9" w14:textId="7A806929" w:rsidR="00981365" w:rsidRDefault="00981365" w:rsidP="00B87018">
      <w:pPr>
        <w:pStyle w:val="NormalWeb"/>
        <w:numPr>
          <w:ilvl w:val="0"/>
          <w:numId w:val="17"/>
        </w:numPr>
        <w:shd w:val="clear" w:color="auto" w:fill="FFFFFF" w:themeFill="background1"/>
        <w:spacing w:before="0" w:beforeAutospacing="0" w:after="0" w:afterAutospacing="0"/>
        <w:ind w:left="360"/>
        <w:rPr>
          <w:rFonts w:asciiTheme="minorHAnsi" w:hAnsiTheme="minorHAnsi" w:cstheme="minorHAnsi"/>
          <w:color w:val="242424"/>
        </w:rPr>
      </w:pPr>
      <w:r w:rsidRPr="00981365">
        <w:rPr>
          <w:rFonts w:asciiTheme="minorHAnsi" w:hAnsiTheme="minorHAnsi" w:cstheme="minorHAnsi"/>
          <w:color w:val="242424"/>
        </w:rPr>
        <w:t>To comply with the Holder’s obligation to contribute to the Massachusetts Statewide Community Health Fund, the Holder must submit the payment, a check for $48,900.00, to Health Resources in Action (the fiscal agent for the CHI Statewide Initiative).</w:t>
      </w:r>
    </w:p>
    <w:p w14:paraId="7CE1E9D5" w14:textId="77777777" w:rsidR="00981365" w:rsidRPr="00981365" w:rsidRDefault="00981365" w:rsidP="00B87018">
      <w:pPr>
        <w:pStyle w:val="NormalWeb"/>
        <w:shd w:val="clear" w:color="auto" w:fill="FFFFFF" w:themeFill="background1"/>
        <w:spacing w:before="0" w:beforeAutospacing="0" w:after="0" w:afterAutospacing="0"/>
        <w:ind w:left="360"/>
        <w:rPr>
          <w:rFonts w:asciiTheme="minorHAnsi" w:hAnsiTheme="minorHAnsi" w:cstheme="minorHAnsi"/>
          <w:color w:val="242424"/>
        </w:rPr>
      </w:pPr>
    </w:p>
    <w:p w14:paraId="6793F734" w14:textId="77777777" w:rsidR="00981365" w:rsidRPr="00981365" w:rsidRDefault="00981365" w:rsidP="00B87018">
      <w:pPr>
        <w:pStyle w:val="NormalWeb"/>
        <w:numPr>
          <w:ilvl w:val="1"/>
          <w:numId w:val="18"/>
        </w:numPr>
        <w:shd w:val="clear" w:color="auto" w:fill="FFFFFF"/>
        <w:spacing w:before="0" w:beforeAutospacing="0" w:after="0" w:afterAutospacing="0"/>
        <w:ind w:left="1080"/>
        <w:rPr>
          <w:rFonts w:asciiTheme="minorHAnsi" w:hAnsiTheme="minorHAnsi" w:cstheme="minorHAnsi"/>
          <w:color w:val="242424"/>
        </w:rPr>
      </w:pPr>
      <w:r w:rsidRPr="00981365">
        <w:rPr>
          <w:rFonts w:asciiTheme="minorHAnsi" w:hAnsiTheme="minorHAnsi" w:cstheme="minorHAnsi"/>
          <w:color w:val="242424"/>
        </w:rPr>
        <w:t>The Holder must submit the funds to HRiA within 30 days from the date of the Notice of Approval.</w:t>
      </w:r>
    </w:p>
    <w:p w14:paraId="327F8725" w14:textId="77777777" w:rsidR="00981365" w:rsidRPr="00981365" w:rsidRDefault="00981365" w:rsidP="00B87018">
      <w:pPr>
        <w:pStyle w:val="NormalWeb"/>
        <w:numPr>
          <w:ilvl w:val="1"/>
          <w:numId w:val="18"/>
        </w:numPr>
        <w:shd w:val="clear" w:color="auto" w:fill="FFFFFF"/>
        <w:spacing w:before="0" w:beforeAutospacing="0" w:after="0" w:afterAutospacing="0"/>
        <w:ind w:left="1080"/>
        <w:rPr>
          <w:rFonts w:asciiTheme="minorHAnsi" w:hAnsiTheme="minorHAnsi" w:cstheme="minorHAnsi"/>
          <w:color w:val="242424"/>
        </w:rPr>
      </w:pPr>
      <w:r w:rsidRPr="00981365">
        <w:rPr>
          <w:rFonts w:asciiTheme="minorHAnsi" w:hAnsiTheme="minorHAnsi" w:cstheme="minorHAnsi"/>
          <w:color w:val="242424"/>
        </w:rPr>
        <w:t>The Holder must promptly notify DPH (CHI contact staff) when payment has been made.</w:t>
      </w:r>
    </w:p>
    <w:p w14:paraId="2DB65830" w14:textId="77777777" w:rsidR="00981365" w:rsidRPr="00981365" w:rsidRDefault="00981365" w:rsidP="00B87018">
      <w:pPr>
        <w:pStyle w:val="NormalWeb"/>
        <w:shd w:val="clear" w:color="auto" w:fill="FFFFFF"/>
        <w:spacing w:before="0" w:beforeAutospacing="0" w:after="0" w:afterAutospacing="0"/>
        <w:ind w:left="2160"/>
        <w:rPr>
          <w:rFonts w:asciiTheme="minorHAnsi" w:hAnsiTheme="minorHAnsi" w:cstheme="minorHAnsi"/>
          <w:color w:val="242424"/>
        </w:rPr>
      </w:pPr>
      <w:r w:rsidRPr="00981365">
        <w:rPr>
          <w:rFonts w:asciiTheme="minorHAnsi" w:hAnsiTheme="minorHAnsi" w:cstheme="minorHAnsi"/>
          <w:color w:val="242424"/>
        </w:rPr>
        <w:t>Payment should be sent to:</w:t>
      </w:r>
    </w:p>
    <w:p w14:paraId="4761FCE8" w14:textId="77777777" w:rsidR="00981365" w:rsidRPr="00981365" w:rsidRDefault="00981365" w:rsidP="00B87018">
      <w:pPr>
        <w:pStyle w:val="NormalWeb"/>
        <w:shd w:val="clear" w:color="auto" w:fill="FFFFFF"/>
        <w:spacing w:before="0" w:beforeAutospacing="0" w:after="0" w:afterAutospacing="0"/>
        <w:ind w:left="2160"/>
        <w:rPr>
          <w:rFonts w:asciiTheme="minorHAnsi" w:hAnsiTheme="minorHAnsi" w:cstheme="minorHAnsi"/>
          <w:color w:val="242424"/>
        </w:rPr>
      </w:pPr>
      <w:r w:rsidRPr="00981365">
        <w:rPr>
          <w:rFonts w:asciiTheme="minorHAnsi" w:hAnsiTheme="minorHAnsi" w:cstheme="minorHAnsi"/>
          <w:color w:val="242424"/>
        </w:rPr>
        <w:lastRenderedPageBreak/>
        <w:t>Health Resources in Action, Inc., (HRiA)</w:t>
      </w:r>
    </w:p>
    <w:p w14:paraId="15303776" w14:textId="77777777" w:rsidR="00981365" w:rsidRPr="00981365" w:rsidRDefault="00981365" w:rsidP="00B87018">
      <w:pPr>
        <w:pStyle w:val="NormalWeb"/>
        <w:shd w:val="clear" w:color="auto" w:fill="FFFFFF"/>
        <w:spacing w:before="0" w:beforeAutospacing="0" w:after="0" w:afterAutospacing="0"/>
        <w:ind w:left="2160"/>
        <w:rPr>
          <w:rFonts w:asciiTheme="minorHAnsi" w:hAnsiTheme="minorHAnsi" w:cstheme="minorHAnsi"/>
          <w:color w:val="242424"/>
        </w:rPr>
      </w:pPr>
      <w:r w:rsidRPr="00981365">
        <w:rPr>
          <w:rFonts w:asciiTheme="minorHAnsi" w:hAnsiTheme="minorHAnsi" w:cstheme="minorHAnsi"/>
          <w:color w:val="242424"/>
        </w:rPr>
        <w:t>2 Boylston Street, 4th Floor</w:t>
      </w:r>
    </w:p>
    <w:p w14:paraId="75CC61E9" w14:textId="77777777" w:rsidR="00981365" w:rsidRPr="00981365" w:rsidRDefault="00981365" w:rsidP="00B87018">
      <w:pPr>
        <w:pStyle w:val="NormalWeb"/>
        <w:shd w:val="clear" w:color="auto" w:fill="FFFFFF"/>
        <w:spacing w:before="0" w:beforeAutospacing="0" w:after="0" w:afterAutospacing="0"/>
        <w:ind w:left="2160"/>
        <w:rPr>
          <w:rFonts w:asciiTheme="minorHAnsi" w:hAnsiTheme="minorHAnsi" w:cstheme="minorHAnsi"/>
          <w:color w:val="242424"/>
        </w:rPr>
      </w:pPr>
      <w:r w:rsidRPr="00981365">
        <w:rPr>
          <w:rFonts w:asciiTheme="minorHAnsi" w:hAnsiTheme="minorHAnsi" w:cstheme="minorHAnsi"/>
          <w:color w:val="242424"/>
        </w:rPr>
        <w:t>Boston, MA 02116</w:t>
      </w:r>
    </w:p>
    <w:p w14:paraId="3CD522C1" w14:textId="77777777" w:rsidR="00981365" w:rsidRPr="00981365" w:rsidRDefault="00981365" w:rsidP="00B87018">
      <w:pPr>
        <w:pStyle w:val="NormalWeb"/>
        <w:shd w:val="clear" w:color="auto" w:fill="FFFFFF"/>
        <w:spacing w:before="0" w:beforeAutospacing="0" w:after="0" w:afterAutospacing="0"/>
        <w:ind w:left="2160"/>
        <w:rPr>
          <w:rFonts w:asciiTheme="minorHAnsi" w:hAnsiTheme="minorHAnsi" w:cstheme="minorHAnsi"/>
          <w:color w:val="242424"/>
        </w:rPr>
      </w:pPr>
      <w:r w:rsidRPr="00981365">
        <w:rPr>
          <w:rFonts w:asciiTheme="minorHAnsi" w:hAnsiTheme="minorHAnsi" w:cstheme="minorHAnsi"/>
          <w:color w:val="242424"/>
        </w:rPr>
        <w:t>Attn: Ms. Bora Toro</w:t>
      </w:r>
    </w:p>
    <w:p w14:paraId="7A36D8C4" w14:textId="21A3AC0F" w:rsidR="00332955" w:rsidRDefault="00332955">
      <w:r>
        <w:br w:type="page"/>
      </w:r>
    </w:p>
    <w:p w14:paraId="6DB2AE16" w14:textId="0398BA0B" w:rsidR="00D12013" w:rsidRDefault="00940201" w:rsidP="00B87018">
      <w:pPr>
        <w:pStyle w:val="Heading1"/>
        <w:spacing w:line="240" w:lineRule="auto"/>
        <w:rPr>
          <w:b w:val="0"/>
          <w:bCs/>
          <w:sz w:val="24"/>
          <w:szCs w:val="24"/>
        </w:rPr>
      </w:pPr>
      <w:bookmarkStart w:id="40" w:name="_Toc131063603"/>
      <w:r w:rsidRPr="00BF2530">
        <w:lastRenderedPageBreak/>
        <w:t>Appendix I</w:t>
      </w:r>
      <w:bookmarkEnd w:id="40"/>
      <w:r w:rsidR="00745383">
        <w:t xml:space="preserve"> </w:t>
      </w:r>
    </w:p>
    <w:p w14:paraId="7784494B" w14:textId="28FCC97E" w:rsidR="00745383" w:rsidRDefault="00745383" w:rsidP="00B87018">
      <w:pPr>
        <w:spacing w:after="0" w:line="240" w:lineRule="auto"/>
        <w:rPr>
          <w:b/>
          <w:bCs/>
          <w:sz w:val="24"/>
          <w:szCs w:val="24"/>
        </w:rPr>
      </w:pPr>
    </w:p>
    <w:p w14:paraId="0FB66484" w14:textId="40CB990C" w:rsidR="00745383" w:rsidRPr="00EC0CFC" w:rsidRDefault="00930946" w:rsidP="00B87018">
      <w:pPr>
        <w:spacing w:after="0" w:line="240" w:lineRule="auto"/>
        <w:rPr>
          <w:sz w:val="24"/>
          <w:szCs w:val="24"/>
        </w:rPr>
      </w:pPr>
      <w:r w:rsidRPr="00CC60EF">
        <w:rPr>
          <w:sz w:val="24"/>
          <w:szCs w:val="24"/>
        </w:rPr>
        <w:t>The Applicant provided s</w:t>
      </w:r>
      <w:r w:rsidR="00745383" w:rsidRPr="00CC60EF">
        <w:rPr>
          <w:sz w:val="24"/>
          <w:szCs w:val="24"/>
        </w:rPr>
        <w:t xml:space="preserve">everal metrics </w:t>
      </w:r>
      <w:r w:rsidR="001D0ACD" w:rsidRPr="00CC60EF">
        <w:rPr>
          <w:sz w:val="24"/>
          <w:szCs w:val="24"/>
        </w:rPr>
        <w:t xml:space="preserve">that </w:t>
      </w:r>
      <w:r w:rsidR="00CC60EF">
        <w:rPr>
          <w:sz w:val="24"/>
          <w:szCs w:val="24"/>
        </w:rPr>
        <w:t xml:space="preserve">it will monitor </w:t>
      </w:r>
      <w:r w:rsidR="00CC6970">
        <w:rPr>
          <w:sz w:val="24"/>
          <w:szCs w:val="24"/>
        </w:rPr>
        <w:t xml:space="preserve">regularly </w:t>
      </w:r>
      <w:r w:rsidR="00745383" w:rsidRPr="00CC60EF">
        <w:rPr>
          <w:sz w:val="24"/>
          <w:szCs w:val="24"/>
        </w:rPr>
        <w:t>to assess the impact of the Proposed Project</w:t>
      </w:r>
      <w:r w:rsidRPr="00CC60EF">
        <w:rPr>
          <w:sz w:val="24"/>
          <w:szCs w:val="24"/>
        </w:rPr>
        <w:t>. These</w:t>
      </w:r>
      <w:r w:rsidRPr="00EC0CFC">
        <w:rPr>
          <w:sz w:val="24"/>
          <w:szCs w:val="24"/>
        </w:rPr>
        <w:t xml:space="preserve"> will be reported to the DoN program on an annual basis following project implementation.</w:t>
      </w:r>
      <w:r w:rsidR="00EC0CFC" w:rsidRPr="00EC0CFC">
        <w:rPr>
          <w:sz w:val="24"/>
          <w:szCs w:val="24"/>
        </w:rPr>
        <w:t xml:space="preserve"> </w:t>
      </w:r>
      <w:r w:rsidR="00EC0CFC" w:rsidRPr="00EC0CFC">
        <w:rPr>
          <w:rFonts w:ascii="Calibri" w:eastAsia="Times New Roman" w:hAnsi="Calibri" w:cs="Times New Roman"/>
          <w:i/>
          <w:iCs/>
          <w:sz w:val="24"/>
          <w:szCs w:val="24"/>
          <w:bdr w:val="none" w:sz="0" w:space="0" w:color="auto" w:frame="1"/>
        </w:rPr>
        <w:t>Reporting will include a description of numerators and denominators</w:t>
      </w:r>
    </w:p>
    <w:p w14:paraId="29160B88" w14:textId="77777777" w:rsidR="00D442B2" w:rsidRPr="00EC0CFC" w:rsidRDefault="00D442B2" w:rsidP="00B87018">
      <w:pPr>
        <w:spacing w:after="0" w:line="240" w:lineRule="auto"/>
        <w:rPr>
          <w:sz w:val="24"/>
          <w:szCs w:val="24"/>
        </w:rPr>
      </w:pPr>
    </w:p>
    <w:p w14:paraId="633ACB15" w14:textId="7A726413" w:rsidR="00745383" w:rsidRPr="00EC0CFC" w:rsidRDefault="00745383" w:rsidP="00B87018">
      <w:pPr>
        <w:numPr>
          <w:ilvl w:val="0"/>
          <w:numId w:val="6"/>
        </w:numPr>
        <w:spacing w:after="0" w:line="240" w:lineRule="auto"/>
        <w:rPr>
          <w:sz w:val="24"/>
          <w:szCs w:val="24"/>
        </w:rPr>
      </w:pPr>
      <w:bookmarkStart w:id="41" w:name="_BPDCD_48"/>
      <w:bookmarkStart w:id="42" w:name="_Hlk126745397"/>
      <w:r w:rsidRPr="00EC0CFC">
        <w:rPr>
          <w:sz w:val="24"/>
          <w:szCs w:val="24"/>
        </w:rPr>
        <w:t>Turnaround Time (TAT</w:t>
      </w:r>
      <w:bookmarkEnd w:id="41"/>
      <w:r w:rsidRPr="00EC0CFC">
        <w:rPr>
          <w:sz w:val="24"/>
          <w:szCs w:val="24"/>
        </w:rPr>
        <w:t xml:space="preserve">): Radiology reports are typically available in the patient’s medical record, through the patient portal, and to the ordering provider the day the exam is completed. Atrius Health radiology leadership closely monitors </w:t>
      </w:r>
      <w:bookmarkStart w:id="43" w:name="_BPDCD_49"/>
      <w:r w:rsidRPr="00EC0CFC">
        <w:rPr>
          <w:sz w:val="24"/>
          <w:szCs w:val="24"/>
        </w:rPr>
        <w:t>TAT</w:t>
      </w:r>
      <w:bookmarkEnd w:id="43"/>
      <w:r w:rsidRPr="00EC0CFC">
        <w:rPr>
          <w:sz w:val="24"/>
          <w:szCs w:val="24"/>
        </w:rPr>
        <w:t>, including urgent requests (STAT), for CT and MRI and will continue to do so for services provided at the Plymouth</w:t>
      </w:r>
      <w:r w:rsidR="007F3216" w:rsidRPr="00EC0CFC">
        <w:rPr>
          <w:sz w:val="24"/>
          <w:szCs w:val="24"/>
        </w:rPr>
        <w:t xml:space="preserve"> Clinic</w:t>
      </w:r>
      <w:r w:rsidRPr="00EC0CFC">
        <w:rPr>
          <w:sz w:val="24"/>
          <w:szCs w:val="24"/>
        </w:rPr>
        <w:t xml:space="preserve">. </w:t>
      </w:r>
    </w:p>
    <w:p w14:paraId="618DC822" w14:textId="77777777" w:rsidR="00745383" w:rsidRPr="00EC0CFC" w:rsidRDefault="00745383" w:rsidP="00B87018">
      <w:pPr>
        <w:numPr>
          <w:ilvl w:val="1"/>
          <w:numId w:val="5"/>
        </w:numPr>
        <w:spacing w:after="0" w:line="240" w:lineRule="auto"/>
        <w:rPr>
          <w:sz w:val="24"/>
          <w:szCs w:val="24"/>
        </w:rPr>
      </w:pPr>
      <w:r w:rsidRPr="00EC0CFC">
        <w:rPr>
          <w:sz w:val="24"/>
          <w:szCs w:val="24"/>
        </w:rPr>
        <w:t xml:space="preserve">Measure: TAT is measured from the time the exam is completed to the time the interpretation is finalized for all imaging services provided at Atrius Health including MRI and CT. </w:t>
      </w:r>
    </w:p>
    <w:p w14:paraId="1743A296" w14:textId="4BBFD46F" w:rsidR="00745383" w:rsidRPr="00EC0CFC" w:rsidRDefault="00745383" w:rsidP="00B87018">
      <w:pPr>
        <w:numPr>
          <w:ilvl w:val="1"/>
          <w:numId w:val="5"/>
        </w:numPr>
        <w:spacing w:after="0" w:line="240" w:lineRule="auto"/>
        <w:rPr>
          <w:sz w:val="24"/>
          <w:szCs w:val="24"/>
        </w:rPr>
      </w:pPr>
      <w:r w:rsidRPr="00EC0CFC">
        <w:rPr>
          <w:sz w:val="24"/>
          <w:szCs w:val="24"/>
        </w:rPr>
        <w:t xml:space="preserve">Projections: For STAT exams: Reporting is expected within one hour. For Routine exams: Reporting is expected within 48 hours. In YTD 2022, 99.34% of all CT exams and 98.67% of all MRI exams are reported within their expected applicable TAT. TAT for CT and MRI at the </w:t>
      </w:r>
      <w:r w:rsidR="007F3216" w:rsidRPr="00EC0CFC">
        <w:rPr>
          <w:sz w:val="24"/>
          <w:szCs w:val="24"/>
        </w:rPr>
        <w:t>Plymouth Clinic</w:t>
      </w:r>
      <w:r w:rsidRPr="00EC0CFC">
        <w:rPr>
          <w:sz w:val="24"/>
          <w:szCs w:val="24"/>
        </w:rPr>
        <w:t xml:space="preserve"> are expected to meet or exceed these performance thresholds.</w:t>
      </w:r>
    </w:p>
    <w:p w14:paraId="18C10CFE" w14:textId="1CF61E8A" w:rsidR="00745383" w:rsidRPr="00EC0CFC" w:rsidRDefault="00745383" w:rsidP="00B87018">
      <w:pPr>
        <w:numPr>
          <w:ilvl w:val="1"/>
          <w:numId w:val="5"/>
        </w:numPr>
        <w:spacing w:after="0" w:line="240" w:lineRule="auto"/>
        <w:rPr>
          <w:sz w:val="24"/>
          <w:szCs w:val="24"/>
        </w:rPr>
      </w:pPr>
      <w:r w:rsidRPr="00EC0CFC">
        <w:rPr>
          <w:sz w:val="24"/>
          <w:szCs w:val="24"/>
        </w:rPr>
        <w:t xml:space="preserve">Monitoring: </w:t>
      </w:r>
      <w:r w:rsidR="007F3216" w:rsidRPr="00EC0CFC">
        <w:rPr>
          <w:sz w:val="24"/>
          <w:szCs w:val="24"/>
        </w:rPr>
        <w:t>Plymouth Clinic</w:t>
      </w:r>
      <w:r w:rsidRPr="00EC0CFC">
        <w:rPr>
          <w:sz w:val="24"/>
          <w:szCs w:val="24"/>
        </w:rPr>
        <w:t xml:space="preserve"> performance will be monitored like all other Atrius Health imaging: TAT for CT and MRI exams are compiled and reviewed monthly by radiology leadership. All exams that do not meet the reporting TAT standard are reviewed to determine the cause of the delay. Improvement measures will be implemented by radiology leadership if a problem is identified. </w:t>
      </w:r>
    </w:p>
    <w:p w14:paraId="1F7E3569" w14:textId="77777777" w:rsidR="00D442B2" w:rsidRPr="00EC0CFC" w:rsidRDefault="00D442B2" w:rsidP="00B87018">
      <w:pPr>
        <w:spacing w:after="0" w:line="240" w:lineRule="auto"/>
        <w:ind w:left="1440"/>
        <w:rPr>
          <w:sz w:val="24"/>
          <w:szCs w:val="24"/>
        </w:rPr>
      </w:pPr>
    </w:p>
    <w:p w14:paraId="411C1E1A" w14:textId="093DDEE8" w:rsidR="00745383" w:rsidRPr="00EC0CFC" w:rsidRDefault="00745383" w:rsidP="00B87018">
      <w:pPr>
        <w:numPr>
          <w:ilvl w:val="0"/>
          <w:numId w:val="6"/>
        </w:numPr>
        <w:spacing w:after="0" w:line="240" w:lineRule="auto"/>
        <w:rPr>
          <w:sz w:val="24"/>
          <w:szCs w:val="24"/>
        </w:rPr>
      </w:pPr>
      <w:r w:rsidRPr="00EC0CFC">
        <w:rPr>
          <w:sz w:val="24"/>
          <w:szCs w:val="24"/>
        </w:rPr>
        <w:t>Quality Assurance</w:t>
      </w:r>
      <w:bookmarkStart w:id="44" w:name="_BPDCI_50"/>
      <w:r w:rsidRPr="00EC0CFC">
        <w:rPr>
          <w:sz w:val="24"/>
          <w:szCs w:val="24"/>
        </w:rPr>
        <w:t xml:space="preserve"> (QA)</w:t>
      </w:r>
      <w:bookmarkEnd w:id="44"/>
      <w:r w:rsidRPr="00EC0CFC">
        <w:rPr>
          <w:sz w:val="24"/>
          <w:szCs w:val="24"/>
        </w:rPr>
        <w:t xml:space="preserve">: Atrius Health has an intensive imaging QA program, facilitated by the provision of direct technical feedback by radiologists. Radiologists can dictate comments on any technical imaging issues. Comments for each imaging modality are reviewed monthly by the radiology services management team which is made up of regional managers. The feedback drives improvement in exam quality across Atrius Health. This imaging QA program will include the new </w:t>
      </w:r>
      <w:r w:rsidR="007F3216" w:rsidRPr="00EC0CFC">
        <w:rPr>
          <w:sz w:val="24"/>
          <w:szCs w:val="24"/>
        </w:rPr>
        <w:t>Plymouth Clinic</w:t>
      </w:r>
      <w:r w:rsidRPr="00EC0CFC">
        <w:rPr>
          <w:sz w:val="24"/>
          <w:szCs w:val="24"/>
        </w:rPr>
        <w:t xml:space="preserve"> CT and MRI scans. Currently, fewer than 1% of all imaging studies are identified as having QA issues requiring repeat imaging; Atrius Health will closely monitor the exams at the </w:t>
      </w:r>
      <w:r w:rsidR="007F3216" w:rsidRPr="00EC0CFC">
        <w:rPr>
          <w:sz w:val="24"/>
          <w:szCs w:val="24"/>
        </w:rPr>
        <w:t>Plymouth Clinic</w:t>
      </w:r>
      <w:r w:rsidRPr="00EC0CFC">
        <w:rPr>
          <w:sz w:val="24"/>
          <w:szCs w:val="24"/>
        </w:rPr>
        <w:t xml:space="preserve">, particularly in the first year, to ensure that similar or better quality is achieved. </w:t>
      </w:r>
    </w:p>
    <w:p w14:paraId="6EBB9D44" w14:textId="2EC93553" w:rsidR="00745383" w:rsidRPr="00EC0CFC" w:rsidRDefault="00745383" w:rsidP="00B87018">
      <w:pPr>
        <w:numPr>
          <w:ilvl w:val="0"/>
          <w:numId w:val="7"/>
        </w:numPr>
        <w:spacing w:after="0" w:line="240" w:lineRule="auto"/>
        <w:rPr>
          <w:sz w:val="24"/>
          <w:szCs w:val="24"/>
        </w:rPr>
      </w:pPr>
      <w:r w:rsidRPr="00EC0CFC">
        <w:rPr>
          <w:sz w:val="24"/>
          <w:szCs w:val="24"/>
        </w:rPr>
        <w:t>Measure: Percentage of non-diagnostic exams requiring repeat imaging.</w:t>
      </w:r>
    </w:p>
    <w:p w14:paraId="2E8D2108" w14:textId="2F398CE8" w:rsidR="00745383" w:rsidRPr="00EC0CFC" w:rsidRDefault="00745383" w:rsidP="00B87018">
      <w:pPr>
        <w:numPr>
          <w:ilvl w:val="0"/>
          <w:numId w:val="7"/>
        </w:numPr>
        <w:spacing w:after="0" w:line="240" w:lineRule="auto"/>
        <w:rPr>
          <w:sz w:val="24"/>
          <w:szCs w:val="24"/>
        </w:rPr>
      </w:pPr>
      <w:r w:rsidRPr="00EC0CFC">
        <w:rPr>
          <w:sz w:val="24"/>
          <w:szCs w:val="24"/>
        </w:rPr>
        <w:t xml:space="preserve">Projections: Currently there is no baseline for the </w:t>
      </w:r>
      <w:r w:rsidR="007F3216" w:rsidRPr="00EC0CFC">
        <w:rPr>
          <w:sz w:val="24"/>
          <w:szCs w:val="24"/>
        </w:rPr>
        <w:t>Plymouth Clinic</w:t>
      </w:r>
      <w:r w:rsidRPr="00EC0CFC">
        <w:rPr>
          <w:sz w:val="24"/>
          <w:szCs w:val="24"/>
        </w:rPr>
        <w:t xml:space="preserve">. Overall, across all imaging modalities at Atrius Health practices, the incidence of negative technical feedback and the need for a repeat exam is less than 1% for each modality. The incidence of repeat imaging for </w:t>
      </w:r>
      <w:r w:rsidR="007F3216" w:rsidRPr="00EC0CFC">
        <w:rPr>
          <w:sz w:val="24"/>
          <w:szCs w:val="24"/>
        </w:rPr>
        <w:t>Plymouth Clinic</w:t>
      </w:r>
      <w:r w:rsidRPr="00EC0CFC">
        <w:rPr>
          <w:sz w:val="24"/>
          <w:szCs w:val="24"/>
        </w:rPr>
        <w:t xml:space="preserve"> is projected to be consistent with this threshold. </w:t>
      </w:r>
    </w:p>
    <w:p w14:paraId="7738F5F6" w14:textId="34928568" w:rsidR="00745383" w:rsidRPr="00EC0CFC" w:rsidRDefault="00745383" w:rsidP="00B87018">
      <w:pPr>
        <w:numPr>
          <w:ilvl w:val="0"/>
          <w:numId w:val="7"/>
        </w:numPr>
        <w:spacing w:after="0" w:line="240" w:lineRule="auto"/>
        <w:rPr>
          <w:sz w:val="24"/>
          <w:szCs w:val="24"/>
        </w:rPr>
      </w:pPr>
      <w:r w:rsidRPr="00EC0CFC">
        <w:rPr>
          <w:sz w:val="24"/>
          <w:szCs w:val="24"/>
        </w:rPr>
        <w:t>Monitoring: QA comments and the repeat rate (need for repeat imaging) will be evaluated monthly and action taken on any improvement measures identified, including the basis for any required repeat imaging.</w:t>
      </w:r>
    </w:p>
    <w:p w14:paraId="7414C317" w14:textId="77777777" w:rsidR="00D442B2" w:rsidRPr="00EC0CFC" w:rsidRDefault="00D442B2" w:rsidP="00B87018">
      <w:pPr>
        <w:spacing w:after="0" w:line="240" w:lineRule="auto"/>
        <w:ind w:left="1440"/>
        <w:rPr>
          <w:sz w:val="24"/>
          <w:szCs w:val="24"/>
        </w:rPr>
      </w:pPr>
    </w:p>
    <w:p w14:paraId="5F40D833" w14:textId="77777777" w:rsidR="00745383" w:rsidRPr="00EC0CFC" w:rsidRDefault="00745383" w:rsidP="00B87018">
      <w:pPr>
        <w:numPr>
          <w:ilvl w:val="0"/>
          <w:numId w:val="6"/>
        </w:numPr>
        <w:spacing w:after="0" w:line="240" w:lineRule="auto"/>
        <w:rPr>
          <w:sz w:val="24"/>
          <w:szCs w:val="24"/>
        </w:rPr>
      </w:pPr>
      <w:r w:rsidRPr="00EC0CFC">
        <w:rPr>
          <w:sz w:val="24"/>
          <w:szCs w:val="24"/>
        </w:rPr>
        <w:lastRenderedPageBreak/>
        <w:t xml:space="preserve">Patient Experience/Satisfaction: Patient satisfaction and positive patient experience help to ensure patient compliance with imaging orders. </w:t>
      </w:r>
    </w:p>
    <w:p w14:paraId="55B303DA" w14:textId="77777777" w:rsidR="00745383" w:rsidRPr="00EC0CFC" w:rsidRDefault="00745383" w:rsidP="00B87018">
      <w:pPr>
        <w:numPr>
          <w:ilvl w:val="0"/>
          <w:numId w:val="8"/>
        </w:numPr>
        <w:spacing w:after="0" w:line="240" w:lineRule="auto"/>
        <w:rPr>
          <w:sz w:val="24"/>
          <w:szCs w:val="24"/>
        </w:rPr>
      </w:pPr>
      <w:r w:rsidRPr="00EC0CFC">
        <w:rPr>
          <w:sz w:val="24"/>
          <w:szCs w:val="24"/>
        </w:rPr>
        <w:t xml:space="preserve">Measure: Patient satisfaction is reported monthly for radiology services including CT and MRI based on Press Ganey survey responses. </w:t>
      </w:r>
    </w:p>
    <w:p w14:paraId="4FA7AE8A" w14:textId="0FA21CDA" w:rsidR="00745383" w:rsidRPr="00EC0CFC" w:rsidRDefault="00745383" w:rsidP="00B87018">
      <w:pPr>
        <w:numPr>
          <w:ilvl w:val="0"/>
          <w:numId w:val="8"/>
        </w:numPr>
        <w:spacing w:after="0" w:line="240" w:lineRule="auto"/>
        <w:rPr>
          <w:sz w:val="24"/>
          <w:szCs w:val="24"/>
        </w:rPr>
      </w:pPr>
      <w:r w:rsidRPr="00EC0CFC">
        <w:rPr>
          <w:sz w:val="24"/>
          <w:szCs w:val="24"/>
        </w:rPr>
        <w:t xml:space="preserve">Projections: Radiology Department Baseline: 2021 - 82.4% “very good”; Projections for the Radiology Department for the 2022 and 2023 are 83% “very good” and for the following three years: 2024—83%; 2025—85%; 2026—85%. </w:t>
      </w:r>
      <w:r w:rsidR="007F3216" w:rsidRPr="00EC0CFC">
        <w:rPr>
          <w:sz w:val="24"/>
          <w:szCs w:val="24"/>
        </w:rPr>
        <w:t>Plymouth Clinic</w:t>
      </w:r>
      <w:r w:rsidRPr="00EC0CFC">
        <w:rPr>
          <w:sz w:val="24"/>
          <w:szCs w:val="24"/>
        </w:rPr>
        <w:t xml:space="preserve"> patient satisfaction with MRI and CT is expected to be consistent with these projections. </w:t>
      </w:r>
    </w:p>
    <w:p w14:paraId="6EDFD6FF" w14:textId="77777777" w:rsidR="00745383" w:rsidRPr="00EC0CFC" w:rsidRDefault="00745383" w:rsidP="00B87018">
      <w:pPr>
        <w:numPr>
          <w:ilvl w:val="0"/>
          <w:numId w:val="8"/>
        </w:numPr>
        <w:spacing w:after="0" w:line="240" w:lineRule="auto"/>
        <w:rPr>
          <w:sz w:val="24"/>
          <w:szCs w:val="24"/>
        </w:rPr>
      </w:pPr>
      <w:r w:rsidRPr="00EC0CFC">
        <w:rPr>
          <w:sz w:val="24"/>
          <w:szCs w:val="24"/>
        </w:rPr>
        <w:t>Monitoring: Patient satisfaction scores by practice location are monitored and evaluated monthly by the Atrius Health Department of Quality, Safety, and Patient Experience, and reviewed monthly by the Radiology Regional Service Line Managers. If monthly trending shows a decline, the practice and staff will be evaluated by Radiology Regional Service Line Managers and improvement measures will be implemented as needed.</w:t>
      </w:r>
    </w:p>
    <w:p w14:paraId="1C47DFF0" w14:textId="657C881C" w:rsidR="00745383" w:rsidRPr="00EC0CFC" w:rsidRDefault="00745383" w:rsidP="00B87018">
      <w:pPr>
        <w:numPr>
          <w:ilvl w:val="0"/>
          <w:numId w:val="6"/>
        </w:numPr>
        <w:spacing w:after="0" w:line="240" w:lineRule="auto"/>
        <w:rPr>
          <w:sz w:val="24"/>
          <w:szCs w:val="24"/>
        </w:rPr>
      </w:pPr>
      <w:r w:rsidRPr="00EC0CFC">
        <w:rPr>
          <w:sz w:val="24"/>
          <w:szCs w:val="24"/>
        </w:rPr>
        <w:t xml:space="preserve">Access: Access to advanced imaging is currently monitored for each practice that provides CT and MRI imaging services. The Proposed Project seeks to ensure timely access for CT and MRI exams for the </w:t>
      </w:r>
      <w:r w:rsidR="007F3216" w:rsidRPr="00EC0CFC">
        <w:rPr>
          <w:sz w:val="24"/>
          <w:szCs w:val="24"/>
        </w:rPr>
        <w:t>Plymouth Clinic</w:t>
      </w:r>
      <w:r w:rsidRPr="00EC0CFC">
        <w:rPr>
          <w:sz w:val="24"/>
          <w:szCs w:val="24"/>
        </w:rPr>
        <w:t xml:space="preserve"> Patient Panel at the </w:t>
      </w:r>
      <w:r w:rsidR="007F3216" w:rsidRPr="00EC0CFC">
        <w:rPr>
          <w:sz w:val="24"/>
          <w:szCs w:val="24"/>
        </w:rPr>
        <w:t>Plymouth Clinic</w:t>
      </w:r>
      <w:r w:rsidRPr="00EC0CFC">
        <w:rPr>
          <w:sz w:val="24"/>
          <w:szCs w:val="24"/>
        </w:rPr>
        <w:t xml:space="preserve">. </w:t>
      </w:r>
    </w:p>
    <w:p w14:paraId="0C66B1DD" w14:textId="77777777" w:rsidR="00745383" w:rsidRPr="00EC0CFC" w:rsidRDefault="00745383" w:rsidP="00B87018">
      <w:pPr>
        <w:numPr>
          <w:ilvl w:val="0"/>
          <w:numId w:val="9"/>
        </w:numPr>
        <w:spacing w:after="0" w:line="240" w:lineRule="auto"/>
        <w:rPr>
          <w:sz w:val="24"/>
          <w:szCs w:val="24"/>
        </w:rPr>
      </w:pPr>
      <w:r w:rsidRPr="00EC0CFC">
        <w:rPr>
          <w:sz w:val="24"/>
          <w:szCs w:val="24"/>
        </w:rPr>
        <w:t>Measure: Wait time for first available appointment from when the order was placed.</w:t>
      </w:r>
    </w:p>
    <w:p w14:paraId="5AC21D30" w14:textId="10211C58" w:rsidR="00745383" w:rsidRPr="00EC0CFC" w:rsidRDefault="00745383" w:rsidP="00B87018">
      <w:pPr>
        <w:numPr>
          <w:ilvl w:val="0"/>
          <w:numId w:val="9"/>
        </w:numPr>
        <w:spacing w:after="0" w:line="240" w:lineRule="auto"/>
        <w:rPr>
          <w:sz w:val="24"/>
          <w:szCs w:val="24"/>
        </w:rPr>
      </w:pPr>
      <w:r w:rsidRPr="00EC0CFC">
        <w:rPr>
          <w:sz w:val="24"/>
          <w:szCs w:val="24"/>
        </w:rPr>
        <w:t xml:space="preserve">Projections: Currently there is no baseline for the </w:t>
      </w:r>
      <w:r w:rsidR="007F3216" w:rsidRPr="00EC0CFC">
        <w:rPr>
          <w:sz w:val="24"/>
          <w:szCs w:val="24"/>
        </w:rPr>
        <w:t>Plymouth Clinic</w:t>
      </w:r>
      <w:r w:rsidRPr="00EC0CFC">
        <w:rPr>
          <w:sz w:val="24"/>
          <w:szCs w:val="24"/>
        </w:rPr>
        <w:t xml:space="preserve">. Current average access for CT at other Atrius Health locations is same day/next day for first available appointment; access for MRI services at other Atrius Health locations for urgent and emergent exams is same day/next day, </w:t>
      </w:r>
      <w:bookmarkStart w:id="45" w:name="_BPDCI_51"/>
      <w:r w:rsidRPr="00EC0CFC">
        <w:rPr>
          <w:sz w:val="24"/>
          <w:szCs w:val="24"/>
        </w:rPr>
        <w:t xml:space="preserve">access </w:t>
      </w:r>
      <w:bookmarkEnd w:id="45"/>
      <w:r w:rsidRPr="00EC0CFC">
        <w:rPr>
          <w:sz w:val="24"/>
          <w:szCs w:val="24"/>
        </w:rPr>
        <w:t xml:space="preserve">for routine exams is within 10 -14 days. Access in the </w:t>
      </w:r>
      <w:r w:rsidR="007F3216" w:rsidRPr="00EC0CFC">
        <w:rPr>
          <w:sz w:val="24"/>
          <w:szCs w:val="24"/>
        </w:rPr>
        <w:t>Plymouth Clinic</w:t>
      </w:r>
      <w:r w:rsidRPr="00EC0CFC">
        <w:rPr>
          <w:sz w:val="24"/>
          <w:szCs w:val="24"/>
        </w:rPr>
        <w:t xml:space="preserve"> Patient Panel for CT and MRI would be improved based on increased capacity associated with the planned service days and projected volume.</w:t>
      </w:r>
    </w:p>
    <w:p w14:paraId="63E6933A" w14:textId="4C130C60" w:rsidR="00745383" w:rsidRPr="00EC0CFC" w:rsidRDefault="00745383" w:rsidP="00B87018">
      <w:pPr>
        <w:numPr>
          <w:ilvl w:val="0"/>
          <w:numId w:val="9"/>
        </w:numPr>
        <w:spacing w:after="0" w:line="240" w:lineRule="auto"/>
        <w:rPr>
          <w:sz w:val="24"/>
          <w:szCs w:val="24"/>
        </w:rPr>
      </w:pPr>
      <w:r w:rsidRPr="00EC0CFC">
        <w:rPr>
          <w:sz w:val="24"/>
          <w:szCs w:val="24"/>
        </w:rPr>
        <w:t xml:space="preserve">Monitoring: The </w:t>
      </w:r>
      <w:r w:rsidR="007F3216" w:rsidRPr="00EC0CFC">
        <w:rPr>
          <w:sz w:val="24"/>
          <w:szCs w:val="24"/>
        </w:rPr>
        <w:t>Plymouth Clinic</w:t>
      </w:r>
      <w:r w:rsidRPr="00EC0CFC">
        <w:rPr>
          <w:sz w:val="24"/>
          <w:szCs w:val="24"/>
        </w:rPr>
        <w:t xml:space="preserve"> wait times will be added to Atrius Health standard reporting data when services become operational and will be monitored monthly by Radiology Regional Service Line Managers. Service adjustments will be made if there are access constraints, as indicated by persistent increases in wait times for first available appointments from when the order was placed.</w:t>
      </w:r>
    </w:p>
    <w:bookmarkEnd w:id="42"/>
    <w:p w14:paraId="73DEA8B9" w14:textId="3FFBAAA2" w:rsidR="00745383" w:rsidRPr="00EC0CFC" w:rsidRDefault="00745383" w:rsidP="00B87018">
      <w:pPr>
        <w:spacing w:after="0" w:line="240" w:lineRule="auto"/>
        <w:rPr>
          <w:b/>
          <w:bCs/>
          <w:sz w:val="24"/>
          <w:szCs w:val="24"/>
        </w:rPr>
      </w:pPr>
    </w:p>
    <w:p w14:paraId="34CDD235" w14:textId="57060E6C" w:rsidR="00745383" w:rsidRPr="00EC0CFC" w:rsidRDefault="00745383" w:rsidP="00B87018">
      <w:pPr>
        <w:spacing w:after="0" w:line="240" w:lineRule="auto"/>
        <w:rPr>
          <w:b/>
          <w:bCs/>
          <w:sz w:val="24"/>
          <w:szCs w:val="24"/>
        </w:rPr>
      </w:pPr>
    </w:p>
    <w:p w14:paraId="1E6436E7" w14:textId="059B0474" w:rsidR="00745383" w:rsidRPr="00EC0CFC" w:rsidRDefault="00745383" w:rsidP="00B87018">
      <w:pPr>
        <w:spacing w:after="0" w:line="240" w:lineRule="auto"/>
        <w:rPr>
          <w:b/>
          <w:bCs/>
          <w:sz w:val="24"/>
          <w:szCs w:val="24"/>
        </w:rPr>
      </w:pPr>
    </w:p>
    <w:p w14:paraId="27068306" w14:textId="3FDD4F74" w:rsidR="00745383" w:rsidRPr="00EC0CFC" w:rsidRDefault="00745383" w:rsidP="00B87018">
      <w:pPr>
        <w:spacing w:after="0" w:line="240" w:lineRule="auto"/>
        <w:rPr>
          <w:b/>
          <w:bCs/>
          <w:sz w:val="24"/>
          <w:szCs w:val="24"/>
        </w:rPr>
      </w:pPr>
    </w:p>
    <w:p w14:paraId="283DD98D" w14:textId="67CFC9D7" w:rsidR="00745383" w:rsidRPr="00EC0CFC" w:rsidRDefault="00745383" w:rsidP="00B87018">
      <w:pPr>
        <w:spacing w:after="0" w:line="240" w:lineRule="auto"/>
        <w:rPr>
          <w:b/>
          <w:bCs/>
          <w:sz w:val="24"/>
          <w:szCs w:val="24"/>
        </w:rPr>
      </w:pPr>
    </w:p>
    <w:p w14:paraId="297F3238" w14:textId="77777777" w:rsidR="00745383" w:rsidRPr="00EC0CFC" w:rsidRDefault="00745383" w:rsidP="00B87018">
      <w:pPr>
        <w:spacing w:after="0" w:line="240" w:lineRule="auto"/>
        <w:rPr>
          <w:b/>
          <w:bCs/>
          <w:sz w:val="24"/>
          <w:szCs w:val="24"/>
        </w:rPr>
      </w:pPr>
    </w:p>
    <w:sectPr w:rsidR="00745383" w:rsidRPr="00EC0CFC" w:rsidSect="00A62C5B">
      <w:endnotePr>
        <w:numFmt w:val="lowerLetter"/>
      </w:endnotePr>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D727D" w14:textId="77777777" w:rsidR="00C95609" w:rsidRDefault="00C95609" w:rsidP="0017637D">
      <w:pPr>
        <w:spacing w:after="0" w:line="240" w:lineRule="auto"/>
      </w:pPr>
      <w:r>
        <w:separator/>
      </w:r>
    </w:p>
  </w:endnote>
  <w:endnote w:type="continuationSeparator" w:id="0">
    <w:p w14:paraId="10589AED" w14:textId="77777777" w:rsidR="00C95609" w:rsidRDefault="00C95609" w:rsidP="0017637D">
      <w:pPr>
        <w:spacing w:after="0" w:line="240" w:lineRule="auto"/>
      </w:pPr>
      <w:r>
        <w:continuationSeparator/>
      </w:r>
    </w:p>
  </w:endnote>
  <w:endnote w:type="continuationNotice" w:id="1">
    <w:p w14:paraId="4BA8E054" w14:textId="77777777" w:rsidR="00C95609" w:rsidRDefault="00C95609">
      <w:pPr>
        <w:spacing w:after="0" w:line="240" w:lineRule="auto"/>
      </w:pPr>
    </w:p>
  </w:endnote>
  <w:endnote w:id="2">
    <w:p w14:paraId="712FFB24" w14:textId="77777777" w:rsidR="007A3644" w:rsidRDefault="007A3644" w:rsidP="00624762">
      <w:pPr>
        <w:pStyle w:val="CommentText"/>
        <w:spacing w:after="0"/>
      </w:pPr>
      <w:r>
        <w:rPr>
          <w:rStyle w:val="EndnoteReference"/>
        </w:rPr>
        <w:endnoteRef/>
      </w:r>
      <w:r>
        <w:t xml:space="preserve"> </w:t>
      </w:r>
      <w:hyperlink r:id="rId1" w:history="1">
        <w:r w:rsidRPr="002710A0">
          <w:rPr>
            <w:rStyle w:val="Hyperlink"/>
          </w:rPr>
          <w:t>UMDI_LongTermPopulationProjectionsReport_2015 04 _29.pdf (donahue-institute.org)</w:t>
        </w:r>
      </w:hyperlink>
      <w:r w:rsidRPr="00C02E8E">
        <w:rPr>
          <w:rStyle w:val="Hyperlink"/>
        </w:rPr>
        <w:t xml:space="preserve">  </w:t>
      </w:r>
      <w:r>
        <w:rPr>
          <w:sz w:val="22"/>
          <w:szCs w:val="22"/>
        </w:rPr>
        <w:t>P 31</w:t>
      </w:r>
    </w:p>
  </w:endnote>
  <w:endnote w:id="3">
    <w:p w14:paraId="58C277E2" w14:textId="77777777" w:rsidR="007A3644" w:rsidRDefault="007A3644" w:rsidP="007A3644">
      <w:pPr>
        <w:pStyle w:val="EndnoteText"/>
      </w:pPr>
      <w:r>
        <w:rPr>
          <w:rStyle w:val="EndnoteReference"/>
        </w:rPr>
        <w:endnoteRef/>
      </w:r>
      <w:r>
        <w:t xml:space="preserve"> </w:t>
      </w:r>
      <w:r w:rsidRPr="00D33249">
        <w:rPr>
          <w:rStyle w:val="Hyperlink"/>
        </w:rPr>
        <w:t>https://www.mass.gov/doc/population-projections-methods-umdi-massdot/download</w:t>
      </w:r>
    </w:p>
  </w:endnote>
  <w:endnote w:id="4">
    <w:p w14:paraId="758D5CD7" w14:textId="2AD4112D" w:rsidR="007A3644" w:rsidRDefault="007A3644" w:rsidP="007A3644">
      <w:pPr>
        <w:pStyle w:val="EndnoteText"/>
      </w:pPr>
      <w:r>
        <w:rPr>
          <w:rStyle w:val="EndnoteReference"/>
        </w:rPr>
        <w:endnoteRef/>
      </w:r>
      <w:r w:rsidRPr="00D33249">
        <w:rPr>
          <w:rStyle w:val="Hyperlink"/>
        </w:rPr>
        <w:t>https://www.mass.gov/doc/population-projections-methods-umdi-massdot/download</w:t>
      </w:r>
      <w:r>
        <w:t xml:space="preserve"> </w:t>
      </w:r>
    </w:p>
  </w:endnote>
  <w:endnote w:id="5">
    <w:p w14:paraId="4B2FA428" w14:textId="77777777" w:rsidR="007A3644" w:rsidRDefault="007A3644" w:rsidP="007A3644">
      <w:pPr>
        <w:pStyle w:val="EndnoteText"/>
      </w:pPr>
      <w:r>
        <w:rPr>
          <w:rStyle w:val="EndnoteReference"/>
        </w:rPr>
        <w:endnoteRef/>
      </w:r>
      <w:r>
        <w:t xml:space="preserve"> </w:t>
      </w:r>
      <w:r w:rsidRPr="00D33249">
        <w:rPr>
          <w:rStyle w:val="Hyperlink"/>
        </w:rPr>
        <w:t>https://www.uspreventiveservicestaskforce.org/uspstf/recommendation/lung-cancer-screening#bootstrap-panel--4</w:t>
      </w:r>
    </w:p>
  </w:endnote>
  <w:endnote w:id="6">
    <w:p w14:paraId="6F0438C3" w14:textId="24068A3F" w:rsidR="00400584" w:rsidRPr="00361ACC" w:rsidRDefault="00400584" w:rsidP="00400584">
      <w:pPr>
        <w:pStyle w:val="EndnoteText"/>
        <w:contextualSpacing/>
        <w:rPr>
          <w:rFonts w:cstheme="minorHAnsi"/>
        </w:rPr>
      </w:pPr>
      <w:r w:rsidRPr="00361ACC">
        <w:rPr>
          <w:rStyle w:val="EndnoteReference"/>
          <w:rFonts w:cstheme="minorHAnsi"/>
        </w:rPr>
        <w:endnoteRef/>
      </w:r>
      <w:r w:rsidRPr="00361ACC">
        <w:rPr>
          <w:rFonts w:cstheme="minorHAnsi"/>
        </w:rPr>
        <w:t xml:space="preserve"> </w:t>
      </w:r>
      <w:hyperlink r:id="rId2" w:history="1">
        <w:r w:rsidRPr="0003374F">
          <w:rPr>
            <w:rStyle w:val="Hyperlink"/>
            <w:rFonts w:cstheme="minorHAnsi"/>
            <w:color w:val="000000" w:themeColor="text1"/>
            <w:u w:val="none"/>
          </w:rPr>
          <w:t>Centers  For Disease Control &amp; Prevention, State of the State of Massachusetts</w:t>
        </w:r>
      </w:hyperlink>
      <w:r w:rsidRPr="0003374F">
        <w:rPr>
          <w:rFonts w:cstheme="minorHAnsi"/>
          <w:color w:val="000000" w:themeColor="text1"/>
        </w:rPr>
        <w:t xml:space="preserve"> </w:t>
      </w:r>
      <w:hyperlink r:id="rId3" w:history="1">
        <w:r w:rsidRPr="00361ACC">
          <w:rPr>
            <w:rStyle w:val="Hyperlink"/>
            <w:rFonts w:cstheme="minorHAnsi"/>
          </w:rPr>
          <w:t>https://www.cdc.gov/nchs/pressroom/states/massachusetts.htm</w:t>
        </w:r>
      </w:hyperlink>
      <w:r w:rsidRPr="00361ACC">
        <w:rPr>
          <w:rStyle w:val="Hyperlink"/>
          <w:rFonts w:cstheme="minorHAnsi"/>
        </w:rPr>
        <w:t>.</w:t>
      </w:r>
    </w:p>
  </w:endnote>
  <w:endnote w:id="7">
    <w:p w14:paraId="10028F3F" w14:textId="6630D943" w:rsidR="00400584" w:rsidRPr="00361ACC" w:rsidRDefault="00400584" w:rsidP="00400584">
      <w:pPr>
        <w:pStyle w:val="EndnoteText"/>
        <w:rPr>
          <w:rFonts w:cstheme="minorHAnsi"/>
        </w:rPr>
      </w:pPr>
      <w:r w:rsidRPr="00361ACC">
        <w:rPr>
          <w:rStyle w:val="EndnoteReference"/>
          <w:rFonts w:cstheme="minorHAnsi"/>
        </w:rPr>
        <w:endnoteRef/>
      </w:r>
      <w:r w:rsidRPr="00361ACC">
        <w:rPr>
          <w:rFonts w:cstheme="minorHAnsi"/>
        </w:rPr>
        <w:t xml:space="preserve"> National Cancer Institute. </w:t>
      </w:r>
      <w:hyperlink r:id="rId4" w:history="1">
        <w:r w:rsidRPr="0003374F">
          <w:rPr>
            <w:rStyle w:val="Hyperlink"/>
            <w:rFonts w:cstheme="minorHAnsi"/>
            <w:color w:val="000000" w:themeColor="text1"/>
            <w:u w:val="none"/>
          </w:rPr>
          <w:t>State Cancer Profiles. Quick Profiles: Massachusetts</w:t>
        </w:r>
      </w:hyperlink>
      <w:r w:rsidRPr="0003374F">
        <w:rPr>
          <w:rFonts w:cstheme="minorHAnsi"/>
          <w:color w:val="000000" w:themeColor="text1"/>
        </w:rPr>
        <w:t xml:space="preserve">. </w:t>
      </w:r>
      <w:hyperlink r:id="rId5" w:history="1">
        <w:r w:rsidRPr="00361ACC">
          <w:rPr>
            <w:rStyle w:val="Hyperlink"/>
            <w:rFonts w:cstheme="minorHAnsi"/>
          </w:rPr>
          <w:t>https://statecancerprofiles.cancer.gov/quick-profiles/index.php?statename=massachusetts</w:t>
        </w:r>
      </w:hyperlink>
      <w:r w:rsidRPr="00361ACC">
        <w:rPr>
          <w:rStyle w:val="Hyperlink"/>
          <w:rFonts w:cstheme="minorHAnsi"/>
        </w:rPr>
        <w:t>.</w:t>
      </w:r>
      <w:r w:rsidRPr="00361ACC">
        <w:rPr>
          <w:rFonts w:cstheme="minorHAnsi"/>
        </w:rPr>
        <w:t xml:space="preserve">  </w:t>
      </w:r>
    </w:p>
  </w:endnote>
  <w:endnote w:id="8">
    <w:p w14:paraId="4D3E27D9" w14:textId="77777777" w:rsidR="00400584" w:rsidRPr="00361ACC" w:rsidRDefault="00400584" w:rsidP="00400584">
      <w:pPr>
        <w:pStyle w:val="EndnoteText"/>
        <w:rPr>
          <w:rFonts w:cstheme="minorHAnsi"/>
        </w:rPr>
      </w:pPr>
      <w:r w:rsidRPr="00361ACC">
        <w:rPr>
          <w:rStyle w:val="EndnoteReference"/>
          <w:rFonts w:cstheme="minorHAnsi"/>
        </w:rPr>
        <w:endnoteRef/>
      </w:r>
      <w:r w:rsidRPr="00361ACC">
        <w:rPr>
          <w:rFonts w:cstheme="minorHAnsi"/>
        </w:rPr>
        <w:t xml:space="preserve"> National Cancer Institute, Cancer causes and Prevention, Age and Cancer Risk, NCI Surveillance, Epidemiology and End Results program, https://www.cancer.gov/about-cancer/causes-prevention/risk/age</w:t>
      </w:r>
    </w:p>
  </w:endnote>
  <w:endnote w:id="9">
    <w:p w14:paraId="648B8001" w14:textId="77777777" w:rsidR="00400584" w:rsidRPr="00361ACC" w:rsidRDefault="00400584" w:rsidP="00400584">
      <w:pPr>
        <w:pStyle w:val="EndnoteText"/>
        <w:rPr>
          <w:rFonts w:cstheme="minorHAnsi"/>
        </w:rPr>
      </w:pPr>
      <w:r w:rsidRPr="00361ACC">
        <w:rPr>
          <w:rStyle w:val="EndnoteReference"/>
          <w:rFonts w:cstheme="minorHAnsi"/>
        </w:rPr>
        <w:endnoteRef/>
      </w:r>
      <w:r w:rsidRPr="00361ACC">
        <w:rPr>
          <w:rFonts w:cstheme="minorHAnsi"/>
        </w:rPr>
        <w:t xml:space="preserve"> White MC, Holman DM, Boehm JE, Peipins LA, Grossman M, Henley SJ. Age and cancer risk: a potentially modifiable relationship. Am J Prev Med. 2014 Mar;46(3 Suppl 1):S7-15. doi: 10.1016/j.amepre.2013.10.029. PMID: 24512933; PMCID: PMC4544764.</w:t>
      </w:r>
    </w:p>
  </w:endnote>
  <w:endnote w:id="10">
    <w:p w14:paraId="56BA8DD7" w14:textId="77777777" w:rsidR="00400584" w:rsidRPr="00361ACC" w:rsidRDefault="00400584" w:rsidP="00400584">
      <w:pPr>
        <w:pStyle w:val="EndnoteText"/>
        <w:rPr>
          <w:rFonts w:cstheme="minorHAnsi"/>
        </w:rPr>
      </w:pPr>
      <w:r w:rsidRPr="00361ACC">
        <w:rPr>
          <w:rStyle w:val="EndnoteReference"/>
          <w:rFonts w:cstheme="minorHAnsi"/>
        </w:rPr>
        <w:endnoteRef/>
      </w:r>
      <w:r w:rsidRPr="00361ACC">
        <w:rPr>
          <w:rFonts w:cstheme="minorHAnsi"/>
        </w:rPr>
        <w:t xml:space="preserve"> Berger NA, Savvides P, Koroukian SM, Kahana EF, Deimling GT, Rose JH, Bowman KF, Miller RH. Cancer in the elderly. Trans Am Clin Climatol Assoc. 2006;117:147-55; discussion 155-6. PMID: 18528470; PMCID: PMC1500929.</w:t>
      </w:r>
    </w:p>
  </w:endnote>
  <w:endnote w:id="11">
    <w:p w14:paraId="4DE04506" w14:textId="002C97C0" w:rsidR="00400584" w:rsidRPr="00290A7C" w:rsidRDefault="00400584" w:rsidP="00400584">
      <w:pPr>
        <w:pStyle w:val="EndnoteText"/>
        <w:rPr>
          <w:rFonts w:cstheme="minorHAnsi"/>
        </w:rPr>
      </w:pPr>
      <w:r w:rsidRPr="00290A7C">
        <w:rPr>
          <w:rStyle w:val="EndnoteReference"/>
          <w:rFonts w:cstheme="minorHAnsi"/>
        </w:rPr>
        <w:endnoteRef/>
      </w:r>
      <w:r w:rsidRPr="00290A7C">
        <w:rPr>
          <w:rFonts w:cstheme="minorHAnsi"/>
        </w:rPr>
        <w:t xml:space="preserve">Barbour KE, Helmick CG, Boring M, Brady TJ. </w:t>
      </w:r>
      <w:hyperlink r:id="rId6" w:history="1">
        <w:r w:rsidRPr="0003374F">
          <w:rPr>
            <w:rStyle w:val="Hyperlink"/>
            <w:rFonts w:cstheme="minorHAnsi"/>
            <w:color w:val="000000" w:themeColor="text1"/>
            <w:u w:val="none"/>
          </w:rPr>
          <w:t>Vital Signs: Prevalence of Doctor-Diagnosed Arthritis and Arthritis-Attributable Activity Limitation — United States</w:t>
        </w:r>
      </w:hyperlink>
      <w:r w:rsidRPr="0003374F">
        <w:rPr>
          <w:rFonts w:cstheme="minorHAnsi"/>
          <w:color w:val="000000" w:themeColor="text1"/>
        </w:rPr>
        <w:t>, 2013</w:t>
      </w:r>
      <w:r w:rsidRPr="00290A7C">
        <w:rPr>
          <w:rFonts w:cstheme="minorHAnsi"/>
        </w:rPr>
        <w:t>–2015. MMWR Morb Mortal Wkly Rep 2017;66:246–253. DOI: </w:t>
      </w:r>
      <w:hyperlink r:id="rId7" w:tgtFrame="_blank" w:history="1">
        <w:r w:rsidRPr="00290A7C">
          <w:rPr>
            <w:rStyle w:val="Hyperlink"/>
            <w:rFonts w:cstheme="minorHAnsi"/>
          </w:rPr>
          <w:t>http://dx.doi.org/10.15585/mmwr.mm6609e1</w:t>
        </w:r>
      </w:hyperlink>
      <w:r w:rsidRPr="00290A7C">
        <w:rPr>
          <w:rFonts w:cstheme="minorHAnsi"/>
        </w:rPr>
        <w:t xml:space="preserve"> </w:t>
      </w:r>
    </w:p>
  </w:endnote>
  <w:endnote w:id="12">
    <w:p w14:paraId="2FC4E1CE" w14:textId="6C8B7697" w:rsidR="00400584" w:rsidRPr="00290A7C" w:rsidRDefault="00400584" w:rsidP="00400584">
      <w:pPr>
        <w:pStyle w:val="EndnoteText"/>
        <w:rPr>
          <w:rFonts w:cstheme="minorHAnsi"/>
        </w:rPr>
      </w:pPr>
      <w:r w:rsidRPr="00290A7C">
        <w:rPr>
          <w:rStyle w:val="EndnoteReference"/>
          <w:rFonts w:cstheme="minorHAnsi"/>
        </w:rPr>
        <w:endnoteRef/>
      </w:r>
      <w:r w:rsidRPr="00290A7C">
        <w:rPr>
          <w:rFonts w:cstheme="minorHAnsi"/>
        </w:rPr>
        <w:t xml:space="preserve"> BRFSS Statewide Reports and Publications. </w:t>
      </w:r>
      <w:hyperlink r:id="rId8" w:history="1">
        <w:r w:rsidRPr="0003374F">
          <w:rPr>
            <w:rStyle w:val="Hyperlink"/>
            <w:rFonts w:cstheme="minorHAnsi"/>
            <w:color w:val="000000" w:themeColor="text1"/>
            <w:u w:val="none"/>
          </w:rPr>
          <w:t>A Profile of Health Among Massachusetts Adults, by year</w:t>
        </w:r>
      </w:hyperlink>
      <w:r w:rsidRPr="0003374F">
        <w:rPr>
          <w:rFonts w:cstheme="minorHAnsi"/>
          <w:color w:val="000000" w:themeColor="text1"/>
        </w:rPr>
        <w:t xml:space="preserve">. </w:t>
      </w:r>
      <w:hyperlink r:id="rId9" w:history="1">
        <w:r w:rsidRPr="00290A7C">
          <w:rPr>
            <w:rStyle w:val="Hyperlink"/>
            <w:rFonts w:cstheme="minorHAnsi"/>
          </w:rPr>
          <w:t>https://www.mass.gov/lists/brfss-statewide-reports-and-publications</w:t>
        </w:r>
      </w:hyperlink>
      <w:r w:rsidRPr="00290A7C">
        <w:rPr>
          <w:rFonts w:cstheme="minorHAnsi"/>
        </w:rPr>
        <w:t xml:space="preserve"> </w:t>
      </w:r>
    </w:p>
  </w:endnote>
  <w:endnote w:id="13">
    <w:p w14:paraId="4CC59DCC" w14:textId="77777777" w:rsidR="00174A01" w:rsidRPr="00D33249" w:rsidRDefault="00174A01" w:rsidP="00174A01">
      <w:pPr>
        <w:spacing w:after="0"/>
        <w:rPr>
          <w:rStyle w:val="Hyperlink"/>
          <w:sz w:val="20"/>
          <w:szCs w:val="20"/>
        </w:rPr>
      </w:pPr>
      <w:r>
        <w:rPr>
          <w:rStyle w:val="EndnoteReference"/>
        </w:rPr>
        <w:endnoteRef/>
      </w:r>
      <w:r>
        <w:t xml:space="preserve"> </w:t>
      </w:r>
      <w:hyperlink r:id="rId10" w:history="1">
        <w:r w:rsidRPr="00D33249">
          <w:rPr>
            <w:rStyle w:val="Hyperlink"/>
            <w:sz w:val="20"/>
            <w:szCs w:val="20"/>
          </w:rPr>
          <w:t>Magnetic Resonance Imaging (MRI) (nih.gov)</w:t>
        </w:r>
      </w:hyperlink>
    </w:p>
  </w:endnote>
  <w:endnote w:id="14">
    <w:p w14:paraId="54436C2E" w14:textId="77777777" w:rsidR="00174A01" w:rsidRPr="00D33249" w:rsidRDefault="00174A01" w:rsidP="00174A01">
      <w:pPr>
        <w:spacing w:after="0"/>
        <w:rPr>
          <w:rStyle w:val="Hyperlink"/>
          <w:sz w:val="20"/>
          <w:szCs w:val="20"/>
        </w:rPr>
      </w:pPr>
      <w:r>
        <w:rPr>
          <w:rStyle w:val="EndnoteReference"/>
        </w:rPr>
        <w:endnoteRef/>
      </w:r>
      <w:r>
        <w:t xml:space="preserve"> </w:t>
      </w:r>
      <w:hyperlink r:id="rId11" w:history="1">
        <w:r w:rsidRPr="00D33249">
          <w:rPr>
            <w:rStyle w:val="Hyperlink"/>
            <w:sz w:val="20"/>
            <w:szCs w:val="20"/>
          </w:rPr>
          <w:t>Magnetic Resonance Imaging (MRI) of the Bones, Joints, and Soft Tissues | Johns Hopkins Medicine</w:t>
        </w:r>
      </w:hyperlink>
    </w:p>
  </w:endnote>
  <w:endnote w:id="15">
    <w:p w14:paraId="399A0F15" w14:textId="77777777" w:rsidR="00174A01" w:rsidRDefault="00174A01" w:rsidP="00174A01">
      <w:pPr>
        <w:pStyle w:val="EndnoteText"/>
      </w:pPr>
      <w:r>
        <w:rPr>
          <w:rStyle w:val="EndnoteReference"/>
        </w:rPr>
        <w:endnoteRef/>
      </w:r>
      <w:r>
        <w:t xml:space="preserve"> </w:t>
      </w:r>
      <w:hyperlink r:id="rId12" w:anchor=":~:text=MRI%20of%20brain%20infarction.%20MRI%20with%20long%20SE,patient%27s%20course%2C%20for%20a%20period%20of%20several%20months." w:history="1">
        <w:r w:rsidRPr="00D33249">
          <w:rPr>
            <w:rStyle w:val="Hyperlink"/>
          </w:rPr>
          <w:t>MRI of brain infarction - PubMed (nih.gov)</w:t>
        </w:r>
      </w:hyperlink>
    </w:p>
  </w:endnote>
  <w:endnote w:id="16">
    <w:p w14:paraId="66416175" w14:textId="77777777" w:rsidR="00174A01" w:rsidRDefault="00174A01" w:rsidP="00174A01">
      <w:pPr>
        <w:spacing w:after="0"/>
      </w:pPr>
      <w:r>
        <w:rPr>
          <w:rStyle w:val="EndnoteReference"/>
        </w:rPr>
        <w:endnoteRef/>
      </w:r>
      <w:r>
        <w:t xml:space="preserve"> </w:t>
      </w:r>
      <w:hyperlink r:id="rId13" w:history="1">
        <w:r w:rsidRPr="00D33249">
          <w:rPr>
            <w:rStyle w:val="Hyperlink"/>
            <w:sz w:val="20"/>
            <w:szCs w:val="20"/>
          </w:rPr>
          <w:t>Magnetic resonance imaging in neurological disorders - PubMed (nih.gov)</w:t>
        </w:r>
      </w:hyperlink>
    </w:p>
  </w:endnote>
  <w:endnote w:id="17">
    <w:p w14:paraId="7544B49F" w14:textId="77777777" w:rsidR="00174A01" w:rsidRDefault="00174A01" w:rsidP="00174A01">
      <w:pPr>
        <w:spacing w:after="0"/>
      </w:pPr>
      <w:r>
        <w:rPr>
          <w:rStyle w:val="EndnoteReference"/>
        </w:rPr>
        <w:endnoteRef/>
      </w:r>
      <w:r>
        <w:t xml:space="preserve"> </w:t>
      </w:r>
      <w:hyperlink r:id="rId14" w:history="1">
        <w:r w:rsidRPr="00D33249">
          <w:rPr>
            <w:rStyle w:val="Hyperlink"/>
            <w:sz w:val="20"/>
            <w:szCs w:val="20"/>
          </w:rPr>
          <w:t>The role of MRI in musculoskeletal practice: a clinical perspective - PMC (nih.gov)</w:t>
        </w:r>
      </w:hyperlink>
    </w:p>
  </w:endnote>
  <w:endnote w:id="18">
    <w:p w14:paraId="67D21FE9" w14:textId="77777777" w:rsidR="00174A01" w:rsidRDefault="00174A01" w:rsidP="00174A01">
      <w:pPr>
        <w:pStyle w:val="EndnoteText"/>
      </w:pPr>
      <w:r>
        <w:rPr>
          <w:rStyle w:val="EndnoteReference"/>
        </w:rPr>
        <w:endnoteRef/>
      </w:r>
      <w:r>
        <w:t xml:space="preserve"> </w:t>
      </w:r>
      <w:hyperlink r:id="rId15" w:history="1">
        <w:r w:rsidRPr="00D33249">
          <w:rPr>
            <w:rStyle w:val="Hyperlink"/>
          </w:rPr>
          <w:t>Computed Tomography (CT) (nih.gov)</w:t>
        </w:r>
      </w:hyperlink>
    </w:p>
  </w:endnote>
  <w:endnote w:id="19">
    <w:p w14:paraId="031F1A12" w14:textId="77777777" w:rsidR="00174A01" w:rsidRPr="00D33249" w:rsidRDefault="00174A01" w:rsidP="00174A01">
      <w:pPr>
        <w:pStyle w:val="EndnoteText"/>
        <w:rPr>
          <w:rStyle w:val="Hyperlink"/>
        </w:rPr>
      </w:pPr>
      <w:r>
        <w:rPr>
          <w:rStyle w:val="EndnoteReference"/>
        </w:rPr>
        <w:endnoteRef/>
      </w:r>
      <w:r>
        <w:t xml:space="preserve"> </w:t>
      </w:r>
      <w:hyperlink r:id="rId16" w:history="1">
        <w:r w:rsidRPr="00D33249">
          <w:rPr>
            <w:rStyle w:val="Hyperlink"/>
          </w:rPr>
          <w:t>https://www.ncbi.nlm.nih.gov/pmc/articles/PMC5183924/</w:t>
        </w:r>
      </w:hyperlink>
    </w:p>
  </w:endnote>
  <w:endnote w:id="20">
    <w:p w14:paraId="5B37D1A5" w14:textId="77777777" w:rsidR="00174A01" w:rsidRDefault="00174A01" w:rsidP="00174A01">
      <w:pPr>
        <w:spacing w:after="0" w:line="240" w:lineRule="auto"/>
      </w:pPr>
      <w:r>
        <w:rPr>
          <w:rStyle w:val="EndnoteReference"/>
        </w:rPr>
        <w:endnoteRef/>
      </w:r>
      <w:r>
        <w:t xml:space="preserve"> </w:t>
      </w:r>
      <w:hyperlink r:id="rId17" w:anchor=":~:text=What%20is%20computed%20tomography%3F%20Computed%20tomography%20%28CT%29%20is,called%20computerized%20tomography%20or%20computerized%20axial%20tomography%20%28CAT%29." w:history="1">
        <w:r w:rsidRPr="00D33249">
          <w:rPr>
            <w:rStyle w:val="Hyperlink"/>
            <w:sz w:val="20"/>
            <w:szCs w:val="20"/>
          </w:rPr>
          <w:t>Computed Tomography (CT) Scans and Cancer Fact Sheet - NCI</w:t>
        </w:r>
      </w:hyperlink>
    </w:p>
  </w:endnote>
  <w:endnote w:id="21">
    <w:p w14:paraId="586D798F" w14:textId="77777777" w:rsidR="003D1701" w:rsidRDefault="003D1701" w:rsidP="003D1701">
      <w:pPr>
        <w:pStyle w:val="EndnoteText"/>
      </w:pPr>
      <w:r>
        <w:rPr>
          <w:rStyle w:val="EndnoteReference"/>
        </w:rPr>
        <w:endnoteRef/>
      </w:r>
      <w:r>
        <w:t xml:space="preserve"> </w:t>
      </w:r>
      <w:hyperlink r:id="rId18" w:anchor=":~:text=LDCT%20scans%20can%20help%20find%20abnormal%20areas%20in,lower%20the%20risk%20of%20dying%20from%20lung%20cancer." w:history="1">
        <w:r>
          <w:rPr>
            <w:rStyle w:val="Hyperlink"/>
          </w:rPr>
          <w:t>Lung Cancer Early Detection | Lung Cancer Screening</w:t>
        </w:r>
      </w:hyperlink>
    </w:p>
  </w:endnote>
  <w:endnote w:id="22">
    <w:p w14:paraId="07728E20" w14:textId="77777777" w:rsidR="00174A01" w:rsidRDefault="00174A01" w:rsidP="00174A01">
      <w:pPr>
        <w:pStyle w:val="EndnoteText"/>
      </w:pPr>
      <w:r>
        <w:rPr>
          <w:rStyle w:val="EndnoteReference"/>
        </w:rPr>
        <w:endnoteRef/>
      </w:r>
      <w:r>
        <w:t xml:space="preserve"> </w:t>
      </w:r>
      <w:hyperlink r:id="rId19" w:history="1">
        <w:r w:rsidRPr="00D33249">
          <w:rPr>
            <w:rStyle w:val="Hyperlink"/>
          </w:rPr>
          <w:t>https://www.ncbi.nlm.nih.gov/pmc/articles/PMC8280577/</w:t>
        </w:r>
      </w:hyperlink>
    </w:p>
  </w:endnote>
  <w:endnote w:id="23">
    <w:p w14:paraId="50C30A4F" w14:textId="77777777" w:rsidR="00174A01" w:rsidRDefault="00174A01" w:rsidP="00174A01">
      <w:pPr>
        <w:pStyle w:val="EndnoteText"/>
      </w:pPr>
      <w:r>
        <w:rPr>
          <w:rStyle w:val="EndnoteReference"/>
        </w:rPr>
        <w:endnoteRef/>
      </w:r>
      <w:r>
        <w:t xml:space="preserve"> </w:t>
      </w:r>
      <w:r w:rsidRPr="00D33249">
        <w:rPr>
          <w:rStyle w:val="Hyperlink"/>
        </w:rPr>
        <w:t>https://ascopost.com/news/december-2021/effect-of-the-covid-19-pandemic-on-cancer-imaging/</w:t>
      </w:r>
    </w:p>
  </w:endnote>
  <w:endnote w:id="24">
    <w:p w14:paraId="656F6ABD" w14:textId="77777777" w:rsidR="00174A01" w:rsidRPr="000C079F" w:rsidRDefault="00174A01" w:rsidP="00174A01">
      <w:pPr>
        <w:spacing w:after="0"/>
        <w:rPr>
          <w:color w:val="FF0000"/>
        </w:rPr>
      </w:pPr>
      <w:r>
        <w:rPr>
          <w:rStyle w:val="EndnoteReference"/>
        </w:rPr>
        <w:endnoteRef/>
      </w:r>
      <w:r>
        <w:t xml:space="preserve"> </w:t>
      </w:r>
      <w:hyperlink r:id="rId20" w:anchor="Sec21" w:history="1">
        <w:r w:rsidRPr="00D33249">
          <w:rPr>
            <w:rStyle w:val="Hyperlink"/>
          </w:rPr>
          <w:t>https://bmcgeriatr.biomedcentral.com/articles/10.1186/s12877-019-1197-9#Sec21</w:t>
        </w:r>
      </w:hyperlink>
      <w:r w:rsidRPr="003620D3">
        <w:rPr>
          <w:color w:val="FF0000"/>
        </w:rPr>
        <w:t xml:space="preserve"> </w:t>
      </w:r>
    </w:p>
  </w:endnote>
  <w:endnote w:id="25">
    <w:p w14:paraId="7E5EC007" w14:textId="77777777" w:rsidR="00174A01" w:rsidRDefault="00174A01" w:rsidP="00174A01">
      <w:pPr>
        <w:pStyle w:val="EndnoteText"/>
      </w:pPr>
      <w:r>
        <w:rPr>
          <w:rStyle w:val="EndnoteReference"/>
        </w:rPr>
        <w:endnoteRef/>
      </w:r>
      <w:r>
        <w:t xml:space="preserve"> </w:t>
      </w:r>
      <w:hyperlink r:id="rId21" w:anchor="Sec21" w:history="1">
        <w:r w:rsidRPr="00D33249">
          <w:rPr>
            <w:rStyle w:val="Hyperlink"/>
          </w:rPr>
          <w:t>https://bmcgeriatr.biomedcentral.com/articles/10.1186/s12877-019-1197-9#Sec21</w:t>
        </w:r>
      </w:hyperlink>
    </w:p>
  </w:endnote>
  <w:endnote w:id="26">
    <w:p w14:paraId="6379763B" w14:textId="7C544EEE" w:rsidR="00817609" w:rsidRDefault="00817609" w:rsidP="00817609">
      <w:pPr>
        <w:pStyle w:val="EndnoteText"/>
      </w:pPr>
      <w:r>
        <w:rPr>
          <w:rStyle w:val="EndnoteReference"/>
        </w:rPr>
        <w:endnoteRef/>
      </w:r>
      <w:r>
        <w:t xml:space="preserve"> </w:t>
      </w:r>
      <w:r w:rsidRPr="0059690C">
        <w:t xml:space="preserve">Prakash B. </w:t>
      </w:r>
      <w:hyperlink r:id="rId22" w:history="1">
        <w:r w:rsidRPr="0003374F">
          <w:rPr>
            <w:rStyle w:val="Hyperlink"/>
            <w:color w:val="000000" w:themeColor="text1"/>
            <w:u w:val="none"/>
          </w:rPr>
          <w:t>Patient satisfaction</w:t>
        </w:r>
      </w:hyperlink>
      <w:r w:rsidRPr="0003374F">
        <w:rPr>
          <w:color w:val="000000" w:themeColor="text1"/>
        </w:rPr>
        <w:t xml:space="preserve">. J Cutan </w:t>
      </w:r>
      <w:r w:rsidRPr="0059690C">
        <w:t>Aesthet Surg. 2010;3(3):151-155. doi:10.4103/0974-2077.74491</w:t>
      </w:r>
      <w:r>
        <w:t xml:space="preserve">. Available: </w:t>
      </w:r>
      <w:hyperlink r:id="rId23" w:history="1">
        <w:r>
          <w:rPr>
            <w:rStyle w:val="Hyperlink"/>
          </w:rPr>
          <w:t>at https://www.ncbi.nlm.nih.gov/pmc/articles/PMC3047732/</w:t>
        </w:r>
      </w:hyperlink>
      <w:r>
        <w:t xml:space="preserve"> </w:t>
      </w:r>
    </w:p>
  </w:endnote>
  <w:endnote w:id="27">
    <w:p w14:paraId="45B98F33" w14:textId="77777777" w:rsidR="00817609" w:rsidRDefault="00817609" w:rsidP="00817609">
      <w:pPr>
        <w:pStyle w:val="EndnoteText"/>
      </w:pPr>
      <w:r>
        <w:rPr>
          <w:rStyle w:val="EndnoteReference"/>
        </w:rPr>
        <w:endnoteRef/>
      </w:r>
      <w:r>
        <w:t xml:space="preserve"> </w:t>
      </w:r>
      <w:r w:rsidRPr="00CB0ABC">
        <w:t>Hendee WR, Becker GJ, Borgstede JP, Bosma J, Casarella WJ, Erickson BA, Maynard CD, Thrall JH, Wallner PE. Addressing overutilization in medical imaging. Radiology. 2010 Oct;257(1):240-5. doi: 10.1148/radiol.10100063. Epub 2010 Aug 24. PMID: 20736333.</w:t>
      </w:r>
    </w:p>
  </w:endnote>
  <w:endnote w:id="28">
    <w:p w14:paraId="7AB7623A" w14:textId="46B05356" w:rsidR="00817609" w:rsidRDefault="00817609" w:rsidP="00817609">
      <w:pPr>
        <w:pStyle w:val="EndnoteText"/>
      </w:pPr>
      <w:r>
        <w:rPr>
          <w:rStyle w:val="EndnoteReference"/>
        </w:rPr>
        <w:endnoteRef/>
      </w:r>
      <w:r>
        <w:t xml:space="preserve"> CDC.</w:t>
      </w:r>
      <w:r w:rsidRPr="0003374F">
        <w:rPr>
          <w:color w:val="000000" w:themeColor="text1"/>
        </w:rPr>
        <w:t xml:space="preserve"> </w:t>
      </w:r>
      <w:hyperlink r:id="rId24" w:history="1">
        <w:r w:rsidRPr="0003374F">
          <w:rPr>
            <w:rStyle w:val="Hyperlink"/>
            <w:color w:val="000000" w:themeColor="text1"/>
            <w:u w:val="none"/>
          </w:rPr>
          <w:t>Stats of the State of Massachusetts</w:t>
        </w:r>
      </w:hyperlink>
      <w:r>
        <w:t xml:space="preserve">. </w:t>
      </w:r>
      <w:hyperlink r:id="rId25" w:history="1">
        <w:r w:rsidRPr="00E97D19">
          <w:rPr>
            <w:rStyle w:val="Hyperlink"/>
          </w:rPr>
          <w:t>at https://www.cdc.gov/nchs/pressroom/states/massachusetts/massachusetts.htm</w:t>
        </w:r>
      </w:hyperlink>
      <w:r>
        <w:t xml:space="preserve"> </w:t>
      </w:r>
    </w:p>
  </w:endnote>
  <w:endnote w:id="29">
    <w:p w14:paraId="288CFF28" w14:textId="76AE93CA" w:rsidR="00624762" w:rsidRDefault="00624762" w:rsidP="00A05C85">
      <w:pPr>
        <w:pStyle w:val="EndnoteText"/>
      </w:pPr>
      <w:r>
        <w:rPr>
          <w:rStyle w:val="EndnoteReference"/>
        </w:rPr>
        <w:endnoteRef/>
      </w:r>
      <w:r>
        <w:t xml:space="preserve"> </w:t>
      </w:r>
      <w:hyperlink r:id="rId26" w:history="1">
        <w:r w:rsidRPr="0003374F">
          <w:rPr>
            <w:rStyle w:val="Hyperlink"/>
            <w:color w:val="000000" w:themeColor="text1"/>
            <w:u w:val="none"/>
          </w:rPr>
          <w:t>Massachusetts Health Policy Commission, 2021 Cost Trends Report</w:t>
        </w:r>
      </w:hyperlink>
      <w:r w:rsidRPr="0003374F">
        <w:rPr>
          <w:color w:val="000000" w:themeColor="text1"/>
        </w:rPr>
        <w:t>, pp</w:t>
      </w:r>
      <w:r>
        <w:t>. 18-19.</w:t>
      </w:r>
    </w:p>
    <w:p w14:paraId="442562CB" w14:textId="77777777" w:rsidR="00624762" w:rsidRDefault="00C95609" w:rsidP="00A05C85">
      <w:pPr>
        <w:pStyle w:val="EndnoteText"/>
        <w:ind w:firstLine="180"/>
      </w:pPr>
      <w:hyperlink r:id="rId27" w:history="1">
        <w:r w:rsidR="00624762">
          <w:rPr>
            <w:rStyle w:val="Hyperlink"/>
          </w:rPr>
          <w:t>https://www.mass.gov/doc/2021-health-care-cost-trends-report/download</w:t>
        </w:r>
      </w:hyperlink>
      <w:r w:rsidR="00624762">
        <w:t xml:space="preserve"> </w:t>
      </w:r>
    </w:p>
  </w:endnote>
  <w:endnote w:id="30">
    <w:p w14:paraId="0598DA56" w14:textId="3361F5AF" w:rsidR="00272CB1" w:rsidRDefault="00272CB1" w:rsidP="00E316F1">
      <w:pPr>
        <w:pStyle w:val="EndnoteText"/>
      </w:pPr>
      <w:r>
        <w:rPr>
          <w:rStyle w:val="EndnoteReference"/>
        </w:rPr>
        <w:endnoteRef/>
      </w:r>
      <w:r>
        <w:t xml:space="preserve"> </w:t>
      </w:r>
      <w:r w:rsidRPr="002C5E1E">
        <w:t xml:space="preserve">HealthIT.gov. Improve Care Coordination. </w:t>
      </w:r>
      <w:hyperlink r:id="rId28" w:history="1">
        <w:r>
          <w:rPr>
            <w:rStyle w:val="Hyperlink"/>
          </w:rPr>
          <w:t>Available at https://www.healthit.gov/topic/health-it-basics/improve-care-coordination</w:t>
        </w:r>
      </w:hyperlink>
      <w:r>
        <w:t xml:space="preserve"> </w:t>
      </w:r>
      <w:r w:rsidRPr="002C5E1E">
        <w:t xml:space="preserve"> </w:t>
      </w:r>
    </w:p>
  </w:endnote>
  <w:endnote w:id="31">
    <w:p w14:paraId="249D8B01" w14:textId="2335D633" w:rsidR="00272CB1" w:rsidRDefault="00272CB1">
      <w:pPr>
        <w:pStyle w:val="EndnoteText"/>
      </w:pPr>
      <w:r>
        <w:rPr>
          <w:rStyle w:val="EndnoteReference"/>
        </w:rPr>
        <w:endnoteRef/>
      </w:r>
      <w:r>
        <w:t xml:space="preserve"> </w:t>
      </w:r>
      <w:r w:rsidRPr="00750FA4">
        <w:t xml:space="preserve">Pinsonneault, </w:t>
      </w:r>
      <w:r w:rsidR="008D2807">
        <w:t xml:space="preserve">A., </w:t>
      </w:r>
      <w:r w:rsidRPr="00750FA4">
        <w:t>Addas,</w:t>
      </w:r>
      <w:r w:rsidR="008D2807">
        <w:t xml:space="preserve"> S.,</w:t>
      </w:r>
      <w:r w:rsidRPr="00750FA4">
        <w:t xml:space="preserve"> Qian,</w:t>
      </w:r>
      <w:r w:rsidR="008D2807">
        <w:t xml:space="preserve"> C., </w:t>
      </w:r>
      <w:r w:rsidRPr="00750FA4">
        <w:t xml:space="preserve">Dakshinamoorthy </w:t>
      </w:r>
      <w:r w:rsidR="008D2807">
        <w:t>V.,</w:t>
      </w:r>
      <w:r w:rsidRPr="00750FA4">
        <w:t xml:space="preserve"> Tamblyn</w:t>
      </w:r>
      <w:r w:rsidR="008D2807">
        <w:t>., R.</w:t>
      </w:r>
      <w:r w:rsidRPr="00750FA4">
        <w:t xml:space="preserve"> (2017) Integrated Health Information Technology and the Quality of Patient Care: A Natural Experiment, Journal of Management Information Systems, 34:2, 457-486, DOI: 10.1080/07421222.2017.1334477.</w:t>
      </w:r>
    </w:p>
  </w:endnote>
  <w:endnote w:id="32">
    <w:p w14:paraId="53FCC485" w14:textId="5FE55045" w:rsidR="00272CB1" w:rsidRDefault="00272CB1" w:rsidP="00E316F1">
      <w:pPr>
        <w:pStyle w:val="EndnoteText"/>
      </w:pPr>
      <w:r>
        <w:rPr>
          <w:rStyle w:val="EndnoteReference"/>
        </w:rPr>
        <w:endnoteRef/>
      </w:r>
      <w:r>
        <w:t xml:space="preserve"> </w:t>
      </w:r>
      <w:r w:rsidRPr="002C5E1E">
        <w:t xml:space="preserve">HealthIT.gov, </w:t>
      </w:r>
      <w:hyperlink r:id="rId29" w:history="1">
        <w:r w:rsidR="0003374F" w:rsidRPr="008606C0">
          <w:rPr>
            <w:rStyle w:val="Hyperlink"/>
          </w:rPr>
          <w:t>https://www.healthit.gov/topic/health-it-and-health-information-exchange-basics/improved-diagnostics-patientoutcomes</w:t>
        </w:r>
      </w:hyperlink>
      <w:r w:rsidR="0003374F">
        <w:t xml:space="preserve"> </w:t>
      </w:r>
    </w:p>
  </w:endnote>
  <w:endnote w:id="33">
    <w:p w14:paraId="5966E8BC" w14:textId="4E694F35" w:rsidR="00624762" w:rsidRPr="0010344C" w:rsidRDefault="00624762" w:rsidP="003E1CDA">
      <w:pPr>
        <w:pStyle w:val="EndnoteText"/>
        <w:rPr>
          <w:sz w:val="18"/>
          <w:szCs w:val="18"/>
        </w:rPr>
      </w:pPr>
      <w:r w:rsidRPr="0010344C">
        <w:rPr>
          <w:rStyle w:val="EndnoteReference"/>
          <w:sz w:val="18"/>
          <w:szCs w:val="18"/>
        </w:rPr>
        <w:endnoteRef/>
      </w:r>
      <w:r w:rsidRPr="0010344C">
        <w:rPr>
          <w:sz w:val="18"/>
          <w:szCs w:val="18"/>
        </w:rPr>
        <w:t xml:space="preserve"> DoN Regulation 100.210 (A)(1)(e). </w:t>
      </w:r>
      <w:hyperlink r:id="rId30" w:history="1">
        <w:r>
          <w:rPr>
            <w:rStyle w:val="Hyperlink"/>
            <w:sz w:val="18"/>
            <w:szCs w:val="18"/>
          </w:rPr>
          <w:t>Available at https://www.mass.gov/files/documents/2018/12/31/jud-lib-105cmr100.pdf</w:t>
        </w:r>
      </w:hyperlink>
      <w:r w:rsidRPr="0010344C">
        <w:rPr>
          <w:sz w:val="18"/>
          <w:szCs w:val="18"/>
        </w:rPr>
        <w:t xml:space="preserve"> </w:t>
      </w:r>
    </w:p>
  </w:endnote>
  <w:endnote w:id="34">
    <w:p w14:paraId="66DE369B" w14:textId="77777777" w:rsidR="00624762" w:rsidRDefault="00624762" w:rsidP="00A20E2C">
      <w:pPr>
        <w:pStyle w:val="EndnoteText"/>
      </w:pPr>
      <w:r>
        <w:rPr>
          <w:rStyle w:val="EndnoteReference"/>
        </w:rPr>
        <w:endnoteRef/>
      </w:r>
      <w:r>
        <w:t xml:space="preserve"> </w:t>
      </w:r>
      <w:hyperlink r:id="rId31" w:history="1">
        <w:r w:rsidRPr="00C87EA7">
          <w:rPr>
            <w:rStyle w:val="Hyperlink"/>
          </w:rPr>
          <w:t>https://www.mass.gov/doc/2022-cost-trends-report-chartpack/download</w:t>
        </w:r>
      </w:hyperlink>
      <w:r>
        <w:t xml:space="preserve"> (p. 63)</w:t>
      </w:r>
    </w:p>
  </w:endnote>
  <w:endnote w:id="35">
    <w:p w14:paraId="75E1CD92" w14:textId="77777777" w:rsidR="00624762" w:rsidRDefault="00624762" w:rsidP="00A20E2C">
      <w:pPr>
        <w:pStyle w:val="EndnoteText"/>
      </w:pPr>
      <w:r>
        <w:rPr>
          <w:rStyle w:val="EndnoteReference"/>
        </w:rPr>
        <w:endnoteRef/>
      </w:r>
      <w:r>
        <w:t xml:space="preserve"> </w:t>
      </w:r>
      <w:hyperlink r:id="rId32" w:history="1">
        <w:r w:rsidRPr="00DE4F6A">
          <w:rPr>
            <w:rStyle w:val="Hyperlink"/>
          </w:rPr>
          <w:t>https://www.mass.gov/doc/presentation-board-meeting-june-8-2022/download</w:t>
        </w:r>
      </w:hyperlink>
    </w:p>
    <w:p w14:paraId="72983E24" w14:textId="77777777" w:rsidR="00624762" w:rsidRDefault="00624762" w:rsidP="00A20E2C">
      <w:pPr>
        <w:pStyle w:val="EndnoteText"/>
      </w:pPr>
      <w:r>
        <w:t>(slide 27)</w:t>
      </w:r>
    </w:p>
  </w:endnote>
  <w:endnote w:id="36">
    <w:p w14:paraId="5594DEB1" w14:textId="77777777" w:rsidR="00624762" w:rsidRDefault="00624762" w:rsidP="00A20E2C">
      <w:pPr>
        <w:pStyle w:val="EndnoteText"/>
      </w:pPr>
      <w:r>
        <w:rPr>
          <w:rStyle w:val="EndnoteReference"/>
        </w:rPr>
        <w:endnoteRef/>
      </w:r>
      <w:r>
        <w:t xml:space="preserve"> </w:t>
      </w:r>
      <w:hyperlink r:id="rId33" w:history="1">
        <w:r w:rsidRPr="00DE4F6A">
          <w:rPr>
            <w:rStyle w:val="Hyperlink"/>
          </w:rPr>
          <w:t>https://www.mass.gov/doc/presentation-board-meeting-june-8-2022/download</w:t>
        </w:r>
      </w:hyperlink>
      <w:r>
        <w:t xml:space="preserve"> (slide 28)</w:t>
      </w:r>
    </w:p>
  </w:endnote>
  <w:endnote w:id="37">
    <w:p w14:paraId="5F0BA299" w14:textId="77777777" w:rsidR="003633D0" w:rsidRDefault="003633D0" w:rsidP="003633D0">
      <w:pPr>
        <w:spacing w:after="0" w:line="240" w:lineRule="auto"/>
      </w:pPr>
      <w:r>
        <w:rPr>
          <w:rStyle w:val="EndnoteReference"/>
        </w:rPr>
        <w:endnoteRef/>
      </w:r>
      <w:r>
        <w:t xml:space="preserve"> </w:t>
      </w:r>
      <w:hyperlink r:id="rId34" w:history="1">
        <w:r>
          <w:rPr>
            <w:rStyle w:val="Hyperlink"/>
          </w:rPr>
          <w:t>https://www.mass.gov/doc/presentation-board-meeting-june-8-2022/download</w:t>
        </w:r>
      </w:hyperlink>
      <w:r>
        <w:t xml:space="preserve"> </w:t>
      </w:r>
      <w:r>
        <w:rPr>
          <w:noProof/>
        </w:rPr>
        <w:t>SLIDE 27</w:t>
      </w:r>
    </w:p>
  </w:endnote>
  <w:endnote w:id="38">
    <w:p w14:paraId="5C69A012" w14:textId="77777777" w:rsidR="003633D0" w:rsidRDefault="003633D0" w:rsidP="003633D0">
      <w:pPr>
        <w:pStyle w:val="EndnoteText"/>
      </w:pPr>
      <w:r>
        <w:rPr>
          <w:rStyle w:val="EndnoteReference"/>
        </w:rPr>
        <w:endnoteRef/>
      </w:r>
      <w:r>
        <w:t xml:space="preserve"> </w:t>
      </w:r>
      <w:r w:rsidRPr="007A1378">
        <w:t>Singh GK, Daus GP, Allender M, et al. Social Determinants of Health in the United States: Addressing Major Health Inequality Trends for the Nation, 1935-2016. </w:t>
      </w:r>
      <w:r w:rsidRPr="007A1378">
        <w:rPr>
          <w:i/>
          <w:iCs/>
        </w:rPr>
        <w:t>Int J MCH AIDS</w:t>
      </w:r>
      <w:r w:rsidRPr="007A1378">
        <w:t>. 2017;6(2):139-164. doi:10.21106/ijma.236</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454527"/>
      <w:docPartObj>
        <w:docPartGallery w:val="Page Numbers (Bottom of Page)"/>
        <w:docPartUnique/>
      </w:docPartObj>
    </w:sdtPr>
    <w:sdtEndPr>
      <w:rPr>
        <w:noProof/>
      </w:rPr>
    </w:sdtEndPr>
    <w:sdtContent>
      <w:p w14:paraId="3D4B8190" w14:textId="6A8E5365" w:rsidR="00272CB1" w:rsidRDefault="00272CB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D700CC9" w14:textId="77777777" w:rsidR="00272CB1" w:rsidRDefault="0027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F311" w14:textId="77777777" w:rsidR="00C95609" w:rsidRDefault="00C95609" w:rsidP="0017637D">
      <w:pPr>
        <w:spacing w:after="0" w:line="240" w:lineRule="auto"/>
      </w:pPr>
      <w:r>
        <w:separator/>
      </w:r>
    </w:p>
  </w:footnote>
  <w:footnote w:type="continuationSeparator" w:id="0">
    <w:p w14:paraId="7F7637B5" w14:textId="77777777" w:rsidR="00C95609" w:rsidRDefault="00C95609" w:rsidP="0017637D">
      <w:pPr>
        <w:spacing w:after="0" w:line="240" w:lineRule="auto"/>
      </w:pPr>
      <w:r>
        <w:continuationSeparator/>
      </w:r>
    </w:p>
  </w:footnote>
  <w:footnote w:type="continuationNotice" w:id="1">
    <w:p w14:paraId="4EEDD038" w14:textId="77777777" w:rsidR="00C95609" w:rsidRDefault="00C95609">
      <w:pPr>
        <w:spacing w:after="0" w:line="240" w:lineRule="auto"/>
      </w:pPr>
    </w:p>
  </w:footnote>
  <w:footnote w:id="2">
    <w:p w14:paraId="3274FE2C" w14:textId="75E77767" w:rsidR="007B5A3A" w:rsidRDefault="007B5A3A">
      <w:pPr>
        <w:pStyle w:val="FootnoteText"/>
      </w:pPr>
      <w:r>
        <w:rPr>
          <w:rStyle w:val="FootnoteReference"/>
        </w:rPr>
        <w:footnoteRef/>
      </w:r>
      <w:r>
        <w:t xml:space="preserve"> </w:t>
      </w:r>
      <w:r w:rsidRPr="007B5A3A">
        <w:t xml:space="preserve">licensed by </w:t>
      </w:r>
      <w:bookmarkStart w:id="1" w:name="_BPDCD_5"/>
      <w:r w:rsidRPr="007B5A3A">
        <w:t xml:space="preserve">the </w:t>
      </w:r>
      <w:bookmarkStart w:id="2" w:name="_BPDCI_6"/>
      <w:bookmarkEnd w:id="1"/>
      <w:r w:rsidRPr="007B5A3A">
        <w:t xml:space="preserve">Massachusetts Department of Public Health (DPH) </w:t>
      </w:r>
      <w:bookmarkEnd w:id="2"/>
      <w:r w:rsidRPr="007B5A3A">
        <w:t>under M.G.L. c. 111 s. 51</w:t>
      </w:r>
    </w:p>
  </w:footnote>
  <w:footnote w:id="3">
    <w:p w14:paraId="14AEDAF7" w14:textId="2D2315C4" w:rsidR="00453E92" w:rsidRDefault="00453E92">
      <w:pPr>
        <w:pStyle w:val="FootnoteText"/>
      </w:pPr>
      <w:r>
        <w:rPr>
          <w:rStyle w:val="FootnoteReference"/>
        </w:rPr>
        <w:footnoteRef/>
      </w:r>
      <w:r>
        <w:t xml:space="preserve"> The sole corporate member of </w:t>
      </w:r>
      <w:proofErr w:type="spellStart"/>
      <w:r>
        <w:t>Atruis</w:t>
      </w:r>
      <w:proofErr w:type="spellEnd"/>
      <w:r>
        <w:t xml:space="preserve"> Health, Inc. is </w:t>
      </w:r>
      <w:r w:rsidRPr="00453E92">
        <w:t>a Massachusetts-licensed physician (currently Chris Andreoli).</w:t>
      </w:r>
    </w:p>
  </w:footnote>
  <w:footnote w:id="4">
    <w:p w14:paraId="32C0BB0E" w14:textId="77777777" w:rsidR="00453E92" w:rsidRPr="00453E92" w:rsidRDefault="00453E92" w:rsidP="00453E92">
      <w:pPr>
        <w:pStyle w:val="FootnoteText"/>
      </w:pPr>
      <w:r>
        <w:rPr>
          <w:rStyle w:val="FootnoteReference"/>
        </w:rPr>
        <w:footnoteRef/>
      </w:r>
      <w:r>
        <w:t xml:space="preserve"> </w:t>
      </w:r>
      <w:r w:rsidRPr="00453E92">
        <w:rPr>
          <w:color w:val="1F497D"/>
        </w:rPr>
        <w:t xml:space="preserve">Atrius MSO is owned by Collaborative Care Holdings, LLC, which is owned by Optum as of </w:t>
      </w:r>
      <w:r w:rsidRPr="00453E92">
        <w:t>June 1, 2022</w:t>
      </w:r>
    </w:p>
  </w:footnote>
  <w:footnote w:id="5">
    <w:p w14:paraId="0E79A24A" w14:textId="7F81CCBA" w:rsidR="0024289A" w:rsidRDefault="0024289A" w:rsidP="0024289A">
      <w:pPr>
        <w:pStyle w:val="FootnoteText"/>
      </w:pPr>
      <w:r>
        <w:rPr>
          <w:rStyle w:val="FootnoteReference"/>
        </w:rPr>
        <w:footnoteRef/>
      </w:r>
      <w:r>
        <w:t xml:space="preserve"> </w:t>
      </w:r>
      <w:r w:rsidR="002B1DC4" w:rsidRPr="002B1DC4">
        <w:t xml:space="preserve">In 2016, Atrius Health, Inc., acquired PMG Physician Associates (PMG), </w:t>
      </w:r>
      <w:bookmarkStart w:id="6" w:name="_BPDCI_10"/>
      <w:r w:rsidR="002B1DC4" w:rsidRPr="002B1DC4">
        <w:t xml:space="preserve">a medical practice </w:t>
      </w:r>
      <w:bookmarkEnd w:id="6"/>
      <w:r w:rsidR="002B1DC4" w:rsidRPr="002B1DC4">
        <w:t xml:space="preserve">with seven practice locations in the Plymouth region (four in Plymouth, one in Kingston, one in Duxbury, and one in Bourne). </w:t>
      </w:r>
      <w:r w:rsidR="002B1DC4">
        <w:t>T</w:t>
      </w:r>
      <w:r w:rsidRPr="00AA738A">
        <w:t xml:space="preserve">he Bourne practice </w:t>
      </w:r>
      <w:r w:rsidR="00556316">
        <w:t>w</w:t>
      </w:r>
      <w:r w:rsidR="00556316" w:rsidRPr="00AA738A">
        <w:t>ill</w:t>
      </w:r>
      <w:r w:rsidRPr="00AA738A">
        <w:t xml:space="preserve"> remain at its current location</w:t>
      </w:r>
      <w:r w:rsidR="002B1DC4">
        <w:t>.</w:t>
      </w:r>
    </w:p>
  </w:footnote>
  <w:footnote w:id="6">
    <w:p w14:paraId="6B53A794" w14:textId="62783D37" w:rsidR="0024289A" w:rsidRDefault="0024289A" w:rsidP="0024289A">
      <w:pPr>
        <w:pStyle w:val="FootnoteText"/>
      </w:pPr>
      <w:r>
        <w:rPr>
          <w:rStyle w:val="FootnoteReference"/>
        </w:rPr>
        <w:footnoteRef/>
      </w:r>
      <w:r>
        <w:t xml:space="preserve"> </w:t>
      </w:r>
      <w:r w:rsidRPr="00272CB1">
        <w:t xml:space="preserve">The construction plans are concurrently under review by the </w:t>
      </w:r>
      <w:bookmarkStart w:id="7" w:name="_BPDCI_13"/>
      <w:r w:rsidRPr="00272CB1">
        <w:t xml:space="preserve">DPH </w:t>
      </w:r>
      <w:bookmarkEnd w:id="7"/>
      <w:r w:rsidRPr="00272CB1">
        <w:t>Plan Review Department.</w:t>
      </w:r>
    </w:p>
  </w:footnote>
  <w:footnote w:id="7">
    <w:p w14:paraId="0350C989" w14:textId="0F6CAB75" w:rsidR="0024289A" w:rsidRDefault="0024289A" w:rsidP="0024289A">
      <w:pPr>
        <w:pStyle w:val="FootnoteText"/>
      </w:pPr>
      <w:r>
        <w:rPr>
          <w:rStyle w:val="FootnoteReference"/>
        </w:rPr>
        <w:footnoteRef/>
      </w:r>
      <w:r>
        <w:t xml:space="preserve"> </w:t>
      </w:r>
      <w:r w:rsidRPr="00272CB1">
        <w:t>The total capital cost for the Plymouth Practice is estimated to be $18 million</w:t>
      </w:r>
      <w:r>
        <w:t xml:space="preserve"> (</w:t>
      </w:r>
      <w:r w:rsidRPr="0093651C">
        <w:t>including all DON required equipment requested in this DoN</w:t>
      </w:r>
      <w:r>
        <w:t>)</w:t>
      </w:r>
      <w:r w:rsidRPr="0093651C">
        <w:t xml:space="preserve"> </w:t>
      </w:r>
      <w:r>
        <w:t xml:space="preserve">which </w:t>
      </w:r>
      <w:r w:rsidRPr="00272CB1">
        <w:t xml:space="preserve">is below the capital expenditure threshold </w:t>
      </w:r>
      <w:r>
        <w:t>that would require</w:t>
      </w:r>
      <w:r w:rsidRPr="00272CB1">
        <w:t xml:space="preserve"> a Notice of DON for the construction of </w:t>
      </w:r>
      <w:r>
        <w:t xml:space="preserve">the entire </w:t>
      </w:r>
      <w:r w:rsidRPr="00272CB1">
        <w:t>new clinic facility</w:t>
      </w:r>
      <w:r w:rsidR="002B1DC4">
        <w:t>, and there is no ambulatory surgery.</w:t>
      </w:r>
    </w:p>
  </w:footnote>
  <w:footnote w:id="8">
    <w:p w14:paraId="2CB0FDE1" w14:textId="6E7A4F2E" w:rsidR="00272CB1" w:rsidRPr="002B1DC4" w:rsidRDefault="00272CB1">
      <w:pPr>
        <w:pStyle w:val="FootnoteText"/>
      </w:pPr>
      <w:r w:rsidRPr="00FF373C">
        <w:rPr>
          <w:rStyle w:val="FootnoteReference"/>
          <w:sz w:val="18"/>
          <w:szCs w:val="18"/>
        </w:rPr>
        <w:footnoteRef/>
      </w:r>
      <w:r w:rsidRPr="00FF373C">
        <w:rPr>
          <w:sz w:val="18"/>
          <w:szCs w:val="18"/>
        </w:rPr>
        <w:t xml:space="preserve"> </w:t>
      </w:r>
      <w:r w:rsidRPr="002B1DC4">
        <w:t>As defined in 105 CMR 100.100, Patient Panel is the total of the individual patients regardless of payer, including those patients seen within an emergency department(s) if applicable, seen over the course of the most recent complete 36-month period by the Applicant or Holder</w:t>
      </w:r>
      <w:r w:rsidR="002430CD" w:rsidRPr="002B1DC4">
        <w:t>… (</w:t>
      </w:r>
      <w:r w:rsidRPr="002B1DC4">
        <w:t>2) If the Proposed Project is for a new facility and there is no existing patient panel, Patient Panel means the anticipated patients.</w:t>
      </w:r>
    </w:p>
  </w:footnote>
  <w:footnote w:id="9">
    <w:p w14:paraId="06655CFE" w14:textId="77777777" w:rsidR="00C90D71" w:rsidRPr="007967CC" w:rsidRDefault="00C90D71" w:rsidP="00C90D71">
      <w:pPr>
        <w:pStyle w:val="FootnoteText"/>
        <w:rPr>
          <w:bCs/>
        </w:rPr>
      </w:pPr>
      <w:r>
        <w:rPr>
          <w:rStyle w:val="FootnoteReference"/>
        </w:rPr>
        <w:footnoteRef/>
      </w:r>
      <w:r>
        <w:t xml:space="preserve"> </w:t>
      </w:r>
      <w:r w:rsidRPr="007967CC">
        <w:rPr>
          <w:bCs/>
        </w:rPr>
        <w:t xml:space="preserve">The patients associated with the former PMG practices now </w:t>
      </w:r>
      <w:r>
        <w:rPr>
          <w:bCs/>
        </w:rPr>
        <w:t>receive most</w:t>
      </w:r>
      <w:r w:rsidRPr="007967CC">
        <w:rPr>
          <w:bCs/>
        </w:rPr>
        <w:t xml:space="preserve"> care from </w:t>
      </w:r>
      <w:bookmarkStart w:id="11" w:name="_BPDCI_23"/>
      <w:r w:rsidRPr="007967CC">
        <w:rPr>
          <w:bCs/>
        </w:rPr>
        <w:t>Atrius</w:t>
      </w:r>
      <w:bookmarkEnd w:id="11"/>
      <w:r w:rsidRPr="007967CC">
        <w:rPr>
          <w:bCs/>
        </w:rPr>
        <w:t xml:space="preserve"> Health and are referred to as Plymouth Clinic patients</w:t>
      </w:r>
      <w:r>
        <w:rPr>
          <w:bCs/>
        </w:rPr>
        <w:t xml:space="preserve"> in this report.</w:t>
      </w:r>
      <w:r w:rsidRPr="007967CC">
        <w:rPr>
          <w:bCs/>
        </w:rPr>
        <w:t xml:space="preserve"> </w:t>
      </w:r>
    </w:p>
    <w:p w14:paraId="79AD3E22" w14:textId="77777777" w:rsidR="00C90D71" w:rsidRDefault="00C90D71" w:rsidP="00C90D71">
      <w:pPr>
        <w:pStyle w:val="FootnoteText"/>
      </w:pPr>
    </w:p>
  </w:footnote>
  <w:footnote w:id="10">
    <w:p w14:paraId="78F66F71" w14:textId="538F02AB" w:rsidR="00954166" w:rsidRDefault="00954166">
      <w:pPr>
        <w:pStyle w:val="FootnoteText"/>
      </w:pPr>
      <w:r>
        <w:rPr>
          <w:rStyle w:val="FootnoteReference"/>
        </w:rPr>
        <w:footnoteRef/>
      </w:r>
      <w:r>
        <w:t xml:space="preserve"> </w:t>
      </w:r>
      <w:r w:rsidRPr="00954166">
        <w:t>by Stroudwater Associates</w:t>
      </w:r>
    </w:p>
  </w:footnote>
  <w:footnote w:id="11">
    <w:p w14:paraId="705F1956" w14:textId="03A58207" w:rsidR="0002533A" w:rsidRDefault="0002533A">
      <w:pPr>
        <w:pStyle w:val="FootnoteText"/>
      </w:pPr>
      <w:r>
        <w:rPr>
          <w:rStyle w:val="FootnoteReference"/>
        </w:rPr>
        <w:footnoteRef/>
      </w:r>
      <w:r>
        <w:t xml:space="preserve"> From </w:t>
      </w:r>
      <w:r w:rsidRPr="0002533A">
        <w:t>April 1, 2021, and March 31, 2022</w:t>
      </w:r>
      <w:r>
        <w:t>.</w:t>
      </w:r>
    </w:p>
  </w:footnote>
  <w:footnote w:id="12">
    <w:p w14:paraId="573F29FC" w14:textId="13EEDA24" w:rsidR="00661902" w:rsidRDefault="00661902">
      <w:pPr>
        <w:pStyle w:val="FootnoteText"/>
      </w:pPr>
      <w:r>
        <w:rPr>
          <w:rStyle w:val="FootnoteReference"/>
        </w:rPr>
        <w:footnoteRef/>
      </w:r>
      <w:r>
        <w:t xml:space="preserve"> </w:t>
      </w:r>
      <w:r w:rsidRPr="00661902">
        <w:t xml:space="preserve">Scan times vary for MRI but </w:t>
      </w:r>
      <w:r w:rsidR="004419F1">
        <w:t xml:space="preserve">assuming </w:t>
      </w:r>
      <w:r w:rsidRPr="00661902">
        <w:t>.75 hours X 10 hours equals 13 scans per day.</w:t>
      </w:r>
    </w:p>
  </w:footnote>
  <w:footnote w:id="13">
    <w:p w14:paraId="19CC1E7E" w14:textId="419EE30E" w:rsidR="00AE1B0D" w:rsidRDefault="00AE1B0D">
      <w:pPr>
        <w:pStyle w:val="FootnoteText"/>
      </w:pPr>
      <w:r>
        <w:rPr>
          <w:rStyle w:val="FootnoteReference"/>
        </w:rPr>
        <w:footnoteRef/>
      </w:r>
      <w:r>
        <w:t xml:space="preserve"> Assumes operating 50 weeks per year, 5 days/week: 3173/50/5=~12</w:t>
      </w:r>
    </w:p>
  </w:footnote>
  <w:footnote w:id="14">
    <w:p w14:paraId="462AEDE8" w14:textId="77777777" w:rsidR="00174A01" w:rsidRDefault="00174A01" w:rsidP="00174A01">
      <w:pPr>
        <w:pStyle w:val="FootnoteText"/>
      </w:pPr>
      <w:r>
        <w:rPr>
          <w:rStyle w:val="FootnoteReference"/>
        </w:rPr>
        <w:footnoteRef/>
      </w:r>
      <w:r>
        <w:t xml:space="preserve"> For detecting some types of conditions, a contrast agent is administered via intravenous means, which is minimally invasive as compared to exploratory types of procedures previously utilized. </w:t>
      </w:r>
    </w:p>
  </w:footnote>
  <w:footnote w:id="15">
    <w:p w14:paraId="5B93C3DF" w14:textId="50DE9080" w:rsidR="003D1701" w:rsidRDefault="003D1701" w:rsidP="003D1701">
      <w:pPr>
        <w:pStyle w:val="FootnoteText"/>
      </w:pPr>
      <w:r>
        <w:rPr>
          <w:rStyle w:val="FootnoteReference"/>
        </w:rPr>
        <w:footnoteRef/>
      </w:r>
      <w:r>
        <w:t xml:space="preserve"> </w:t>
      </w:r>
      <w:r w:rsidR="00B73D16">
        <w:t>A</w:t>
      </w:r>
      <w:r w:rsidRPr="001078A5">
        <w:t xml:space="preserve">ge 50-80 and in fairly good health, currently smoke or have quit in the past 15 </w:t>
      </w:r>
      <w:r w:rsidR="00B73D16" w:rsidRPr="001078A5">
        <w:t>years and</w:t>
      </w:r>
      <w:r w:rsidRPr="001078A5">
        <w:t xml:space="preserve"> have at least a 20 pack-year smoking history</w:t>
      </w:r>
      <w:r w:rsidR="00B73D16">
        <w:t>.</w:t>
      </w:r>
    </w:p>
  </w:footnote>
  <w:footnote w:id="16">
    <w:p w14:paraId="77F5AD3A" w14:textId="7723F16B" w:rsidR="00174A01" w:rsidRDefault="00174A01" w:rsidP="00174A01">
      <w:pPr>
        <w:pStyle w:val="FootnoteText"/>
      </w:pPr>
      <w:r>
        <w:rPr>
          <w:rStyle w:val="FootnoteReference"/>
        </w:rPr>
        <w:footnoteRef/>
      </w:r>
      <w:r>
        <w:t xml:space="preserve"> </w:t>
      </w:r>
      <w:r w:rsidRPr="00F54260">
        <w:t xml:space="preserve">These guidelines require that patients meet certain eligibility criteria to be covered as screening, </w:t>
      </w:r>
      <w:r w:rsidR="00B73D16" w:rsidRPr="00F54260">
        <w:t>including</w:t>
      </w:r>
      <w:r w:rsidRPr="00F54260">
        <w:t xml:space="preserve"> age 50-77 years, no sign of lung cancer, a smoking history of at least 20 pack-years, currently smoke or have quit within the last 15 years. Patients aged 78-80 are recommended for screening by the American Cancer Society but are not currently covered under CMS reimbursement guidelines.</w:t>
      </w:r>
    </w:p>
  </w:footnote>
  <w:footnote w:id="17">
    <w:p w14:paraId="385CC10D" w14:textId="77777777" w:rsidR="00272CB1" w:rsidRPr="002430CD" w:rsidRDefault="00272CB1" w:rsidP="003E1CDA">
      <w:pPr>
        <w:pStyle w:val="FootnoteText"/>
      </w:pPr>
      <w:r w:rsidRPr="002430CD">
        <w:rPr>
          <w:rStyle w:val="FootnoteReference"/>
        </w:rPr>
        <w:footnoteRef/>
      </w:r>
      <w:r w:rsidRPr="002430CD">
        <w:t xml:space="preserve"> Community Engagement Standards for Community Health Planning Guideline</w:t>
      </w:r>
    </w:p>
  </w:footnote>
  <w:footnote w:id="18">
    <w:p w14:paraId="428F1EA1" w14:textId="77777777" w:rsidR="00B10901" w:rsidRPr="002430CD" w:rsidRDefault="00B10901" w:rsidP="00B10901">
      <w:pPr>
        <w:pStyle w:val="FootnoteText"/>
      </w:pPr>
      <w:r w:rsidRPr="002430CD">
        <w:rPr>
          <w:rStyle w:val="FootnoteReference"/>
        </w:rPr>
        <w:footnoteRef/>
      </w:r>
      <w:r w:rsidRPr="002430CD">
        <w:t xml:space="preserve"> The panel was hosted by:</w:t>
      </w:r>
    </w:p>
    <w:p w14:paraId="0796E0A1" w14:textId="77777777" w:rsidR="00B10901" w:rsidRPr="002430CD" w:rsidRDefault="00B10901" w:rsidP="006B605A">
      <w:pPr>
        <w:pStyle w:val="FootnoteText"/>
        <w:numPr>
          <w:ilvl w:val="0"/>
          <w:numId w:val="14"/>
        </w:numPr>
      </w:pPr>
      <w:r w:rsidRPr="002430CD">
        <w:t>Dr. Rebecca Schwartz, Executive Chair, Ancillary Services, Chief Radiology</w:t>
      </w:r>
    </w:p>
    <w:p w14:paraId="423447AC" w14:textId="77777777" w:rsidR="00B10901" w:rsidRPr="002430CD" w:rsidRDefault="00B10901" w:rsidP="006B605A">
      <w:pPr>
        <w:pStyle w:val="FootnoteText"/>
        <w:numPr>
          <w:ilvl w:val="0"/>
          <w:numId w:val="14"/>
        </w:numPr>
      </w:pPr>
      <w:r w:rsidRPr="002430CD">
        <w:t xml:space="preserve">Dr. David Grace, Chief, PMG Internal Medicine </w:t>
      </w:r>
    </w:p>
    <w:p w14:paraId="6AAE5A63" w14:textId="77777777" w:rsidR="00B10901" w:rsidRPr="002430CD" w:rsidRDefault="00B10901" w:rsidP="006B605A">
      <w:pPr>
        <w:pStyle w:val="FootnoteText"/>
        <w:numPr>
          <w:ilvl w:val="0"/>
          <w:numId w:val="14"/>
        </w:numPr>
      </w:pPr>
      <w:r w:rsidRPr="002430CD">
        <w:t>Karen Craft, Senior Director, Radiology Services</w:t>
      </w:r>
    </w:p>
    <w:p w14:paraId="5BB790A3" w14:textId="5B728D1C" w:rsidR="00B10901" w:rsidRPr="002430CD" w:rsidRDefault="00B10901" w:rsidP="006B605A">
      <w:pPr>
        <w:pStyle w:val="FootnoteText"/>
        <w:numPr>
          <w:ilvl w:val="0"/>
          <w:numId w:val="14"/>
        </w:numPr>
      </w:pPr>
      <w:r w:rsidRPr="002430CD">
        <w:t xml:space="preserve">John Clark, Senior Director, Real Estate </w:t>
      </w:r>
    </w:p>
  </w:footnote>
  <w:footnote w:id="19">
    <w:p w14:paraId="503780A9" w14:textId="218542CF" w:rsidR="00B10901" w:rsidRPr="002430CD" w:rsidRDefault="00B10901">
      <w:pPr>
        <w:pStyle w:val="FootnoteText"/>
      </w:pPr>
      <w:r w:rsidRPr="002430CD">
        <w:rPr>
          <w:rStyle w:val="FootnoteReference"/>
        </w:rPr>
        <w:footnoteRef/>
      </w:r>
      <w:r w:rsidRPr="002430CD">
        <w:t xml:space="preserve"> One patient emailed the following after the presentation, “Looking forward to your new facility! Everything under one roof” [referring to CT and MRI services].</w:t>
      </w:r>
    </w:p>
  </w:footnote>
  <w:footnote w:id="20">
    <w:p w14:paraId="0F65146D" w14:textId="77777777" w:rsidR="008D5E0C" w:rsidRPr="002430CD" w:rsidRDefault="008D5E0C" w:rsidP="002430CD">
      <w:pPr>
        <w:pStyle w:val="FootnoteText"/>
        <w:ind w:right="720"/>
      </w:pPr>
      <w:r w:rsidRPr="002430CD">
        <w:rPr>
          <w:rStyle w:val="FootnoteReference"/>
        </w:rPr>
        <w:footnoteRef/>
      </w:r>
      <w:r w:rsidRPr="002430CD">
        <w:t xml:space="preserve"> </w:t>
      </w:r>
      <w:r w:rsidRPr="002430CD">
        <w:rPr>
          <w:i/>
        </w:rPr>
        <w:t>EBITDA</w:t>
      </w:r>
      <w:r w:rsidRPr="002430CD">
        <w:rPr>
          <w:i/>
          <w:spacing w:val="-3"/>
        </w:rPr>
        <w:t xml:space="preserve"> </w:t>
      </w:r>
      <w:r w:rsidRPr="002430CD">
        <w:rPr>
          <w:i/>
        </w:rPr>
        <w:t>(“Earnings</w:t>
      </w:r>
      <w:r w:rsidRPr="002430CD">
        <w:rPr>
          <w:i/>
          <w:spacing w:val="-1"/>
        </w:rPr>
        <w:t xml:space="preserve"> </w:t>
      </w:r>
      <w:r w:rsidRPr="002430CD">
        <w:rPr>
          <w:i/>
        </w:rPr>
        <w:t>before</w:t>
      </w:r>
      <w:r w:rsidRPr="002430CD">
        <w:rPr>
          <w:i/>
          <w:spacing w:val="-3"/>
        </w:rPr>
        <w:t xml:space="preserve"> </w:t>
      </w:r>
      <w:r w:rsidRPr="002430CD">
        <w:rPr>
          <w:i/>
        </w:rPr>
        <w:t>Depreciation,</w:t>
      </w:r>
      <w:r w:rsidRPr="002430CD">
        <w:rPr>
          <w:i/>
          <w:spacing w:val="-2"/>
        </w:rPr>
        <w:t xml:space="preserve"> </w:t>
      </w:r>
      <w:r w:rsidRPr="002430CD">
        <w:rPr>
          <w:i/>
        </w:rPr>
        <w:t>Interest</w:t>
      </w:r>
      <w:r w:rsidRPr="002430CD">
        <w:rPr>
          <w:i/>
          <w:spacing w:val="-3"/>
        </w:rPr>
        <w:t xml:space="preserve"> </w:t>
      </w:r>
      <w:r w:rsidRPr="002430CD">
        <w:rPr>
          <w:i/>
        </w:rPr>
        <w:t>and</w:t>
      </w:r>
      <w:r w:rsidRPr="002430CD">
        <w:rPr>
          <w:i/>
          <w:spacing w:val="-2"/>
        </w:rPr>
        <w:t xml:space="preserve"> Tax”)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BEF"/>
    <w:multiLevelType w:val="hybridMultilevel"/>
    <w:tmpl w:val="27FC7200"/>
    <w:lvl w:ilvl="0" w:tplc="F06E56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3A57E9"/>
    <w:multiLevelType w:val="hybridMultilevel"/>
    <w:tmpl w:val="1DD28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102D9"/>
    <w:multiLevelType w:val="hybridMultilevel"/>
    <w:tmpl w:val="9FD2A5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C01FDE"/>
    <w:multiLevelType w:val="hybridMultilevel"/>
    <w:tmpl w:val="71FE81A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3C2C6D"/>
    <w:multiLevelType w:val="hybridMultilevel"/>
    <w:tmpl w:val="A79457C4"/>
    <w:lvl w:ilvl="0" w:tplc="E4D42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F093D"/>
    <w:multiLevelType w:val="hybridMultilevel"/>
    <w:tmpl w:val="DC2C00D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43433"/>
    <w:multiLevelType w:val="hybridMultilevel"/>
    <w:tmpl w:val="130274F8"/>
    <w:lvl w:ilvl="0" w:tplc="C38C7E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A7D60"/>
    <w:multiLevelType w:val="hybridMultilevel"/>
    <w:tmpl w:val="5EFC72C6"/>
    <w:lvl w:ilvl="0" w:tplc="19B6C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E0E1F"/>
    <w:multiLevelType w:val="hybridMultilevel"/>
    <w:tmpl w:val="6BD2E768"/>
    <w:lvl w:ilvl="0" w:tplc="99C6A7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E53F33"/>
    <w:multiLevelType w:val="hybridMultilevel"/>
    <w:tmpl w:val="9FD2A5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5E855E9"/>
    <w:multiLevelType w:val="hybridMultilevel"/>
    <w:tmpl w:val="324624F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EE2468"/>
    <w:multiLevelType w:val="hybridMultilevel"/>
    <w:tmpl w:val="0D96B3F6"/>
    <w:lvl w:ilvl="0" w:tplc="04090001">
      <w:start w:val="1"/>
      <w:numFmt w:val="bullet"/>
      <w:lvlText w:val=""/>
      <w:lvlJc w:val="left"/>
      <w:pPr>
        <w:ind w:left="950" w:hanging="360"/>
      </w:pPr>
      <w:rPr>
        <w:rFonts w:ascii="Symbol" w:hAnsi="Symbol" w:hint="default"/>
      </w:rPr>
    </w:lvl>
    <w:lvl w:ilvl="1" w:tplc="04090003">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2" w15:restartNumberingAfterBreak="0">
    <w:nsid w:val="45BB5800"/>
    <w:multiLevelType w:val="hybridMultilevel"/>
    <w:tmpl w:val="941EACF0"/>
    <w:lvl w:ilvl="0" w:tplc="FFFFFFFF">
      <w:start w:val="1"/>
      <w:numFmt w:val="decimal"/>
      <w:lvlText w:val="%1."/>
      <w:lvlJc w:val="left"/>
      <w:pPr>
        <w:ind w:left="360" w:hanging="360"/>
      </w:pPr>
      <w:rPr>
        <w:b/>
        <w:bCs/>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3" w15:restartNumberingAfterBreak="0">
    <w:nsid w:val="46D655D0"/>
    <w:multiLevelType w:val="hybridMultilevel"/>
    <w:tmpl w:val="4D9E1990"/>
    <w:lvl w:ilvl="0" w:tplc="21B0C2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E08E4"/>
    <w:multiLevelType w:val="hybridMultilevel"/>
    <w:tmpl w:val="74B602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CBA10FA"/>
    <w:multiLevelType w:val="hybridMultilevel"/>
    <w:tmpl w:val="E9200AD0"/>
    <w:lvl w:ilvl="0" w:tplc="C416305C">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F1D46"/>
    <w:multiLevelType w:val="hybridMultilevel"/>
    <w:tmpl w:val="6DD6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260BE"/>
    <w:multiLevelType w:val="hybridMultilevel"/>
    <w:tmpl w:val="9D2897E6"/>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D158BD"/>
    <w:multiLevelType w:val="hybridMultilevel"/>
    <w:tmpl w:val="A99676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D39A37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60BAE"/>
    <w:multiLevelType w:val="hybridMultilevel"/>
    <w:tmpl w:val="9FD2A5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C558E3"/>
    <w:multiLevelType w:val="hybridMultilevel"/>
    <w:tmpl w:val="A420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31E4B"/>
    <w:multiLevelType w:val="hybridMultilevel"/>
    <w:tmpl w:val="9CA61958"/>
    <w:lvl w:ilvl="0" w:tplc="FC922AA0">
      <w:numFmt w:val="bullet"/>
      <w:lvlText w:val="-"/>
      <w:lvlJc w:val="left"/>
      <w:pPr>
        <w:ind w:left="1080" w:hanging="360"/>
      </w:pPr>
      <w:rPr>
        <w:rFonts w:ascii="Garamond" w:eastAsiaTheme="minorHAnsi" w:hAnsi="Garamond" w:cstheme="minorBidi" w:hint="default"/>
      </w:rPr>
    </w:lvl>
    <w:lvl w:ilvl="1" w:tplc="A5E8603E">
      <w:numFmt w:val="bullet"/>
      <w:lvlText w:val="•"/>
      <w:lvlJc w:val="left"/>
      <w:pPr>
        <w:ind w:left="2160" w:hanging="720"/>
      </w:pPr>
      <w:rPr>
        <w:rFonts w:ascii="Garamond" w:eastAsiaTheme="minorHAnsi" w:hAnsi="Garamond"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A63726"/>
    <w:multiLevelType w:val="hybridMultilevel"/>
    <w:tmpl w:val="56A6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03AAB"/>
    <w:multiLevelType w:val="hybridMultilevel"/>
    <w:tmpl w:val="ED5C6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780945">
    <w:abstractNumId w:val="20"/>
  </w:num>
  <w:num w:numId="2" w16cid:durableId="780031784">
    <w:abstractNumId w:val="13"/>
  </w:num>
  <w:num w:numId="3" w16cid:durableId="340160014">
    <w:abstractNumId w:val="6"/>
  </w:num>
  <w:num w:numId="4" w16cid:durableId="786005860">
    <w:abstractNumId w:val="11"/>
  </w:num>
  <w:num w:numId="5" w16cid:durableId="1121266255">
    <w:abstractNumId w:val="23"/>
  </w:num>
  <w:num w:numId="6" w16cid:durableId="62991086">
    <w:abstractNumId w:val="12"/>
  </w:num>
  <w:num w:numId="7" w16cid:durableId="900405378">
    <w:abstractNumId w:val="19"/>
  </w:num>
  <w:num w:numId="8" w16cid:durableId="1839222546">
    <w:abstractNumId w:val="2"/>
  </w:num>
  <w:num w:numId="9" w16cid:durableId="1403405101">
    <w:abstractNumId w:val="9"/>
  </w:num>
  <w:num w:numId="10" w16cid:durableId="573859391">
    <w:abstractNumId w:val="18"/>
  </w:num>
  <w:num w:numId="11" w16cid:durableId="2081902339">
    <w:abstractNumId w:val="4"/>
  </w:num>
  <w:num w:numId="12" w16cid:durableId="1480852072">
    <w:abstractNumId w:val="8"/>
  </w:num>
  <w:num w:numId="13" w16cid:durableId="486634358">
    <w:abstractNumId w:val="5"/>
  </w:num>
  <w:num w:numId="14" w16cid:durableId="1940021512">
    <w:abstractNumId w:val="14"/>
  </w:num>
  <w:num w:numId="15" w16cid:durableId="850607706">
    <w:abstractNumId w:val="1"/>
  </w:num>
  <w:num w:numId="16" w16cid:durableId="1440562044">
    <w:abstractNumId w:val="0"/>
  </w:num>
  <w:num w:numId="17" w16cid:durableId="1009216802">
    <w:abstractNumId w:val="10"/>
  </w:num>
  <w:num w:numId="18" w16cid:durableId="542324894">
    <w:abstractNumId w:val="17"/>
  </w:num>
  <w:num w:numId="19" w16cid:durableId="312609966">
    <w:abstractNumId w:val="22"/>
  </w:num>
  <w:num w:numId="20" w16cid:durableId="2020042298">
    <w:abstractNumId w:val="7"/>
  </w:num>
  <w:num w:numId="21" w16cid:durableId="575281882">
    <w:abstractNumId w:val="15"/>
  </w:num>
  <w:num w:numId="22" w16cid:durableId="873687069">
    <w:abstractNumId w:val="3"/>
  </w:num>
  <w:num w:numId="23" w16cid:durableId="300963856">
    <w:abstractNumId w:val="21"/>
  </w:num>
  <w:num w:numId="24" w16cid:durableId="510777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71"/>
    <w:rsid w:val="00001F84"/>
    <w:rsid w:val="00002000"/>
    <w:rsid w:val="00002F91"/>
    <w:rsid w:val="00004B2A"/>
    <w:rsid w:val="00005B62"/>
    <w:rsid w:val="00011A01"/>
    <w:rsid w:val="000120F1"/>
    <w:rsid w:val="0001384C"/>
    <w:rsid w:val="00013859"/>
    <w:rsid w:val="00015A1D"/>
    <w:rsid w:val="00016549"/>
    <w:rsid w:val="00017030"/>
    <w:rsid w:val="000208BF"/>
    <w:rsid w:val="00024F01"/>
    <w:rsid w:val="0002533A"/>
    <w:rsid w:val="0002675D"/>
    <w:rsid w:val="00027243"/>
    <w:rsid w:val="000300B6"/>
    <w:rsid w:val="000323A4"/>
    <w:rsid w:val="00032EB5"/>
    <w:rsid w:val="0003374F"/>
    <w:rsid w:val="0003581F"/>
    <w:rsid w:val="00035D73"/>
    <w:rsid w:val="00036D6D"/>
    <w:rsid w:val="00040062"/>
    <w:rsid w:val="00040ED6"/>
    <w:rsid w:val="00041000"/>
    <w:rsid w:val="00041489"/>
    <w:rsid w:val="00041F66"/>
    <w:rsid w:val="00043B29"/>
    <w:rsid w:val="000442F6"/>
    <w:rsid w:val="000454D6"/>
    <w:rsid w:val="00046C7B"/>
    <w:rsid w:val="00047478"/>
    <w:rsid w:val="00047513"/>
    <w:rsid w:val="00050A3A"/>
    <w:rsid w:val="00053BD6"/>
    <w:rsid w:val="0005623C"/>
    <w:rsid w:val="00057674"/>
    <w:rsid w:val="00057CFF"/>
    <w:rsid w:val="00060059"/>
    <w:rsid w:val="00062574"/>
    <w:rsid w:val="00062CF8"/>
    <w:rsid w:val="00063C7E"/>
    <w:rsid w:val="000641F1"/>
    <w:rsid w:val="0006601B"/>
    <w:rsid w:val="00066246"/>
    <w:rsid w:val="00066973"/>
    <w:rsid w:val="00067961"/>
    <w:rsid w:val="00070597"/>
    <w:rsid w:val="00070E31"/>
    <w:rsid w:val="00071489"/>
    <w:rsid w:val="00071A17"/>
    <w:rsid w:val="00074AE0"/>
    <w:rsid w:val="00075852"/>
    <w:rsid w:val="00076C81"/>
    <w:rsid w:val="00076FBC"/>
    <w:rsid w:val="000775A2"/>
    <w:rsid w:val="00077DA8"/>
    <w:rsid w:val="00080653"/>
    <w:rsid w:val="00082F3B"/>
    <w:rsid w:val="000831D8"/>
    <w:rsid w:val="0008371D"/>
    <w:rsid w:val="000844BC"/>
    <w:rsid w:val="00084C68"/>
    <w:rsid w:val="00090330"/>
    <w:rsid w:val="0009066A"/>
    <w:rsid w:val="00091809"/>
    <w:rsid w:val="00092302"/>
    <w:rsid w:val="00093059"/>
    <w:rsid w:val="000968AB"/>
    <w:rsid w:val="00096E2C"/>
    <w:rsid w:val="00097B16"/>
    <w:rsid w:val="00097C15"/>
    <w:rsid w:val="00097CC1"/>
    <w:rsid w:val="000A1340"/>
    <w:rsid w:val="000A1F97"/>
    <w:rsid w:val="000A2D3C"/>
    <w:rsid w:val="000A3971"/>
    <w:rsid w:val="000A5D24"/>
    <w:rsid w:val="000A5D87"/>
    <w:rsid w:val="000A6C0D"/>
    <w:rsid w:val="000B0D1A"/>
    <w:rsid w:val="000B0DC7"/>
    <w:rsid w:val="000B36CA"/>
    <w:rsid w:val="000B3D50"/>
    <w:rsid w:val="000B446D"/>
    <w:rsid w:val="000B5D27"/>
    <w:rsid w:val="000B791A"/>
    <w:rsid w:val="000C0647"/>
    <w:rsid w:val="000C5F22"/>
    <w:rsid w:val="000C6CAC"/>
    <w:rsid w:val="000C7140"/>
    <w:rsid w:val="000D48AA"/>
    <w:rsid w:val="000D6FDB"/>
    <w:rsid w:val="000D7FC6"/>
    <w:rsid w:val="000E1528"/>
    <w:rsid w:val="000E18C9"/>
    <w:rsid w:val="000E495C"/>
    <w:rsid w:val="000E69B0"/>
    <w:rsid w:val="000E7D1B"/>
    <w:rsid w:val="000E7E02"/>
    <w:rsid w:val="000F0F70"/>
    <w:rsid w:val="000F1918"/>
    <w:rsid w:val="000F2F0C"/>
    <w:rsid w:val="000F2FAC"/>
    <w:rsid w:val="000F6EF1"/>
    <w:rsid w:val="000F7F55"/>
    <w:rsid w:val="001002AD"/>
    <w:rsid w:val="00100D18"/>
    <w:rsid w:val="00101782"/>
    <w:rsid w:val="0010344C"/>
    <w:rsid w:val="00104080"/>
    <w:rsid w:val="001055DE"/>
    <w:rsid w:val="00106026"/>
    <w:rsid w:val="00107369"/>
    <w:rsid w:val="00107BAD"/>
    <w:rsid w:val="00112412"/>
    <w:rsid w:val="00112AEC"/>
    <w:rsid w:val="00113F1F"/>
    <w:rsid w:val="001145F8"/>
    <w:rsid w:val="00116498"/>
    <w:rsid w:val="001202B5"/>
    <w:rsid w:val="00121525"/>
    <w:rsid w:val="001227A4"/>
    <w:rsid w:val="00122EBD"/>
    <w:rsid w:val="0012327E"/>
    <w:rsid w:val="0012451D"/>
    <w:rsid w:val="0012493B"/>
    <w:rsid w:val="00126522"/>
    <w:rsid w:val="001313C9"/>
    <w:rsid w:val="00133DDE"/>
    <w:rsid w:val="00134B27"/>
    <w:rsid w:val="00134B3A"/>
    <w:rsid w:val="00135033"/>
    <w:rsid w:val="00137187"/>
    <w:rsid w:val="001410DD"/>
    <w:rsid w:val="0014259F"/>
    <w:rsid w:val="00145F8B"/>
    <w:rsid w:val="0014785D"/>
    <w:rsid w:val="00151371"/>
    <w:rsid w:val="001529E2"/>
    <w:rsid w:val="0015395D"/>
    <w:rsid w:val="00153A6B"/>
    <w:rsid w:val="00153C36"/>
    <w:rsid w:val="00155EAA"/>
    <w:rsid w:val="001561AE"/>
    <w:rsid w:val="00157B1B"/>
    <w:rsid w:val="0016069D"/>
    <w:rsid w:val="00160AB0"/>
    <w:rsid w:val="001658C1"/>
    <w:rsid w:val="0017011D"/>
    <w:rsid w:val="001703BC"/>
    <w:rsid w:val="00171435"/>
    <w:rsid w:val="0017200E"/>
    <w:rsid w:val="00172591"/>
    <w:rsid w:val="00173CF8"/>
    <w:rsid w:val="00174A01"/>
    <w:rsid w:val="00174EF8"/>
    <w:rsid w:val="001752D9"/>
    <w:rsid w:val="00175C75"/>
    <w:rsid w:val="00175C8A"/>
    <w:rsid w:val="0017637D"/>
    <w:rsid w:val="00177FBF"/>
    <w:rsid w:val="001800E4"/>
    <w:rsid w:val="00181C32"/>
    <w:rsid w:val="001834EC"/>
    <w:rsid w:val="001834F4"/>
    <w:rsid w:val="00186F0C"/>
    <w:rsid w:val="00187A61"/>
    <w:rsid w:val="00187D11"/>
    <w:rsid w:val="00187FC0"/>
    <w:rsid w:val="0019010E"/>
    <w:rsid w:val="001901E8"/>
    <w:rsid w:val="00193129"/>
    <w:rsid w:val="001938CA"/>
    <w:rsid w:val="00193EB0"/>
    <w:rsid w:val="001947F1"/>
    <w:rsid w:val="00194AA3"/>
    <w:rsid w:val="00196030"/>
    <w:rsid w:val="00196CF3"/>
    <w:rsid w:val="001972BF"/>
    <w:rsid w:val="001977EC"/>
    <w:rsid w:val="00197B3E"/>
    <w:rsid w:val="001A27D9"/>
    <w:rsid w:val="001A57D6"/>
    <w:rsid w:val="001A5B3D"/>
    <w:rsid w:val="001A6E48"/>
    <w:rsid w:val="001A6EB3"/>
    <w:rsid w:val="001A6FED"/>
    <w:rsid w:val="001B1707"/>
    <w:rsid w:val="001B429D"/>
    <w:rsid w:val="001B71E8"/>
    <w:rsid w:val="001C02C6"/>
    <w:rsid w:val="001C0A38"/>
    <w:rsid w:val="001C0C4E"/>
    <w:rsid w:val="001C2816"/>
    <w:rsid w:val="001C45AD"/>
    <w:rsid w:val="001C615E"/>
    <w:rsid w:val="001C6CAB"/>
    <w:rsid w:val="001D0ACD"/>
    <w:rsid w:val="001D0BE3"/>
    <w:rsid w:val="001D1C8A"/>
    <w:rsid w:val="001D388E"/>
    <w:rsid w:val="001D47E9"/>
    <w:rsid w:val="001E0215"/>
    <w:rsid w:val="001E0EFD"/>
    <w:rsid w:val="001E2279"/>
    <w:rsid w:val="001E28BB"/>
    <w:rsid w:val="001E525E"/>
    <w:rsid w:val="001E54B3"/>
    <w:rsid w:val="001F16DE"/>
    <w:rsid w:val="001F18E2"/>
    <w:rsid w:val="001F213D"/>
    <w:rsid w:val="00200E14"/>
    <w:rsid w:val="0020457B"/>
    <w:rsid w:val="00211EE2"/>
    <w:rsid w:val="00211F53"/>
    <w:rsid w:val="0021249E"/>
    <w:rsid w:val="00212862"/>
    <w:rsid w:val="00214CC9"/>
    <w:rsid w:val="002170DF"/>
    <w:rsid w:val="002201DF"/>
    <w:rsid w:val="00220821"/>
    <w:rsid w:val="002208FA"/>
    <w:rsid w:val="00220BCB"/>
    <w:rsid w:val="0022125D"/>
    <w:rsid w:val="00222331"/>
    <w:rsid w:val="002223E8"/>
    <w:rsid w:val="002237F0"/>
    <w:rsid w:val="00224EE0"/>
    <w:rsid w:val="00225BB9"/>
    <w:rsid w:val="00225E37"/>
    <w:rsid w:val="00226863"/>
    <w:rsid w:val="00227182"/>
    <w:rsid w:val="00227299"/>
    <w:rsid w:val="002327CA"/>
    <w:rsid w:val="002355BC"/>
    <w:rsid w:val="00235693"/>
    <w:rsid w:val="002362BE"/>
    <w:rsid w:val="00237F02"/>
    <w:rsid w:val="002400EB"/>
    <w:rsid w:val="00241BA8"/>
    <w:rsid w:val="0024256A"/>
    <w:rsid w:val="0024289A"/>
    <w:rsid w:val="002430CD"/>
    <w:rsid w:val="00243E4A"/>
    <w:rsid w:val="002442B8"/>
    <w:rsid w:val="00244CC8"/>
    <w:rsid w:val="0024566C"/>
    <w:rsid w:val="0024602C"/>
    <w:rsid w:val="002475FD"/>
    <w:rsid w:val="00250142"/>
    <w:rsid w:val="00250BAA"/>
    <w:rsid w:val="0025118B"/>
    <w:rsid w:val="002512BC"/>
    <w:rsid w:val="00252886"/>
    <w:rsid w:val="00254A3F"/>
    <w:rsid w:val="002556F7"/>
    <w:rsid w:val="00255E10"/>
    <w:rsid w:val="00257D4B"/>
    <w:rsid w:val="00257E66"/>
    <w:rsid w:val="002610FF"/>
    <w:rsid w:val="00261234"/>
    <w:rsid w:val="00264FB7"/>
    <w:rsid w:val="00265584"/>
    <w:rsid w:val="0026575E"/>
    <w:rsid w:val="00265CE4"/>
    <w:rsid w:val="00271905"/>
    <w:rsid w:val="00272CB1"/>
    <w:rsid w:val="0027605B"/>
    <w:rsid w:val="00276466"/>
    <w:rsid w:val="00277797"/>
    <w:rsid w:val="00280D02"/>
    <w:rsid w:val="00281A92"/>
    <w:rsid w:val="00281F95"/>
    <w:rsid w:val="00282B91"/>
    <w:rsid w:val="00283F07"/>
    <w:rsid w:val="00287B15"/>
    <w:rsid w:val="00290BA5"/>
    <w:rsid w:val="00290E5C"/>
    <w:rsid w:val="0029192C"/>
    <w:rsid w:val="00293A73"/>
    <w:rsid w:val="00294C50"/>
    <w:rsid w:val="0029502B"/>
    <w:rsid w:val="00296C0D"/>
    <w:rsid w:val="002A0605"/>
    <w:rsid w:val="002A09FF"/>
    <w:rsid w:val="002A203B"/>
    <w:rsid w:val="002A23BC"/>
    <w:rsid w:val="002A27AA"/>
    <w:rsid w:val="002A3EBC"/>
    <w:rsid w:val="002A5622"/>
    <w:rsid w:val="002A61F4"/>
    <w:rsid w:val="002A724A"/>
    <w:rsid w:val="002B00C6"/>
    <w:rsid w:val="002B05B4"/>
    <w:rsid w:val="002B1086"/>
    <w:rsid w:val="002B1575"/>
    <w:rsid w:val="002B1DC4"/>
    <w:rsid w:val="002B32FB"/>
    <w:rsid w:val="002B37E5"/>
    <w:rsid w:val="002B46FA"/>
    <w:rsid w:val="002B56B7"/>
    <w:rsid w:val="002B6813"/>
    <w:rsid w:val="002C1914"/>
    <w:rsid w:val="002C262F"/>
    <w:rsid w:val="002C29FF"/>
    <w:rsid w:val="002C37FC"/>
    <w:rsid w:val="002C3BAF"/>
    <w:rsid w:val="002C5E1E"/>
    <w:rsid w:val="002C6F5E"/>
    <w:rsid w:val="002C71E7"/>
    <w:rsid w:val="002C76D7"/>
    <w:rsid w:val="002C7773"/>
    <w:rsid w:val="002D1E1D"/>
    <w:rsid w:val="002D4138"/>
    <w:rsid w:val="002D66E1"/>
    <w:rsid w:val="002D6E33"/>
    <w:rsid w:val="002D7438"/>
    <w:rsid w:val="002D7BB9"/>
    <w:rsid w:val="002E39EF"/>
    <w:rsid w:val="002E4833"/>
    <w:rsid w:val="002E6C77"/>
    <w:rsid w:val="002F055F"/>
    <w:rsid w:val="002F2DF7"/>
    <w:rsid w:val="002F2E5C"/>
    <w:rsid w:val="002F6868"/>
    <w:rsid w:val="002F7433"/>
    <w:rsid w:val="002F7BF7"/>
    <w:rsid w:val="00300AEA"/>
    <w:rsid w:val="003024EC"/>
    <w:rsid w:val="00302591"/>
    <w:rsid w:val="0030358F"/>
    <w:rsid w:val="00304DFB"/>
    <w:rsid w:val="003061C6"/>
    <w:rsid w:val="00307C51"/>
    <w:rsid w:val="00313B04"/>
    <w:rsid w:val="00314617"/>
    <w:rsid w:val="00316116"/>
    <w:rsid w:val="003211FA"/>
    <w:rsid w:val="003225EA"/>
    <w:rsid w:val="00326202"/>
    <w:rsid w:val="00332955"/>
    <w:rsid w:val="00336007"/>
    <w:rsid w:val="00336760"/>
    <w:rsid w:val="00337B85"/>
    <w:rsid w:val="003401AF"/>
    <w:rsid w:val="0034154F"/>
    <w:rsid w:val="00341818"/>
    <w:rsid w:val="003418A2"/>
    <w:rsid w:val="00344C4A"/>
    <w:rsid w:val="003457FF"/>
    <w:rsid w:val="00346488"/>
    <w:rsid w:val="00346A32"/>
    <w:rsid w:val="00346DE6"/>
    <w:rsid w:val="00347796"/>
    <w:rsid w:val="00350632"/>
    <w:rsid w:val="0035170A"/>
    <w:rsid w:val="003520D5"/>
    <w:rsid w:val="003532C7"/>
    <w:rsid w:val="003533B7"/>
    <w:rsid w:val="003572F0"/>
    <w:rsid w:val="00357899"/>
    <w:rsid w:val="00361814"/>
    <w:rsid w:val="00362B39"/>
    <w:rsid w:val="00362FB6"/>
    <w:rsid w:val="003633D0"/>
    <w:rsid w:val="003634E3"/>
    <w:rsid w:val="00363ACB"/>
    <w:rsid w:val="00364312"/>
    <w:rsid w:val="00365A1F"/>
    <w:rsid w:val="0037001A"/>
    <w:rsid w:val="00372EA2"/>
    <w:rsid w:val="003735D9"/>
    <w:rsid w:val="00373F67"/>
    <w:rsid w:val="00374033"/>
    <w:rsid w:val="003742DC"/>
    <w:rsid w:val="00375031"/>
    <w:rsid w:val="00382DC2"/>
    <w:rsid w:val="00383FA5"/>
    <w:rsid w:val="003860B2"/>
    <w:rsid w:val="00387906"/>
    <w:rsid w:val="00391503"/>
    <w:rsid w:val="0039177C"/>
    <w:rsid w:val="003923F3"/>
    <w:rsid w:val="00392BCA"/>
    <w:rsid w:val="0039302C"/>
    <w:rsid w:val="00394182"/>
    <w:rsid w:val="00395A67"/>
    <w:rsid w:val="00396B65"/>
    <w:rsid w:val="0039705E"/>
    <w:rsid w:val="003A0277"/>
    <w:rsid w:val="003A18FD"/>
    <w:rsid w:val="003A360B"/>
    <w:rsid w:val="003A4DC9"/>
    <w:rsid w:val="003A5CBA"/>
    <w:rsid w:val="003A78FE"/>
    <w:rsid w:val="003B0CE8"/>
    <w:rsid w:val="003B118F"/>
    <w:rsid w:val="003B14E2"/>
    <w:rsid w:val="003B3F46"/>
    <w:rsid w:val="003B48BB"/>
    <w:rsid w:val="003B521C"/>
    <w:rsid w:val="003B6167"/>
    <w:rsid w:val="003B724F"/>
    <w:rsid w:val="003C243E"/>
    <w:rsid w:val="003C2A34"/>
    <w:rsid w:val="003C337C"/>
    <w:rsid w:val="003C3B31"/>
    <w:rsid w:val="003C5D3C"/>
    <w:rsid w:val="003C6923"/>
    <w:rsid w:val="003C77BB"/>
    <w:rsid w:val="003D04A5"/>
    <w:rsid w:val="003D1701"/>
    <w:rsid w:val="003D70F0"/>
    <w:rsid w:val="003E1CDA"/>
    <w:rsid w:val="003E24C6"/>
    <w:rsid w:val="003E2A91"/>
    <w:rsid w:val="003E3860"/>
    <w:rsid w:val="003E494B"/>
    <w:rsid w:val="003E5301"/>
    <w:rsid w:val="003E6023"/>
    <w:rsid w:val="003E70BE"/>
    <w:rsid w:val="003E7F00"/>
    <w:rsid w:val="003F0C06"/>
    <w:rsid w:val="003F0CC7"/>
    <w:rsid w:val="003F2E8C"/>
    <w:rsid w:val="003F3315"/>
    <w:rsid w:val="003F5D31"/>
    <w:rsid w:val="003F71DF"/>
    <w:rsid w:val="003F7A5F"/>
    <w:rsid w:val="00400584"/>
    <w:rsid w:val="004045FB"/>
    <w:rsid w:val="00405707"/>
    <w:rsid w:val="00405DC3"/>
    <w:rsid w:val="00407C83"/>
    <w:rsid w:val="004112A7"/>
    <w:rsid w:val="0041216B"/>
    <w:rsid w:val="00412B53"/>
    <w:rsid w:val="00412FEB"/>
    <w:rsid w:val="0041535E"/>
    <w:rsid w:val="00417174"/>
    <w:rsid w:val="00420249"/>
    <w:rsid w:val="00421B65"/>
    <w:rsid w:val="00422911"/>
    <w:rsid w:val="004246C7"/>
    <w:rsid w:val="00426563"/>
    <w:rsid w:val="00426D34"/>
    <w:rsid w:val="0042725F"/>
    <w:rsid w:val="0042733A"/>
    <w:rsid w:val="004302AA"/>
    <w:rsid w:val="00430ECC"/>
    <w:rsid w:val="0043172D"/>
    <w:rsid w:val="00432EE4"/>
    <w:rsid w:val="00432F15"/>
    <w:rsid w:val="0043395E"/>
    <w:rsid w:val="00434C99"/>
    <w:rsid w:val="00435061"/>
    <w:rsid w:val="00436ED8"/>
    <w:rsid w:val="00437C8D"/>
    <w:rsid w:val="00437CE8"/>
    <w:rsid w:val="004410D3"/>
    <w:rsid w:val="0044144C"/>
    <w:rsid w:val="004419F1"/>
    <w:rsid w:val="00445E2E"/>
    <w:rsid w:val="0044784C"/>
    <w:rsid w:val="00450274"/>
    <w:rsid w:val="0045158C"/>
    <w:rsid w:val="00451BFD"/>
    <w:rsid w:val="00451CBB"/>
    <w:rsid w:val="004522F1"/>
    <w:rsid w:val="00452D33"/>
    <w:rsid w:val="0045320F"/>
    <w:rsid w:val="00453E92"/>
    <w:rsid w:val="00461DC3"/>
    <w:rsid w:val="00463188"/>
    <w:rsid w:val="00464A47"/>
    <w:rsid w:val="00466934"/>
    <w:rsid w:val="00466A89"/>
    <w:rsid w:val="00467374"/>
    <w:rsid w:val="00472A68"/>
    <w:rsid w:val="00473189"/>
    <w:rsid w:val="004802A7"/>
    <w:rsid w:val="004827B6"/>
    <w:rsid w:val="00484173"/>
    <w:rsid w:val="004843F6"/>
    <w:rsid w:val="00486676"/>
    <w:rsid w:val="00487421"/>
    <w:rsid w:val="004900E3"/>
    <w:rsid w:val="004901EF"/>
    <w:rsid w:val="00490B5C"/>
    <w:rsid w:val="00491664"/>
    <w:rsid w:val="00491F29"/>
    <w:rsid w:val="0049259A"/>
    <w:rsid w:val="00495712"/>
    <w:rsid w:val="00495872"/>
    <w:rsid w:val="0049665E"/>
    <w:rsid w:val="00496D2E"/>
    <w:rsid w:val="004A08B0"/>
    <w:rsid w:val="004A0FCB"/>
    <w:rsid w:val="004A2A08"/>
    <w:rsid w:val="004A3035"/>
    <w:rsid w:val="004A4242"/>
    <w:rsid w:val="004A4488"/>
    <w:rsid w:val="004A461A"/>
    <w:rsid w:val="004A7241"/>
    <w:rsid w:val="004A7F8D"/>
    <w:rsid w:val="004B01AC"/>
    <w:rsid w:val="004B0781"/>
    <w:rsid w:val="004B12B4"/>
    <w:rsid w:val="004B1695"/>
    <w:rsid w:val="004B2E16"/>
    <w:rsid w:val="004B4BAE"/>
    <w:rsid w:val="004B7B9D"/>
    <w:rsid w:val="004C288C"/>
    <w:rsid w:val="004C2EF5"/>
    <w:rsid w:val="004C3ABA"/>
    <w:rsid w:val="004C3B08"/>
    <w:rsid w:val="004C3BEA"/>
    <w:rsid w:val="004C6B15"/>
    <w:rsid w:val="004D1182"/>
    <w:rsid w:val="004D197B"/>
    <w:rsid w:val="004D441C"/>
    <w:rsid w:val="004E019C"/>
    <w:rsid w:val="004E0BC3"/>
    <w:rsid w:val="004E1741"/>
    <w:rsid w:val="004E18D0"/>
    <w:rsid w:val="004E1A62"/>
    <w:rsid w:val="004E5357"/>
    <w:rsid w:val="004E656E"/>
    <w:rsid w:val="004E6657"/>
    <w:rsid w:val="004E6BEB"/>
    <w:rsid w:val="004E7701"/>
    <w:rsid w:val="004F023E"/>
    <w:rsid w:val="005004DC"/>
    <w:rsid w:val="00500AE2"/>
    <w:rsid w:val="0050100A"/>
    <w:rsid w:val="0050158A"/>
    <w:rsid w:val="00502F83"/>
    <w:rsid w:val="00503C10"/>
    <w:rsid w:val="005044E5"/>
    <w:rsid w:val="005053C8"/>
    <w:rsid w:val="00506F69"/>
    <w:rsid w:val="00507D37"/>
    <w:rsid w:val="00511A25"/>
    <w:rsid w:val="00512A41"/>
    <w:rsid w:val="00512AA2"/>
    <w:rsid w:val="00513147"/>
    <w:rsid w:val="00513316"/>
    <w:rsid w:val="00514E50"/>
    <w:rsid w:val="0051689B"/>
    <w:rsid w:val="005173A4"/>
    <w:rsid w:val="00517BD3"/>
    <w:rsid w:val="0052171F"/>
    <w:rsid w:val="00521D6E"/>
    <w:rsid w:val="00522FAD"/>
    <w:rsid w:val="0052365A"/>
    <w:rsid w:val="00523D7F"/>
    <w:rsid w:val="00525B4D"/>
    <w:rsid w:val="00525DC6"/>
    <w:rsid w:val="005269BB"/>
    <w:rsid w:val="005309E7"/>
    <w:rsid w:val="00531C83"/>
    <w:rsid w:val="00533A88"/>
    <w:rsid w:val="00534937"/>
    <w:rsid w:val="00535637"/>
    <w:rsid w:val="00536EB4"/>
    <w:rsid w:val="00537EB4"/>
    <w:rsid w:val="00540B84"/>
    <w:rsid w:val="005433EF"/>
    <w:rsid w:val="0054392F"/>
    <w:rsid w:val="00543E4A"/>
    <w:rsid w:val="005454EA"/>
    <w:rsid w:val="00545A71"/>
    <w:rsid w:val="00550671"/>
    <w:rsid w:val="00552255"/>
    <w:rsid w:val="00552CEE"/>
    <w:rsid w:val="00553725"/>
    <w:rsid w:val="005549A2"/>
    <w:rsid w:val="005557F2"/>
    <w:rsid w:val="00556316"/>
    <w:rsid w:val="00556C07"/>
    <w:rsid w:val="00557634"/>
    <w:rsid w:val="00557B2D"/>
    <w:rsid w:val="00561278"/>
    <w:rsid w:val="00561AE4"/>
    <w:rsid w:val="00563AE0"/>
    <w:rsid w:val="00563B11"/>
    <w:rsid w:val="0056543C"/>
    <w:rsid w:val="0056598A"/>
    <w:rsid w:val="00572395"/>
    <w:rsid w:val="0057467E"/>
    <w:rsid w:val="005749AC"/>
    <w:rsid w:val="00575625"/>
    <w:rsid w:val="0057791C"/>
    <w:rsid w:val="00577D2F"/>
    <w:rsid w:val="00580AAE"/>
    <w:rsid w:val="00582059"/>
    <w:rsid w:val="005848E1"/>
    <w:rsid w:val="005861EA"/>
    <w:rsid w:val="00590098"/>
    <w:rsid w:val="005907FF"/>
    <w:rsid w:val="00593179"/>
    <w:rsid w:val="00594625"/>
    <w:rsid w:val="00594C31"/>
    <w:rsid w:val="0059582B"/>
    <w:rsid w:val="005960A2"/>
    <w:rsid w:val="0059690C"/>
    <w:rsid w:val="00596951"/>
    <w:rsid w:val="00596CD0"/>
    <w:rsid w:val="00596F3C"/>
    <w:rsid w:val="005A0DB5"/>
    <w:rsid w:val="005A1F59"/>
    <w:rsid w:val="005A22A1"/>
    <w:rsid w:val="005A3D08"/>
    <w:rsid w:val="005A3E90"/>
    <w:rsid w:val="005A4234"/>
    <w:rsid w:val="005A4450"/>
    <w:rsid w:val="005A7DD8"/>
    <w:rsid w:val="005B17FA"/>
    <w:rsid w:val="005B1D60"/>
    <w:rsid w:val="005B48BE"/>
    <w:rsid w:val="005B4A09"/>
    <w:rsid w:val="005B732C"/>
    <w:rsid w:val="005C0498"/>
    <w:rsid w:val="005C2EAF"/>
    <w:rsid w:val="005C3A7C"/>
    <w:rsid w:val="005C3EED"/>
    <w:rsid w:val="005C43DE"/>
    <w:rsid w:val="005C4EF5"/>
    <w:rsid w:val="005C78ED"/>
    <w:rsid w:val="005C7EE8"/>
    <w:rsid w:val="005D0002"/>
    <w:rsid w:val="005D41B7"/>
    <w:rsid w:val="005D6CD8"/>
    <w:rsid w:val="005E0292"/>
    <w:rsid w:val="005E20BB"/>
    <w:rsid w:val="005E36D2"/>
    <w:rsid w:val="005E7005"/>
    <w:rsid w:val="005F06C3"/>
    <w:rsid w:val="005F0A08"/>
    <w:rsid w:val="005F210A"/>
    <w:rsid w:val="005F2DE7"/>
    <w:rsid w:val="005F446C"/>
    <w:rsid w:val="005F4A9E"/>
    <w:rsid w:val="005F4B9F"/>
    <w:rsid w:val="005F6037"/>
    <w:rsid w:val="005F62A7"/>
    <w:rsid w:val="005F7EE6"/>
    <w:rsid w:val="00600415"/>
    <w:rsid w:val="0060059D"/>
    <w:rsid w:val="00600AA5"/>
    <w:rsid w:val="006012F9"/>
    <w:rsid w:val="006021DC"/>
    <w:rsid w:val="00602685"/>
    <w:rsid w:val="00603408"/>
    <w:rsid w:val="006035B6"/>
    <w:rsid w:val="00604330"/>
    <w:rsid w:val="0060524B"/>
    <w:rsid w:val="00607025"/>
    <w:rsid w:val="0060761E"/>
    <w:rsid w:val="00610EBD"/>
    <w:rsid w:val="006117AA"/>
    <w:rsid w:val="006121FA"/>
    <w:rsid w:val="006137AB"/>
    <w:rsid w:val="00614EC5"/>
    <w:rsid w:val="00615BC6"/>
    <w:rsid w:val="0061656A"/>
    <w:rsid w:val="006208CB"/>
    <w:rsid w:val="00621297"/>
    <w:rsid w:val="006227A6"/>
    <w:rsid w:val="00623306"/>
    <w:rsid w:val="00623E73"/>
    <w:rsid w:val="00624762"/>
    <w:rsid w:val="00625248"/>
    <w:rsid w:val="006301A9"/>
    <w:rsid w:val="0063044C"/>
    <w:rsid w:val="00633AC9"/>
    <w:rsid w:val="00634515"/>
    <w:rsid w:val="006346C7"/>
    <w:rsid w:val="00635C5A"/>
    <w:rsid w:val="00635F72"/>
    <w:rsid w:val="00636C6D"/>
    <w:rsid w:val="00644467"/>
    <w:rsid w:val="006445E8"/>
    <w:rsid w:val="00645274"/>
    <w:rsid w:val="00645FA1"/>
    <w:rsid w:val="00647A1C"/>
    <w:rsid w:val="00647CA3"/>
    <w:rsid w:val="00650641"/>
    <w:rsid w:val="00650B64"/>
    <w:rsid w:val="00652ED5"/>
    <w:rsid w:val="00655AC6"/>
    <w:rsid w:val="00656582"/>
    <w:rsid w:val="00656A79"/>
    <w:rsid w:val="00657169"/>
    <w:rsid w:val="006601B7"/>
    <w:rsid w:val="006607D0"/>
    <w:rsid w:val="006608F5"/>
    <w:rsid w:val="00661902"/>
    <w:rsid w:val="00661D37"/>
    <w:rsid w:val="00662346"/>
    <w:rsid w:val="006647FB"/>
    <w:rsid w:val="006654C7"/>
    <w:rsid w:val="006667C1"/>
    <w:rsid w:val="006673B2"/>
    <w:rsid w:val="00667E9B"/>
    <w:rsid w:val="006709FC"/>
    <w:rsid w:val="00670D34"/>
    <w:rsid w:val="00670E86"/>
    <w:rsid w:val="00671438"/>
    <w:rsid w:val="0067479F"/>
    <w:rsid w:val="00675F23"/>
    <w:rsid w:val="00677745"/>
    <w:rsid w:val="00680325"/>
    <w:rsid w:val="00683ACF"/>
    <w:rsid w:val="00684D63"/>
    <w:rsid w:val="00684DC9"/>
    <w:rsid w:val="00685994"/>
    <w:rsid w:val="00685D0D"/>
    <w:rsid w:val="00687E6C"/>
    <w:rsid w:val="00693907"/>
    <w:rsid w:val="00697A62"/>
    <w:rsid w:val="006A2549"/>
    <w:rsid w:val="006A2997"/>
    <w:rsid w:val="006B0E0B"/>
    <w:rsid w:val="006B18D9"/>
    <w:rsid w:val="006B3CBE"/>
    <w:rsid w:val="006B4ED9"/>
    <w:rsid w:val="006B5C2A"/>
    <w:rsid w:val="006B605A"/>
    <w:rsid w:val="006B66D0"/>
    <w:rsid w:val="006C0DE7"/>
    <w:rsid w:val="006C3591"/>
    <w:rsid w:val="006C3F77"/>
    <w:rsid w:val="006C4537"/>
    <w:rsid w:val="006C6374"/>
    <w:rsid w:val="006C6EE1"/>
    <w:rsid w:val="006D1101"/>
    <w:rsid w:val="006D5187"/>
    <w:rsid w:val="006D7788"/>
    <w:rsid w:val="006E13FE"/>
    <w:rsid w:val="006E1C50"/>
    <w:rsid w:val="006E24FE"/>
    <w:rsid w:val="006E3C48"/>
    <w:rsid w:val="006E5249"/>
    <w:rsid w:val="006E60ED"/>
    <w:rsid w:val="006F3906"/>
    <w:rsid w:val="006F42DD"/>
    <w:rsid w:val="006F4D06"/>
    <w:rsid w:val="006F5976"/>
    <w:rsid w:val="006F70CA"/>
    <w:rsid w:val="006F74B4"/>
    <w:rsid w:val="0070036A"/>
    <w:rsid w:val="00703497"/>
    <w:rsid w:val="0070406C"/>
    <w:rsid w:val="00704BF1"/>
    <w:rsid w:val="00705718"/>
    <w:rsid w:val="007058C9"/>
    <w:rsid w:val="0070719E"/>
    <w:rsid w:val="00707B6B"/>
    <w:rsid w:val="00707FEE"/>
    <w:rsid w:val="00710454"/>
    <w:rsid w:val="00710F7F"/>
    <w:rsid w:val="00712082"/>
    <w:rsid w:val="00714B64"/>
    <w:rsid w:val="00714DF7"/>
    <w:rsid w:val="00716578"/>
    <w:rsid w:val="00717133"/>
    <w:rsid w:val="007171FD"/>
    <w:rsid w:val="00721DCD"/>
    <w:rsid w:val="00722734"/>
    <w:rsid w:val="00723689"/>
    <w:rsid w:val="00724588"/>
    <w:rsid w:val="00724995"/>
    <w:rsid w:val="00724DE7"/>
    <w:rsid w:val="00725BB6"/>
    <w:rsid w:val="00726DFA"/>
    <w:rsid w:val="00727512"/>
    <w:rsid w:val="0073525F"/>
    <w:rsid w:val="00735882"/>
    <w:rsid w:val="00735ED2"/>
    <w:rsid w:val="00736099"/>
    <w:rsid w:val="00741C3F"/>
    <w:rsid w:val="00743CE5"/>
    <w:rsid w:val="00744B8D"/>
    <w:rsid w:val="00744C7C"/>
    <w:rsid w:val="00745383"/>
    <w:rsid w:val="007457D2"/>
    <w:rsid w:val="00746450"/>
    <w:rsid w:val="0074682E"/>
    <w:rsid w:val="00747209"/>
    <w:rsid w:val="00750FA4"/>
    <w:rsid w:val="00751C87"/>
    <w:rsid w:val="00752062"/>
    <w:rsid w:val="0075421F"/>
    <w:rsid w:val="00756C2B"/>
    <w:rsid w:val="0076136D"/>
    <w:rsid w:val="007618A7"/>
    <w:rsid w:val="0076190A"/>
    <w:rsid w:val="00762952"/>
    <w:rsid w:val="00765377"/>
    <w:rsid w:val="00765850"/>
    <w:rsid w:val="00765BA2"/>
    <w:rsid w:val="0076749D"/>
    <w:rsid w:val="00770238"/>
    <w:rsid w:val="0077171E"/>
    <w:rsid w:val="00771828"/>
    <w:rsid w:val="00771D31"/>
    <w:rsid w:val="00772FE1"/>
    <w:rsid w:val="007752AC"/>
    <w:rsid w:val="0077670B"/>
    <w:rsid w:val="007767DD"/>
    <w:rsid w:val="00776974"/>
    <w:rsid w:val="007774EA"/>
    <w:rsid w:val="00777796"/>
    <w:rsid w:val="007777C4"/>
    <w:rsid w:val="00777FC4"/>
    <w:rsid w:val="007852A9"/>
    <w:rsid w:val="00786646"/>
    <w:rsid w:val="0079082E"/>
    <w:rsid w:val="00792A7F"/>
    <w:rsid w:val="007947D7"/>
    <w:rsid w:val="007955DC"/>
    <w:rsid w:val="0079665D"/>
    <w:rsid w:val="007967CC"/>
    <w:rsid w:val="00797C38"/>
    <w:rsid w:val="00797F39"/>
    <w:rsid w:val="007A0423"/>
    <w:rsid w:val="007A1378"/>
    <w:rsid w:val="007A3644"/>
    <w:rsid w:val="007A5E9D"/>
    <w:rsid w:val="007A74E8"/>
    <w:rsid w:val="007B055F"/>
    <w:rsid w:val="007B0AEF"/>
    <w:rsid w:val="007B226B"/>
    <w:rsid w:val="007B3403"/>
    <w:rsid w:val="007B4494"/>
    <w:rsid w:val="007B5836"/>
    <w:rsid w:val="007B5A3A"/>
    <w:rsid w:val="007C190B"/>
    <w:rsid w:val="007C4192"/>
    <w:rsid w:val="007D08E7"/>
    <w:rsid w:val="007D0939"/>
    <w:rsid w:val="007D276A"/>
    <w:rsid w:val="007D31EE"/>
    <w:rsid w:val="007D3AE5"/>
    <w:rsid w:val="007D4482"/>
    <w:rsid w:val="007D48F4"/>
    <w:rsid w:val="007D5ADD"/>
    <w:rsid w:val="007D631E"/>
    <w:rsid w:val="007D6615"/>
    <w:rsid w:val="007D7847"/>
    <w:rsid w:val="007E2F1C"/>
    <w:rsid w:val="007E39BB"/>
    <w:rsid w:val="007E45D4"/>
    <w:rsid w:val="007F0BC5"/>
    <w:rsid w:val="007F1109"/>
    <w:rsid w:val="007F22F6"/>
    <w:rsid w:val="007F3216"/>
    <w:rsid w:val="007F3C3D"/>
    <w:rsid w:val="007F5715"/>
    <w:rsid w:val="007F5DAE"/>
    <w:rsid w:val="007F6042"/>
    <w:rsid w:val="007F6584"/>
    <w:rsid w:val="007F78F0"/>
    <w:rsid w:val="00800425"/>
    <w:rsid w:val="008009EF"/>
    <w:rsid w:val="008029C9"/>
    <w:rsid w:val="00802ED8"/>
    <w:rsid w:val="00803C4A"/>
    <w:rsid w:val="00804C3E"/>
    <w:rsid w:val="00805068"/>
    <w:rsid w:val="00806019"/>
    <w:rsid w:val="0080672A"/>
    <w:rsid w:val="008101B1"/>
    <w:rsid w:val="00810961"/>
    <w:rsid w:val="0081160C"/>
    <w:rsid w:val="00812D2D"/>
    <w:rsid w:val="00812D44"/>
    <w:rsid w:val="00813C36"/>
    <w:rsid w:val="00813CE3"/>
    <w:rsid w:val="0081416B"/>
    <w:rsid w:val="00814A13"/>
    <w:rsid w:val="0081588C"/>
    <w:rsid w:val="00815AD2"/>
    <w:rsid w:val="00816355"/>
    <w:rsid w:val="00816600"/>
    <w:rsid w:val="00816D47"/>
    <w:rsid w:val="00817609"/>
    <w:rsid w:val="00817685"/>
    <w:rsid w:val="008213E7"/>
    <w:rsid w:val="0082299A"/>
    <w:rsid w:val="00824733"/>
    <w:rsid w:val="00824CBE"/>
    <w:rsid w:val="008252E3"/>
    <w:rsid w:val="00825969"/>
    <w:rsid w:val="00830E6D"/>
    <w:rsid w:val="00832CA5"/>
    <w:rsid w:val="00834207"/>
    <w:rsid w:val="008360DE"/>
    <w:rsid w:val="00837441"/>
    <w:rsid w:val="00840622"/>
    <w:rsid w:val="008425F8"/>
    <w:rsid w:val="00842A2F"/>
    <w:rsid w:val="00844959"/>
    <w:rsid w:val="008454E1"/>
    <w:rsid w:val="008475FC"/>
    <w:rsid w:val="00847A5F"/>
    <w:rsid w:val="00850B96"/>
    <w:rsid w:val="00850CBC"/>
    <w:rsid w:val="008518C0"/>
    <w:rsid w:val="00852159"/>
    <w:rsid w:val="00853D23"/>
    <w:rsid w:val="00856566"/>
    <w:rsid w:val="00856D8F"/>
    <w:rsid w:val="008574FD"/>
    <w:rsid w:val="008611DE"/>
    <w:rsid w:val="008648B4"/>
    <w:rsid w:val="008667FF"/>
    <w:rsid w:val="0087154B"/>
    <w:rsid w:val="0087367C"/>
    <w:rsid w:val="00874532"/>
    <w:rsid w:val="00874EFB"/>
    <w:rsid w:val="00876003"/>
    <w:rsid w:val="0087685B"/>
    <w:rsid w:val="00883277"/>
    <w:rsid w:val="00884D33"/>
    <w:rsid w:val="00890F38"/>
    <w:rsid w:val="00892C85"/>
    <w:rsid w:val="0089315A"/>
    <w:rsid w:val="0089322C"/>
    <w:rsid w:val="00897353"/>
    <w:rsid w:val="00897CCF"/>
    <w:rsid w:val="008A1723"/>
    <w:rsid w:val="008A2D5E"/>
    <w:rsid w:val="008A47DE"/>
    <w:rsid w:val="008A5186"/>
    <w:rsid w:val="008A67F6"/>
    <w:rsid w:val="008A6C9D"/>
    <w:rsid w:val="008A6F6B"/>
    <w:rsid w:val="008A7D55"/>
    <w:rsid w:val="008B0855"/>
    <w:rsid w:val="008B17DD"/>
    <w:rsid w:val="008B7CB9"/>
    <w:rsid w:val="008C0B5A"/>
    <w:rsid w:val="008C1ACC"/>
    <w:rsid w:val="008C2CF0"/>
    <w:rsid w:val="008C3446"/>
    <w:rsid w:val="008C4905"/>
    <w:rsid w:val="008C5D18"/>
    <w:rsid w:val="008C606A"/>
    <w:rsid w:val="008C671A"/>
    <w:rsid w:val="008C767F"/>
    <w:rsid w:val="008C7B63"/>
    <w:rsid w:val="008D2807"/>
    <w:rsid w:val="008D333B"/>
    <w:rsid w:val="008D38A9"/>
    <w:rsid w:val="008D3D6E"/>
    <w:rsid w:val="008D4553"/>
    <w:rsid w:val="008D59EA"/>
    <w:rsid w:val="008D5E0C"/>
    <w:rsid w:val="008D6345"/>
    <w:rsid w:val="008D6923"/>
    <w:rsid w:val="008D7589"/>
    <w:rsid w:val="008E1FAD"/>
    <w:rsid w:val="008E38D0"/>
    <w:rsid w:val="008E458E"/>
    <w:rsid w:val="008E4CF7"/>
    <w:rsid w:val="008E6504"/>
    <w:rsid w:val="008E6984"/>
    <w:rsid w:val="008F0222"/>
    <w:rsid w:val="008F39AD"/>
    <w:rsid w:val="008F5DF8"/>
    <w:rsid w:val="008F676D"/>
    <w:rsid w:val="008F6795"/>
    <w:rsid w:val="00900C3E"/>
    <w:rsid w:val="0090243B"/>
    <w:rsid w:val="00903B62"/>
    <w:rsid w:val="00904172"/>
    <w:rsid w:val="00904F92"/>
    <w:rsid w:val="00905004"/>
    <w:rsid w:val="00905E6A"/>
    <w:rsid w:val="0091092D"/>
    <w:rsid w:val="009111BF"/>
    <w:rsid w:val="009112B8"/>
    <w:rsid w:val="00912411"/>
    <w:rsid w:val="009126C8"/>
    <w:rsid w:val="00913287"/>
    <w:rsid w:val="009135B8"/>
    <w:rsid w:val="0091368A"/>
    <w:rsid w:val="009158F1"/>
    <w:rsid w:val="00916FC1"/>
    <w:rsid w:val="009217A3"/>
    <w:rsid w:val="00921C73"/>
    <w:rsid w:val="00926274"/>
    <w:rsid w:val="009301D6"/>
    <w:rsid w:val="00930946"/>
    <w:rsid w:val="00930EC1"/>
    <w:rsid w:val="009337F3"/>
    <w:rsid w:val="00934392"/>
    <w:rsid w:val="009351FD"/>
    <w:rsid w:val="009353FA"/>
    <w:rsid w:val="0093651C"/>
    <w:rsid w:val="00940201"/>
    <w:rsid w:val="00940AB0"/>
    <w:rsid w:val="00940BB4"/>
    <w:rsid w:val="0094230E"/>
    <w:rsid w:val="00942C25"/>
    <w:rsid w:val="00945233"/>
    <w:rsid w:val="009464F3"/>
    <w:rsid w:val="00947265"/>
    <w:rsid w:val="00947E4C"/>
    <w:rsid w:val="00952543"/>
    <w:rsid w:val="009527AE"/>
    <w:rsid w:val="00952B89"/>
    <w:rsid w:val="00954166"/>
    <w:rsid w:val="009547A5"/>
    <w:rsid w:val="009550C7"/>
    <w:rsid w:val="00955F92"/>
    <w:rsid w:val="00957953"/>
    <w:rsid w:val="00960553"/>
    <w:rsid w:val="00960A15"/>
    <w:rsid w:val="0096164F"/>
    <w:rsid w:val="00962EAC"/>
    <w:rsid w:val="009668E1"/>
    <w:rsid w:val="00966C0D"/>
    <w:rsid w:val="009673E9"/>
    <w:rsid w:val="00972D91"/>
    <w:rsid w:val="00972EA8"/>
    <w:rsid w:val="00973B6C"/>
    <w:rsid w:val="00973F1C"/>
    <w:rsid w:val="00975D64"/>
    <w:rsid w:val="00976C09"/>
    <w:rsid w:val="00981365"/>
    <w:rsid w:val="0098316A"/>
    <w:rsid w:val="009832A7"/>
    <w:rsid w:val="00985AF8"/>
    <w:rsid w:val="009908A3"/>
    <w:rsid w:val="00993DA2"/>
    <w:rsid w:val="009947D3"/>
    <w:rsid w:val="00994CAC"/>
    <w:rsid w:val="009954CF"/>
    <w:rsid w:val="00996A27"/>
    <w:rsid w:val="00997ACA"/>
    <w:rsid w:val="009A0BFF"/>
    <w:rsid w:val="009A3463"/>
    <w:rsid w:val="009A4266"/>
    <w:rsid w:val="009A4EE9"/>
    <w:rsid w:val="009A5596"/>
    <w:rsid w:val="009A5744"/>
    <w:rsid w:val="009A5AC8"/>
    <w:rsid w:val="009A5D58"/>
    <w:rsid w:val="009B08E7"/>
    <w:rsid w:val="009B08F1"/>
    <w:rsid w:val="009B3CE8"/>
    <w:rsid w:val="009B3F42"/>
    <w:rsid w:val="009C026F"/>
    <w:rsid w:val="009C099B"/>
    <w:rsid w:val="009C273C"/>
    <w:rsid w:val="009C334A"/>
    <w:rsid w:val="009C4C14"/>
    <w:rsid w:val="009C5B56"/>
    <w:rsid w:val="009C6302"/>
    <w:rsid w:val="009C654B"/>
    <w:rsid w:val="009D012F"/>
    <w:rsid w:val="009D16FA"/>
    <w:rsid w:val="009D1701"/>
    <w:rsid w:val="009D2797"/>
    <w:rsid w:val="009D2A6B"/>
    <w:rsid w:val="009D2D05"/>
    <w:rsid w:val="009D31AB"/>
    <w:rsid w:val="009D392B"/>
    <w:rsid w:val="009D39D5"/>
    <w:rsid w:val="009E1DD5"/>
    <w:rsid w:val="009E279F"/>
    <w:rsid w:val="009E70CF"/>
    <w:rsid w:val="009F0522"/>
    <w:rsid w:val="009F3023"/>
    <w:rsid w:val="009F37E1"/>
    <w:rsid w:val="009F3914"/>
    <w:rsid w:val="009F4751"/>
    <w:rsid w:val="009F53A4"/>
    <w:rsid w:val="00A00200"/>
    <w:rsid w:val="00A04DAC"/>
    <w:rsid w:val="00A05C85"/>
    <w:rsid w:val="00A07A4C"/>
    <w:rsid w:val="00A07FCA"/>
    <w:rsid w:val="00A11967"/>
    <w:rsid w:val="00A12343"/>
    <w:rsid w:val="00A125AF"/>
    <w:rsid w:val="00A13A9A"/>
    <w:rsid w:val="00A146A7"/>
    <w:rsid w:val="00A14763"/>
    <w:rsid w:val="00A155B4"/>
    <w:rsid w:val="00A15936"/>
    <w:rsid w:val="00A15E4E"/>
    <w:rsid w:val="00A16434"/>
    <w:rsid w:val="00A20E2C"/>
    <w:rsid w:val="00A21A6C"/>
    <w:rsid w:val="00A22F8B"/>
    <w:rsid w:val="00A23778"/>
    <w:rsid w:val="00A247AB"/>
    <w:rsid w:val="00A24E46"/>
    <w:rsid w:val="00A26AA7"/>
    <w:rsid w:val="00A271D9"/>
    <w:rsid w:val="00A301AD"/>
    <w:rsid w:val="00A30921"/>
    <w:rsid w:val="00A3798D"/>
    <w:rsid w:val="00A40793"/>
    <w:rsid w:val="00A4310F"/>
    <w:rsid w:val="00A4349C"/>
    <w:rsid w:val="00A459BD"/>
    <w:rsid w:val="00A47BD7"/>
    <w:rsid w:val="00A505FE"/>
    <w:rsid w:val="00A51DFE"/>
    <w:rsid w:val="00A52450"/>
    <w:rsid w:val="00A56F71"/>
    <w:rsid w:val="00A57C36"/>
    <w:rsid w:val="00A61F9A"/>
    <w:rsid w:val="00A62534"/>
    <w:rsid w:val="00A62C5B"/>
    <w:rsid w:val="00A70957"/>
    <w:rsid w:val="00A712F0"/>
    <w:rsid w:val="00A7157A"/>
    <w:rsid w:val="00A721D4"/>
    <w:rsid w:val="00A7268F"/>
    <w:rsid w:val="00A726FC"/>
    <w:rsid w:val="00A740A7"/>
    <w:rsid w:val="00A7459E"/>
    <w:rsid w:val="00A75258"/>
    <w:rsid w:val="00A76131"/>
    <w:rsid w:val="00A80B60"/>
    <w:rsid w:val="00A810E8"/>
    <w:rsid w:val="00A86822"/>
    <w:rsid w:val="00A9615C"/>
    <w:rsid w:val="00A97FCC"/>
    <w:rsid w:val="00AA4C56"/>
    <w:rsid w:val="00AA5629"/>
    <w:rsid w:val="00AA738A"/>
    <w:rsid w:val="00AA79FD"/>
    <w:rsid w:val="00AA7C01"/>
    <w:rsid w:val="00AB0724"/>
    <w:rsid w:val="00AB1624"/>
    <w:rsid w:val="00AB1733"/>
    <w:rsid w:val="00AB24DC"/>
    <w:rsid w:val="00AB2D69"/>
    <w:rsid w:val="00AB3733"/>
    <w:rsid w:val="00AB43CF"/>
    <w:rsid w:val="00AB7F00"/>
    <w:rsid w:val="00AC07A1"/>
    <w:rsid w:val="00AC5570"/>
    <w:rsid w:val="00AC6B7A"/>
    <w:rsid w:val="00AC7630"/>
    <w:rsid w:val="00AD070D"/>
    <w:rsid w:val="00AD09DB"/>
    <w:rsid w:val="00AD25D8"/>
    <w:rsid w:val="00AD380E"/>
    <w:rsid w:val="00AD38AA"/>
    <w:rsid w:val="00AD3D32"/>
    <w:rsid w:val="00AD4236"/>
    <w:rsid w:val="00AD62AC"/>
    <w:rsid w:val="00AE0A4F"/>
    <w:rsid w:val="00AE1B0D"/>
    <w:rsid w:val="00AE25AA"/>
    <w:rsid w:val="00AE38C5"/>
    <w:rsid w:val="00AE4001"/>
    <w:rsid w:val="00AE4F62"/>
    <w:rsid w:val="00AE5461"/>
    <w:rsid w:val="00AE56F1"/>
    <w:rsid w:val="00AE5D14"/>
    <w:rsid w:val="00AE6422"/>
    <w:rsid w:val="00AE65B9"/>
    <w:rsid w:val="00AF1025"/>
    <w:rsid w:val="00AF13E9"/>
    <w:rsid w:val="00AF31A0"/>
    <w:rsid w:val="00AF449C"/>
    <w:rsid w:val="00AF5769"/>
    <w:rsid w:val="00AF58B2"/>
    <w:rsid w:val="00AF58D5"/>
    <w:rsid w:val="00AF5FA9"/>
    <w:rsid w:val="00B021B1"/>
    <w:rsid w:val="00B050A3"/>
    <w:rsid w:val="00B05DF7"/>
    <w:rsid w:val="00B10200"/>
    <w:rsid w:val="00B10901"/>
    <w:rsid w:val="00B10A15"/>
    <w:rsid w:val="00B129A7"/>
    <w:rsid w:val="00B134DF"/>
    <w:rsid w:val="00B16936"/>
    <w:rsid w:val="00B16F77"/>
    <w:rsid w:val="00B1729E"/>
    <w:rsid w:val="00B21758"/>
    <w:rsid w:val="00B21DDB"/>
    <w:rsid w:val="00B22024"/>
    <w:rsid w:val="00B224D3"/>
    <w:rsid w:val="00B23C9B"/>
    <w:rsid w:val="00B269B1"/>
    <w:rsid w:val="00B27A18"/>
    <w:rsid w:val="00B27E26"/>
    <w:rsid w:val="00B307A7"/>
    <w:rsid w:val="00B309F0"/>
    <w:rsid w:val="00B30C38"/>
    <w:rsid w:val="00B311E0"/>
    <w:rsid w:val="00B324EE"/>
    <w:rsid w:val="00B32A7F"/>
    <w:rsid w:val="00B32BBC"/>
    <w:rsid w:val="00B371E0"/>
    <w:rsid w:val="00B37B1F"/>
    <w:rsid w:val="00B42DC0"/>
    <w:rsid w:val="00B43BB6"/>
    <w:rsid w:val="00B4411E"/>
    <w:rsid w:val="00B46C3E"/>
    <w:rsid w:val="00B47B72"/>
    <w:rsid w:val="00B47D5E"/>
    <w:rsid w:val="00B524B5"/>
    <w:rsid w:val="00B52786"/>
    <w:rsid w:val="00B54DF6"/>
    <w:rsid w:val="00B558E2"/>
    <w:rsid w:val="00B5694F"/>
    <w:rsid w:val="00B60D2C"/>
    <w:rsid w:val="00B65178"/>
    <w:rsid w:val="00B655A5"/>
    <w:rsid w:val="00B675A1"/>
    <w:rsid w:val="00B71F50"/>
    <w:rsid w:val="00B72E77"/>
    <w:rsid w:val="00B72F82"/>
    <w:rsid w:val="00B731B9"/>
    <w:rsid w:val="00B73649"/>
    <w:rsid w:val="00B73D16"/>
    <w:rsid w:val="00B7645B"/>
    <w:rsid w:val="00B76EBA"/>
    <w:rsid w:val="00B82A66"/>
    <w:rsid w:val="00B83098"/>
    <w:rsid w:val="00B85ED7"/>
    <w:rsid w:val="00B8657D"/>
    <w:rsid w:val="00B87018"/>
    <w:rsid w:val="00B902FD"/>
    <w:rsid w:val="00B91ADB"/>
    <w:rsid w:val="00B9288A"/>
    <w:rsid w:val="00B928D8"/>
    <w:rsid w:val="00B942E1"/>
    <w:rsid w:val="00B950F4"/>
    <w:rsid w:val="00B977AB"/>
    <w:rsid w:val="00BA22A7"/>
    <w:rsid w:val="00BA2928"/>
    <w:rsid w:val="00BA304D"/>
    <w:rsid w:val="00BA45CA"/>
    <w:rsid w:val="00BA4700"/>
    <w:rsid w:val="00BA4907"/>
    <w:rsid w:val="00BA5456"/>
    <w:rsid w:val="00BA5910"/>
    <w:rsid w:val="00BA5AD6"/>
    <w:rsid w:val="00BA5C5F"/>
    <w:rsid w:val="00BA6B62"/>
    <w:rsid w:val="00BB1015"/>
    <w:rsid w:val="00BB1DBC"/>
    <w:rsid w:val="00BB3474"/>
    <w:rsid w:val="00BB5A32"/>
    <w:rsid w:val="00BB673F"/>
    <w:rsid w:val="00BB69FD"/>
    <w:rsid w:val="00BC0558"/>
    <w:rsid w:val="00BC18C8"/>
    <w:rsid w:val="00BC3503"/>
    <w:rsid w:val="00BC3563"/>
    <w:rsid w:val="00BC35C8"/>
    <w:rsid w:val="00BC3A99"/>
    <w:rsid w:val="00BC6BC7"/>
    <w:rsid w:val="00BC6E27"/>
    <w:rsid w:val="00BD14E8"/>
    <w:rsid w:val="00BD2F2F"/>
    <w:rsid w:val="00BD3454"/>
    <w:rsid w:val="00BD3A88"/>
    <w:rsid w:val="00BD3C3E"/>
    <w:rsid w:val="00BD435F"/>
    <w:rsid w:val="00BD4A4B"/>
    <w:rsid w:val="00BD4A8B"/>
    <w:rsid w:val="00BD53F4"/>
    <w:rsid w:val="00BD6929"/>
    <w:rsid w:val="00BD6D3D"/>
    <w:rsid w:val="00BE3D09"/>
    <w:rsid w:val="00BE3E72"/>
    <w:rsid w:val="00BE4864"/>
    <w:rsid w:val="00BF0778"/>
    <w:rsid w:val="00BF0D50"/>
    <w:rsid w:val="00BF2530"/>
    <w:rsid w:val="00BF2B16"/>
    <w:rsid w:val="00BF307D"/>
    <w:rsid w:val="00BF41B8"/>
    <w:rsid w:val="00BF4F04"/>
    <w:rsid w:val="00BF4FFC"/>
    <w:rsid w:val="00BF75C4"/>
    <w:rsid w:val="00BF75F5"/>
    <w:rsid w:val="00C01441"/>
    <w:rsid w:val="00C02029"/>
    <w:rsid w:val="00C02E38"/>
    <w:rsid w:val="00C043F4"/>
    <w:rsid w:val="00C049FF"/>
    <w:rsid w:val="00C06623"/>
    <w:rsid w:val="00C06DBE"/>
    <w:rsid w:val="00C1026B"/>
    <w:rsid w:val="00C12878"/>
    <w:rsid w:val="00C13671"/>
    <w:rsid w:val="00C24BFA"/>
    <w:rsid w:val="00C258B6"/>
    <w:rsid w:val="00C270A4"/>
    <w:rsid w:val="00C2787A"/>
    <w:rsid w:val="00C30ED8"/>
    <w:rsid w:val="00C33404"/>
    <w:rsid w:val="00C34E2B"/>
    <w:rsid w:val="00C36459"/>
    <w:rsid w:val="00C3689E"/>
    <w:rsid w:val="00C36BDA"/>
    <w:rsid w:val="00C36F27"/>
    <w:rsid w:val="00C3771F"/>
    <w:rsid w:val="00C40266"/>
    <w:rsid w:val="00C408C2"/>
    <w:rsid w:val="00C41559"/>
    <w:rsid w:val="00C41901"/>
    <w:rsid w:val="00C419F2"/>
    <w:rsid w:val="00C442CE"/>
    <w:rsid w:val="00C45BB2"/>
    <w:rsid w:val="00C45C8D"/>
    <w:rsid w:val="00C464EA"/>
    <w:rsid w:val="00C50C45"/>
    <w:rsid w:val="00C52D16"/>
    <w:rsid w:val="00C5394A"/>
    <w:rsid w:val="00C53D7E"/>
    <w:rsid w:val="00C53DA0"/>
    <w:rsid w:val="00C61040"/>
    <w:rsid w:val="00C61E86"/>
    <w:rsid w:val="00C62459"/>
    <w:rsid w:val="00C64B33"/>
    <w:rsid w:val="00C64F3D"/>
    <w:rsid w:val="00C67E7D"/>
    <w:rsid w:val="00C700CC"/>
    <w:rsid w:val="00C70A16"/>
    <w:rsid w:val="00C71C7C"/>
    <w:rsid w:val="00C71D4C"/>
    <w:rsid w:val="00C71FE1"/>
    <w:rsid w:val="00C72688"/>
    <w:rsid w:val="00C75273"/>
    <w:rsid w:val="00C75F8F"/>
    <w:rsid w:val="00C76F9C"/>
    <w:rsid w:val="00C773B6"/>
    <w:rsid w:val="00C77EAD"/>
    <w:rsid w:val="00C81A54"/>
    <w:rsid w:val="00C845BF"/>
    <w:rsid w:val="00C849E6"/>
    <w:rsid w:val="00C8567B"/>
    <w:rsid w:val="00C866F1"/>
    <w:rsid w:val="00C87EAB"/>
    <w:rsid w:val="00C90D0C"/>
    <w:rsid w:val="00C90D71"/>
    <w:rsid w:val="00C93247"/>
    <w:rsid w:val="00C95609"/>
    <w:rsid w:val="00C9583A"/>
    <w:rsid w:val="00CA042E"/>
    <w:rsid w:val="00CA109F"/>
    <w:rsid w:val="00CA2251"/>
    <w:rsid w:val="00CA28A2"/>
    <w:rsid w:val="00CA28B3"/>
    <w:rsid w:val="00CA397C"/>
    <w:rsid w:val="00CA4D0B"/>
    <w:rsid w:val="00CA77C1"/>
    <w:rsid w:val="00CA7B46"/>
    <w:rsid w:val="00CB0207"/>
    <w:rsid w:val="00CB08A5"/>
    <w:rsid w:val="00CB09D9"/>
    <w:rsid w:val="00CB0ABC"/>
    <w:rsid w:val="00CB2DA0"/>
    <w:rsid w:val="00CB351C"/>
    <w:rsid w:val="00CB4796"/>
    <w:rsid w:val="00CB6C64"/>
    <w:rsid w:val="00CC2D4F"/>
    <w:rsid w:val="00CC3BAC"/>
    <w:rsid w:val="00CC4218"/>
    <w:rsid w:val="00CC45C8"/>
    <w:rsid w:val="00CC46A2"/>
    <w:rsid w:val="00CC60EF"/>
    <w:rsid w:val="00CC62B8"/>
    <w:rsid w:val="00CC6970"/>
    <w:rsid w:val="00CC6ADB"/>
    <w:rsid w:val="00CC76F1"/>
    <w:rsid w:val="00CD511D"/>
    <w:rsid w:val="00CD52B0"/>
    <w:rsid w:val="00CE0BDE"/>
    <w:rsid w:val="00CE154C"/>
    <w:rsid w:val="00CE1926"/>
    <w:rsid w:val="00CE2BD6"/>
    <w:rsid w:val="00CE30E4"/>
    <w:rsid w:val="00CE3415"/>
    <w:rsid w:val="00CE349A"/>
    <w:rsid w:val="00CE3670"/>
    <w:rsid w:val="00CE5A79"/>
    <w:rsid w:val="00CE7AFB"/>
    <w:rsid w:val="00CF0300"/>
    <w:rsid w:val="00CF6137"/>
    <w:rsid w:val="00CF6725"/>
    <w:rsid w:val="00CF74F8"/>
    <w:rsid w:val="00D01CE1"/>
    <w:rsid w:val="00D05346"/>
    <w:rsid w:val="00D10CAF"/>
    <w:rsid w:val="00D12013"/>
    <w:rsid w:val="00D1219D"/>
    <w:rsid w:val="00D1663C"/>
    <w:rsid w:val="00D169C8"/>
    <w:rsid w:val="00D16AD8"/>
    <w:rsid w:val="00D16D7C"/>
    <w:rsid w:val="00D22194"/>
    <w:rsid w:val="00D225DF"/>
    <w:rsid w:val="00D22AD3"/>
    <w:rsid w:val="00D25F7F"/>
    <w:rsid w:val="00D270D6"/>
    <w:rsid w:val="00D30389"/>
    <w:rsid w:val="00D32614"/>
    <w:rsid w:val="00D33699"/>
    <w:rsid w:val="00D33C1E"/>
    <w:rsid w:val="00D34417"/>
    <w:rsid w:val="00D3512A"/>
    <w:rsid w:val="00D408CF"/>
    <w:rsid w:val="00D40C69"/>
    <w:rsid w:val="00D41FD4"/>
    <w:rsid w:val="00D42D33"/>
    <w:rsid w:val="00D442B2"/>
    <w:rsid w:val="00D4696F"/>
    <w:rsid w:val="00D50C9B"/>
    <w:rsid w:val="00D53DDC"/>
    <w:rsid w:val="00D54707"/>
    <w:rsid w:val="00D54E53"/>
    <w:rsid w:val="00D55E38"/>
    <w:rsid w:val="00D56F42"/>
    <w:rsid w:val="00D57998"/>
    <w:rsid w:val="00D6157F"/>
    <w:rsid w:val="00D632A4"/>
    <w:rsid w:val="00D63342"/>
    <w:rsid w:val="00D63673"/>
    <w:rsid w:val="00D65670"/>
    <w:rsid w:val="00D65F11"/>
    <w:rsid w:val="00D6784E"/>
    <w:rsid w:val="00D70878"/>
    <w:rsid w:val="00D75499"/>
    <w:rsid w:val="00D8289D"/>
    <w:rsid w:val="00D828D5"/>
    <w:rsid w:val="00D84503"/>
    <w:rsid w:val="00D84FE4"/>
    <w:rsid w:val="00D8596C"/>
    <w:rsid w:val="00D86AAD"/>
    <w:rsid w:val="00D87A3E"/>
    <w:rsid w:val="00D908BD"/>
    <w:rsid w:val="00D90D0E"/>
    <w:rsid w:val="00D92130"/>
    <w:rsid w:val="00D95778"/>
    <w:rsid w:val="00D967A0"/>
    <w:rsid w:val="00DA01F2"/>
    <w:rsid w:val="00DA1D76"/>
    <w:rsid w:val="00DA20DF"/>
    <w:rsid w:val="00DA2157"/>
    <w:rsid w:val="00DA40E9"/>
    <w:rsid w:val="00DA6175"/>
    <w:rsid w:val="00DA6E61"/>
    <w:rsid w:val="00DA741D"/>
    <w:rsid w:val="00DA7452"/>
    <w:rsid w:val="00DA78DB"/>
    <w:rsid w:val="00DB1ED0"/>
    <w:rsid w:val="00DB2BA9"/>
    <w:rsid w:val="00DB394D"/>
    <w:rsid w:val="00DB58E9"/>
    <w:rsid w:val="00DC011A"/>
    <w:rsid w:val="00DC01DB"/>
    <w:rsid w:val="00DC1F86"/>
    <w:rsid w:val="00DC35E5"/>
    <w:rsid w:val="00DC5631"/>
    <w:rsid w:val="00DC5A43"/>
    <w:rsid w:val="00DC5C1B"/>
    <w:rsid w:val="00DC6012"/>
    <w:rsid w:val="00DC7CFE"/>
    <w:rsid w:val="00DD17F8"/>
    <w:rsid w:val="00DD3154"/>
    <w:rsid w:val="00DD50DA"/>
    <w:rsid w:val="00DD59B4"/>
    <w:rsid w:val="00DD658C"/>
    <w:rsid w:val="00DD70B5"/>
    <w:rsid w:val="00DD7C15"/>
    <w:rsid w:val="00DE0077"/>
    <w:rsid w:val="00DE04D0"/>
    <w:rsid w:val="00DE065B"/>
    <w:rsid w:val="00DE08B6"/>
    <w:rsid w:val="00DE0AF1"/>
    <w:rsid w:val="00DE2156"/>
    <w:rsid w:val="00DE404E"/>
    <w:rsid w:val="00DE4C72"/>
    <w:rsid w:val="00DE5276"/>
    <w:rsid w:val="00DE575A"/>
    <w:rsid w:val="00DE5B63"/>
    <w:rsid w:val="00DE6178"/>
    <w:rsid w:val="00DE619D"/>
    <w:rsid w:val="00DE772B"/>
    <w:rsid w:val="00DF052B"/>
    <w:rsid w:val="00DF2B61"/>
    <w:rsid w:val="00DF38A3"/>
    <w:rsid w:val="00DF6160"/>
    <w:rsid w:val="00E01440"/>
    <w:rsid w:val="00E0165D"/>
    <w:rsid w:val="00E02D49"/>
    <w:rsid w:val="00E03F71"/>
    <w:rsid w:val="00E03FB8"/>
    <w:rsid w:val="00E043DC"/>
    <w:rsid w:val="00E04A1E"/>
    <w:rsid w:val="00E04F72"/>
    <w:rsid w:val="00E0666F"/>
    <w:rsid w:val="00E06AEB"/>
    <w:rsid w:val="00E075C7"/>
    <w:rsid w:val="00E10F25"/>
    <w:rsid w:val="00E13070"/>
    <w:rsid w:val="00E13F24"/>
    <w:rsid w:val="00E14AD4"/>
    <w:rsid w:val="00E173FB"/>
    <w:rsid w:val="00E1745C"/>
    <w:rsid w:val="00E20705"/>
    <w:rsid w:val="00E21B16"/>
    <w:rsid w:val="00E23B5C"/>
    <w:rsid w:val="00E24EA2"/>
    <w:rsid w:val="00E26825"/>
    <w:rsid w:val="00E27194"/>
    <w:rsid w:val="00E27548"/>
    <w:rsid w:val="00E27BBF"/>
    <w:rsid w:val="00E316F1"/>
    <w:rsid w:val="00E31E9D"/>
    <w:rsid w:val="00E406AE"/>
    <w:rsid w:val="00E44BF1"/>
    <w:rsid w:val="00E52613"/>
    <w:rsid w:val="00E52FE2"/>
    <w:rsid w:val="00E54CFE"/>
    <w:rsid w:val="00E56317"/>
    <w:rsid w:val="00E56877"/>
    <w:rsid w:val="00E572B6"/>
    <w:rsid w:val="00E57384"/>
    <w:rsid w:val="00E601E2"/>
    <w:rsid w:val="00E61D4B"/>
    <w:rsid w:val="00E644AD"/>
    <w:rsid w:val="00E6539D"/>
    <w:rsid w:val="00E65B11"/>
    <w:rsid w:val="00E65D10"/>
    <w:rsid w:val="00E67279"/>
    <w:rsid w:val="00E67DF6"/>
    <w:rsid w:val="00E724AC"/>
    <w:rsid w:val="00E726C7"/>
    <w:rsid w:val="00E72B07"/>
    <w:rsid w:val="00E72FE7"/>
    <w:rsid w:val="00E7478E"/>
    <w:rsid w:val="00E748CA"/>
    <w:rsid w:val="00E74FC8"/>
    <w:rsid w:val="00E77FEC"/>
    <w:rsid w:val="00E80831"/>
    <w:rsid w:val="00E83656"/>
    <w:rsid w:val="00E84F3A"/>
    <w:rsid w:val="00E8637D"/>
    <w:rsid w:val="00E863D3"/>
    <w:rsid w:val="00E90234"/>
    <w:rsid w:val="00E91DDD"/>
    <w:rsid w:val="00E92072"/>
    <w:rsid w:val="00E9219F"/>
    <w:rsid w:val="00E93D1E"/>
    <w:rsid w:val="00E9431D"/>
    <w:rsid w:val="00EA175A"/>
    <w:rsid w:val="00EA4CCD"/>
    <w:rsid w:val="00EA6E5C"/>
    <w:rsid w:val="00EB00C5"/>
    <w:rsid w:val="00EB318F"/>
    <w:rsid w:val="00EB3A8F"/>
    <w:rsid w:val="00EB4FCF"/>
    <w:rsid w:val="00EB6BB2"/>
    <w:rsid w:val="00EB7033"/>
    <w:rsid w:val="00EC0091"/>
    <w:rsid w:val="00EC0C82"/>
    <w:rsid w:val="00EC0CFC"/>
    <w:rsid w:val="00EC13E6"/>
    <w:rsid w:val="00EC1BBA"/>
    <w:rsid w:val="00EC3A53"/>
    <w:rsid w:val="00EC59DC"/>
    <w:rsid w:val="00EC5E06"/>
    <w:rsid w:val="00EC6419"/>
    <w:rsid w:val="00EC67C5"/>
    <w:rsid w:val="00EC6B8B"/>
    <w:rsid w:val="00EC7363"/>
    <w:rsid w:val="00ED0ED1"/>
    <w:rsid w:val="00ED3BCC"/>
    <w:rsid w:val="00ED5078"/>
    <w:rsid w:val="00ED522E"/>
    <w:rsid w:val="00ED6E19"/>
    <w:rsid w:val="00ED73D4"/>
    <w:rsid w:val="00ED7B91"/>
    <w:rsid w:val="00EE7BC9"/>
    <w:rsid w:val="00EF1CF7"/>
    <w:rsid w:val="00EF2458"/>
    <w:rsid w:val="00EF3053"/>
    <w:rsid w:val="00EF30F8"/>
    <w:rsid w:val="00EF40BF"/>
    <w:rsid w:val="00EF532F"/>
    <w:rsid w:val="00F001B0"/>
    <w:rsid w:val="00F02BDE"/>
    <w:rsid w:val="00F03990"/>
    <w:rsid w:val="00F07E1E"/>
    <w:rsid w:val="00F116FC"/>
    <w:rsid w:val="00F126E5"/>
    <w:rsid w:val="00F133AF"/>
    <w:rsid w:val="00F1356A"/>
    <w:rsid w:val="00F16DDD"/>
    <w:rsid w:val="00F173F1"/>
    <w:rsid w:val="00F22CCA"/>
    <w:rsid w:val="00F244D9"/>
    <w:rsid w:val="00F244E1"/>
    <w:rsid w:val="00F25240"/>
    <w:rsid w:val="00F25626"/>
    <w:rsid w:val="00F27223"/>
    <w:rsid w:val="00F30AEB"/>
    <w:rsid w:val="00F3352D"/>
    <w:rsid w:val="00F34F16"/>
    <w:rsid w:val="00F35959"/>
    <w:rsid w:val="00F36FAB"/>
    <w:rsid w:val="00F3729F"/>
    <w:rsid w:val="00F4241F"/>
    <w:rsid w:val="00F4250E"/>
    <w:rsid w:val="00F4438F"/>
    <w:rsid w:val="00F4442A"/>
    <w:rsid w:val="00F4696E"/>
    <w:rsid w:val="00F50476"/>
    <w:rsid w:val="00F50F3A"/>
    <w:rsid w:val="00F51013"/>
    <w:rsid w:val="00F51588"/>
    <w:rsid w:val="00F51ADD"/>
    <w:rsid w:val="00F534F7"/>
    <w:rsid w:val="00F53961"/>
    <w:rsid w:val="00F559EB"/>
    <w:rsid w:val="00F56096"/>
    <w:rsid w:val="00F56D36"/>
    <w:rsid w:val="00F600ED"/>
    <w:rsid w:val="00F60839"/>
    <w:rsid w:val="00F61B75"/>
    <w:rsid w:val="00F63408"/>
    <w:rsid w:val="00F644BD"/>
    <w:rsid w:val="00F6513C"/>
    <w:rsid w:val="00F66715"/>
    <w:rsid w:val="00F66BE8"/>
    <w:rsid w:val="00F67509"/>
    <w:rsid w:val="00F67C18"/>
    <w:rsid w:val="00F75511"/>
    <w:rsid w:val="00F76747"/>
    <w:rsid w:val="00F802CD"/>
    <w:rsid w:val="00F83141"/>
    <w:rsid w:val="00F83833"/>
    <w:rsid w:val="00F84FDD"/>
    <w:rsid w:val="00F90401"/>
    <w:rsid w:val="00F930A6"/>
    <w:rsid w:val="00F93F39"/>
    <w:rsid w:val="00F94DD8"/>
    <w:rsid w:val="00F951A3"/>
    <w:rsid w:val="00F957AB"/>
    <w:rsid w:val="00F962C6"/>
    <w:rsid w:val="00F9691C"/>
    <w:rsid w:val="00F975AA"/>
    <w:rsid w:val="00FA2B34"/>
    <w:rsid w:val="00FA3333"/>
    <w:rsid w:val="00FA41F1"/>
    <w:rsid w:val="00FA4345"/>
    <w:rsid w:val="00FA530A"/>
    <w:rsid w:val="00FA6789"/>
    <w:rsid w:val="00FA6CD1"/>
    <w:rsid w:val="00FB0D32"/>
    <w:rsid w:val="00FB0FEA"/>
    <w:rsid w:val="00FB1617"/>
    <w:rsid w:val="00FB1F3A"/>
    <w:rsid w:val="00FB2600"/>
    <w:rsid w:val="00FB266D"/>
    <w:rsid w:val="00FB30FD"/>
    <w:rsid w:val="00FB3209"/>
    <w:rsid w:val="00FB4DAD"/>
    <w:rsid w:val="00FB6214"/>
    <w:rsid w:val="00FB7558"/>
    <w:rsid w:val="00FC078C"/>
    <w:rsid w:val="00FC2771"/>
    <w:rsid w:val="00FC3C19"/>
    <w:rsid w:val="00FC575D"/>
    <w:rsid w:val="00FC6BE0"/>
    <w:rsid w:val="00FC7718"/>
    <w:rsid w:val="00FD55DB"/>
    <w:rsid w:val="00FD6D0E"/>
    <w:rsid w:val="00FE0737"/>
    <w:rsid w:val="00FE347B"/>
    <w:rsid w:val="00FE362C"/>
    <w:rsid w:val="00FE4205"/>
    <w:rsid w:val="00FE6CBD"/>
    <w:rsid w:val="00FF0B58"/>
    <w:rsid w:val="00FF31D8"/>
    <w:rsid w:val="00FF373C"/>
    <w:rsid w:val="00FF43B2"/>
    <w:rsid w:val="00FF63F5"/>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14F"/>
  <w15:chartTrackingRefBased/>
  <w15:docId w15:val="{9B28F90F-9859-4816-9E6E-9E496158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B0"/>
  </w:style>
  <w:style w:type="paragraph" w:styleId="Heading1">
    <w:name w:val="heading 1"/>
    <w:basedOn w:val="Normal"/>
    <w:next w:val="Normal"/>
    <w:link w:val="Heading1Char"/>
    <w:uiPriority w:val="9"/>
    <w:qFormat/>
    <w:rsid w:val="0093651C"/>
    <w:pPr>
      <w:keepNext/>
      <w:keepLines/>
      <w:spacing w:before="240" w:after="0"/>
      <w:outlineLvl w:val="0"/>
    </w:pPr>
    <w:rPr>
      <w:rFonts w:eastAsiaTheme="majorEastAsia" w:cstheme="majorBidi"/>
      <w:b/>
      <w:color w:val="1F4E79" w:themeColor="accent5" w:themeShade="80"/>
      <w:sz w:val="28"/>
      <w:szCs w:val="32"/>
    </w:rPr>
  </w:style>
  <w:style w:type="paragraph" w:styleId="Heading2">
    <w:name w:val="heading 2"/>
    <w:basedOn w:val="Normal"/>
    <w:next w:val="Normal"/>
    <w:link w:val="Heading2Char"/>
    <w:uiPriority w:val="9"/>
    <w:unhideWhenUsed/>
    <w:qFormat/>
    <w:rsid w:val="002B05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NoSpacing">
    <w:name w:val="No Spacing"/>
    <w:uiPriority w:val="1"/>
    <w:qFormat/>
    <w:rsid w:val="00160AB0"/>
    <w:pPr>
      <w:spacing w:after="0" w:line="240" w:lineRule="auto"/>
    </w:pPr>
  </w:style>
  <w:style w:type="paragraph" w:styleId="FootnoteText">
    <w:name w:val="footnote text"/>
    <w:basedOn w:val="Normal"/>
    <w:link w:val="FootnoteTextChar"/>
    <w:uiPriority w:val="99"/>
    <w:unhideWhenUsed/>
    <w:rsid w:val="0017637D"/>
    <w:pPr>
      <w:spacing w:after="0" w:line="240" w:lineRule="auto"/>
    </w:pPr>
    <w:rPr>
      <w:sz w:val="20"/>
      <w:szCs w:val="20"/>
    </w:rPr>
  </w:style>
  <w:style w:type="character" w:customStyle="1" w:styleId="FootnoteTextChar">
    <w:name w:val="Footnote Text Char"/>
    <w:basedOn w:val="DefaultParagraphFont"/>
    <w:link w:val="FootnoteText"/>
    <w:uiPriority w:val="99"/>
    <w:rsid w:val="0017637D"/>
    <w:rPr>
      <w:sz w:val="20"/>
      <w:szCs w:val="20"/>
    </w:rPr>
  </w:style>
  <w:style w:type="character" w:styleId="FootnoteReference">
    <w:name w:val="footnote reference"/>
    <w:basedOn w:val="DefaultParagraphFont"/>
    <w:uiPriority w:val="99"/>
    <w:unhideWhenUsed/>
    <w:rsid w:val="0017637D"/>
    <w:rPr>
      <w:vertAlign w:val="superscript"/>
    </w:rPr>
  </w:style>
  <w:style w:type="paragraph" w:styleId="ListParagraph">
    <w:name w:val="List Paragraph"/>
    <w:basedOn w:val="Normal"/>
    <w:uiPriority w:val="34"/>
    <w:qFormat/>
    <w:rsid w:val="005C0498"/>
    <w:pPr>
      <w:ind w:left="720"/>
      <w:contextualSpacing/>
    </w:pPr>
  </w:style>
  <w:style w:type="table" w:customStyle="1" w:styleId="GridTable4-Accent11">
    <w:name w:val="Grid Table 4 - Accent 11"/>
    <w:basedOn w:val="TableNormal"/>
    <w:uiPriority w:val="49"/>
    <w:rsid w:val="00897353"/>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Footer">
    <w:name w:val="footer"/>
    <w:basedOn w:val="Normal"/>
    <w:link w:val="FooterChar"/>
    <w:uiPriority w:val="99"/>
    <w:unhideWhenUsed/>
    <w:rsid w:val="003E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DA"/>
  </w:style>
  <w:style w:type="character" w:styleId="Hyperlink">
    <w:name w:val="Hyperlink"/>
    <w:basedOn w:val="DefaultParagraphFont"/>
    <w:uiPriority w:val="99"/>
    <w:unhideWhenUsed/>
    <w:rsid w:val="003E1CDA"/>
    <w:rPr>
      <w:color w:val="0563C1" w:themeColor="hyperlink"/>
      <w:u w:val="single"/>
    </w:rPr>
  </w:style>
  <w:style w:type="character" w:customStyle="1" w:styleId="UnresolvedMention1">
    <w:name w:val="Unresolved Mention1"/>
    <w:basedOn w:val="DefaultParagraphFont"/>
    <w:uiPriority w:val="99"/>
    <w:semiHidden/>
    <w:unhideWhenUsed/>
    <w:rsid w:val="008252E3"/>
    <w:rPr>
      <w:color w:val="605E5C"/>
      <w:shd w:val="clear" w:color="auto" w:fill="E1DFDD"/>
    </w:rPr>
  </w:style>
  <w:style w:type="character" w:styleId="CommentReference">
    <w:name w:val="annotation reference"/>
    <w:basedOn w:val="DefaultParagraphFont"/>
    <w:uiPriority w:val="99"/>
    <w:semiHidden/>
    <w:unhideWhenUsed/>
    <w:rsid w:val="00B71F50"/>
    <w:rPr>
      <w:sz w:val="16"/>
      <w:szCs w:val="16"/>
    </w:rPr>
  </w:style>
  <w:style w:type="paragraph" w:styleId="CommentText">
    <w:name w:val="annotation text"/>
    <w:basedOn w:val="Normal"/>
    <w:link w:val="CommentTextChar"/>
    <w:uiPriority w:val="99"/>
    <w:unhideWhenUsed/>
    <w:rsid w:val="00B71F50"/>
    <w:pPr>
      <w:spacing w:line="240" w:lineRule="auto"/>
    </w:pPr>
    <w:rPr>
      <w:sz w:val="20"/>
      <w:szCs w:val="20"/>
    </w:rPr>
  </w:style>
  <w:style w:type="character" w:customStyle="1" w:styleId="CommentTextChar">
    <w:name w:val="Comment Text Char"/>
    <w:basedOn w:val="DefaultParagraphFont"/>
    <w:link w:val="CommentText"/>
    <w:uiPriority w:val="99"/>
    <w:rsid w:val="00B71F50"/>
    <w:rPr>
      <w:sz w:val="20"/>
      <w:szCs w:val="20"/>
    </w:rPr>
  </w:style>
  <w:style w:type="paragraph" w:styleId="CommentSubject">
    <w:name w:val="annotation subject"/>
    <w:basedOn w:val="CommentText"/>
    <w:next w:val="CommentText"/>
    <w:link w:val="CommentSubjectChar"/>
    <w:uiPriority w:val="99"/>
    <w:semiHidden/>
    <w:unhideWhenUsed/>
    <w:rsid w:val="00B71F50"/>
    <w:rPr>
      <w:b/>
      <w:bCs/>
    </w:rPr>
  </w:style>
  <w:style w:type="character" w:customStyle="1" w:styleId="CommentSubjectChar">
    <w:name w:val="Comment Subject Char"/>
    <w:basedOn w:val="CommentTextChar"/>
    <w:link w:val="CommentSubject"/>
    <w:uiPriority w:val="99"/>
    <w:semiHidden/>
    <w:rsid w:val="00B71F50"/>
    <w:rPr>
      <w:b/>
      <w:bCs/>
      <w:sz w:val="20"/>
      <w:szCs w:val="20"/>
    </w:rPr>
  </w:style>
  <w:style w:type="paragraph" w:styleId="EndnoteText">
    <w:name w:val="endnote text"/>
    <w:basedOn w:val="Normal"/>
    <w:link w:val="EndnoteTextChar"/>
    <w:uiPriority w:val="99"/>
    <w:unhideWhenUsed/>
    <w:rsid w:val="00656A79"/>
    <w:pPr>
      <w:spacing w:after="0" w:line="240" w:lineRule="auto"/>
    </w:pPr>
    <w:rPr>
      <w:sz w:val="20"/>
      <w:szCs w:val="20"/>
    </w:rPr>
  </w:style>
  <w:style w:type="character" w:customStyle="1" w:styleId="EndnoteTextChar">
    <w:name w:val="Endnote Text Char"/>
    <w:basedOn w:val="DefaultParagraphFont"/>
    <w:link w:val="EndnoteText"/>
    <w:uiPriority w:val="99"/>
    <w:rsid w:val="00656A79"/>
    <w:rPr>
      <w:sz w:val="20"/>
      <w:szCs w:val="20"/>
    </w:rPr>
  </w:style>
  <w:style w:type="character" w:styleId="EndnoteReference">
    <w:name w:val="endnote reference"/>
    <w:basedOn w:val="DefaultParagraphFont"/>
    <w:uiPriority w:val="99"/>
    <w:semiHidden/>
    <w:unhideWhenUsed/>
    <w:rsid w:val="00656A79"/>
    <w:rPr>
      <w:vertAlign w:val="superscript"/>
    </w:rPr>
  </w:style>
  <w:style w:type="paragraph" w:styleId="PlainText">
    <w:name w:val="Plain Text"/>
    <w:basedOn w:val="Normal"/>
    <w:link w:val="PlainTextChar"/>
    <w:uiPriority w:val="99"/>
    <w:unhideWhenUsed/>
    <w:rsid w:val="00FA6CD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A6CD1"/>
    <w:rPr>
      <w:rFonts w:ascii="Calibri" w:hAnsi="Calibri" w:cs="Calibri"/>
    </w:rPr>
  </w:style>
  <w:style w:type="paragraph" w:styleId="BalloonText">
    <w:name w:val="Balloon Text"/>
    <w:basedOn w:val="Normal"/>
    <w:link w:val="BalloonTextChar"/>
    <w:uiPriority w:val="99"/>
    <w:semiHidden/>
    <w:unhideWhenUsed/>
    <w:rsid w:val="00C4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C2"/>
    <w:rPr>
      <w:rFonts w:ascii="Segoe UI" w:hAnsi="Segoe UI" w:cs="Segoe UI"/>
      <w:sz w:val="18"/>
      <w:szCs w:val="18"/>
    </w:rPr>
  </w:style>
  <w:style w:type="paragraph" w:styleId="Revision">
    <w:name w:val="Revision"/>
    <w:hidden/>
    <w:uiPriority w:val="99"/>
    <w:semiHidden/>
    <w:rsid w:val="006F5976"/>
    <w:pPr>
      <w:spacing w:after="0" w:line="240" w:lineRule="auto"/>
    </w:pPr>
  </w:style>
  <w:style w:type="character" w:customStyle="1" w:styleId="Heading1Char">
    <w:name w:val="Heading 1 Char"/>
    <w:basedOn w:val="DefaultParagraphFont"/>
    <w:link w:val="Heading1"/>
    <w:uiPriority w:val="9"/>
    <w:rsid w:val="0093651C"/>
    <w:rPr>
      <w:rFonts w:eastAsiaTheme="majorEastAsia" w:cstheme="majorBidi"/>
      <w:b/>
      <w:color w:val="1F4E79" w:themeColor="accent5" w:themeShade="80"/>
      <w:sz w:val="28"/>
      <w:szCs w:val="32"/>
    </w:rPr>
  </w:style>
  <w:style w:type="paragraph" w:styleId="TOCHeading">
    <w:name w:val="TOC Heading"/>
    <w:basedOn w:val="Heading1"/>
    <w:next w:val="Normal"/>
    <w:uiPriority w:val="39"/>
    <w:unhideWhenUsed/>
    <w:qFormat/>
    <w:rsid w:val="002B05B4"/>
    <w:pPr>
      <w:outlineLvl w:val="9"/>
    </w:pPr>
  </w:style>
  <w:style w:type="paragraph" w:styleId="TOC1">
    <w:name w:val="toc 1"/>
    <w:basedOn w:val="Normal"/>
    <w:next w:val="Normal"/>
    <w:autoRedefine/>
    <w:uiPriority w:val="39"/>
    <w:unhideWhenUsed/>
    <w:rsid w:val="0093651C"/>
    <w:pPr>
      <w:spacing w:after="100"/>
    </w:pPr>
  </w:style>
  <w:style w:type="character" w:customStyle="1" w:styleId="Heading2Char">
    <w:name w:val="Heading 2 Char"/>
    <w:basedOn w:val="DefaultParagraphFont"/>
    <w:link w:val="Heading2"/>
    <w:uiPriority w:val="9"/>
    <w:rsid w:val="002B05B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B05B4"/>
    <w:pPr>
      <w:spacing w:after="100"/>
      <w:ind w:left="220"/>
    </w:pPr>
  </w:style>
  <w:style w:type="character" w:styleId="FollowedHyperlink">
    <w:name w:val="FollowedHyperlink"/>
    <w:basedOn w:val="DefaultParagraphFont"/>
    <w:uiPriority w:val="99"/>
    <w:semiHidden/>
    <w:unhideWhenUsed/>
    <w:rsid w:val="0073525F"/>
    <w:rPr>
      <w:color w:val="954F72" w:themeColor="followedHyperlink"/>
      <w:u w:val="single"/>
    </w:rPr>
  </w:style>
  <w:style w:type="paragraph" w:styleId="NormalWeb">
    <w:name w:val="Normal (Web)"/>
    <w:basedOn w:val="Normal"/>
    <w:uiPriority w:val="99"/>
    <w:unhideWhenUsed/>
    <w:rsid w:val="0098136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9615C"/>
    <w:rPr>
      <w:color w:val="605E5C"/>
      <w:shd w:val="clear" w:color="auto" w:fill="E1DFDD"/>
    </w:rPr>
  </w:style>
  <w:style w:type="character" w:styleId="PlaceholderText">
    <w:name w:val="Placeholder Text"/>
    <w:basedOn w:val="DefaultParagraphFont"/>
    <w:uiPriority w:val="99"/>
    <w:semiHidden/>
    <w:rsid w:val="00F02B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862">
      <w:bodyDiv w:val="1"/>
      <w:marLeft w:val="0"/>
      <w:marRight w:val="0"/>
      <w:marTop w:val="0"/>
      <w:marBottom w:val="0"/>
      <w:divBdr>
        <w:top w:val="none" w:sz="0" w:space="0" w:color="auto"/>
        <w:left w:val="none" w:sz="0" w:space="0" w:color="auto"/>
        <w:bottom w:val="none" w:sz="0" w:space="0" w:color="auto"/>
        <w:right w:val="none" w:sz="0" w:space="0" w:color="auto"/>
      </w:divBdr>
    </w:div>
    <w:div w:id="247929226">
      <w:bodyDiv w:val="1"/>
      <w:marLeft w:val="0"/>
      <w:marRight w:val="0"/>
      <w:marTop w:val="0"/>
      <w:marBottom w:val="0"/>
      <w:divBdr>
        <w:top w:val="none" w:sz="0" w:space="0" w:color="auto"/>
        <w:left w:val="none" w:sz="0" w:space="0" w:color="auto"/>
        <w:bottom w:val="none" w:sz="0" w:space="0" w:color="auto"/>
        <w:right w:val="none" w:sz="0" w:space="0" w:color="auto"/>
      </w:divBdr>
    </w:div>
    <w:div w:id="518348379">
      <w:bodyDiv w:val="1"/>
      <w:marLeft w:val="0"/>
      <w:marRight w:val="0"/>
      <w:marTop w:val="0"/>
      <w:marBottom w:val="0"/>
      <w:divBdr>
        <w:top w:val="none" w:sz="0" w:space="0" w:color="auto"/>
        <w:left w:val="none" w:sz="0" w:space="0" w:color="auto"/>
        <w:bottom w:val="none" w:sz="0" w:space="0" w:color="auto"/>
        <w:right w:val="none" w:sz="0" w:space="0" w:color="auto"/>
      </w:divBdr>
    </w:div>
    <w:div w:id="608974580">
      <w:bodyDiv w:val="1"/>
      <w:marLeft w:val="0"/>
      <w:marRight w:val="0"/>
      <w:marTop w:val="0"/>
      <w:marBottom w:val="0"/>
      <w:divBdr>
        <w:top w:val="none" w:sz="0" w:space="0" w:color="auto"/>
        <w:left w:val="none" w:sz="0" w:space="0" w:color="auto"/>
        <w:bottom w:val="none" w:sz="0" w:space="0" w:color="auto"/>
        <w:right w:val="none" w:sz="0" w:space="0" w:color="auto"/>
      </w:divBdr>
    </w:div>
    <w:div w:id="853879570">
      <w:bodyDiv w:val="1"/>
      <w:marLeft w:val="0"/>
      <w:marRight w:val="0"/>
      <w:marTop w:val="0"/>
      <w:marBottom w:val="0"/>
      <w:divBdr>
        <w:top w:val="none" w:sz="0" w:space="0" w:color="auto"/>
        <w:left w:val="none" w:sz="0" w:space="0" w:color="auto"/>
        <w:bottom w:val="none" w:sz="0" w:space="0" w:color="auto"/>
        <w:right w:val="none" w:sz="0" w:space="0" w:color="auto"/>
      </w:divBdr>
    </w:div>
    <w:div w:id="873425575">
      <w:bodyDiv w:val="1"/>
      <w:marLeft w:val="0"/>
      <w:marRight w:val="0"/>
      <w:marTop w:val="0"/>
      <w:marBottom w:val="0"/>
      <w:divBdr>
        <w:top w:val="none" w:sz="0" w:space="0" w:color="auto"/>
        <w:left w:val="none" w:sz="0" w:space="0" w:color="auto"/>
        <w:bottom w:val="none" w:sz="0" w:space="0" w:color="auto"/>
        <w:right w:val="none" w:sz="0" w:space="0" w:color="auto"/>
      </w:divBdr>
    </w:div>
    <w:div w:id="901402326">
      <w:bodyDiv w:val="1"/>
      <w:marLeft w:val="0"/>
      <w:marRight w:val="0"/>
      <w:marTop w:val="0"/>
      <w:marBottom w:val="0"/>
      <w:divBdr>
        <w:top w:val="none" w:sz="0" w:space="0" w:color="auto"/>
        <w:left w:val="none" w:sz="0" w:space="0" w:color="auto"/>
        <w:bottom w:val="none" w:sz="0" w:space="0" w:color="auto"/>
        <w:right w:val="none" w:sz="0" w:space="0" w:color="auto"/>
      </w:divBdr>
    </w:div>
    <w:div w:id="1073820395">
      <w:bodyDiv w:val="1"/>
      <w:marLeft w:val="0"/>
      <w:marRight w:val="0"/>
      <w:marTop w:val="0"/>
      <w:marBottom w:val="0"/>
      <w:divBdr>
        <w:top w:val="none" w:sz="0" w:space="0" w:color="auto"/>
        <w:left w:val="none" w:sz="0" w:space="0" w:color="auto"/>
        <w:bottom w:val="none" w:sz="0" w:space="0" w:color="auto"/>
        <w:right w:val="none" w:sz="0" w:space="0" w:color="auto"/>
      </w:divBdr>
    </w:div>
    <w:div w:id="1099135633">
      <w:bodyDiv w:val="1"/>
      <w:marLeft w:val="0"/>
      <w:marRight w:val="0"/>
      <w:marTop w:val="0"/>
      <w:marBottom w:val="0"/>
      <w:divBdr>
        <w:top w:val="none" w:sz="0" w:space="0" w:color="auto"/>
        <w:left w:val="none" w:sz="0" w:space="0" w:color="auto"/>
        <w:bottom w:val="none" w:sz="0" w:space="0" w:color="auto"/>
        <w:right w:val="none" w:sz="0" w:space="0" w:color="auto"/>
      </w:divBdr>
    </w:div>
    <w:div w:id="1478767246">
      <w:bodyDiv w:val="1"/>
      <w:marLeft w:val="0"/>
      <w:marRight w:val="0"/>
      <w:marTop w:val="0"/>
      <w:marBottom w:val="0"/>
      <w:divBdr>
        <w:top w:val="none" w:sz="0" w:space="0" w:color="auto"/>
        <w:left w:val="none" w:sz="0" w:space="0" w:color="auto"/>
        <w:bottom w:val="none" w:sz="0" w:space="0" w:color="auto"/>
        <w:right w:val="none" w:sz="0" w:space="0" w:color="auto"/>
      </w:divBdr>
    </w:div>
    <w:div w:id="1662387685">
      <w:bodyDiv w:val="1"/>
      <w:marLeft w:val="0"/>
      <w:marRight w:val="0"/>
      <w:marTop w:val="0"/>
      <w:marBottom w:val="0"/>
      <w:divBdr>
        <w:top w:val="none" w:sz="0" w:space="0" w:color="auto"/>
        <w:left w:val="none" w:sz="0" w:space="0" w:color="auto"/>
        <w:bottom w:val="none" w:sz="0" w:space="0" w:color="auto"/>
        <w:right w:val="none" w:sz="0" w:space="0" w:color="auto"/>
      </w:divBdr>
    </w:div>
    <w:div w:id="1747220039">
      <w:bodyDiv w:val="1"/>
      <w:marLeft w:val="0"/>
      <w:marRight w:val="0"/>
      <w:marTop w:val="0"/>
      <w:marBottom w:val="0"/>
      <w:divBdr>
        <w:top w:val="none" w:sz="0" w:space="0" w:color="auto"/>
        <w:left w:val="none" w:sz="0" w:space="0" w:color="auto"/>
        <w:bottom w:val="none" w:sz="0" w:space="0" w:color="auto"/>
        <w:right w:val="none" w:sz="0" w:space="0" w:color="auto"/>
      </w:divBdr>
    </w:div>
    <w:div w:id="1836992977">
      <w:bodyDiv w:val="1"/>
      <w:marLeft w:val="0"/>
      <w:marRight w:val="0"/>
      <w:marTop w:val="0"/>
      <w:marBottom w:val="0"/>
      <w:divBdr>
        <w:top w:val="none" w:sz="0" w:space="0" w:color="auto"/>
        <w:left w:val="none" w:sz="0" w:space="0" w:color="auto"/>
        <w:bottom w:val="none" w:sz="0" w:space="0" w:color="auto"/>
        <w:right w:val="none" w:sz="0" w:space="0" w:color="auto"/>
      </w:divBdr>
    </w:div>
    <w:div w:id="1977567780">
      <w:bodyDiv w:val="1"/>
      <w:marLeft w:val="0"/>
      <w:marRight w:val="0"/>
      <w:marTop w:val="0"/>
      <w:marBottom w:val="0"/>
      <w:divBdr>
        <w:top w:val="none" w:sz="0" w:space="0" w:color="auto"/>
        <w:left w:val="none" w:sz="0" w:space="0" w:color="auto"/>
        <w:bottom w:val="none" w:sz="0" w:space="0" w:color="auto"/>
        <w:right w:val="none" w:sz="0" w:space="0" w:color="auto"/>
      </w:divBdr>
    </w:div>
    <w:div w:id="199906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pubmed.ncbi.nlm.nih.gov/2221962/" TargetMode="External"/><Relationship Id="rId18" Type="http://schemas.openxmlformats.org/officeDocument/2006/relationships/hyperlink" Target="https://www.cancer.org/cancer/lung-cancer/detection-diagnosis-staging/detection.html" TargetMode="External"/><Relationship Id="rId26" Type="http://schemas.openxmlformats.org/officeDocument/2006/relationships/hyperlink" Target="https://www.mass.gov/doc/2021-health-care-cost-trends-report/download" TargetMode="External"/><Relationship Id="rId3" Type="http://schemas.openxmlformats.org/officeDocument/2006/relationships/hyperlink" Target="https://www.cdc.gov/nchs/pressroom/states/massachusetts.htm" TargetMode="External"/><Relationship Id="rId21" Type="http://schemas.openxmlformats.org/officeDocument/2006/relationships/hyperlink" Target="https://bmcgeriatr.biomedcentral.com/articles/10.1186/s12877-019-1197-9" TargetMode="External"/><Relationship Id="rId34" Type="http://schemas.openxmlformats.org/officeDocument/2006/relationships/hyperlink" Target="https://www.mass.gov/doc/presentation-board-meeting-june-8-2022/download" TargetMode="External"/><Relationship Id="rId7" Type="http://schemas.openxmlformats.org/officeDocument/2006/relationships/hyperlink" Target="http://dx.doi.org/10.15585/mmwr.mm6609e1" TargetMode="External"/><Relationship Id="rId12" Type="http://schemas.openxmlformats.org/officeDocument/2006/relationships/hyperlink" Target="https://pubmed.ncbi.nlm.nih.gov/4081109/" TargetMode="External"/><Relationship Id="rId17" Type="http://schemas.openxmlformats.org/officeDocument/2006/relationships/hyperlink" Target="https://www.cancer.gov/about-cancer/diagnosis-staging/ct-scans-fact-sheet" TargetMode="External"/><Relationship Id="rId25" Type="http://schemas.openxmlformats.org/officeDocument/2006/relationships/hyperlink" Target="https://massgov-my.sharepoint.com/personal/lynn_conover_mass_gov/Documents/Documents/at%20https:/www.cdc.gov/nchs/pressroom/states/massachusetts/massachusetts.htm" TargetMode="External"/><Relationship Id="rId33" Type="http://schemas.openxmlformats.org/officeDocument/2006/relationships/hyperlink" Target="https://www.mass.gov/doc/presentation-board-meeting-june-8-2022/download" TargetMode="External"/><Relationship Id="rId2" Type="http://schemas.openxmlformats.org/officeDocument/2006/relationships/hyperlink" Target="https://www.cdc.gov/nchs/pressroom/states/massachusetts.htm" TargetMode="External"/><Relationship Id="rId16" Type="http://schemas.openxmlformats.org/officeDocument/2006/relationships/hyperlink" Target="https://www.ncbi.nlm.nih.gov/pmc/articles/PMC5183924/" TargetMode="External"/><Relationship Id="rId20" Type="http://schemas.openxmlformats.org/officeDocument/2006/relationships/hyperlink" Target="https://bmcgeriatr.biomedcentral.com/articles/10.1186/s12877-019-1197-9" TargetMode="External"/><Relationship Id="rId29" Type="http://schemas.openxmlformats.org/officeDocument/2006/relationships/hyperlink" Target="https://www.healthit.gov/topic/health-it-and-health-information-exchange-basics/improved-diagnostics-patientoutcomes" TargetMode="External"/><Relationship Id="rId1" Type="http://schemas.openxmlformats.org/officeDocument/2006/relationships/hyperlink" Target="http://www.pep.donahue-institute.org/downloads/2015/new/UMDI_LongTermPopulationProjectionsReport_2015%2004%20_29.pdf" TargetMode="External"/><Relationship Id="rId6" Type="http://schemas.openxmlformats.org/officeDocument/2006/relationships/hyperlink" Target="http://dx.doi.org/10.15585/mmwr.mm6609e1" TargetMode="External"/><Relationship Id="rId11" Type="http://schemas.openxmlformats.org/officeDocument/2006/relationships/hyperlink" Target="https://www.hopkinsmedicine.org/health/treatment-tests-and-therapies/mri-of-the-bones-joints-and-soft-tissues" TargetMode="External"/><Relationship Id="rId24" Type="http://schemas.openxmlformats.org/officeDocument/2006/relationships/hyperlink" Target="https://www.cdc.gov/nchs/pressroom/states/massachusetts/massachusetts.htm" TargetMode="External"/><Relationship Id="rId32" Type="http://schemas.openxmlformats.org/officeDocument/2006/relationships/hyperlink" Target="https://www.mass.gov/doc/presentation-board-meeting-june-8-2022/download" TargetMode="External"/><Relationship Id="rId5" Type="http://schemas.openxmlformats.org/officeDocument/2006/relationships/hyperlink" Target="https://statecancerprofiles.cancer.gov/quick-profiles/index.php?statename=massachusetts" TargetMode="External"/><Relationship Id="rId15" Type="http://schemas.openxmlformats.org/officeDocument/2006/relationships/hyperlink" Target="https://www.nibib.nih.gov/science-education/science-topics/computed-tomography-ct" TargetMode="External"/><Relationship Id="rId23" Type="http://schemas.openxmlformats.org/officeDocument/2006/relationships/hyperlink" Target="https://www.ncbi.nlm.nih.gov/pmc/articles/PMC3047732/" TargetMode="External"/><Relationship Id="rId28" Type="http://schemas.openxmlformats.org/officeDocument/2006/relationships/hyperlink" Target="https://www.healthit.gov/topic/health-it-basics/improve-care-coordination" TargetMode="External"/><Relationship Id="rId10" Type="http://schemas.openxmlformats.org/officeDocument/2006/relationships/hyperlink" Target="https://www.nibib.nih.gov/science-education/science-topics/magnetic-resonance-imaging-mri" TargetMode="External"/><Relationship Id="rId19" Type="http://schemas.openxmlformats.org/officeDocument/2006/relationships/hyperlink" Target="https://www.ncbi.nlm.nih.gov/pmc/articles/PMC8280577/" TargetMode="External"/><Relationship Id="rId31" Type="http://schemas.openxmlformats.org/officeDocument/2006/relationships/hyperlink" Target="https://www.mass.gov/doc/2022-cost-trends-report-chartpack/download" TargetMode="External"/><Relationship Id="rId4" Type="http://schemas.openxmlformats.org/officeDocument/2006/relationships/hyperlink" Target="https://statecancerprofiles.cancer.gov/quick-profiles/index.php?statename=massachusetts" TargetMode="External"/><Relationship Id="rId9" Type="http://schemas.openxmlformats.org/officeDocument/2006/relationships/hyperlink" Target="https://www.mass.gov/lists/brfss-statewide-reports-and-publications" TargetMode="External"/><Relationship Id="rId14" Type="http://schemas.openxmlformats.org/officeDocument/2006/relationships/hyperlink" Target="https://www.ncbi.nlm.nih.gov/pmc/articles/PMC3143009/" TargetMode="External"/><Relationship Id="rId22" Type="http://schemas.openxmlformats.org/officeDocument/2006/relationships/hyperlink" Target="https://www.ncbi.nlm.nih.gov/pmc/articles/PMC3047732/" TargetMode="External"/><Relationship Id="rId27" Type="http://schemas.openxmlformats.org/officeDocument/2006/relationships/hyperlink" Target="https://www.mass.gov/doc/2021-health-care-cost-trends-report/download" TargetMode="External"/><Relationship Id="rId30" Type="http://schemas.openxmlformats.org/officeDocument/2006/relationships/hyperlink" Target="https://www.mass.gov/files/documents/2018/12/31/jud-lib-105cmr100.pdf" TargetMode="External"/><Relationship Id="rId8" Type="http://schemas.openxmlformats.org/officeDocument/2006/relationships/hyperlink" Target="https://www.mass.gov/lists/brfss-statewide-reports-an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DD0A-058F-4FBE-A24A-6B3D3584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8869</Words>
  <Characters>49050</Characters>
  <Application>Microsoft Office Word</Application>
  <DocSecurity>0</DocSecurity>
  <Lines>1066</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57393</CharactersWithSpaces>
  <SharedDoc>false</SharedDoc>
  <HLinks>
    <vt:vector size="252" baseType="variant">
      <vt:variant>
        <vt:i4>1376306</vt:i4>
      </vt:variant>
      <vt:variant>
        <vt:i4>92</vt:i4>
      </vt:variant>
      <vt:variant>
        <vt:i4>0</vt:i4>
      </vt:variant>
      <vt:variant>
        <vt:i4>5</vt:i4>
      </vt:variant>
      <vt:variant>
        <vt:lpwstr/>
      </vt:variant>
      <vt:variant>
        <vt:lpwstr>_Toc128391226</vt:lpwstr>
      </vt:variant>
      <vt:variant>
        <vt:i4>1376306</vt:i4>
      </vt:variant>
      <vt:variant>
        <vt:i4>86</vt:i4>
      </vt:variant>
      <vt:variant>
        <vt:i4>0</vt:i4>
      </vt:variant>
      <vt:variant>
        <vt:i4>5</vt:i4>
      </vt:variant>
      <vt:variant>
        <vt:lpwstr/>
      </vt:variant>
      <vt:variant>
        <vt:lpwstr>_Toc128391225</vt:lpwstr>
      </vt:variant>
      <vt:variant>
        <vt:i4>1376306</vt:i4>
      </vt:variant>
      <vt:variant>
        <vt:i4>80</vt:i4>
      </vt:variant>
      <vt:variant>
        <vt:i4>0</vt:i4>
      </vt:variant>
      <vt:variant>
        <vt:i4>5</vt:i4>
      </vt:variant>
      <vt:variant>
        <vt:lpwstr/>
      </vt:variant>
      <vt:variant>
        <vt:lpwstr>_Toc128391224</vt:lpwstr>
      </vt:variant>
      <vt:variant>
        <vt:i4>1376306</vt:i4>
      </vt:variant>
      <vt:variant>
        <vt:i4>74</vt:i4>
      </vt:variant>
      <vt:variant>
        <vt:i4>0</vt:i4>
      </vt:variant>
      <vt:variant>
        <vt:i4>5</vt:i4>
      </vt:variant>
      <vt:variant>
        <vt:lpwstr/>
      </vt:variant>
      <vt:variant>
        <vt:lpwstr>_Toc128391223</vt:lpwstr>
      </vt:variant>
      <vt:variant>
        <vt:i4>1376306</vt:i4>
      </vt:variant>
      <vt:variant>
        <vt:i4>68</vt:i4>
      </vt:variant>
      <vt:variant>
        <vt:i4>0</vt:i4>
      </vt:variant>
      <vt:variant>
        <vt:i4>5</vt:i4>
      </vt:variant>
      <vt:variant>
        <vt:lpwstr/>
      </vt:variant>
      <vt:variant>
        <vt:lpwstr>_Toc128391222</vt:lpwstr>
      </vt:variant>
      <vt:variant>
        <vt:i4>1376306</vt:i4>
      </vt:variant>
      <vt:variant>
        <vt:i4>62</vt:i4>
      </vt:variant>
      <vt:variant>
        <vt:i4>0</vt:i4>
      </vt:variant>
      <vt:variant>
        <vt:i4>5</vt:i4>
      </vt:variant>
      <vt:variant>
        <vt:lpwstr/>
      </vt:variant>
      <vt:variant>
        <vt:lpwstr>_Toc128391221</vt:lpwstr>
      </vt:variant>
      <vt:variant>
        <vt:i4>1376306</vt:i4>
      </vt:variant>
      <vt:variant>
        <vt:i4>56</vt:i4>
      </vt:variant>
      <vt:variant>
        <vt:i4>0</vt:i4>
      </vt:variant>
      <vt:variant>
        <vt:i4>5</vt:i4>
      </vt:variant>
      <vt:variant>
        <vt:lpwstr/>
      </vt:variant>
      <vt:variant>
        <vt:lpwstr>_Toc128391220</vt:lpwstr>
      </vt:variant>
      <vt:variant>
        <vt:i4>1441842</vt:i4>
      </vt:variant>
      <vt:variant>
        <vt:i4>50</vt:i4>
      </vt:variant>
      <vt:variant>
        <vt:i4>0</vt:i4>
      </vt:variant>
      <vt:variant>
        <vt:i4>5</vt:i4>
      </vt:variant>
      <vt:variant>
        <vt:lpwstr/>
      </vt:variant>
      <vt:variant>
        <vt:lpwstr>_Toc128391219</vt:lpwstr>
      </vt:variant>
      <vt:variant>
        <vt:i4>1441842</vt:i4>
      </vt:variant>
      <vt:variant>
        <vt:i4>44</vt:i4>
      </vt:variant>
      <vt:variant>
        <vt:i4>0</vt:i4>
      </vt:variant>
      <vt:variant>
        <vt:i4>5</vt:i4>
      </vt:variant>
      <vt:variant>
        <vt:lpwstr/>
      </vt:variant>
      <vt:variant>
        <vt:lpwstr>_Toc128391218</vt:lpwstr>
      </vt:variant>
      <vt:variant>
        <vt:i4>1441842</vt:i4>
      </vt:variant>
      <vt:variant>
        <vt:i4>38</vt:i4>
      </vt:variant>
      <vt:variant>
        <vt:i4>0</vt:i4>
      </vt:variant>
      <vt:variant>
        <vt:i4>5</vt:i4>
      </vt:variant>
      <vt:variant>
        <vt:lpwstr/>
      </vt:variant>
      <vt:variant>
        <vt:lpwstr>_Toc128391217</vt:lpwstr>
      </vt:variant>
      <vt:variant>
        <vt:i4>1441842</vt:i4>
      </vt:variant>
      <vt:variant>
        <vt:i4>32</vt:i4>
      </vt:variant>
      <vt:variant>
        <vt:i4>0</vt:i4>
      </vt:variant>
      <vt:variant>
        <vt:i4>5</vt:i4>
      </vt:variant>
      <vt:variant>
        <vt:lpwstr/>
      </vt:variant>
      <vt:variant>
        <vt:lpwstr>_Toc128391216</vt:lpwstr>
      </vt:variant>
      <vt:variant>
        <vt:i4>1441842</vt:i4>
      </vt:variant>
      <vt:variant>
        <vt:i4>26</vt:i4>
      </vt:variant>
      <vt:variant>
        <vt:i4>0</vt:i4>
      </vt:variant>
      <vt:variant>
        <vt:i4>5</vt:i4>
      </vt:variant>
      <vt:variant>
        <vt:lpwstr/>
      </vt:variant>
      <vt:variant>
        <vt:lpwstr>_Toc128391215</vt:lpwstr>
      </vt:variant>
      <vt:variant>
        <vt:i4>1441842</vt:i4>
      </vt:variant>
      <vt:variant>
        <vt:i4>20</vt:i4>
      </vt:variant>
      <vt:variant>
        <vt:i4>0</vt:i4>
      </vt:variant>
      <vt:variant>
        <vt:i4>5</vt:i4>
      </vt:variant>
      <vt:variant>
        <vt:lpwstr/>
      </vt:variant>
      <vt:variant>
        <vt:lpwstr>_Toc128391214</vt:lpwstr>
      </vt:variant>
      <vt:variant>
        <vt:i4>1441842</vt:i4>
      </vt:variant>
      <vt:variant>
        <vt:i4>14</vt:i4>
      </vt:variant>
      <vt:variant>
        <vt:i4>0</vt:i4>
      </vt:variant>
      <vt:variant>
        <vt:i4>5</vt:i4>
      </vt:variant>
      <vt:variant>
        <vt:lpwstr/>
      </vt:variant>
      <vt:variant>
        <vt:lpwstr>_Toc128391213</vt:lpwstr>
      </vt:variant>
      <vt:variant>
        <vt:i4>1441842</vt:i4>
      </vt:variant>
      <vt:variant>
        <vt:i4>8</vt:i4>
      </vt:variant>
      <vt:variant>
        <vt:i4>0</vt:i4>
      </vt:variant>
      <vt:variant>
        <vt:i4>5</vt:i4>
      </vt:variant>
      <vt:variant>
        <vt:lpwstr/>
      </vt:variant>
      <vt:variant>
        <vt:lpwstr>_Toc128391212</vt:lpwstr>
      </vt:variant>
      <vt:variant>
        <vt:i4>1441842</vt:i4>
      </vt:variant>
      <vt:variant>
        <vt:i4>2</vt:i4>
      </vt:variant>
      <vt:variant>
        <vt:i4>0</vt:i4>
      </vt:variant>
      <vt:variant>
        <vt:i4>5</vt:i4>
      </vt:variant>
      <vt:variant>
        <vt:lpwstr/>
      </vt:variant>
      <vt:variant>
        <vt:lpwstr>_Toc128391211</vt:lpwstr>
      </vt:variant>
      <vt:variant>
        <vt:i4>1114112</vt:i4>
      </vt:variant>
      <vt:variant>
        <vt:i4>75</vt:i4>
      </vt:variant>
      <vt:variant>
        <vt:i4>0</vt:i4>
      </vt:variant>
      <vt:variant>
        <vt:i4>5</vt:i4>
      </vt:variant>
      <vt:variant>
        <vt:lpwstr>https://www.mass.gov/doc/presentation-board-meeting-june-8-2022/download</vt:lpwstr>
      </vt:variant>
      <vt:variant>
        <vt:lpwstr/>
      </vt:variant>
      <vt:variant>
        <vt:i4>1114112</vt:i4>
      </vt:variant>
      <vt:variant>
        <vt:i4>72</vt:i4>
      </vt:variant>
      <vt:variant>
        <vt:i4>0</vt:i4>
      </vt:variant>
      <vt:variant>
        <vt:i4>5</vt:i4>
      </vt:variant>
      <vt:variant>
        <vt:lpwstr>https://www.mass.gov/doc/presentation-board-meeting-june-8-2022/download</vt:lpwstr>
      </vt:variant>
      <vt:variant>
        <vt:lpwstr/>
      </vt:variant>
      <vt:variant>
        <vt:i4>1114112</vt:i4>
      </vt:variant>
      <vt:variant>
        <vt:i4>69</vt:i4>
      </vt:variant>
      <vt:variant>
        <vt:i4>0</vt:i4>
      </vt:variant>
      <vt:variant>
        <vt:i4>5</vt:i4>
      </vt:variant>
      <vt:variant>
        <vt:lpwstr>https://www.mass.gov/doc/presentation-board-meeting-june-8-2022/download</vt:lpwstr>
      </vt:variant>
      <vt:variant>
        <vt:lpwstr/>
      </vt:variant>
      <vt:variant>
        <vt:i4>4063285</vt:i4>
      </vt:variant>
      <vt:variant>
        <vt:i4>66</vt:i4>
      </vt:variant>
      <vt:variant>
        <vt:i4>0</vt:i4>
      </vt:variant>
      <vt:variant>
        <vt:i4>5</vt:i4>
      </vt:variant>
      <vt:variant>
        <vt:lpwstr>https://www.mass.gov/doc/2022-cost-trends-report-chartpack/download</vt:lpwstr>
      </vt:variant>
      <vt:variant>
        <vt:lpwstr/>
      </vt:variant>
      <vt:variant>
        <vt:i4>8</vt:i4>
      </vt:variant>
      <vt:variant>
        <vt:i4>63</vt:i4>
      </vt:variant>
      <vt:variant>
        <vt:i4>0</vt:i4>
      </vt:variant>
      <vt:variant>
        <vt:i4>5</vt:i4>
      </vt:variant>
      <vt:variant>
        <vt:lpwstr>https://www.mass.gov/files/documents/2018/12/31/jud-lib-105cmr100.pdf</vt:lpwstr>
      </vt:variant>
      <vt:variant>
        <vt:lpwstr/>
      </vt:variant>
      <vt:variant>
        <vt:i4>983070</vt:i4>
      </vt:variant>
      <vt:variant>
        <vt:i4>60</vt:i4>
      </vt:variant>
      <vt:variant>
        <vt:i4>0</vt:i4>
      </vt:variant>
      <vt:variant>
        <vt:i4>5</vt:i4>
      </vt:variant>
      <vt:variant>
        <vt:lpwstr>https://www.healthit.gov/topic/health-it-basics/improve-care-coordination</vt:lpwstr>
      </vt:variant>
      <vt:variant>
        <vt:lpwstr/>
      </vt:variant>
      <vt:variant>
        <vt:i4>2031686</vt:i4>
      </vt:variant>
      <vt:variant>
        <vt:i4>57</vt:i4>
      </vt:variant>
      <vt:variant>
        <vt:i4>0</vt:i4>
      </vt:variant>
      <vt:variant>
        <vt:i4>5</vt:i4>
      </vt:variant>
      <vt:variant>
        <vt:lpwstr>https://www.mass.gov/doc/2021-health-care-cost-trends-report/download</vt:lpwstr>
      </vt:variant>
      <vt:variant>
        <vt:lpwstr/>
      </vt:variant>
      <vt:variant>
        <vt:i4>5374071</vt:i4>
      </vt:variant>
      <vt:variant>
        <vt:i4>54</vt:i4>
      </vt:variant>
      <vt:variant>
        <vt:i4>0</vt:i4>
      </vt:variant>
      <vt:variant>
        <vt:i4>5</vt:i4>
      </vt:variant>
      <vt:variant>
        <vt:lpwstr>https://massgov-my.sharepoint.com/personal/lynn_conover_mass_gov/Documents/Documents/at https:/www.cdc.gov/nchs/pressroom/states/massachusetts/massachusetts.htm</vt:lpwstr>
      </vt:variant>
      <vt:variant>
        <vt:lpwstr/>
      </vt:variant>
      <vt:variant>
        <vt:i4>1441862</vt:i4>
      </vt:variant>
      <vt:variant>
        <vt:i4>51</vt:i4>
      </vt:variant>
      <vt:variant>
        <vt:i4>0</vt:i4>
      </vt:variant>
      <vt:variant>
        <vt:i4>5</vt:i4>
      </vt:variant>
      <vt:variant>
        <vt:lpwstr>https://www.ncbi.nlm.nih.gov/pmc/articles/PMC3047732/</vt:lpwstr>
      </vt:variant>
      <vt:variant>
        <vt:lpwstr/>
      </vt:variant>
      <vt:variant>
        <vt:i4>6291492</vt:i4>
      </vt:variant>
      <vt:variant>
        <vt:i4>48</vt:i4>
      </vt:variant>
      <vt:variant>
        <vt:i4>0</vt:i4>
      </vt:variant>
      <vt:variant>
        <vt:i4>5</vt:i4>
      </vt:variant>
      <vt:variant>
        <vt:lpwstr>https://bmcgeriatr.biomedcentral.com/articles/10.1186/s12877-019-1197-9</vt:lpwstr>
      </vt:variant>
      <vt:variant>
        <vt:lpwstr>Sec21</vt:lpwstr>
      </vt:variant>
      <vt:variant>
        <vt:i4>6291492</vt:i4>
      </vt:variant>
      <vt:variant>
        <vt:i4>45</vt:i4>
      </vt:variant>
      <vt:variant>
        <vt:i4>0</vt:i4>
      </vt:variant>
      <vt:variant>
        <vt:i4>5</vt:i4>
      </vt:variant>
      <vt:variant>
        <vt:lpwstr>https://bmcgeriatr.biomedcentral.com/articles/10.1186/s12877-019-1197-9</vt:lpwstr>
      </vt:variant>
      <vt:variant>
        <vt:lpwstr>Sec21</vt:lpwstr>
      </vt:variant>
      <vt:variant>
        <vt:i4>1441863</vt:i4>
      </vt:variant>
      <vt:variant>
        <vt:i4>42</vt:i4>
      </vt:variant>
      <vt:variant>
        <vt:i4>0</vt:i4>
      </vt:variant>
      <vt:variant>
        <vt:i4>5</vt:i4>
      </vt:variant>
      <vt:variant>
        <vt:lpwstr>https://www.ncbi.nlm.nih.gov/pmc/articles/PMC8280577/</vt:lpwstr>
      </vt:variant>
      <vt:variant>
        <vt:lpwstr/>
      </vt:variant>
      <vt:variant>
        <vt:i4>1703941</vt:i4>
      </vt:variant>
      <vt:variant>
        <vt:i4>39</vt:i4>
      </vt:variant>
      <vt:variant>
        <vt:i4>0</vt:i4>
      </vt:variant>
      <vt:variant>
        <vt:i4>5</vt:i4>
      </vt:variant>
      <vt:variant>
        <vt:lpwstr>https://www.cancer.org/cancer/lung-cancer/detection-diagnosis-staging/detection.html</vt:lpwstr>
      </vt:variant>
      <vt:variant>
        <vt:lpwstr>:~:text=LDCT%20scans%20can%20help%20find%20abnormal%20areas%20in,lower%20the%20risk%20of%20dying%20from%20lung%20cancer.</vt:lpwstr>
      </vt:variant>
      <vt:variant>
        <vt:i4>4194319</vt:i4>
      </vt:variant>
      <vt:variant>
        <vt:i4>36</vt:i4>
      </vt:variant>
      <vt:variant>
        <vt:i4>0</vt:i4>
      </vt:variant>
      <vt:variant>
        <vt:i4>5</vt:i4>
      </vt:variant>
      <vt:variant>
        <vt:lpwstr>https://www.cancer.gov/about-cancer/diagnosis-staging/ct-scans-fact-sheet</vt:lpwstr>
      </vt:variant>
      <vt:variant>
        <vt:lpwstr>:~:text=What%20is%20computed%20tomography%3F%20Computed%20tomography%20%28CT%29%20is,called%20computerized%20tomography%20or%20computerized%20axial%20tomography%20%28CAT%29.</vt:lpwstr>
      </vt:variant>
      <vt:variant>
        <vt:i4>1310786</vt:i4>
      </vt:variant>
      <vt:variant>
        <vt:i4>33</vt:i4>
      </vt:variant>
      <vt:variant>
        <vt:i4>0</vt:i4>
      </vt:variant>
      <vt:variant>
        <vt:i4>5</vt:i4>
      </vt:variant>
      <vt:variant>
        <vt:lpwstr>https://www.ncbi.nlm.nih.gov/pmc/articles/PMC5183924/</vt:lpwstr>
      </vt:variant>
      <vt:variant>
        <vt:lpwstr/>
      </vt:variant>
      <vt:variant>
        <vt:i4>786514</vt:i4>
      </vt:variant>
      <vt:variant>
        <vt:i4>30</vt:i4>
      </vt:variant>
      <vt:variant>
        <vt:i4>0</vt:i4>
      </vt:variant>
      <vt:variant>
        <vt:i4>5</vt:i4>
      </vt:variant>
      <vt:variant>
        <vt:lpwstr>https://www.nibib.nih.gov/science-education/science-topics/computed-tomography-ct</vt:lpwstr>
      </vt:variant>
      <vt:variant>
        <vt:lpwstr/>
      </vt:variant>
      <vt:variant>
        <vt:i4>1704000</vt:i4>
      </vt:variant>
      <vt:variant>
        <vt:i4>27</vt:i4>
      </vt:variant>
      <vt:variant>
        <vt:i4>0</vt:i4>
      </vt:variant>
      <vt:variant>
        <vt:i4>5</vt:i4>
      </vt:variant>
      <vt:variant>
        <vt:lpwstr>https://www.ncbi.nlm.nih.gov/pmc/articles/PMC3143009/</vt:lpwstr>
      </vt:variant>
      <vt:variant>
        <vt:lpwstr/>
      </vt:variant>
      <vt:variant>
        <vt:i4>1048588</vt:i4>
      </vt:variant>
      <vt:variant>
        <vt:i4>24</vt:i4>
      </vt:variant>
      <vt:variant>
        <vt:i4>0</vt:i4>
      </vt:variant>
      <vt:variant>
        <vt:i4>5</vt:i4>
      </vt:variant>
      <vt:variant>
        <vt:lpwstr>https://pubmed.ncbi.nlm.nih.gov/2221962/</vt:lpwstr>
      </vt:variant>
      <vt:variant>
        <vt:lpwstr/>
      </vt:variant>
      <vt:variant>
        <vt:i4>6619236</vt:i4>
      </vt:variant>
      <vt:variant>
        <vt:i4>21</vt:i4>
      </vt:variant>
      <vt:variant>
        <vt:i4>0</vt:i4>
      </vt:variant>
      <vt:variant>
        <vt:i4>5</vt:i4>
      </vt:variant>
      <vt:variant>
        <vt:lpwstr>https://pubmed.ncbi.nlm.nih.gov/4081109/</vt:lpwstr>
      </vt:variant>
      <vt:variant>
        <vt:lpwstr>:~:text=MRI%20of%20brain%20infarction.%20MRI%20with%20long%20SE,patient%27s%20course%2C%20for%20a%20period%20of%20several%20months.</vt:lpwstr>
      </vt:variant>
      <vt:variant>
        <vt:i4>5177437</vt:i4>
      </vt:variant>
      <vt:variant>
        <vt:i4>18</vt:i4>
      </vt:variant>
      <vt:variant>
        <vt:i4>0</vt:i4>
      </vt:variant>
      <vt:variant>
        <vt:i4>5</vt:i4>
      </vt:variant>
      <vt:variant>
        <vt:lpwstr>https://www.hopkinsmedicine.org/health/treatment-tests-and-therapies/mri-of-the-bones-joints-and-soft-tissues</vt:lpwstr>
      </vt:variant>
      <vt:variant>
        <vt:lpwstr/>
      </vt:variant>
      <vt:variant>
        <vt:i4>1179664</vt:i4>
      </vt:variant>
      <vt:variant>
        <vt:i4>15</vt:i4>
      </vt:variant>
      <vt:variant>
        <vt:i4>0</vt:i4>
      </vt:variant>
      <vt:variant>
        <vt:i4>5</vt:i4>
      </vt:variant>
      <vt:variant>
        <vt:lpwstr>https://www.nibib.nih.gov/science-education/science-topics/magnetic-resonance-imaging-mri</vt:lpwstr>
      </vt:variant>
      <vt:variant>
        <vt:lpwstr/>
      </vt:variant>
      <vt:variant>
        <vt:i4>3145825</vt:i4>
      </vt:variant>
      <vt:variant>
        <vt:i4>12</vt:i4>
      </vt:variant>
      <vt:variant>
        <vt:i4>0</vt:i4>
      </vt:variant>
      <vt:variant>
        <vt:i4>5</vt:i4>
      </vt:variant>
      <vt:variant>
        <vt:lpwstr>https://www.mass.gov/lists/brfss-statewide-reports-and-publications</vt:lpwstr>
      </vt:variant>
      <vt:variant>
        <vt:lpwstr/>
      </vt:variant>
      <vt:variant>
        <vt:i4>1769560</vt:i4>
      </vt:variant>
      <vt:variant>
        <vt:i4>9</vt:i4>
      </vt:variant>
      <vt:variant>
        <vt:i4>0</vt:i4>
      </vt:variant>
      <vt:variant>
        <vt:i4>5</vt:i4>
      </vt:variant>
      <vt:variant>
        <vt:lpwstr>http://dx.doi.org/10.15585/mmwr.mm6609e1</vt:lpwstr>
      </vt:variant>
      <vt:variant>
        <vt:lpwstr/>
      </vt:variant>
      <vt:variant>
        <vt:i4>3342444</vt:i4>
      </vt:variant>
      <vt:variant>
        <vt:i4>6</vt:i4>
      </vt:variant>
      <vt:variant>
        <vt:i4>0</vt:i4>
      </vt:variant>
      <vt:variant>
        <vt:i4>5</vt:i4>
      </vt:variant>
      <vt:variant>
        <vt:lpwstr>https://statecancerprofiles.cancer.gov/quick-profiles/index.php?statename=massachusetts</vt:lpwstr>
      </vt:variant>
      <vt:variant>
        <vt:lpwstr/>
      </vt:variant>
      <vt:variant>
        <vt:i4>2162739</vt:i4>
      </vt:variant>
      <vt:variant>
        <vt:i4>3</vt:i4>
      </vt:variant>
      <vt:variant>
        <vt:i4>0</vt:i4>
      </vt:variant>
      <vt:variant>
        <vt:i4>5</vt:i4>
      </vt:variant>
      <vt:variant>
        <vt:lpwstr>https://www.cdc.gov/nchs/pressroom/states/massachusetts.htm</vt:lpwstr>
      </vt:variant>
      <vt:variant>
        <vt:lpwstr/>
      </vt:variant>
      <vt:variant>
        <vt:i4>3145745</vt:i4>
      </vt:variant>
      <vt:variant>
        <vt:i4>0</vt:i4>
      </vt:variant>
      <vt:variant>
        <vt:i4>0</vt:i4>
      </vt:variant>
      <vt:variant>
        <vt:i4>5</vt:i4>
      </vt:variant>
      <vt:variant>
        <vt:lpwstr>http://www.pep.donahue-institute.org/downloads/2015/new/UMDI_LongTermPopulationProjectionsReport_2015 04 _29.pdf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8</cp:revision>
  <cp:lastPrinted>2023-02-27T17:06:00Z</cp:lastPrinted>
  <dcterms:created xsi:type="dcterms:W3CDTF">2023-03-30T14:06:00Z</dcterms:created>
  <dcterms:modified xsi:type="dcterms:W3CDTF">2023-03-30T15:01:00Z</dcterms:modified>
  <cp:contentStatus/>
</cp:coreProperties>
</file>