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9661" w14:textId="77777777" w:rsidR="001626F0" w:rsidRDefault="001626F0" w:rsidP="00C62459">
      <w:pPr>
        <w:spacing w:after="0" w:line="240" w:lineRule="auto"/>
        <w:rPr>
          <w:b/>
          <w:bCs/>
          <w:sz w:val="24"/>
          <w:szCs w:val="24"/>
        </w:rPr>
      </w:pPr>
    </w:p>
    <w:p w14:paraId="0E27B753" w14:textId="77777777" w:rsidR="001626F0" w:rsidRDefault="001626F0" w:rsidP="00C62459">
      <w:pPr>
        <w:spacing w:after="0" w:line="240" w:lineRule="auto"/>
        <w:rPr>
          <w:b/>
          <w:bCs/>
          <w:sz w:val="24"/>
          <w:szCs w:val="24"/>
        </w:rPr>
      </w:pPr>
    </w:p>
    <w:p w14:paraId="28D9001B" w14:textId="77777777" w:rsidR="001626F0" w:rsidRDefault="001626F0" w:rsidP="00C62459">
      <w:pPr>
        <w:spacing w:after="0" w:line="240" w:lineRule="auto"/>
        <w:rPr>
          <w:b/>
          <w:bCs/>
          <w:sz w:val="24"/>
          <w:szCs w:val="24"/>
        </w:rPr>
      </w:pPr>
    </w:p>
    <w:p w14:paraId="39B36276" w14:textId="77777777" w:rsidR="001626F0" w:rsidRDefault="001626F0" w:rsidP="00C62459">
      <w:pPr>
        <w:spacing w:after="0" w:line="240" w:lineRule="auto"/>
        <w:rPr>
          <w:b/>
          <w:bCs/>
          <w:sz w:val="24"/>
          <w:szCs w:val="24"/>
        </w:rPr>
      </w:pPr>
    </w:p>
    <w:p w14:paraId="5617A8A7" w14:textId="77777777" w:rsidR="001626F0" w:rsidRDefault="001626F0" w:rsidP="00C62459">
      <w:pPr>
        <w:spacing w:after="0" w:line="240" w:lineRule="auto"/>
        <w:rPr>
          <w:b/>
          <w:bCs/>
          <w:sz w:val="24"/>
          <w:szCs w:val="24"/>
        </w:rPr>
      </w:pPr>
    </w:p>
    <w:p w14:paraId="00448350" w14:textId="77777777" w:rsidR="001626F0" w:rsidRDefault="001626F0" w:rsidP="00C62459">
      <w:pPr>
        <w:spacing w:after="0" w:line="240" w:lineRule="auto"/>
        <w:rPr>
          <w:b/>
          <w:bCs/>
          <w:sz w:val="24"/>
          <w:szCs w:val="24"/>
        </w:rPr>
      </w:pPr>
    </w:p>
    <w:p w14:paraId="2E379844" w14:textId="77777777" w:rsidR="001626F0" w:rsidRDefault="001626F0" w:rsidP="00C62459">
      <w:pPr>
        <w:spacing w:after="0" w:line="240" w:lineRule="auto"/>
        <w:rPr>
          <w:b/>
          <w:bCs/>
          <w:sz w:val="24"/>
          <w:szCs w:val="24"/>
        </w:rPr>
      </w:pPr>
    </w:p>
    <w:tbl>
      <w:tblPr>
        <w:tblStyle w:val="TableGrid"/>
        <w:tblpPr w:leftFromText="180" w:rightFromText="180" w:vertAnchor="page" w:horzAnchor="margin" w:tblpXSpec="center" w:tblpY="1531"/>
        <w:tblW w:w="9445" w:type="dxa"/>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3685"/>
        <w:gridCol w:w="5760"/>
      </w:tblGrid>
      <w:tr w:rsidR="001626F0" w:rsidRPr="00AA0F82" w14:paraId="1A8FE388" w14:textId="77777777" w:rsidTr="13DFD0E7">
        <w:trPr>
          <w:trHeight w:val="440"/>
          <w:tblHeader/>
          <w:jc w:val="center"/>
        </w:trPr>
        <w:tc>
          <w:tcPr>
            <w:tcW w:w="9445" w:type="dxa"/>
            <w:gridSpan w:val="2"/>
            <w:shd w:val="clear" w:color="auto" w:fill="E5FFFF"/>
            <w:vAlign w:val="center"/>
          </w:tcPr>
          <w:p w14:paraId="11DE6832" w14:textId="77777777" w:rsidR="001B5DC0" w:rsidRPr="00796AED" w:rsidRDefault="001B5DC0" w:rsidP="001B5DC0">
            <w:pPr>
              <w:pStyle w:val="NoSpacing"/>
              <w:ind w:right="540"/>
              <w:contextualSpacing/>
              <w:jc w:val="center"/>
              <w:rPr>
                <w:rFonts w:cstheme="minorHAnsi"/>
                <w:b/>
                <w:sz w:val="24"/>
                <w:szCs w:val="24"/>
              </w:rPr>
            </w:pPr>
            <w:r w:rsidRPr="00796AED">
              <w:rPr>
                <w:rFonts w:cstheme="minorHAnsi"/>
                <w:b/>
                <w:sz w:val="24"/>
                <w:szCs w:val="24"/>
              </w:rPr>
              <w:t>STAFF REPORT TO THE PUBLIC HEALTH COUNCIL</w:t>
            </w:r>
          </w:p>
          <w:p w14:paraId="25D94099" w14:textId="1C50052E" w:rsidR="001626F0" w:rsidRPr="00AA0F82" w:rsidRDefault="001B5DC0" w:rsidP="001B5DC0">
            <w:pPr>
              <w:pStyle w:val="Header"/>
              <w:ind w:right="540"/>
              <w:contextualSpacing/>
              <w:jc w:val="center"/>
              <w:rPr>
                <w:rFonts w:cstheme="minorHAnsi"/>
                <w:b/>
                <w:sz w:val="24"/>
                <w:szCs w:val="24"/>
                <w:highlight w:val="yellow"/>
              </w:rPr>
            </w:pPr>
            <w:r w:rsidRPr="00796AED">
              <w:rPr>
                <w:rFonts w:cstheme="minorHAnsi"/>
                <w:b/>
              </w:rPr>
              <w:t>FOR A DETERMINATION OF NEED</w:t>
            </w:r>
          </w:p>
        </w:tc>
      </w:tr>
      <w:tr w:rsidR="001626F0" w:rsidRPr="00AA0F82" w14:paraId="6303AF95" w14:textId="77777777" w:rsidTr="13DFD0E7">
        <w:trPr>
          <w:trHeight w:val="413"/>
          <w:jc w:val="center"/>
        </w:trPr>
        <w:tc>
          <w:tcPr>
            <w:tcW w:w="3685" w:type="dxa"/>
            <w:shd w:val="clear" w:color="auto" w:fill="auto"/>
            <w:vAlign w:val="center"/>
          </w:tcPr>
          <w:p w14:paraId="1D18A9DB" w14:textId="77777777" w:rsidR="001626F0" w:rsidRPr="00873636" w:rsidRDefault="001626F0" w:rsidP="008A4468">
            <w:pPr>
              <w:ind w:right="540"/>
              <w:contextualSpacing/>
              <w:rPr>
                <w:rFonts w:cstheme="minorHAnsi"/>
                <w:sz w:val="24"/>
                <w:szCs w:val="24"/>
              </w:rPr>
            </w:pPr>
            <w:r w:rsidRPr="00873636">
              <w:rPr>
                <w:rFonts w:cstheme="minorHAnsi"/>
                <w:sz w:val="24"/>
                <w:szCs w:val="24"/>
              </w:rPr>
              <w:t xml:space="preserve">Applicant Name </w:t>
            </w:r>
          </w:p>
        </w:tc>
        <w:tc>
          <w:tcPr>
            <w:tcW w:w="5760" w:type="dxa"/>
            <w:shd w:val="clear" w:color="auto" w:fill="auto"/>
            <w:vAlign w:val="center"/>
          </w:tcPr>
          <w:p w14:paraId="5638FB0B" w14:textId="5648A7C5" w:rsidR="001626F0" w:rsidRPr="00873636" w:rsidRDefault="00873636" w:rsidP="008A4468">
            <w:pPr>
              <w:ind w:right="540"/>
              <w:contextualSpacing/>
              <w:rPr>
                <w:rFonts w:cstheme="minorHAnsi"/>
                <w:bCs/>
                <w:sz w:val="24"/>
                <w:szCs w:val="24"/>
              </w:rPr>
            </w:pPr>
            <w:r w:rsidRPr="00873636">
              <w:rPr>
                <w:rFonts w:cstheme="minorHAnsi"/>
                <w:bCs/>
                <w:sz w:val="24"/>
                <w:szCs w:val="24"/>
              </w:rPr>
              <w:t>Beth Israel Lahey Health, Inc.</w:t>
            </w:r>
          </w:p>
        </w:tc>
      </w:tr>
      <w:tr w:rsidR="001626F0" w:rsidRPr="00AA0F82" w14:paraId="6933F7CE" w14:textId="77777777" w:rsidTr="13DFD0E7">
        <w:trPr>
          <w:trHeight w:val="357"/>
          <w:jc w:val="center"/>
        </w:trPr>
        <w:tc>
          <w:tcPr>
            <w:tcW w:w="3685" w:type="dxa"/>
            <w:shd w:val="clear" w:color="auto" w:fill="auto"/>
            <w:vAlign w:val="center"/>
          </w:tcPr>
          <w:p w14:paraId="1F73D820" w14:textId="77777777" w:rsidR="001626F0" w:rsidRPr="00796AED" w:rsidRDefault="001626F0" w:rsidP="008A4468">
            <w:pPr>
              <w:ind w:right="540"/>
              <w:contextualSpacing/>
              <w:rPr>
                <w:rFonts w:cstheme="minorHAnsi"/>
                <w:sz w:val="24"/>
                <w:szCs w:val="24"/>
              </w:rPr>
            </w:pPr>
            <w:r w:rsidRPr="00796AED">
              <w:rPr>
                <w:rFonts w:cstheme="minorHAnsi"/>
                <w:sz w:val="24"/>
                <w:szCs w:val="24"/>
              </w:rPr>
              <w:t xml:space="preserve">Applicant Address </w:t>
            </w:r>
          </w:p>
        </w:tc>
        <w:tc>
          <w:tcPr>
            <w:tcW w:w="5760" w:type="dxa"/>
            <w:shd w:val="clear" w:color="auto" w:fill="auto"/>
            <w:vAlign w:val="center"/>
          </w:tcPr>
          <w:p w14:paraId="3A36F3CE" w14:textId="12276FE4" w:rsidR="001626F0" w:rsidRPr="00AA0F82" w:rsidRDefault="004A46B3" w:rsidP="008A4468">
            <w:pPr>
              <w:ind w:right="540"/>
              <w:contextualSpacing/>
              <w:rPr>
                <w:rFonts w:cstheme="minorHAnsi"/>
                <w:sz w:val="24"/>
                <w:szCs w:val="24"/>
                <w:highlight w:val="yellow"/>
                <w:lang w:val="fr-FR"/>
              </w:rPr>
            </w:pPr>
            <w:r w:rsidRPr="000377DD">
              <w:rPr>
                <w:rFonts w:cstheme="minorHAnsi"/>
                <w:sz w:val="24"/>
                <w:szCs w:val="24"/>
              </w:rPr>
              <w:t>20 University Road, Suite 700</w:t>
            </w:r>
            <w:r w:rsidR="000377DD" w:rsidRPr="000377DD">
              <w:rPr>
                <w:rFonts w:cstheme="minorHAnsi"/>
                <w:sz w:val="24"/>
                <w:szCs w:val="24"/>
              </w:rPr>
              <w:t>, Cambridge, MA 02138</w:t>
            </w:r>
          </w:p>
        </w:tc>
      </w:tr>
      <w:tr w:rsidR="001626F0" w:rsidRPr="00AA0F82" w14:paraId="013A7CB1" w14:textId="77777777" w:rsidTr="13DFD0E7">
        <w:trPr>
          <w:trHeight w:val="377"/>
          <w:jc w:val="center"/>
        </w:trPr>
        <w:tc>
          <w:tcPr>
            <w:tcW w:w="3685" w:type="dxa"/>
            <w:shd w:val="clear" w:color="auto" w:fill="auto"/>
            <w:vAlign w:val="center"/>
          </w:tcPr>
          <w:p w14:paraId="09B68F1A" w14:textId="77777777" w:rsidR="001626F0" w:rsidRPr="00796AED" w:rsidRDefault="001626F0" w:rsidP="008A4468">
            <w:pPr>
              <w:ind w:right="540"/>
              <w:contextualSpacing/>
              <w:rPr>
                <w:rFonts w:cstheme="minorHAnsi"/>
                <w:sz w:val="24"/>
                <w:szCs w:val="24"/>
              </w:rPr>
            </w:pPr>
            <w:r w:rsidRPr="00796AED">
              <w:rPr>
                <w:rFonts w:cstheme="minorHAnsi"/>
                <w:sz w:val="24"/>
                <w:szCs w:val="24"/>
              </w:rPr>
              <w:t>Filing Date</w:t>
            </w:r>
          </w:p>
        </w:tc>
        <w:tc>
          <w:tcPr>
            <w:tcW w:w="5760" w:type="dxa"/>
            <w:shd w:val="clear" w:color="auto" w:fill="auto"/>
            <w:vAlign w:val="center"/>
          </w:tcPr>
          <w:p w14:paraId="3B9C9630" w14:textId="5509230B" w:rsidR="001626F0" w:rsidRPr="00AA0F82" w:rsidRDefault="001B7B8B" w:rsidP="008A4468">
            <w:pPr>
              <w:ind w:right="540"/>
              <w:contextualSpacing/>
              <w:rPr>
                <w:rFonts w:cstheme="minorHAnsi"/>
                <w:sz w:val="24"/>
                <w:szCs w:val="24"/>
                <w:highlight w:val="yellow"/>
              </w:rPr>
            </w:pPr>
            <w:r w:rsidRPr="001B7B8B">
              <w:rPr>
                <w:rFonts w:cstheme="minorHAnsi"/>
                <w:sz w:val="24"/>
                <w:szCs w:val="24"/>
              </w:rPr>
              <w:t>October 23, 2024</w:t>
            </w:r>
          </w:p>
        </w:tc>
      </w:tr>
      <w:tr w:rsidR="001626F0" w:rsidRPr="00AA0F82" w14:paraId="6701CB62" w14:textId="77777777" w:rsidTr="13DFD0E7">
        <w:trPr>
          <w:trHeight w:val="350"/>
          <w:jc w:val="center"/>
        </w:trPr>
        <w:tc>
          <w:tcPr>
            <w:tcW w:w="3685" w:type="dxa"/>
            <w:shd w:val="clear" w:color="auto" w:fill="auto"/>
            <w:vAlign w:val="center"/>
          </w:tcPr>
          <w:p w14:paraId="3BCE5031" w14:textId="77777777" w:rsidR="001626F0" w:rsidRPr="000377DD" w:rsidRDefault="001626F0" w:rsidP="008A4468">
            <w:pPr>
              <w:ind w:right="540"/>
              <w:contextualSpacing/>
              <w:rPr>
                <w:rFonts w:cstheme="minorHAnsi"/>
                <w:sz w:val="24"/>
                <w:szCs w:val="24"/>
              </w:rPr>
            </w:pPr>
            <w:r w:rsidRPr="000377DD">
              <w:rPr>
                <w:rFonts w:cstheme="minorHAnsi"/>
                <w:sz w:val="24"/>
                <w:szCs w:val="24"/>
              </w:rPr>
              <w:t>Type of DoN Application</w:t>
            </w:r>
          </w:p>
        </w:tc>
        <w:tc>
          <w:tcPr>
            <w:tcW w:w="5760" w:type="dxa"/>
            <w:shd w:val="clear" w:color="auto" w:fill="auto"/>
            <w:vAlign w:val="center"/>
          </w:tcPr>
          <w:p w14:paraId="26B748E5" w14:textId="77777777" w:rsidR="00BE615B" w:rsidRPr="00BE615B" w:rsidRDefault="00676117" w:rsidP="008A4468">
            <w:pPr>
              <w:ind w:right="-110"/>
              <w:contextualSpacing/>
              <w:rPr>
                <w:rFonts w:cstheme="minorHAnsi"/>
                <w:sz w:val="24"/>
                <w:szCs w:val="24"/>
              </w:rPr>
            </w:pPr>
            <w:r w:rsidRPr="00BE615B">
              <w:rPr>
                <w:rFonts w:cstheme="minorHAnsi"/>
                <w:sz w:val="24"/>
                <w:szCs w:val="24"/>
              </w:rPr>
              <w:t>Substantial Capital Expenditure</w:t>
            </w:r>
            <w:r w:rsidR="00BE615B" w:rsidRPr="00BE615B">
              <w:rPr>
                <w:rFonts w:cstheme="minorHAnsi"/>
                <w:sz w:val="24"/>
                <w:szCs w:val="24"/>
              </w:rPr>
              <w:t xml:space="preserve"> and </w:t>
            </w:r>
          </w:p>
          <w:p w14:paraId="74E742FD" w14:textId="4563C68F" w:rsidR="001626F0" w:rsidRPr="000377DD" w:rsidRDefault="00BE615B" w:rsidP="45C967FF">
            <w:pPr>
              <w:ind w:right="-110"/>
              <w:contextualSpacing/>
              <w:rPr>
                <w:sz w:val="24"/>
                <w:szCs w:val="24"/>
              </w:rPr>
            </w:pPr>
            <w:r w:rsidRPr="45C967FF">
              <w:rPr>
                <w:sz w:val="24"/>
                <w:szCs w:val="24"/>
              </w:rPr>
              <w:t xml:space="preserve">Substantial Change </w:t>
            </w:r>
            <w:r w:rsidR="1285E1EB" w:rsidRPr="45C967FF">
              <w:rPr>
                <w:sz w:val="24"/>
                <w:szCs w:val="24"/>
              </w:rPr>
              <w:t>i</w:t>
            </w:r>
            <w:r w:rsidRPr="45C967FF">
              <w:rPr>
                <w:sz w:val="24"/>
                <w:szCs w:val="24"/>
              </w:rPr>
              <w:t>n Service</w:t>
            </w:r>
          </w:p>
        </w:tc>
      </w:tr>
      <w:tr w:rsidR="001626F0" w:rsidRPr="00AA0F82" w14:paraId="613B5F25" w14:textId="77777777" w:rsidTr="13DFD0E7">
        <w:trPr>
          <w:trHeight w:val="350"/>
          <w:jc w:val="center"/>
        </w:trPr>
        <w:tc>
          <w:tcPr>
            <w:tcW w:w="3685" w:type="dxa"/>
            <w:shd w:val="clear" w:color="auto" w:fill="auto"/>
            <w:vAlign w:val="center"/>
          </w:tcPr>
          <w:p w14:paraId="4AE468F6" w14:textId="77777777" w:rsidR="001626F0" w:rsidRPr="001932C3" w:rsidRDefault="001626F0" w:rsidP="008A4468">
            <w:pPr>
              <w:ind w:right="540"/>
              <w:contextualSpacing/>
              <w:rPr>
                <w:rFonts w:cstheme="minorHAnsi"/>
                <w:sz w:val="24"/>
                <w:szCs w:val="24"/>
              </w:rPr>
            </w:pPr>
            <w:r w:rsidRPr="001932C3">
              <w:rPr>
                <w:rFonts w:cstheme="minorHAnsi"/>
                <w:sz w:val="24"/>
                <w:szCs w:val="24"/>
              </w:rPr>
              <w:t>Total Value</w:t>
            </w:r>
          </w:p>
        </w:tc>
        <w:tc>
          <w:tcPr>
            <w:tcW w:w="5760" w:type="dxa"/>
            <w:shd w:val="clear" w:color="auto" w:fill="auto"/>
            <w:vAlign w:val="center"/>
          </w:tcPr>
          <w:p w14:paraId="379B7099" w14:textId="77BCAE3E" w:rsidR="001626F0" w:rsidRPr="001932C3" w:rsidRDefault="00F96DB9" w:rsidP="008A4468">
            <w:pPr>
              <w:ind w:right="540"/>
              <w:contextualSpacing/>
              <w:rPr>
                <w:rFonts w:cstheme="minorHAnsi"/>
                <w:sz w:val="24"/>
                <w:szCs w:val="24"/>
              </w:rPr>
            </w:pPr>
            <w:r w:rsidRPr="001932C3">
              <w:rPr>
                <w:rFonts w:cstheme="minorHAnsi"/>
                <w:sz w:val="24"/>
                <w:szCs w:val="24"/>
              </w:rPr>
              <w:t>$</w:t>
            </w:r>
            <w:r w:rsidR="001932C3" w:rsidRPr="001932C3">
              <w:rPr>
                <w:rFonts w:cstheme="minorHAnsi"/>
                <w:sz w:val="24"/>
                <w:szCs w:val="24"/>
              </w:rPr>
              <w:t>117,006,070.00</w:t>
            </w:r>
          </w:p>
        </w:tc>
      </w:tr>
      <w:tr w:rsidR="001626F0" w:rsidRPr="00AA0F82" w14:paraId="03116F04" w14:textId="77777777" w:rsidTr="13DFD0E7">
        <w:trPr>
          <w:trHeight w:val="350"/>
          <w:jc w:val="center"/>
        </w:trPr>
        <w:tc>
          <w:tcPr>
            <w:tcW w:w="3685" w:type="dxa"/>
            <w:shd w:val="clear" w:color="auto" w:fill="auto"/>
            <w:vAlign w:val="center"/>
          </w:tcPr>
          <w:p w14:paraId="3DBDE5CF" w14:textId="77777777" w:rsidR="001626F0" w:rsidRPr="00C441AC" w:rsidRDefault="001626F0" w:rsidP="008A4468">
            <w:pPr>
              <w:ind w:right="540"/>
              <w:contextualSpacing/>
              <w:rPr>
                <w:rFonts w:cstheme="minorHAnsi"/>
                <w:sz w:val="24"/>
                <w:szCs w:val="24"/>
              </w:rPr>
            </w:pPr>
            <w:r w:rsidRPr="00C441AC">
              <w:rPr>
                <w:rFonts w:cstheme="minorHAnsi"/>
                <w:sz w:val="24"/>
                <w:szCs w:val="24"/>
              </w:rPr>
              <w:t>Project Number</w:t>
            </w:r>
          </w:p>
        </w:tc>
        <w:tc>
          <w:tcPr>
            <w:tcW w:w="5760" w:type="dxa"/>
            <w:shd w:val="clear" w:color="auto" w:fill="auto"/>
            <w:vAlign w:val="center"/>
          </w:tcPr>
          <w:p w14:paraId="39260819" w14:textId="5A24ABDE" w:rsidR="001626F0" w:rsidRPr="00C441AC" w:rsidRDefault="00A117CE" w:rsidP="008A4468">
            <w:pPr>
              <w:ind w:right="540"/>
              <w:contextualSpacing/>
              <w:rPr>
                <w:rFonts w:cstheme="minorHAnsi"/>
                <w:sz w:val="24"/>
                <w:szCs w:val="24"/>
              </w:rPr>
            </w:pPr>
            <w:r w:rsidRPr="00A117CE">
              <w:rPr>
                <w:sz w:val="24"/>
                <w:szCs w:val="24"/>
              </w:rPr>
              <w:t>BILH-24080714-HE</w:t>
            </w:r>
          </w:p>
        </w:tc>
      </w:tr>
      <w:tr w:rsidR="001626F0" w:rsidRPr="00AA0F82" w14:paraId="508256C0" w14:textId="77777777" w:rsidTr="13DFD0E7">
        <w:trPr>
          <w:trHeight w:val="350"/>
          <w:jc w:val="center"/>
        </w:trPr>
        <w:tc>
          <w:tcPr>
            <w:tcW w:w="3685" w:type="dxa"/>
            <w:shd w:val="clear" w:color="auto" w:fill="auto"/>
            <w:vAlign w:val="center"/>
          </w:tcPr>
          <w:p w14:paraId="4EDCAE51" w14:textId="77777777" w:rsidR="001626F0" w:rsidRPr="0023546D" w:rsidRDefault="001626F0" w:rsidP="008A4468">
            <w:pPr>
              <w:ind w:right="-110"/>
              <w:contextualSpacing/>
              <w:rPr>
                <w:rFonts w:cstheme="minorHAnsi"/>
                <w:sz w:val="24"/>
                <w:szCs w:val="24"/>
              </w:rPr>
            </w:pPr>
            <w:r w:rsidRPr="0023546D">
              <w:rPr>
                <w:rFonts w:cstheme="minorHAnsi"/>
                <w:sz w:val="24"/>
                <w:szCs w:val="24"/>
              </w:rPr>
              <w:t>Ten Taxpayer Group</w:t>
            </w:r>
          </w:p>
        </w:tc>
        <w:tc>
          <w:tcPr>
            <w:tcW w:w="5760" w:type="dxa"/>
            <w:shd w:val="clear" w:color="auto" w:fill="auto"/>
            <w:vAlign w:val="center"/>
          </w:tcPr>
          <w:p w14:paraId="0318264F" w14:textId="3DB8EE1F" w:rsidR="001626F0" w:rsidRPr="0023546D" w:rsidRDefault="0023546D" w:rsidP="008A4468">
            <w:pPr>
              <w:ind w:right="540"/>
              <w:contextualSpacing/>
              <w:rPr>
                <w:rFonts w:cstheme="minorHAnsi"/>
                <w:sz w:val="24"/>
                <w:szCs w:val="24"/>
              </w:rPr>
            </w:pPr>
            <w:r w:rsidRPr="0023546D">
              <w:rPr>
                <w:rFonts w:cstheme="minorHAnsi"/>
                <w:sz w:val="24"/>
                <w:szCs w:val="24"/>
              </w:rPr>
              <w:t>None</w:t>
            </w:r>
          </w:p>
        </w:tc>
      </w:tr>
      <w:tr w:rsidR="001626F0" w:rsidRPr="00AA0F82" w14:paraId="4B7BA0EC" w14:textId="77777777" w:rsidTr="13DFD0E7">
        <w:trPr>
          <w:trHeight w:val="350"/>
          <w:jc w:val="center"/>
        </w:trPr>
        <w:tc>
          <w:tcPr>
            <w:tcW w:w="3685" w:type="dxa"/>
            <w:shd w:val="clear" w:color="auto" w:fill="auto"/>
            <w:vAlign w:val="center"/>
          </w:tcPr>
          <w:p w14:paraId="3346EA7B" w14:textId="77777777" w:rsidR="001626F0" w:rsidRPr="00520A3B" w:rsidRDefault="001626F0" w:rsidP="008A4468">
            <w:pPr>
              <w:ind w:right="540"/>
              <w:contextualSpacing/>
              <w:rPr>
                <w:rFonts w:cstheme="minorHAnsi"/>
                <w:sz w:val="24"/>
                <w:szCs w:val="24"/>
              </w:rPr>
            </w:pPr>
            <w:r w:rsidRPr="00520A3B">
              <w:rPr>
                <w:rFonts w:cstheme="minorHAnsi"/>
                <w:sz w:val="24"/>
                <w:szCs w:val="24"/>
              </w:rPr>
              <w:t xml:space="preserve">Community Health Initiative </w:t>
            </w:r>
          </w:p>
        </w:tc>
        <w:tc>
          <w:tcPr>
            <w:tcW w:w="5760" w:type="dxa"/>
            <w:shd w:val="clear" w:color="auto" w:fill="auto"/>
            <w:vAlign w:val="center"/>
          </w:tcPr>
          <w:p w14:paraId="429E3C49" w14:textId="3755B91E" w:rsidR="001626F0" w:rsidRPr="00520A3B" w:rsidRDefault="001730F3" w:rsidP="008A4468">
            <w:pPr>
              <w:ind w:right="540"/>
              <w:contextualSpacing/>
              <w:rPr>
                <w:rFonts w:cstheme="minorHAnsi"/>
                <w:sz w:val="24"/>
                <w:szCs w:val="24"/>
              </w:rPr>
            </w:pPr>
            <w:r w:rsidRPr="001730F3">
              <w:rPr>
                <w:rFonts w:cstheme="minorHAnsi"/>
                <w:sz w:val="24"/>
                <w:szCs w:val="24"/>
              </w:rPr>
              <w:t>$5,850,303.50</w:t>
            </w:r>
          </w:p>
        </w:tc>
      </w:tr>
      <w:tr w:rsidR="001626F0" w:rsidRPr="00AA0F82" w14:paraId="6BEB37FC" w14:textId="77777777" w:rsidTr="13DFD0E7">
        <w:trPr>
          <w:trHeight w:val="350"/>
          <w:jc w:val="center"/>
        </w:trPr>
        <w:tc>
          <w:tcPr>
            <w:tcW w:w="3685" w:type="dxa"/>
            <w:shd w:val="clear" w:color="auto" w:fill="auto"/>
            <w:vAlign w:val="center"/>
          </w:tcPr>
          <w:p w14:paraId="60D966DB" w14:textId="77777777" w:rsidR="001626F0" w:rsidRPr="00796AED" w:rsidRDefault="001626F0" w:rsidP="008A4468">
            <w:pPr>
              <w:ind w:right="540"/>
              <w:contextualSpacing/>
              <w:rPr>
                <w:rFonts w:cstheme="minorHAnsi"/>
                <w:sz w:val="24"/>
                <w:szCs w:val="24"/>
              </w:rPr>
            </w:pPr>
            <w:r w:rsidRPr="00796AED">
              <w:rPr>
                <w:rFonts w:cstheme="minorHAnsi"/>
                <w:sz w:val="24"/>
                <w:szCs w:val="24"/>
              </w:rPr>
              <w:t>Staff Recommendation</w:t>
            </w:r>
          </w:p>
        </w:tc>
        <w:tc>
          <w:tcPr>
            <w:tcW w:w="5760" w:type="dxa"/>
            <w:shd w:val="clear" w:color="auto" w:fill="auto"/>
            <w:vAlign w:val="center"/>
          </w:tcPr>
          <w:p w14:paraId="0F4BD9B2" w14:textId="5EE18F0F" w:rsidR="001626F0" w:rsidRPr="00AA0F82" w:rsidRDefault="00840215" w:rsidP="008A4468">
            <w:pPr>
              <w:ind w:right="540"/>
              <w:contextualSpacing/>
              <w:rPr>
                <w:rFonts w:cstheme="minorHAnsi"/>
                <w:sz w:val="24"/>
                <w:szCs w:val="24"/>
                <w:highlight w:val="yellow"/>
              </w:rPr>
            </w:pPr>
            <w:r w:rsidRPr="00840215">
              <w:rPr>
                <w:rFonts w:cstheme="minorHAnsi"/>
                <w:sz w:val="24"/>
                <w:szCs w:val="24"/>
              </w:rPr>
              <w:t>Approval</w:t>
            </w:r>
            <w:r w:rsidR="00877F44">
              <w:rPr>
                <w:rFonts w:cstheme="minorHAnsi"/>
                <w:sz w:val="24"/>
                <w:szCs w:val="24"/>
              </w:rPr>
              <w:t xml:space="preserve"> with Conditions</w:t>
            </w:r>
          </w:p>
        </w:tc>
      </w:tr>
      <w:tr w:rsidR="001626F0" w:rsidRPr="00AA0F82" w14:paraId="2D494D03" w14:textId="77777777" w:rsidTr="13DFD0E7">
        <w:trPr>
          <w:trHeight w:val="350"/>
          <w:jc w:val="center"/>
        </w:trPr>
        <w:tc>
          <w:tcPr>
            <w:tcW w:w="3685" w:type="dxa"/>
            <w:shd w:val="clear" w:color="auto" w:fill="auto"/>
            <w:vAlign w:val="center"/>
          </w:tcPr>
          <w:p w14:paraId="39CFB2D6" w14:textId="5BB07504" w:rsidR="001626F0" w:rsidRPr="00796AED" w:rsidRDefault="009E7FFA" w:rsidP="008A4468">
            <w:pPr>
              <w:ind w:right="540"/>
              <w:contextualSpacing/>
              <w:rPr>
                <w:rFonts w:cstheme="minorHAnsi"/>
                <w:sz w:val="24"/>
                <w:szCs w:val="24"/>
              </w:rPr>
            </w:pPr>
            <w:r w:rsidRPr="00796AED">
              <w:rPr>
                <w:rFonts w:cstheme="minorHAnsi"/>
                <w:sz w:val="24"/>
                <w:szCs w:val="24"/>
              </w:rPr>
              <w:t>Public Health Council</w:t>
            </w:r>
          </w:p>
        </w:tc>
        <w:tc>
          <w:tcPr>
            <w:tcW w:w="5760" w:type="dxa"/>
            <w:shd w:val="clear" w:color="auto" w:fill="auto"/>
            <w:vAlign w:val="center"/>
          </w:tcPr>
          <w:p w14:paraId="700C91FB" w14:textId="2C5D6F72" w:rsidR="001626F0" w:rsidRPr="00AA0F82" w:rsidRDefault="009A0688" w:rsidP="008A4468">
            <w:pPr>
              <w:ind w:right="540"/>
              <w:contextualSpacing/>
              <w:rPr>
                <w:rFonts w:cstheme="minorHAnsi"/>
                <w:sz w:val="24"/>
                <w:szCs w:val="24"/>
                <w:highlight w:val="yellow"/>
              </w:rPr>
            </w:pPr>
            <w:r>
              <w:rPr>
                <w:rFonts w:cstheme="minorHAnsi"/>
                <w:sz w:val="24"/>
                <w:szCs w:val="24"/>
              </w:rPr>
              <w:t xml:space="preserve">March </w:t>
            </w:r>
            <w:r w:rsidR="0038484C" w:rsidRPr="0038484C">
              <w:rPr>
                <w:rFonts w:cstheme="minorHAnsi"/>
                <w:sz w:val="24"/>
                <w:szCs w:val="24"/>
              </w:rPr>
              <w:t>12, 2025</w:t>
            </w:r>
          </w:p>
        </w:tc>
      </w:tr>
      <w:tr w:rsidR="001626F0" w:rsidRPr="00AA0F82" w14:paraId="09748D86" w14:textId="77777777" w:rsidTr="13DFD0E7">
        <w:trPr>
          <w:trHeight w:val="2436"/>
          <w:jc w:val="center"/>
        </w:trPr>
        <w:tc>
          <w:tcPr>
            <w:tcW w:w="9445" w:type="dxa"/>
            <w:gridSpan w:val="2"/>
            <w:shd w:val="clear" w:color="auto" w:fill="auto"/>
            <w:vAlign w:val="center"/>
          </w:tcPr>
          <w:p w14:paraId="701C2542" w14:textId="77777777" w:rsidR="001626F0" w:rsidRPr="00AA0F82" w:rsidRDefault="001626F0" w:rsidP="008A4468">
            <w:pPr>
              <w:pStyle w:val="NoSpacing"/>
              <w:ind w:right="540"/>
              <w:contextualSpacing/>
              <w:jc w:val="center"/>
              <w:rPr>
                <w:rFonts w:cstheme="minorHAnsi"/>
                <w:sz w:val="24"/>
                <w:szCs w:val="24"/>
                <w:highlight w:val="yellow"/>
                <w:u w:val="single"/>
              </w:rPr>
            </w:pPr>
          </w:p>
          <w:p w14:paraId="02CE4586" w14:textId="77777777" w:rsidR="001626F0" w:rsidRPr="00DF20AC" w:rsidRDefault="001626F0" w:rsidP="008A4468">
            <w:pPr>
              <w:pStyle w:val="NoSpacing"/>
              <w:ind w:right="540"/>
              <w:contextualSpacing/>
              <w:jc w:val="center"/>
              <w:rPr>
                <w:rFonts w:cstheme="minorHAnsi"/>
                <w:sz w:val="24"/>
                <w:szCs w:val="24"/>
                <w:u w:val="single"/>
              </w:rPr>
            </w:pPr>
            <w:r w:rsidRPr="00DF20AC">
              <w:rPr>
                <w:rFonts w:cstheme="minorHAnsi"/>
                <w:sz w:val="24"/>
                <w:szCs w:val="24"/>
                <w:u w:val="single"/>
              </w:rPr>
              <w:t>Project Summary and Regulatory Review</w:t>
            </w:r>
          </w:p>
          <w:p w14:paraId="3E4DD290" w14:textId="77777777" w:rsidR="001626F0" w:rsidRPr="0044302B" w:rsidRDefault="001626F0" w:rsidP="0044302B">
            <w:pPr>
              <w:pStyle w:val="NoSpacing"/>
              <w:contextualSpacing/>
              <w:rPr>
                <w:rFonts w:cstheme="minorHAnsi"/>
                <w:bCs/>
                <w:sz w:val="24"/>
                <w:szCs w:val="24"/>
              </w:rPr>
            </w:pPr>
          </w:p>
          <w:p w14:paraId="4A93B096" w14:textId="6DBDDDC0" w:rsidR="001626F0" w:rsidRPr="0044302B" w:rsidRDefault="0030375C" w:rsidP="45C967FF">
            <w:pPr>
              <w:pStyle w:val="NoSpacing"/>
              <w:contextualSpacing/>
              <w:rPr>
                <w:sz w:val="24"/>
                <w:szCs w:val="24"/>
              </w:rPr>
            </w:pPr>
            <w:r w:rsidRPr="13DFD0E7">
              <w:rPr>
                <w:sz w:val="24"/>
                <w:szCs w:val="24"/>
              </w:rPr>
              <w:t>Beth Israel Lahey Health, Inc.</w:t>
            </w:r>
            <w:r w:rsidR="001626F0" w:rsidRPr="13DFD0E7">
              <w:rPr>
                <w:sz w:val="24"/>
                <w:szCs w:val="24"/>
              </w:rPr>
              <w:t xml:space="preserve"> </w:t>
            </w:r>
            <w:r w:rsidR="00855AE7" w:rsidRPr="13DFD0E7">
              <w:rPr>
                <w:sz w:val="24"/>
                <w:szCs w:val="24"/>
              </w:rPr>
              <w:t>is filing a Notice of Determination of Need with the Department of Public Health</w:t>
            </w:r>
            <w:r w:rsidR="00F95578" w:rsidRPr="13DFD0E7">
              <w:rPr>
                <w:sz w:val="24"/>
                <w:szCs w:val="24"/>
              </w:rPr>
              <w:t xml:space="preserve">, </w:t>
            </w:r>
            <w:r w:rsidR="008D4196" w:rsidRPr="13DFD0E7">
              <w:rPr>
                <w:sz w:val="24"/>
                <w:szCs w:val="24"/>
              </w:rPr>
              <w:t>on behalf of Beth Israel Deaconess Medical Center</w:t>
            </w:r>
            <w:r w:rsidR="00F95578" w:rsidRPr="13DFD0E7">
              <w:rPr>
                <w:sz w:val="24"/>
                <w:szCs w:val="24"/>
              </w:rPr>
              <w:t>,</w:t>
            </w:r>
            <w:r w:rsidR="008D4196" w:rsidRPr="13DFD0E7">
              <w:rPr>
                <w:sz w:val="24"/>
                <w:szCs w:val="24"/>
              </w:rPr>
              <w:t xml:space="preserve"> to (</w:t>
            </w:r>
            <w:r w:rsidR="0038484C" w:rsidRPr="13DFD0E7">
              <w:rPr>
                <w:sz w:val="24"/>
                <w:szCs w:val="24"/>
              </w:rPr>
              <w:t>1</w:t>
            </w:r>
            <w:r w:rsidR="008D4196" w:rsidRPr="13DFD0E7">
              <w:rPr>
                <w:sz w:val="24"/>
                <w:szCs w:val="24"/>
              </w:rPr>
              <w:t xml:space="preserve">) </w:t>
            </w:r>
            <w:r w:rsidR="3C7B09D5" w:rsidRPr="13DFD0E7">
              <w:rPr>
                <w:sz w:val="24"/>
                <w:szCs w:val="24"/>
              </w:rPr>
              <w:t>relocate and expand</w:t>
            </w:r>
            <w:r w:rsidR="008D4196" w:rsidRPr="13DFD0E7">
              <w:rPr>
                <w:sz w:val="24"/>
                <w:szCs w:val="24"/>
              </w:rPr>
              <w:t xml:space="preserve"> a satellite </w:t>
            </w:r>
            <w:r w:rsidR="009C24A8" w:rsidRPr="13DFD0E7">
              <w:rPr>
                <w:sz w:val="24"/>
                <w:szCs w:val="24"/>
              </w:rPr>
              <w:t xml:space="preserve">site </w:t>
            </w:r>
            <w:r w:rsidR="008D4196" w:rsidRPr="13DFD0E7">
              <w:rPr>
                <w:sz w:val="24"/>
                <w:szCs w:val="24"/>
              </w:rPr>
              <w:t xml:space="preserve">for the provision of hematology-oncology and infusion services </w:t>
            </w:r>
            <w:r w:rsidR="00FC01F7" w:rsidRPr="13DFD0E7">
              <w:rPr>
                <w:sz w:val="24"/>
                <w:szCs w:val="24"/>
              </w:rPr>
              <w:t>to be</w:t>
            </w:r>
            <w:r w:rsidR="0077328B" w:rsidRPr="13DFD0E7">
              <w:rPr>
                <w:sz w:val="24"/>
                <w:szCs w:val="24"/>
              </w:rPr>
              <w:t xml:space="preserve"> located at 10 Cordage Park Circle in Plymouth, Massachusetts</w:t>
            </w:r>
            <w:r w:rsidR="008D4196" w:rsidRPr="13DFD0E7">
              <w:rPr>
                <w:sz w:val="24"/>
                <w:szCs w:val="24"/>
              </w:rPr>
              <w:t>, (</w:t>
            </w:r>
            <w:r w:rsidR="0038484C" w:rsidRPr="13DFD0E7">
              <w:rPr>
                <w:sz w:val="24"/>
                <w:szCs w:val="24"/>
              </w:rPr>
              <w:t>2</w:t>
            </w:r>
            <w:r w:rsidR="008D4196" w:rsidRPr="13DFD0E7">
              <w:rPr>
                <w:sz w:val="24"/>
                <w:szCs w:val="24"/>
              </w:rPr>
              <w:t xml:space="preserve">) </w:t>
            </w:r>
            <w:r w:rsidR="0023546D" w:rsidRPr="13DFD0E7">
              <w:rPr>
                <w:sz w:val="24"/>
                <w:szCs w:val="24"/>
              </w:rPr>
              <w:t>establish</w:t>
            </w:r>
            <w:r w:rsidR="00F95578" w:rsidRPr="13DFD0E7">
              <w:rPr>
                <w:sz w:val="24"/>
                <w:szCs w:val="24"/>
              </w:rPr>
              <w:t xml:space="preserve"> a </w:t>
            </w:r>
            <w:r w:rsidR="008D4196" w:rsidRPr="13DFD0E7">
              <w:rPr>
                <w:sz w:val="24"/>
                <w:szCs w:val="24"/>
              </w:rPr>
              <w:t>multispecialty satellite</w:t>
            </w:r>
            <w:r w:rsidR="00673142" w:rsidRPr="13DFD0E7">
              <w:rPr>
                <w:sz w:val="24"/>
                <w:szCs w:val="24"/>
              </w:rPr>
              <w:t xml:space="preserve"> </w:t>
            </w:r>
            <w:r w:rsidR="009C24A8" w:rsidRPr="13DFD0E7">
              <w:rPr>
                <w:sz w:val="24"/>
                <w:szCs w:val="24"/>
              </w:rPr>
              <w:t>site</w:t>
            </w:r>
            <w:r w:rsidR="008D4196" w:rsidRPr="13DFD0E7">
              <w:rPr>
                <w:sz w:val="24"/>
                <w:szCs w:val="24"/>
              </w:rPr>
              <w:t xml:space="preserve"> </w:t>
            </w:r>
            <w:r w:rsidR="00FC01F7" w:rsidRPr="13DFD0E7">
              <w:rPr>
                <w:sz w:val="24"/>
                <w:szCs w:val="24"/>
              </w:rPr>
              <w:t xml:space="preserve">to be located at </w:t>
            </w:r>
            <w:r w:rsidR="00673142" w:rsidRPr="13DFD0E7">
              <w:rPr>
                <w:sz w:val="24"/>
                <w:szCs w:val="24"/>
              </w:rPr>
              <w:t>55 General McConville Way, Quincy</w:t>
            </w:r>
            <w:r w:rsidR="00236C4B" w:rsidRPr="13DFD0E7">
              <w:rPr>
                <w:sz w:val="24"/>
                <w:szCs w:val="24"/>
              </w:rPr>
              <w:t>, and (</w:t>
            </w:r>
            <w:r w:rsidR="0038484C" w:rsidRPr="13DFD0E7">
              <w:rPr>
                <w:sz w:val="24"/>
                <w:szCs w:val="24"/>
              </w:rPr>
              <w:t>3</w:t>
            </w:r>
            <w:r w:rsidR="00236C4B" w:rsidRPr="13DFD0E7">
              <w:rPr>
                <w:sz w:val="24"/>
                <w:szCs w:val="24"/>
              </w:rPr>
              <w:t>)</w:t>
            </w:r>
            <w:r w:rsidR="008D4196" w:rsidRPr="13DFD0E7">
              <w:rPr>
                <w:sz w:val="24"/>
                <w:szCs w:val="24"/>
              </w:rPr>
              <w:t xml:space="preserve"> </w:t>
            </w:r>
            <w:r w:rsidR="00236C4B" w:rsidRPr="13DFD0E7">
              <w:rPr>
                <w:sz w:val="24"/>
                <w:szCs w:val="24"/>
              </w:rPr>
              <w:t>to</w:t>
            </w:r>
            <w:r w:rsidR="008D4196" w:rsidRPr="13DFD0E7">
              <w:rPr>
                <w:sz w:val="24"/>
                <w:szCs w:val="24"/>
              </w:rPr>
              <w:t xml:space="preserve"> add imaging equipment at the Quincy Satellite that constitutes D</w:t>
            </w:r>
            <w:r w:rsidR="00327D48" w:rsidRPr="13DFD0E7">
              <w:rPr>
                <w:sz w:val="24"/>
                <w:szCs w:val="24"/>
              </w:rPr>
              <w:t>o</w:t>
            </w:r>
            <w:r w:rsidR="008D4196" w:rsidRPr="13DFD0E7">
              <w:rPr>
                <w:sz w:val="24"/>
                <w:szCs w:val="24"/>
              </w:rPr>
              <w:t>N</w:t>
            </w:r>
            <w:r w:rsidR="00327D48" w:rsidRPr="13DFD0E7">
              <w:rPr>
                <w:sz w:val="24"/>
                <w:szCs w:val="24"/>
              </w:rPr>
              <w:t xml:space="preserve"> </w:t>
            </w:r>
            <w:r w:rsidR="008D4196" w:rsidRPr="13DFD0E7">
              <w:rPr>
                <w:sz w:val="24"/>
                <w:szCs w:val="24"/>
              </w:rPr>
              <w:t xml:space="preserve">required equipment. </w:t>
            </w:r>
            <w:r w:rsidR="001626F0" w:rsidRPr="13DFD0E7">
              <w:rPr>
                <w:sz w:val="24"/>
                <w:szCs w:val="24"/>
              </w:rPr>
              <w:t>The capital expenditure for the Proposed Project is</w:t>
            </w:r>
            <w:r w:rsidR="007F0E64" w:rsidRPr="13DFD0E7">
              <w:rPr>
                <w:sz w:val="24"/>
                <w:szCs w:val="24"/>
              </w:rPr>
              <w:t xml:space="preserve"> </w:t>
            </w:r>
            <w:r w:rsidR="005450A5" w:rsidRPr="13DFD0E7">
              <w:rPr>
                <w:sz w:val="24"/>
                <w:szCs w:val="24"/>
              </w:rPr>
              <w:t>$117,006,070.00</w:t>
            </w:r>
            <w:r w:rsidR="001626F0" w:rsidRPr="13DFD0E7">
              <w:rPr>
                <w:sz w:val="24"/>
                <w:szCs w:val="24"/>
              </w:rPr>
              <w:t>; the Community Health Initiatives (CHI) contribution is</w:t>
            </w:r>
            <w:r w:rsidR="00EF554F" w:rsidRPr="13DFD0E7">
              <w:rPr>
                <w:sz w:val="24"/>
                <w:szCs w:val="24"/>
              </w:rPr>
              <w:t xml:space="preserve"> </w:t>
            </w:r>
            <w:r w:rsidR="00E812C6" w:rsidRPr="13DFD0E7">
              <w:rPr>
                <w:sz w:val="24"/>
                <w:szCs w:val="24"/>
              </w:rPr>
              <w:t>$</w:t>
            </w:r>
            <w:r w:rsidR="0044302B" w:rsidRPr="13DFD0E7">
              <w:rPr>
                <w:sz w:val="24"/>
                <w:szCs w:val="24"/>
              </w:rPr>
              <w:t>5,850,303.50</w:t>
            </w:r>
            <w:r w:rsidR="008B1871" w:rsidRPr="13DFD0E7">
              <w:rPr>
                <w:sz w:val="24"/>
                <w:szCs w:val="24"/>
              </w:rPr>
              <w:t>.</w:t>
            </w:r>
          </w:p>
          <w:p w14:paraId="1EEA45E8" w14:textId="77777777" w:rsidR="001626F0" w:rsidRPr="0044302B" w:rsidRDefault="001626F0" w:rsidP="008A4468">
            <w:pPr>
              <w:pStyle w:val="NoSpacing"/>
              <w:contextualSpacing/>
              <w:rPr>
                <w:rFonts w:cstheme="minorHAnsi"/>
                <w:bCs/>
                <w:sz w:val="24"/>
                <w:szCs w:val="24"/>
              </w:rPr>
            </w:pPr>
          </w:p>
          <w:p w14:paraId="1C889FD6" w14:textId="693F5F09" w:rsidR="001626F0" w:rsidRPr="0044302B" w:rsidRDefault="001626F0" w:rsidP="45C967FF">
            <w:pPr>
              <w:pStyle w:val="NoSpacing"/>
              <w:contextualSpacing/>
              <w:rPr>
                <w:sz w:val="24"/>
                <w:szCs w:val="24"/>
              </w:rPr>
            </w:pPr>
            <w:r w:rsidRPr="45C967FF">
              <w:rPr>
                <w:sz w:val="24"/>
                <w:szCs w:val="24"/>
              </w:rPr>
              <w:t>This DoN application falls within the definition</w:t>
            </w:r>
            <w:r w:rsidR="003C576C" w:rsidRPr="45C967FF">
              <w:rPr>
                <w:sz w:val="24"/>
                <w:szCs w:val="24"/>
              </w:rPr>
              <w:t>s</w:t>
            </w:r>
            <w:r w:rsidRPr="45C967FF">
              <w:rPr>
                <w:sz w:val="24"/>
                <w:szCs w:val="24"/>
              </w:rPr>
              <w:t xml:space="preserve"> of Substantial</w:t>
            </w:r>
            <w:r w:rsidR="007F0E64" w:rsidRPr="45C967FF">
              <w:rPr>
                <w:sz w:val="24"/>
                <w:szCs w:val="24"/>
              </w:rPr>
              <w:t xml:space="preserve"> Capital Expenditure</w:t>
            </w:r>
            <w:r w:rsidR="003C576C" w:rsidRPr="45C967FF">
              <w:rPr>
                <w:sz w:val="24"/>
                <w:szCs w:val="24"/>
              </w:rPr>
              <w:t xml:space="preserve"> and Substantial Change </w:t>
            </w:r>
            <w:r w:rsidR="097907E3" w:rsidRPr="45C967FF">
              <w:rPr>
                <w:sz w:val="24"/>
                <w:szCs w:val="24"/>
              </w:rPr>
              <w:t>i</w:t>
            </w:r>
            <w:r w:rsidR="003C576C" w:rsidRPr="45C967FF">
              <w:rPr>
                <w:sz w:val="24"/>
                <w:szCs w:val="24"/>
              </w:rPr>
              <w:t>n Service</w:t>
            </w:r>
            <w:r w:rsidRPr="45C967FF">
              <w:rPr>
                <w:sz w:val="24"/>
                <w:szCs w:val="24"/>
              </w:rPr>
              <w:t>, which</w:t>
            </w:r>
            <w:r w:rsidR="007F0E64" w:rsidRPr="45C967FF">
              <w:rPr>
                <w:sz w:val="24"/>
                <w:szCs w:val="24"/>
              </w:rPr>
              <w:t xml:space="preserve"> is</w:t>
            </w:r>
            <w:r w:rsidRPr="45C967FF">
              <w:rPr>
                <w:sz w:val="24"/>
                <w:szCs w:val="24"/>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A20DF6" w:rsidRPr="45C967FF">
              <w:rPr>
                <w:sz w:val="24"/>
                <w:szCs w:val="24"/>
              </w:rPr>
              <w:t xml:space="preserve"> </w:t>
            </w:r>
          </w:p>
          <w:p w14:paraId="4068A451" w14:textId="77777777" w:rsidR="001626F0" w:rsidRPr="00AA0F82" w:rsidRDefault="001626F0" w:rsidP="008A4468">
            <w:pPr>
              <w:pStyle w:val="NoSpacing"/>
              <w:contextualSpacing/>
              <w:rPr>
                <w:rFonts w:cstheme="minorHAnsi"/>
                <w:sz w:val="24"/>
                <w:szCs w:val="24"/>
                <w:highlight w:val="yellow"/>
              </w:rPr>
            </w:pPr>
          </w:p>
        </w:tc>
      </w:tr>
    </w:tbl>
    <w:p w14:paraId="7D2F9134" w14:textId="59B274CC" w:rsidR="001626F0" w:rsidRPr="00AA0F82" w:rsidRDefault="001626F0" w:rsidP="00C62459">
      <w:pPr>
        <w:spacing w:after="0" w:line="240" w:lineRule="auto"/>
        <w:rPr>
          <w:b/>
          <w:bCs/>
          <w:sz w:val="24"/>
          <w:szCs w:val="24"/>
          <w:highlight w:val="yellow"/>
        </w:rPr>
        <w:sectPr w:rsidR="001626F0" w:rsidRPr="00AA0F82">
          <w:footerReference w:type="default" r:id="rId11"/>
          <w:pgSz w:w="12240" w:h="15840"/>
          <w:pgMar w:top="1440" w:right="1440" w:bottom="1440" w:left="1440" w:header="720" w:footer="720" w:gutter="0"/>
          <w:cols w:space="720"/>
          <w:docGrid w:linePitch="360"/>
        </w:sectPr>
      </w:pPr>
    </w:p>
    <w:sdt>
      <w:sdtPr>
        <w:rPr>
          <w:rFonts w:eastAsiaTheme="minorEastAsia" w:cstheme="minorBidi"/>
          <w:b w:val="0"/>
          <w:color w:val="auto"/>
          <w:sz w:val="22"/>
          <w:szCs w:val="22"/>
          <w:highlight w:val="yellow"/>
          <w:shd w:val="clear" w:color="auto" w:fill="E6E6E6"/>
        </w:rPr>
        <w:id w:val="1753002011"/>
        <w:docPartObj>
          <w:docPartGallery w:val="Table of Contents"/>
          <w:docPartUnique/>
        </w:docPartObj>
      </w:sdtPr>
      <w:sdtEndPr>
        <w:rPr>
          <w:noProof/>
          <w:sz w:val="24"/>
          <w:szCs w:val="24"/>
        </w:rPr>
      </w:sdtEndPr>
      <w:sdtContent>
        <w:p w14:paraId="022950C1" w14:textId="45A3B408" w:rsidR="0098316A" w:rsidRPr="009A73B4" w:rsidRDefault="0098316A">
          <w:pPr>
            <w:pStyle w:val="TOCHeading"/>
          </w:pPr>
          <w:r w:rsidRPr="009A73B4">
            <w:t>Contents</w:t>
          </w:r>
        </w:p>
        <w:p w14:paraId="2D44DFAA" w14:textId="719C940B" w:rsidR="00C3142C" w:rsidRDefault="0098316A">
          <w:pPr>
            <w:pStyle w:val="TOC1"/>
            <w:tabs>
              <w:tab w:val="right" w:leader="dot" w:pos="9710"/>
            </w:tabs>
            <w:rPr>
              <w:rFonts w:eastAsiaTheme="minorEastAsia"/>
              <w:noProof/>
              <w:kern w:val="2"/>
              <w:sz w:val="24"/>
              <w:szCs w:val="24"/>
              <w14:ligatures w14:val="standardContextual"/>
            </w:rPr>
          </w:pPr>
          <w:r w:rsidRPr="00AA0F82">
            <w:rPr>
              <w:color w:val="2B579A"/>
              <w:sz w:val="24"/>
              <w:szCs w:val="24"/>
              <w:highlight w:val="yellow"/>
              <w:shd w:val="clear" w:color="auto" w:fill="E6E6E6"/>
            </w:rPr>
            <w:fldChar w:fldCharType="begin"/>
          </w:r>
          <w:r w:rsidRPr="00AA0F82">
            <w:rPr>
              <w:sz w:val="24"/>
              <w:szCs w:val="24"/>
              <w:highlight w:val="yellow"/>
            </w:rPr>
            <w:instrText xml:space="preserve"> TOC \o "1-3" \h \z \u </w:instrText>
          </w:r>
          <w:r w:rsidRPr="00AA0F82">
            <w:rPr>
              <w:color w:val="2B579A"/>
              <w:sz w:val="24"/>
              <w:szCs w:val="24"/>
              <w:highlight w:val="yellow"/>
              <w:shd w:val="clear" w:color="auto" w:fill="E6E6E6"/>
            </w:rPr>
            <w:fldChar w:fldCharType="separate"/>
          </w:r>
          <w:hyperlink w:anchor="_Toc196819103" w:history="1">
            <w:r w:rsidR="00C3142C" w:rsidRPr="00367B7B">
              <w:rPr>
                <w:rStyle w:val="Hyperlink"/>
                <w:rFonts w:cstheme="minorHAnsi"/>
                <w:noProof/>
              </w:rPr>
              <w:t>Applicant Background and Application Overview</w:t>
            </w:r>
            <w:r w:rsidR="00C3142C">
              <w:rPr>
                <w:noProof/>
                <w:webHidden/>
              </w:rPr>
              <w:tab/>
            </w:r>
            <w:r w:rsidR="00C3142C">
              <w:rPr>
                <w:noProof/>
                <w:webHidden/>
              </w:rPr>
              <w:fldChar w:fldCharType="begin"/>
            </w:r>
            <w:r w:rsidR="00C3142C">
              <w:rPr>
                <w:noProof/>
                <w:webHidden/>
              </w:rPr>
              <w:instrText xml:space="preserve"> PAGEREF _Toc196819103 \h </w:instrText>
            </w:r>
            <w:r w:rsidR="00C3142C">
              <w:rPr>
                <w:noProof/>
                <w:webHidden/>
              </w:rPr>
            </w:r>
            <w:r w:rsidR="00C3142C">
              <w:rPr>
                <w:noProof/>
                <w:webHidden/>
              </w:rPr>
              <w:fldChar w:fldCharType="separate"/>
            </w:r>
            <w:r w:rsidR="00C3142C">
              <w:rPr>
                <w:noProof/>
                <w:webHidden/>
              </w:rPr>
              <w:t>3</w:t>
            </w:r>
            <w:r w:rsidR="00C3142C">
              <w:rPr>
                <w:noProof/>
                <w:webHidden/>
              </w:rPr>
              <w:fldChar w:fldCharType="end"/>
            </w:r>
          </w:hyperlink>
        </w:p>
        <w:p w14:paraId="46454D9B" w14:textId="745BEEE5" w:rsidR="00C3142C" w:rsidRDefault="00C3142C">
          <w:pPr>
            <w:pStyle w:val="TOC1"/>
            <w:tabs>
              <w:tab w:val="right" w:leader="dot" w:pos="9710"/>
            </w:tabs>
            <w:rPr>
              <w:rFonts w:eastAsiaTheme="minorEastAsia"/>
              <w:noProof/>
              <w:kern w:val="2"/>
              <w:sz w:val="24"/>
              <w:szCs w:val="24"/>
              <w14:ligatures w14:val="standardContextual"/>
            </w:rPr>
          </w:pPr>
          <w:hyperlink w:anchor="_Toc196819104" w:history="1">
            <w:r w:rsidRPr="00367B7B">
              <w:rPr>
                <w:rStyle w:val="Hyperlink"/>
                <w:rFonts w:cstheme="minorHAnsi"/>
                <w:noProof/>
              </w:rPr>
              <w:t>Factor 1</w:t>
            </w:r>
            <w:r>
              <w:rPr>
                <w:noProof/>
                <w:webHidden/>
              </w:rPr>
              <w:tab/>
            </w:r>
            <w:r>
              <w:rPr>
                <w:noProof/>
                <w:webHidden/>
              </w:rPr>
              <w:fldChar w:fldCharType="begin"/>
            </w:r>
            <w:r>
              <w:rPr>
                <w:noProof/>
                <w:webHidden/>
              </w:rPr>
              <w:instrText xml:space="preserve"> PAGEREF _Toc196819104 \h </w:instrText>
            </w:r>
            <w:r>
              <w:rPr>
                <w:noProof/>
                <w:webHidden/>
              </w:rPr>
            </w:r>
            <w:r>
              <w:rPr>
                <w:noProof/>
                <w:webHidden/>
              </w:rPr>
              <w:fldChar w:fldCharType="separate"/>
            </w:r>
            <w:r>
              <w:rPr>
                <w:noProof/>
                <w:webHidden/>
              </w:rPr>
              <w:t>4</w:t>
            </w:r>
            <w:r>
              <w:rPr>
                <w:noProof/>
                <w:webHidden/>
              </w:rPr>
              <w:fldChar w:fldCharType="end"/>
            </w:r>
          </w:hyperlink>
        </w:p>
        <w:p w14:paraId="6BBF0CC5" w14:textId="7A9F2CA2" w:rsidR="00C3142C" w:rsidRDefault="00C3142C">
          <w:pPr>
            <w:pStyle w:val="TOC1"/>
            <w:tabs>
              <w:tab w:val="right" w:leader="dot" w:pos="9710"/>
            </w:tabs>
            <w:rPr>
              <w:rFonts w:eastAsiaTheme="minorEastAsia"/>
              <w:noProof/>
              <w:kern w:val="2"/>
              <w:sz w:val="24"/>
              <w:szCs w:val="24"/>
              <w14:ligatures w14:val="standardContextual"/>
            </w:rPr>
          </w:pPr>
          <w:hyperlink w:anchor="_Toc196819105" w:history="1">
            <w:r w:rsidRPr="00367B7B">
              <w:rPr>
                <w:rStyle w:val="Hyperlink"/>
                <w:noProof/>
              </w:rPr>
              <w:t>Patient Panel</w:t>
            </w:r>
            <w:r>
              <w:rPr>
                <w:noProof/>
                <w:webHidden/>
              </w:rPr>
              <w:tab/>
            </w:r>
            <w:r>
              <w:rPr>
                <w:noProof/>
                <w:webHidden/>
              </w:rPr>
              <w:fldChar w:fldCharType="begin"/>
            </w:r>
            <w:r>
              <w:rPr>
                <w:noProof/>
                <w:webHidden/>
              </w:rPr>
              <w:instrText xml:space="preserve"> PAGEREF _Toc196819105 \h </w:instrText>
            </w:r>
            <w:r>
              <w:rPr>
                <w:noProof/>
                <w:webHidden/>
              </w:rPr>
            </w:r>
            <w:r>
              <w:rPr>
                <w:noProof/>
                <w:webHidden/>
              </w:rPr>
              <w:fldChar w:fldCharType="separate"/>
            </w:r>
            <w:r>
              <w:rPr>
                <w:noProof/>
                <w:webHidden/>
              </w:rPr>
              <w:t>4</w:t>
            </w:r>
            <w:r>
              <w:rPr>
                <w:noProof/>
                <w:webHidden/>
              </w:rPr>
              <w:fldChar w:fldCharType="end"/>
            </w:r>
          </w:hyperlink>
        </w:p>
        <w:p w14:paraId="1B59DD20" w14:textId="19CD76AE" w:rsidR="00C3142C" w:rsidRDefault="00C3142C">
          <w:pPr>
            <w:pStyle w:val="TOC1"/>
            <w:tabs>
              <w:tab w:val="right" w:leader="dot" w:pos="9710"/>
            </w:tabs>
            <w:rPr>
              <w:rFonts w:eastAsiaTheme="minorEastAsia"/>
              <w:noProof/>
              <w:kern w:val="2"/>
              <w:sz w:val="24"/>
              <w:szCs w:val="24"/>
              <w14:ligatures w14:val="standardContextual"/>
            </w:rPr>
          </w:pPr>
          <w:hyperlink w:anchor="_Toc196819106" w:history="1">
            <w:r w:rsidRPr="00367B7B">
              <w:rPr>
                <w:rStyle w:val="Hyperlink"/>
                <w:noProof/>
              </w:rPr>
              <w:t>Factor 1: a) Patient Panel Need</w:t>
            </w:r>
            <w:r>
              <w:rPr>
                <w:noProof/>
                <w:webHidden/>
              </w:rPr>
              <w:tab/>
            </w:r>
            <w:r>
              <w:rPr>
                <w:noProof/>
                <w:webHidden/>
              </w:rPr>
              <w:fldChar w:fldCharType="begin"/>
            </w:r>
            <w:r>
              <w:rPr>
                <w:noProof/>
                <w:webHidden/>
              </w:rPr>
              <w:instrText xml:space="preserve"> PAGEREF _Toc196819106 \h </w:instrText>
            </w:r>
            <w:r>
              <w:rPr>
                <w:noProof/>
                <w:webHidden/>
              </w:rPr>
            </w:r>
            <w:r>
              <w:rPr>
                <w:noProof/>
                <w:webHidden/>
              </w:rPr>
              <w:fldChar w:fldCharType="separate"/>
            </w:r>
            <w:r>
              <w:rPr>
                <w:noProof/>
                <w:webHidden/>
              </w:rPr>
              <w:t>7</w:t>
            </w:r>
            <w:r>
              <w:rPr>
                <w:noProof/>
                <w:webHidden/>
              </w:rPr>
              <w:fldChar w:fldCharType="end"/>
            </w:r>
          </w:hyperlink>
        </w:p>
        <w:p w14:paraId="6184DC54" w14:textId="6D3D33BA" w:rsidR="00C3142C" w:rsidRDefault="00C3142C">
          <w:pPr>
            <w:pStyle w:val="TOC1"/>
            <w:tabs>
              <w:tab w:val="right" w:leader="dot" w:pos="9710"/>
            </w:tabs>
            <w:rPr>
              <w:rFonts w:eastAsiaTheme="minorEastAsia"/>
              <w:noProof/>
              <w:kern w:val="2"/>
              <w:sz w:val="24"/>
              <w:szCs w:val="24"/>
              <w14:ligatures w14:val="standardContextual"/>
            </w:rPr>
          </w:pPr>
          <w:hyperlink w:anchor="_Toc196819107" w:history="1">
            <w:r w:rsidRPr="00367B7B">
              <w:rPr>
                <w:rStyle w:val="Hyperlink"/>
                <w:noProof/>
              </w:rPr>
              <w:t>Factor 1: b) Public Health Value through Improved Health Outcomes and Quality Of Life; Assurances Of Health Equity</w:t>
            </w:r>
            <w:r>
              <w:rPr>
                <w:noProof/>
                <w:webHidden/>
              </w:rPr>
              <w:tab/>
            </w:r>
            <w:r>
              <w:rPr>
                <w:noProof/>
                <w:webHidden/>
              </w:rPr>
              <w:fldChar w:fldCharType="begin"/>
            </w:r>
            <w:r>
              <w:rPr>
                <w:noProof/>
                <w:webHidden/>
              </w:rPr>
              <w:instrText xml:space="preserve"> PAGEREF _Toc196819107 \h </w:instrText>
            </w:r>
            <w:r>
              <w:rPr>
                <w:noProof/>
                <w:webHidden/>
              </w:rPr>
            </w:r>
            <w:r>
              <w:rPr>
                <w:noProof/>
                <w:webHidden/>
              </w:rPr>
              <w:fldChar w:fldCharType="separate"/>
            </w:r>
            <w:r>
              <w:rPr>
                <w:noProof/>
                <w:webHidden/>
              </w:rPr>
              <w:t>12</w:t>
            </w:r>
            <w:r>
              <w:rPr>
                <w:noProof/>
                <w:webHidden/>
              </w:rPr>
              <w:fldChar w:fldCharType="end"/>
            </w:r>
          </w:hyperlink>
        </w:p>
        <w:p w14:paraId="41057C33" w14:textId="2C9EC24C" w:rsidR="00C3142C" w:rsidRDefault="00C3142C">
          <w:pPr>
            <w:pStyle w:val="TOC1"/>
            <w:tabs>
              <w:tab w:val="right" w:leader="dot" w:pos="9710"/>
            </w:tabs>
            <w:rPr>
              <w:rFonts w:eastAsiaTheme="minorEastAsia"/>
              <w:noProof/>
              <w:kern w:val="2"/>
              <w:sz w:val="24"/>
              <w:szCs w:val="24"/>
              <w14:ligatures w14:val="standardContextual"/>
            </w:rPr>
          </w:pPr>
          <w:hyperlink w:anchor="_Toc196819108" w:history="1">
            <w:r w:rsidRPr="00367B7B">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_Toc196819108 \h </w:instrText>
            </w:r>
            <w:r>
              <w:rPr>
                <w:noProof/>
                <w:webHidden/>
              </w:rPr>
            </w:r>
            <w:r>
              <w:rPr>
                <w:noProof/>
                <w:webHidden/>
              </w:rPr>
              <w:fldChar w:fldCharType="separate"/>
            </w:r>
            <w:r>
              <w:rPr>
                <w:noProof/>
                <w:webHidden/>
              </w:rPr>
              <w:t>14</w:t>
            </w:r>
            <w:r>
              <w:rPr>
                <w:noProof/>
                <w:webHidden/>
              </w:rPr>
              <w:fldChar w:fldCharType="end"/>
            </w:r>
          </w:hyperlink>
        </w:p>
        <w:p w14:paraId="0A7A89C5" w14:textId="1D9EEF4F" w:rsidR="00C3142C" w:rsidRDefault="00C3142C">
          <w:pPr>
            <w:pStyle w:val="TOC1"/>
            <w:tabs>
              <w:tab w:val="right" w:leader="dot" w:pos="9710"/>
            </w:tabs>
            <w:rPr>
              <w:rFonts w:eastAsiaTheme="minorEastAsia"/>
              <w:noProof/>
              <w:kern w:val="2"/>
              <w:sz w:val="24"/>
              <w:szCs w:val="24"/>
              <w14:ligatures w14:val="standardContextual"/>
            </w:rPr>
          </w:pPr>
          <w:hyperlink w:anchor="_Toc196819109" w:history="1">
            <w:r w:rsidRPr="00367B7B">
              <w:rPr>
                <w:rStyle w:val="Hyperlink"/>
                <w:noProof/>
              </w:rPr>
              <w:t>Factor 1: d) Consultation</w:t>
            </w:r>
            <w:r>
              <w:rPr>
                <w:noProof/>
                <w:webHidden/>
              </w:rPr>
              <w:tab/>
            </w:r>
            <w:r>
              <w:rPr>
                <w:noProof/>
                <w:webHidden/>
              </w:rPr>
              <w:fldChar w:fldCharType="begin"/>
            </w:r>
            <w:r>
              <w:rPr>
                <w:noProof/>
                <w:webHidden/>
              </w:rPr>
              <w:instrText xml:space="preserve"> PAGEREF _Toc196819109 \h </w:instrText>
            </w:r>
            <w:r>
              <w:rPr>
                <w:noProof/>
                <w:webHidden/>
              </w:rPr>
            </w:r>
            <w:r>
              <w:rPr>
                <w:noProof/>
                <w:webHidden/>
              </w:rPr>
              <w:fldChar w:fldCharType="separate"/>
            </w:r>
            <w:r>
              <w:rPr>
                <w:noProof/>
                <w:webHidden/>
              </w:rPr>
              <w:t>15</w:t>
            </w:r>
            <w:r>
              <w:rPr>
                <w:noProof/>
                <w:webHidden/>
              </w:rPr>
              <w:fldChar w:fldCharType="end"/>
            </w:r>
          </w:hyperlink>
        </w:p>
        <w:p w14:paraId="1A040ADC" w14:textId="05186C41" w:rsidR="00C3142C" w:rsidRDefault="00C3142C">
          <w:pPr>
            <w:pStyle w:val="TOC1"/>
            <w:tabs>
              <w:tab w:val="right" w:leader="dot" w:pos="9710"/>
            </w:tabs>
            <w:rPr>
              <w:rFonts w:eastAsiaTheme="minorEastAsia"/>
              <w:noProof/>
              <w:kern w:val="2"/>
              <w:sz w:val="24"/>
              <w:szCs w:val="24"/>
              <w14:ligatures w14:val="standardContextual"/>
            </w:rPr>
          </w:pPr>
          <w:hyperlink w:anchor="_Toc196819110" w:history="1">
            <w:r w:rsidRPr="00367B7B">
              <w:rPr>
                <w:rStyle w:val="Hyperlink"/>
                <w:noProof/>
              </w:rPr>
              <w:t>Factor 1: e) Evidence of Sound Community Engagement</w:t>
            </w:r>
            <w:r>
              <w:rPr>
                <w:noProof/>
                <w:webHidden/>
              </w:rPr>
              <w:tab/>
            </w:r>
            <w:r>
              <w:rPr>
                <w:noProof/>
                <w:webHidden/>
              </w:rPr>
              <w:fldChar w:fldCharType="begin"/>
            </w:r>
            <w:r>
              <w:rPr>
                <w:noProof/>
                <w:webHidden/>
              </w:rPr>
              <w:instrText xml:space="preserve"> PAGEREF _Toc196819110 \h </w:instrText>
            </w:r>
            <w:r>
              <w:rPr>
                <w:noProof/>
                <w:webHidden/>
              </w:rPr>
            </w:r>
            <w:r>
              <w:rPr>
                <w:noProof/>
                <w:webHidden/>
              </w:rPr>
              <w:fldChar w:fldCharType="separate"/>
            </w:r>
            <w:r>
              <w:rPr>
                <w:noProof/>
                <w:webHidden/>
              </w:rPr>
              <w:t>16</w:t>
            </w:r>
            <w:r>
              <w:rPr>
                <w:noProof/>
                <w:webHidden/>
              </w:rPr>
              <w:fldChar w:fldCharType="end"/>
            </w:r>
          </w:hyperlink>
        </w:p>
        <w:p w14:paraId="2821478E" w14:textId="6291A358" w:rsidR="00C3142C" w:rsidRDefault="00C3142C">
          <w:pPr>
            <w:pStyle w:val="TOC1"/>
            <w:tabs>
              <w:tab w:val="right" w:leader="dot" w:pos="9710"/>
            </w:tabs>
            <w:rPr>
              <w:rFonts w:eastAsiaTheme="minorEastAsia"/>
              <w:noProof/>
              <w:kern w:val="2"/>
              <w:sz w:val="24"/>
              <w:szCs w:val="24"/>
              <w14:ligatures w14:val="standardContextual"/>
            </w:rPr>
          </w:pPr>
          <w:hyperlink w:anchor="_Toc196819111" w:history="1">
            <w:r w:rsidRPr="00367B7B">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_Toc196819111 \h </w:instrText>
            </w:r>
            <w:r>
              <w:rPr>
                <w:noProof/>
                <w:webHidden/>
              </w:rPr>
            </w:r>
            <w:r>
              <w:rPr>
                <w:noProof/>
                <w:webHidden/>
              </w:rPr>
              <w:fldChar w:fldCharType="separate"/>
            </w:r>
            <w:r>
              <w:rPr>
                <w:noProof/>
                <w:webHidden/>
              </w:rPr>
              <w:t>16</w:t>
            </w:r>
            <w:r>
              <w:rPr>
                <w:noProof/>
                <w:webHidden/>
              </w:rPr>
              <w:fldChar w:fldCharType="end"/>
            </w:r>
          </w:hyperlink>
        </w:p>
        <w:p w14:paraId="1FC2DDD1" w14:textId="1A10837B" w:rsidR="00C3142C" w:rsidRDefault="00C3142C">
          <w:pPr>
            <w:pStyle w:val="TOC2"/>
            <w:rPr>
              <w:rFonts w:eastAsiaTheme="minorEastAsia" w:cstheme="minorBidi"/>
              <w:i w:val="0"/>
              <w:iCs w:val="0"/>
              <w:kern w:val="2"/>
              <w:sz w:val="24"/>
              <w:szCs w:val="24"/>
              <w14:ligatures w14:val="standardContextual"/>
            </w:rPr>
          </w:pPr>
          <w:hyperlink w:anchor="_Toc196819112" w:history="1">
            <w:r w:rsidRPr="00367B7B">
              <w:rPr>
                <w:rStyle w:val="Hyperlink"/>
              </w:rPr>
              <w:t>Summary, FACTOR 1</w:t>
            </w:r>
            <w:r>
              <w:rPr>
                <w:webHidden/>
              </w:rPr>
              <w:tab/>
            </w:r>
            <w:r>
              <w:rPr>
                <w:webHidden/>
              </w:rPr>
              <w:fldChar w:fldCharType="begin"/>
            </w:r>
            <w:r>
              <w:rPr>
                <w:webHidden/>
              </w:rPr>
              <w:instrText xml:space="preserve"> PAGEREF _Toc196819112 \h </w:instrText>
            </w:r>
            <w:r>
              <w:rPr>
                <w:webHidden/>
              </w:rPr>
            </w:r>
            <w:r>
              <w:rPr>
                <w:webHidden/>
              </w:rPr>
              <w:fldChar w:fldCharType="separate"/>
            </w:r>
            <w:r>
              <w:rPr>
                <w:webHidden/>
              </w:rPr>
              <w:t>19</w:t>
            </w:r>
            <w:r>
              <w:rPr>
                <w:webHidden/>
              </w:rPr>
              <w:fldChar w:fldCharType="end"/>
            </w:r>
          </w:hyperlink>
        </w:p>
        <w:p w14:paraId="11C45C7E" w14:textId="1F3B0356" w:rsidR="00C3142C" w:rsidRDefault="00C3142C">
          <w:pPr>
            <w:pStyle w:val="TOC1"/>
            <w:tabs>
              <w:tab w:val="right" w:leader="dot" w:pos="9710"/>
            </w:tabs>
            <w:rPr>
              <w:rFonts w:eastAsiaTheme="minorEastAsia"/>
              <w:noProof/>
              <w:kern w:val="2"/>
              <w:sz w:val="24"/>
              <w:szCs w:val="24"/>
              <w14:ligatures w14:val="standardContextual"/>
            </w:rPr>
          </w:pPr>
          <w:hyperlink w:anchor="_Toc196819113" w:history="1">
            <w:r w:rsidRPr="00367B7B">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_Toc196819113 \h </w:instrText>
            </w:r>
            <w:r>
              <w:rPr>
                <w:noProof/>
                <w:webHidden/>
              </w:rPr>
            </w:r>
            <w:r>
              <w:rPr>
                <w:noProof/>
                <w:webHidden/>
              </w:rPr>
              <w:fldChar w:fldCharType="separate"/>
            </w:r>
            <w:r>
              <w:rPr>
                <w:noProof/>
                <w:webHidden/>
              </w:rPr>
              <w:t>19</w:t>
            </w:r>
            <w:r>
              <w:rPr>
                <w:noProof/>
                <w:webHidden/>
              </w:rPr>
              <w:fldChar w:fldCharType="end"/>
            </w:r>
          </w:hyperlink>
        </w:p>
        <w:p w14:paraId="351CFEC7" w14:textId="0449926C" w:rsidR="00C3142C" w:rsidRDefault="00C3142C">
          <w:pPr>
            <w:pStyle w:val="TOC1"/>
            <w:tabs>
              <w:tab w:val="right" w:leader="dot" w:pos="9710"/>
            </w:tabs>
            <w:rPr>
              <w:rFonts w:eastAsiaTheme="minorEastAsia"/>
              <w:noProof/>
              <w:kern w:val="2"/>
              <w:sz w:val="24"/>
              <w:szCs w:val="24"/>
              <w14:ligatures w14:val="standardContextual"/>
            </w:rPr>
          </w:pPr>
          <w:hyperlink w:anchor="_Toc196819114" w:history="1">
            <w:r w:rsidRPr="00367B7B">
              <w:rPr>
                <w:rStyle w:val="Hyperlink"/>
                <w:rFonts w:cstheme="minorHAnsi"/>
                <w:bCs/>
                <w:noProof/>
              </w:rPr>
              <w:t>Summary, FACTOR 2</w:t>
            </w:r>
            <w:r>
              <w:rPr>
                <w:noProof/>
                <w:webHidden/>
              </w:rPr>
              <w:tab/>
            </w:r>
            <w:r>
              <w:rPr>
                <w:noProof/>
                <w:webHidden/>
              </w:rPr>
              <w:fldChar w:fldCharType="begin"/>
            </w:r>
            <w:r>
              <w:rPr>
                <w:noProof/>
                <w:webHidden/>
              </w:rPr>
              <w:instrText xml:space="preserve"> PAGEREF _Toc196819114 \h </w:instrText>
            </w:r>
            <w:r>
              <w:rPr>
                <w:noProof/>
                <w:webHidden/>
              </w:rPr>
            </w:r>
            <w:r>
              <w:rPr>
                <w:noProof/>
                <w:webHidden/>
              </w:rPr>
              <w:fldChar w:fldCharType="separate"/>
            </w:r>
            <w:r>
              <w:rPr>
                <w:noProof/>
                <w:webHidden/>
              </w:rPr>
              <w:t>21</w:t>
            </w:r>
            <w:r>
              <w:rPr>
                <w:noProof/>
                <w:webHidden/>
              </w:rPr>
              <w:fldChar w:fldCharType="end"/>
            </w:r>
          </w:hyperlink>
        </w:p>
        <w:p w14:paraId="3466EA31" w14:textId="0AA33908" w:rsidR="00C3142C" w:rsidRDefault="00C3142C">
          <w:pPr>
            <w:pStyle w:val="TOC1"/>
            <w:tabs>
              <w:tab w:val="right" w:leader="dot" w:pos="9710"/>
            </w:tabs>
            <w:rPr>
              <w:rFonts w:eastAsiaTheme="minorEastAsia"/>
              <w:noProof/>
              <w:kern w:val="2"/>
              <w:sz w:val="24"/>
              <w:szCs w:val="24"/>
              <w14:ligatures w14:val="standardContextual"/>
            </w:rPr>
          </w:pPr>
          <w:hyperlink w:anchor="_Toc196819115" w:history="1">
            <w:r w:rsidRPr="00367B7B">
              <w:rPr>
                <w:rStyle w:val="Hyperlink"/>
                <w:noProof/>
              </w:rPr>
              <w:t>Factor 3: Relevant Licensure/Oversight Compliance</w:t>
            </w:r>
            <w:r>
              <w:rPr>
                <w:noProof/>
                <w:webHidden/>
              </w:rPr>
              <w:tab/>
            </w:r>
            <w:r>
              <w:rPr>
                <w:noProof/>
                <w:webHidden/>
              </w:rPr>
              <w:fldChar w:fldCharType="begin"/>
            </w:r>
            <w:r>
              <w:rPr>
                <w:noProof/>
                <w:webHidden/>
              </w:rPr>
              <w:instrText xml:space="preserve"> PAGEREF _Toc196819115 \h </w:instrText>
            </w:r>
            <w:r>
              <w:rPr>
                <w:noProof/>
                <w:webHidden/>
              </w:rPr>
            </w:r>
            <w:r>
              <w:rPr>
                <w:noProof/>
                <w:webHidden/>
              </w:rPr>
              <w:fldChar w:fldCharType="separate"/>
            </w:r>
            <w:r>
              <w:rPr>
                <w:noProof/>
                <w:webHidden/>
              </w:rPr>
              <w:t>22</w:t>
            </w:r>
            <w:r>
              <w:rPr>
                <w:noProof/>
                <w:webHidden/>
              </w:rPr>
              <w:fldChar w:fldCharType="end"/>
            </w:r>
          </w:hyperlink>
        </w:p>
        <w:p w14:paraId="6B3321BB" w14:textId="32D4621C" w:rsidR="00C3142C" w:rsidRDefault="00C3142C">
          <w:pPr>
            <w:pStyle w:val="TOC1"/>
            <w:tabs>
              <w:tab w:val="right" w:leader="dot" w:pos="9710"/>
            </w:tabs>
            <w:rPr>
              <w:rFonts w:eastAsiaTheme="minorEastAsia"/>
              <w:noProof/>
              <w:kern w:val="2"/>
              <w:sz w:val="24"/>
              <w:szCs w:val="24"/>
              <w14:ligatures w14:val="standardContextual"/>
            </w:rPr>
          </w:pPr>
          <w:hyperlink w:anchor="_Toc196819116" w:history="1">
            <w:r w:rsidRPr="00367B7B">
              <w:rPr>
                <w:rStyle w:val="Hyperlink"/>
                <w:noProof/>
              </w:rPr>
              <w:t>Factor 4: Financial Feasibility</w:t>
            </w:r>
            <w:r>
              <w:rPr>
                <w:noProof/>
                <w:webHidden/>
              </w:rPr>
              <w:tab/>
            </w:r>
            <w:r>
              <w:rPr>
                <w:noProof/>
                <w:webHidden/>
              </w:rPr>
              <w:fldChar w:fldCharType="begin"/>
            </w:r>
            <w:r>
              <w:rPr>
                <w:noProof/>
                <w:webHidden/>
              </w:rPr>
              <w:instrText xml:space="preserve"> PAGEREF _Toc196819116 \h </w:instrText>
            </w:r>
            <w:r>
              <w:rPr>
                <w:noProof/>
                <w:webHidden/>
              </w:rPr>
            </w:r>
            <w:r>
              <w:rPr>
                <w:noProof/>
                <w:webHidden/>
              </w:rPr>
              <w:fldChar w:fldCharType="separate"/>
            </w:r>
            <w:r>
              <w:rPr>
                <w:noProof/>
                <w:webHidden/>
              </w:rPr>
              <w:t>22</w:t>
            </w:r>
            <w:r>
              <w:rPr>
                <w:noProof/>
                <w:webHidden/>
              </w:rPr>
              <w:fldChar w:fldCharType="end"/>
            </w:r>
          </w:hyperlink>
        </w:p>
        <w:p w14:paraId="23A1EB29" w14:textId="468DD796" w:rsidR="00C3142C" w:rsidRDefault="00C3142C">
          <w:pPr>
            <w:pStyle w:val="TOC1"/>
            <w:tabs>
              <w:tab w:val="right" w:leader="dot" w:pos="9710"/>
            </w:tabs>
            <w:rPr>
              <w:rFonts w:eastAsiaTheme="minorEastAsia"/>
              <w:noProof/>
              <w:kern w:val="2"/>
              <w:sz w:val="24"/>
              <w:szCs w:val="24"/>
              <w14:ligatures w14:val="standardContextual"/>
            </w:rPr>
          </w:pPr>
          <w:hyperlink w:anchor="_Toc196819117" w:history="1">
            <w:r w:rsidRPr="00367B7B">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_Toc196819117 \h </w:instrText>
            </w:r>
            <w:r>
              <w:rPr>
                <w:noProof/>
                <w:webHidden/>
              </w:rPr>
            </w:r>
            <w:r>
              <w:rPr>
                <w:noProof/>
                <w:webHidden/>
              </w:rPr>
              <w:fldChar w:fldCharType="separate"/>
            </w:r>
            <w:r>
              <w:rPr>
                <w:noProof/>
                <w:webHidden/>
              </w:rPr>
              <w:t>25</w:t>
            </w:r>
            <w:r>
              <w:rPr>
                <w:noProof/>
                <w:webHidden/>
              </w:rPr>
              <w:fldChar w:fldCharType="end"/>
            </w:r>
          </w:hyperlink>
        </w:p>
        <w:p w14:paraId="15C750D9" w14:textId="72CB0B5D" w:rsidR="00C3142C" w:rsidRDefault="00C3142C">
          <w:pPr>
            <w:pStyle w:val="TOC1"/>
            <w:tabs>
              <w:tab w:val="right" w:leader="dot" w:pos="9710"/>
            </w:tabs>
            <w:rPr>
              <w:rFonts w:eastAsiaTheme="minorEastAsia"/>
              <w:noProof/>
              <w:kern w:val="2"/>
              <w:sz w:val="24"/>
              <w:szCs w:val="24"/>
              <w14:ligatures w14:val="standardContextual"/>
            </w:rPr>
          </w:pPr>
          <w:hyperlink w:anchor="_Toc196819118" w:history="1">
            <w:r w:rsidRPr="00367B7B">
              <w:rPr>
                <w:rStyle w:val="Hyperlink"/>
                <w:noProof/>
              </w:rPr>
              <w:t>Factor 6: Fulfillment of DPH Community-based Health Initiatives</w:t>
            </w:r>
            <w:r>
              <w:rPr>
                <w:noProof/>
                <w:webHidden/>
              </w:rPr>
              <w:tab/>
            </w:r>
            <w:r>
              <w:rPr>
                <w:noProof/>
                <w:webHidden/>
              </w:rPr>
              <w:fldChar w:fldCharType="begin"/>
            </w:r>
            <w:r>
              <w:rPr>
                <w:noProof/>
                <w:webHidden/>
              </w:rPr>
              <w:instrText xml:space="preserve"> PAGEREF _Toc196819118 \h </w:instrText>
            </w:r>
            <w:r>
              <w:rPr>
                <w:noProof/>
                <w:webHidden/>
              </w:rPr>
            </w:r>
            <w:r>
              <w:rPr>
                <w:noProof/>
                <w:webHidden/>
              </w:rPr>
              <w:fldChar w:fldCharType="separate"/>
            </w:r>
            <w:r>
              <w:rPr>
                <w:noProof/>
                <w:webHidden/>
              </w:rPr>
              <w:t>27</w:t>
            </w:r>
            <w:r>
              <w:rPr>
                <w:noProof/>
                <w:webHidden/>
              </w:rPr>
              <w:fldChar w:fldCharType="end"/>
            </w:r>
          </w:hyperlink>
        </w:p>
        <w:p w14:paraId="1A755D37" w14:textId="580CB84B" w:rsidR="00C3142C" w:rsidRDefault="00C3142C">
          <w:pPr>
            <w:pStyle w:val="TOC1"/>
            <w:tabs>
              <w:tab w:val="right" w:leader="dot" w:pos="9710"/>
            </w:tabs>
            <w:rPr>
              <w:rFonts w:eastAsiaTheme="minorEastAsia"/>
              <w:noProof/>
              <w:kern w:val="2"/>
              <w:sz w:val="24"/>
              <w:szCs w:val="24"/>
              <w14:ligatures w14:val="standardContextual"/>
            </w:rPr>
          </w:pPr>
          <w:hyperlink w:anchor="_Toc196819119" w:history="1">
            <w:r w:rsidRPr="00367B7B">
              <w:rPr>
                <w:rStyle w:val="Hyperlink"/>
                <w:noProof/>
              </w:rPr>
              <w:t>Overall Findings and Recommendations</w:t>
            </w:r>
            <w:r>
              <w:rPr>
                <w:noProof/>
                <w:webHidden/>
              </w:rPr>
              <w:tab/>
            </w:r>
            <w:r>
              <w:rPr>
                <w:noProof/>
                <w:webHidden/>
              </w:rPr>
              <w:fldChar w:fldCharType="begin"/>
            </w:r>
            <w:r>
              <w:rPr>
                <w:noProof/>
                <w:webHidden/>
              </w:rPr>
              <w:instrText xml:space="preserve"> PAGEREF _Toc196819119 \h </w:instrText>
            </w:r>
            <w:r>
              <w:rPr>
                <w:noProof/>
                <w:webHidden/>
              </w:rPr>
            </w:r>
            <w:r>
              <w:rPr>
                <w:noProof/>
                <w:webHidden/>
              </w:rPr>
              <w:fldChar w:fldCharType="separate"/>
            </w:r>
            <w:r>
              <w:rPr>
                <w:noProof/>
                <w:webHidden/>
              </w:rPr>
              <w:t>29</w:t>
            </w:r>
            <w:r>
              <w:rPr>
                <w:noProof/>
                <w:webHidden/>
              </w:rPr>
              <w:fldChar w:fldCharType="end"/>
            </w:r>
          </w:hyperlink>
        </w:p>
        <w:p w14:paraId="2385CC4B" w14:textId="3ED25A84" w:rsidR="00C3142C" w:rsidRDefault="00C3142C">
          <w:pPr>
            <w:pStyle w:val="TOC1"/>
            <w:tabs>
              <w:tab w:val="right" w:leader="dot" w:pos="9710"/>
            </w:tabs>
            <w:rPr>
              <w:rFonts w:eastAsiaTheme="minorEastAsia"/>
              <w:noProof/>
              <w:kern w:val="2"/>
              <w:sz w:val="24"/>
              <w:szCs w:val="24"/>
              <w14:ligatures w14:val="standardContextual"/>
            </w:rPr>
          </w:pPr>
          <w:hyperlink w:anchor="_Toc196819120" w:history="1">
            <w:r w:rsidRPr="00367B7B">
              <w:rPr>
                <w:rStyle w:val="Hyperlink"/>
                <w:noProof/>
              </w:rPr>
              <w:t>Other Conditions to the DoN</w:t>
            </w:r>
            <w:r>
              <w:rPr>
                <w:noProof/>
                <w:webHidden/>
              </w:rPr>
              <w:tab/>
            </w:r>
            <w:r>
              <w:rPr>
                <w:noProof/>
                <w:webHidden/>
              </w:rPr>
              <w:fldChar w:fldCharType="begin"/>
            </w:r>
            <w:r>
              <w:rPr>
                <w:noProof/>
                <w:webHidden/>
              </w:rPr>
              <w:instrText xml:space="preserve"> PAGEREF _Toc196819120 \h </w:instrText>
            </w:r>
            <w:r>
              <w:rPr>
                <w:noProof/>
                <w:webHidden/>
              </w:rPr>
            </w:r>
            <w:r>
              <w:rPr>
                <w:noProof/>
                <w:webHidden/>
              </w:rPr>
              <w:fldChar w:fldCharType="separate"/>
            </w:r>
            <w:r>
              <w:rPr>
                <w:noProof/>
                <w:webHidden/>
              </w:rPr>
              <w:t>29</w:t>
            </w:r>
            <w:r>
              <w:rPr>
                <w:noProof/>
                <w:webHidden/>
              </w:rPr>
              <w:fldChar w:fldCharType="end"/>
            </w:r>
          </w:hyperlink>
        </w:p>
        <w:p w14:paraId="5EFB0D65" w14:textId="6AA78D86" w:rsidR="00C3142C" w:rsidRDefault="00C3142C">
          <w:pPr>
            <w:pStyle w:val="TOC1"/>
            <w:tabs>
              <w:tab w:val="right" w:leader="dot" w:pos="9710"/>
            </w:tabs>
            <w:rPr>
              <w:rFonts w:eastAsiaTheme="minorEastAsia"/>
              <w:noProof/>
              <w:kern w:val="2"/>
              <w:sz w:val="24"/>
              <w:szCs w:val="24"/>
              <w14:ligatures w14:val="standardContextual"/>
            </w:rPr>
          </w:pPr>
          <w:hyperlink w:anchor="_Toc196819121" w:history="1">
            <w:r w:rsidRPr="00367B7B">
              <w:rPr>
                <w:rStyle w:val="Hyperlink"/>
                <w:noProof/>
              </w:rPr>
              <w:t>Appendix I</w:t>
            </w:r>
            <w:r>
              <w:rPr>
                <w:noProof/>
                <w:webHidden/>
              </w:rPr>
              <w:tab/>
            </w:r>
            <w:r>
              <w:rPr>
                <w:noProof/>
                <w:webHidden/>
              </w:rPr>
              <w:fldChar w:fldCharType="begin"/>
            </w:r>
            <w:r>
              <w:rPr>
                <w:noProof/>
                <w:webHidden/>
              </w:rPr>
              <w:instrText xml:space="preserve"> PAGEREF _Toc196819121 \h </w:instrText>
            </w:r>
            <w:r>
              <w:rPr>
                <w:noProof/>
                <w:webHidden/>
              </w:rPr>
            </w:r>
            <w:r>
              <w:rPr>
                <w:noProof/>
                <w:webHidden/>
              </w:rPr>
              <w:fldChar w:fldCharType="separate"/>
            </w:r>
            <w:r>
              <w:rPr>
                <w:noProof/>
                <w:webHidden/>
              </w:rPr>
              <w:t>31</w:t>
            </w:r>
            <w:r>
              <w:rPr>
                <w:noProof/>
                <w:webHidden/>
              </w:rPr>
              <w:fldChar w:fldCharType="end"/>
            </w:r>
          </w:hyperlink>
        </w:p>
        <w:p w14:paraId="603DC5B7" w14:textId="54042499" w:rsidR="00C3142C" w:rsidRDefault="00C3142C">
          <w:pPr>
            <w:pStyle w:val="TOC1"/>
            <w:tabs>
              <w:tab w:val="right" w:leader="dot" w:pos="9710"/>
            </w:tabs>
            <w:rPr>
              <w:rFonts w:eastAsiaTheme="minorEastAsia"/>
              <w:noProof/>
              <w:kern w:val="2"/>
              <w:sz w:val="24"/>
              <w:szCs w:val="24"/>
              <w14:ligatures w14:val="standardContextual"/>
            </w:rPr>
          </w:pPr>
          <w:hyperlink w:anchor="_Toc196819122" w:history="1">
            <w:r w:rsidRPr="00367B7B">
              <w:rPr>
                <w:rStyle w:val="Hyperlink"/>
                <w:noProof/>
              </w:rPr>
              <w:t>Appendix II</w:t>
            </w:r>
            <w:r>
              <w:rPr>
                <w:noProof/>
                <w:webHidden/>
              </w:rPr>
              <w:tab/>
            </w:r>
            <w:r>
              <w:rPr>
                <w:noProof/>
                <w:webHidden/>
              </w:rPr>
              <w:fldChar w:fldCharType="begin"/>
            </w:r>
            <w:r>
              <w:rPr>
                <w:noProof/>
                <w:webHidden/>
              </w:rPr>
              <w:instrText xml:space="preserve"> PAGEREF _Toc196819122 \h </w:instrText>
            </w:r>
            <w:r>
              <w:rPr>
                <w:noProof/>
                <w:webHidden/>
              </w:rPr>
            </w:r>
            <w:r>
              <w:rPr>
                <w:noProof/>
                <w:webHidden/>
              </w:rPr>
              <w:fldChar w:fldCharType="separate"/>
            </w:r>
            <w:r>
              <w:rPr>
                <w:noProof/>
                <w:webHidden/>
              </w:rPr>
              <w:t>32</w:t>
            </w:r>
            <w:r>
              <w:rPr>
                <w:noProof/>
                <w:webHidden/>
              </w:rPr>
              <w:fldChar w:fldCharType="end"/>
            </w:r>
          </w:hyperlink>
        </w:p>
        <w:p w14:paraId="3CD6D825" w14:textId="2F51A856" w:rsidR="00C3142C" w:rsidRDefault="00C3142C">
          <w:pPr>
            <w:pStyle w:val="TOC1"/>
            <w:tabs>
              <w:tab w:val="right" w:leader="dot" w:pos="9710"/>
            </w:tabs>
            <w:rPr>
              <w:rFonts w:eastAsiaTheme="minorEastAsia"/>
              <w:noProof/>
              <w:kern w:val="2"/>
              <w:sz w:val="24"/>
              <w:szCs w:val="24"/>
              <w14:ligatures w14:val="standardContextual"/>
            </w:rPr>
          </w:pPr>
          <w:hyperlink w:anchor="_Toc196819123" w:history="1">
            <w:r w:rsidRPr="00367B7B">
              <w:rPr>
                <w:rStyle w:val="Hyperlink"/>
                <w:rFonts w:cstheme="minorHAnsi"/>
                <w:iCs/>
                <w:noProof/>
              </w:rPr>
              <w:t>REFERENCES</w:t>
            </w:r>
            <w:r>
              <w:rPr>
                <w:noProof/>
                <w:webHidden/>
              </w:rPr>
              <w:tab/>
            </w:r>
            <w:r>
              <w:rPr>
                <w:noProof/>
                <w:webHidden/>
              </w:rPr>
              <w:fldChar w:fldCharType="begin"/>
            </w:r>
            <w:r>
              <w:rPr>
                <w:noProof/>
                <w:webHidden/>
              </w:rPr>
              <w:instrText xml:space="preserve"> PAGEREF _Toc196819123 \h </w:instrText>
            </w:r>
            <w:r>
              <w:rPr>
                <w:noProof/>
                <w:webHidden/>
              </w:rPr>
            </w:r>
            <w:r>
              <w:rPr>
                <w:noProof/>
                <w:webHidden/>
              </w:rPr>
              <w:fldChar w:fldCharType="separate"/>
            </w:r>
            <w:r>
              <w:rPr>
                <w:noProof/>
                <w:webHidden/>
              </w:rPr>
              <w:t>34</w:t>
            </w:r>
            <w:r>
              <w:rPr>
                <w:noProof/>
                <w:webHidden/>
              </w:rPr>
              <w:fldChar w:fldCharType="end"/>
            </w:r>
          </w:hyperlink>
        </w:p>
        <w:p w14:paraId="060B9E96" w14:textId="192ED50A" w:rsidR="0098316A" w:rsidRPr="00AA0F82" w:rsidRDefault="0098316A">
          <w:pPr>
            <w:rPr>
              <w:sz w:val="24"/>
              <w:szCs w:val="24"/>
              <w:highlight w:val="yellow"/>
            </w:rPr>
          </w:pPr>
          <w:r w:rsidRPr="00AA0F82">
            <w:rPr>
              <w:b/>
              <w:bCs/>
              <w:noProof/>
              <w:color w:val="2B579A"/>
              <w:sz w:val="24"/>
              <w:szCs w:val="24"/>
              <w:highlight w:val="yellow"/>
              <w:shd w:val="clear" w:color="auto" w:fill="E6E6E6"/>
            </w:rPr>
            <w:fldChar w:fldCharType="end"/>
          </w:r>
        </w:p>
      </w:sdtContent>
    </w:sdt>
    <w:p w14:paraId="12C7C6A3" w14:textId="77777777" w:rsidR="00897353" w:rsidRPr="00AA0F82" w:rsidRDefault="00897353" w:rsidP="0093651C">
      <w:pPr>
        <w:pStyle w:val="Heading1"/>
        <w:rPr>
          <w:highlight w:val="yellow"/>
        </w:rPr>
      </w:pPr>
    </w:p>
    <w:p w14:paraId="6FEB13CA" w14:textId="77777777" w:rsidR="00897353" w:rsidRPr="00AA0F82" w:rsidRDefault="00897353">
      <w:pPr>
        <w:rPr>
          <w:b/>
          <w:bCs/>
          <w:highlight w:val="yellow"/>
        </w:rPr>
      </w:pPr>
    </w:p>
    <w:p w14:paraId="780EAF0C" w14:textId="20A6C8EE" w:rsidR="00897353" w:rsidRPr="00AA0F82" w:rsidRDefault="00897353" w:rsidP="00897353">
      <w:pPr>
        <w:spacing w:after="0" w:line="240" w:lineRule="auto"/>
        <w:contextualSpacing/>
        <w:jc w:val="center"/>
        <w:rPr>
          <w:rFonts w:ascii="Garamond" w:eastAsia="Calibri" w:hAnsi="Garamond" w:cs="Times New Roman"/>
          <w:highlight w:val="yellow"/>
        </w:rPr>
      </w:pPr>
    </w:p>
    <w:p w14:paraId="78017998" w14:textId="77777777" w:rsidR="00897353" w:rsidRPr="00AA0F82" w:rsidRDefault="00897353" w:rsidP="00897353">
      <w:pPr>
        <w:spacing w:after="0" w:line="240" w:lineRule="auto"/>
        <w:contextualSpacing/>
        <w:rPr>
          <w:rFonts w:ascii="Garamond" w:eastAsia="Calibri" w:hAnsi="Garamond" w:cs="Times New Roman"/>
          <w:highlight w:val="yellow"/>
        </w:rPr>
        <w:sectPr w:rsidR="00897353" w:rsidRPr="00AA0F82" w:rsidSect="0098316A">
          <w:endnotePr>
            <w:numFmt w:val="lowerLetter"/>
          </w:endnotePr>
          <w:pgSz w:w="12240" w:h="15840"/>
          <w:pgMar w:top="1440" w:right="1440" w:bottom="1440" w:left="1080" w:header="720" w:footer="720" w:gutter="0"/>
          <w:cols w:space="720"/>
          <w:docGrid w:linePitch="360"/>
        </w:sectPr>
      </w:pPr>
    </w:p>
    <w:p w14:paraId="0C41E10A" w14:textId="478C72C6" w:rsidR="00C375A0" w:rsidRPr="00FC01F7" w:rsidRDefault="00926528" w:rsidP="008150F1">
      <w:pPr>
        <w:pStyle w:val="Heading1"/>
        <w:spacing w:line="240" w:lineRule="auto"/>
        <w:rPr>
          <w:rFonts w:cstheme="minorHAnsi"/>
        </w:rPr>
      </w:pPr>
      <w:bookmarkStart w:id="0" w:name="_Toc144207765"/>
      <w:bookmarkStart w:id="1" w:name="_Toc196819103"/>
      <w:r w:rsidRPr="00FC01F7">
        <w:rPr>
          <w:rFonts w:cstheme="minorHAnsi"/>
        </w:rPr>
        <w:lastRenderedPageBreak/>
        <w:t>Applicant Background and Application Overview</w:t>
      </w:r>
      <w:bookmarkEnd w:id="0"/>
      <w:bookmarkEnd w:id="1"/>
    </w:p>
    <w:p w14:paraId="02A0D8DA" w14:textId="77777777" w:rsidR="00CA398E" w:rsidRPr="00FC01F7" w:rsidRDefault="00CA398E" w:rsidP="00CA398E">
      <w:pPr>
        <w:pStyle w:val="BodyText"/>
        <w:ind w:right="133"/>
        <w:rPr>
          <w:rFonts w:asciiTheme="minorHAnsi" w:hAnsiTheme="minorHAnsi" w:cstheme="minorHAnsi"/>
          <w:b/>
          <w:bCs/>
          <w:sz w:val="24"/>
          <w:szCs w:val="24"/>
        </w:rPr>
      </w:pPr>
      <w:r w:rsidRPr="00FC01F7">
        <w:rPr>
          <w:rFonts w:asciiTheme="minorHAnsi" w:hAnsiTheme="minorHAnsi" w:cstheme="minorHAnsi"/>
          <w:b/>
          <w:bCs/>
          <w:sz w:val="24"/>
          <w:szCs w:val="24"/>
        </w:rPr>
        <w:t>Beth Israel Lahey Health, Inc.</w:t>
      </w:r>
    </w:p>
    <w:p w14:paraId="2D1564A5" w14:textId="05BFBFE0" w:rsidR="00CA398E" w:rsidRDefault="00CA398E" w:rsidP="009F605A">
      <w:pPr>
        <w:pStyle w:val="BodyText"/>
        <w:ind w:right="130"/>
        <w:rPr>
          <w:rFonts w:asciiTheme="minorHAnsi" w:hAnsiTheme="minorHAnsi"/>
          <w:sz w:val="24"/>
          <w:szCs w:val="24"/>
        </w:rPr>
      </w:pPr>
      <w:r w:rsidRPr="61C08B52">
        <w:rPr>
          <w:rFonts w:asciiTheme="minorHAnsi" w:hAnsiTheme="minorHAnsi"/>
          <w:sz w:val="24"/>
          <w:szCs w:val="24"/>
        </w:rPr>
        <w:t>The Beth Israel Lahey Health, Inc (BILH or Applicant), is a Massachusetts, non-profit, tax-exempt corporation that oversees an integrated health care delivery system comprised of teaching and community hospitals, physician groups, behavioral health providers, post-acute care providers and other caregivers serving</w:t>
      </w:r>
      <w:r w:rsidRPr="61C08B52">
        <w:rPr>
          <w:rFonts w:asciiTheme="minorHAnsi" w:hAnsiTheme="minorHAnsi"/>
          <w:spacing w:val="-3"/>
          <w:sz w:val="24"/>
          <w:szCs w:val="24"/>
        </w:rPr>
        <w:t xml:space="preserve"> </w:t>
      </w:r>
      <w:r w:rsidRPr="61C08B52">
        <w:rPr>
          <w:rFonts w:asciiTheme="minorHAnsi" w:hAnsiTheme="minorHAnsi"/>
          <w:sz w:val="24"/>
          <w:szCs w:val="24"/>
        </w:rPr>
        <w:t>patients</w:t>
      </w:r>
      <w:r w:rsidRPr="61C08B52">
        <w:rPr>
          <w:rFonts w:asciiTheme="minorHAnsi" w:hAnsiTheme="minorHAnsi"/>
          <w:spacing w:val="-5"/>
          <w:sz w:val="24"/>
          <w:szCs w:val="24"/>
        </w:rPr>
        <w:t xml:space="preserve"> </w:t>
      </w:r>
      <w:r w:rsidRPr="61C08B52">
        <w:rPr>
          <w:rFonts w:asciiTheme="minorHAnsi" w:hAnsiTheme="minorHAnsi"/>
          <w:sz w:val="24"/>
          <w:szCs w:val="24"/>
        </w:rPr>
        <w:t>in</w:t>
      </w:r>
      <w:r w:rsidRPr="61C08B52">
        <w:rPr>
          <w:rFonts w:asciiTheme="minorHAnsi" w:hAnsiTheme="minorHAnsi"/>
          <w:spacing w:val="-2"/>
          <w:sz w:val="24"/>
          <w:szCs w:val="24"/>
        </w:rPr>
        <w:t xml:space="preserve"> </w:t>
      </w:r>
      <w:r w:rsidRPr="61C08B52">
        <w:rPr>
          <w:rFonts w:asciiTheme="minorHAnsi" w:hAnsiTheme="minorHAnsi"/>
          <w:sz w:val="24"/>
          <w:szCs w:val="24"/>
        </w:rPr>
        <w:t>Greater</w:t>
      </w:r>
      <w:r w:rsidRPr="61C08B52">
        <w:rPr>
          <w:rFonts w:asciiTheme="minorHAnsi" w:hAnsiTheme="minorHAnsi"/>
          <w:spacing w:val="-2"/>
          <w:sz w:val="24"/>
          <w:szCs w:val="24"/>
        </w:rPr>
        <w:t xml:space="preserve"> </w:t>
      </w:r>
      <w:r w:rsidRPr="61C08B52">
        <w:rPr>
          <w:rFonts w:asciiTheme="minorHAnsi" w:hAnsiTheme="minorHAnsi"/>
          <w:sz w:val="24"/>
          <w:szCs w:val="24"/>
        </w:rPr>
        <w:t>Boston</w:t>
      </w:r>
      <w:r w:rsidRPr="61C08B52">
        <w:rPr>
          <w:rFonts w:asciiTheme="minorHAnsi" w:hAnsiTheme="minorHAnsi"/>
          <w:spacing w:val="-2"/>
          <w:sz w:val="24"/>
          <w:szCs w:val="24"/>
        </w:rPr>
        <w:t xml:space="preserve"> </w:t>
      </w:r>
      <w:r w:rsidRPr="61C08B52">
        <w:rPr>
          <w:rFonts w:asciiTheme="minorHAnsi" w:hAnsiTheme="minorHAnsi"/>
          <w:sz w:val="24"/>
          <w:szCs w:val="24"/>
        </w:rPr>
        <w:t>and</w:t>
      </w:r>
      <w:r w:rsidRPr="61C08B52">
        <w:rPr>
          <w:rFonts w:asciiTheme="minorHAnsi" w:hAnsiTheme="minorHAnsi"/>
          <w:spacing w:val="-4"/>
          <w:sz w:val="24"/>
          <w:szCs w:val="24"/>
        </w:rPr>
        <w:t xml:space="preserve"> </w:t>
      </w:r>
      <w:r w:rsidRPr="61C08B52">
        <w:rPr>
          <w:rFonts w:asciiTheme="minorHAnsi" w:hAnsiTheme="minorHAnsi"/>
          <w:sz w:val="24"/>
          <w:szCs w:val="24"/>
        </w:rPr>
        <w:t>the</w:t>
      </w:r>
      <w:r w:rsidRPr="61C08B52">
        <w:rPr>
          <w:rFonts w:asciiTheme="minorHAnsi" w:hAnsiTheme="minorHAnsi"/>
          <w:spacing w:val="-2"/>
          <w:sz w:val="24"/>
          <w:szCs w:val="24"/>
        </w:rPr>
        <w:t xml:space="preserve"> </w:t>
      </w:r>
      <w:r w:rsidRPr="61C08B52">
        <w:rPr>
          <w:rFonts w:asciiTheme="minorHAnsi" w:hAnsiTheme="minorHAnsi"/>
          <w:sz w:val="24"/>
          <w:szCs w:val="24"/>
        </w:rPr>
        <w:t>surrounding</w:t>
      </w:r>
      <w:r w:rsidRPr="61C08B52">
        <w:rPr>
          <w:rFonts w:asciiTheme="minorHAnsi" w:hAnsiTheme="minorHAnsi"/>
          <w:spacing w:val="-5"/>
          <w:sz w:val="24"/>
          <w:szCs w:val="24"/>
        </w:rPr>
        <w:t xml:space="preserve"> </w:t>
      </w:r>
      <w:r w:rsidRPr="61C08B52">
        <w:rPr>
          <w:rFonts w:asciiTheme="minorHAnsi" w:hAnsiTheme="minorHAnsi"/>
          <w:sz w:val="24"/>
          <w:szCs w:val="24"/>
        </w:rPr>
        <w:t>communities</w:t>
      </w:r>
      <w:r w:rsidRPr="61C08B52">
        <w:rPr>
          <w:rFonts w:asciiTheme="minorHAnsi" w:hAnsiTheme="minorHAnsi"/>
          <w:spacing w:val="-3"/>
          <w:sz w:val="24"/>
          <w:szCs w:val="24"/>
        </w:rPr>
        <w:t xml:space="preserve"> </w:t>
      </w:r>
      <w:r w:rsidRPr="61C08B52">
        <w:rPr>
          <w:rFonts w:asciiTheme="minorHAnsi" w:hAnsiTheme="minorHAnsi"/>
          <w:sz w:val="24"/>
          <w:szCs w:val="24"/>
        </w:rPr>
        <w:t>in</w:t>
      </w:r>
      <w:r w:rsidRPr="61C08B52">
        <w:rPr>
          <w:rFonts w:asciiTheme="minorHAnsi" w:hAnsiTheme="minorHAnsi"/>
          <w:spacing w:val="-4"/>
          <w:sz w:val="24"/>
          <w:szCs w:val="24"/>
        </w:rPr>
        <w:t xml:space="preserve"> </w:t>
      </w:r>
      <w:r w:rsidRPr="61C08B52">
        <w:rPr>
          <w:rFonts w:asciiTheme="minorHAnsi" w:hAnsiTheme="minorHAnsi"/>
          <w:sz w:val="24"/>
          <w:szCs w:val="24"/>
        </w:rPr>
        <w:t>Eastern</w:t>
      </w:r>
      <w:r w:rsidRPr="61C08B52">
        <w:rPr>
          <w:rFonts w:asciiTheme="minorHAnsi" w:hAnsiTheme="minorHAnsi"/>
          <w:spacing w:val="-4"/>
          <w:sz w:val="24"/>
          <w:szCs w:val="24"/>
        </w:rPr>
        <w:t xml:space="preserve"> </w:t>
      </w:r>
      <w:r w:rsidRPr="61C08B52">
        <w:rPr>
          <w:rFonts w:asciiTheme="minorHAnsi" w:hAnsiTheme="minorHAnsi"/>
          <w:sz w:val="24"/>
          <w:szCs w:val="24"/>
        </w:rPr>
        <w:t>Massachusetts and South</w:t>
      </w:r>
      <w:r w:rsidR="0038484C" w:rsidRPr="61C08B52">
        <w:rPr>
          <w:rFonts w:asciiTheme="minorHAnsi" w:hAnsiTheme="minorHAnsi"/>
          <w:sz w:val="24"/>
          <w:szCs w:val="24"/>
        </w:rPr>
        <w:t>e</w:t>
      </w:r>
      <w:r w:rsidRPr="61C08B52">
        <w:rPr>
          <w:rFonts w:asciiTheme="minorHAnsi" w:hAnsiTheme="minorHAnsi"/>
          <w:sz w:val="24"/>
          <w:szCs w:val="24"/>
        </w:rPr>
        <w:t>astern New Hampshire.</w:t>
      </w:r>
    </w:p>
    <w:p w14:paraId="4BE7B1DC" w14:textId="77777777" w:rsidR="009F605A" w:rsidRPr="009F605A" w:rsidRDefault="009F605A" w:rsidP="009F605A">
      <w:pPr>
        <w:pStyle w:val="BodyText"/>
        <w:ind w:right="130"/>
        <w:rPr>
          <w:rFonts w:asciiTheme="minorHAnsi" w:hAnsiTheme="minorHAnsi"/>
          <w:sz w:val="24"/>
          <w:szCs w:val="24"/>
        </w:rPr>
      </w:pPr>
    </w:p>
    <w:p w14:paraId="28C2D93F" w14:textId="77777777" w:rsidR="00CA398E" w:rsidRPr="00FC01F7" w:rsidRDefault="00CA398E" w:rsidP="00CA398E">
      <w:pPr>
        <w:pStyle w:val="BodyText"/>
        <w:rPr>
          <w:rFonts w:asciiTheme="minorHAnsi" w:hAnsiTheme="minorHAnsi" w:cstheme="minorHAnsi"/>
          <w:sz w:val="24"/>
          <w:szCs w:val="24"/>
        </w:rPr>
      </w:pPr>
      <w:r w:rsidRPr="00FC01F7">
        <w:rPr>
          <w:rFonts w:asciiTheme="minorHAnsi" w:hAnsiTheme="minorHAnsi" w:cstheme="minorHAnsi"/>
          <w:sz w:val="24"/>
          <w:szCs w:val="24"/>
        </w:rPr>
        <w:t>Collectively</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known as</w:t>
      </w:r>
      <w:r w:rsidRPr="00FC01F7">
        <w:rPr>
          <w:rFonts w:asciiTheme="minorHAnsi" w:hAnsiTheme="minorHAnsi" w:cstheme="minorHAnsi"/>
          <w:spacing w:val="-3"/>
          <w:sz w:val="24"/>
          <w:szCs w:val="24"/>
        </w:rPr>
        <w:t xml:space="preserve"> </w:t>
      </w:r>
      <w:r w:rsidRPr="00FC01F7">
        <w:rPr>
          <w:rFonts w:asciiTheme="minorHAnsi" w:hAnsiTheme="minorHAnsi" w:cstheme="minorHAnsi"/>
          <w:sz w:val="24"/>
          <w:szCs w:val="24"/>
        </w:rPr>
        <w:t>“BILH</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Hospitals,”</w:t>
      </w:r>
      <w:r w:rsidRPr="00FC01F7">
        <w:rPr>
          <w:rFonts w:asciiTheme="minorHAnsi" w:hAnsiTheme="minorHAnsi" w:cstheme="minorHAnsi"/>
          <w:spacing w:val="-3"/>
          <w:sz w:val="24"/>
          <w:szCs w:val="24"/>
        </w:rPr>
        <w:t xml:space="preserve"> </w:t>
      </w:r>
      <w:r w:rsidRPr="00FC01F7">
        <w:rPr>
          <w:rFonts w:asciiTheme="minorHAnsi" w:hAnsiTheme="minorHAnsi" w:cstheme="minorHAnsi"/>
          <w:sz w:val="24"/>
          <w:szCs w:val="24"/>
        </w:rPr>
        <w:t>BILH’s</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member</w:t>
      </w:r>
      <w:r w:rsidRPr="00FC01F7">
        <w:rPr>
          <w:rFonts w:asciiTheme="minorHAnsi" w:hAnsiTheme="minorHAnsi" w:cstheme="minorHAnsi"/>
          <w:spacing w:val="-3"/>
          <w:sz w:val="24"/>
          <w:szCs w:val="24"/>
        </w:rPr>
        <w:t xml:space="preserve"> </w:t>
      </w:r>
      <w:r w:rsidRPr="00FC01F7">
        <w:rPr>
          <w:rFonts w:asciiTheme="minorHAnsi" w:hAnsiTheme="minorHAnsi" w:cstheme="minorHAnsi"/>
          <w:sz w:val="24"/>
          <w:szCs w:val="24"/>
        </w:rPr>
        <w:t>hospitals</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include:</w:t>
      </w:r>
    </w:p>
    <w:p w14:paraId="56150E6B" w14:textId="77777777" w:rsidR="00CA398E" w:rsidRPr="00FC01F7" w:rsidRDefault="00CA398E" w:rsidP="00CA398E">
      <w:pPr>
        <w:pStyle w:val="BodyText"/>
        <w:spacing w:after="1"/>
        <w:rPr>
          <w:rFonts w:asciiTheme="minorHAnsi" w:hAnsiTheme="minorHAnsi" w:cstheme="minorHAnsi"/>
          <w:sz w:val="24"/>
          <w:szCs w:val="24"/>
        </w:rPr>
      </w:pPr>
    </w:p>
    <w:p w14:paraId="79FDFED4" w14:textId="7294080F" w:rsidR="001B0396" w:rsidRPr="00FC01F7" w:rsidRDefault="001B0396" w:rsidP="001B0396">
      <w:pPr>
        <w:pStyle w:val="BodyText"/>
        <w:spacing w:after="1"/>
        <w:jc w:val="center"/>
        <w:rPr>
          <w:rFonts w:asciiTheme="minorHAnsi" w:eastAsiaTheme="minorHAnsi" w:hAnsiTheme="minorHAnsi" w:cstheme="minorHAnsi"/>
          <w:b/>
          <w:bCs/>
          <w:color w:val="2F5496" w:themeColor="accent1" w:themeShade="BF"/>
          <w:sz w:val="24"/>
          <w:szCs w:val="24"/>
        </w:rPr>
      </w:pPr>
      <w:r w:rsidRPr="00FC01F7">
        <w:rPr>
          <w:rFonts w:asciiTheme="minorHAnsi" w:eastAsiaTheme="minorHAnsi" w:hAnsiTheme="minorHAnsi" w:cstheme="minorHAnsi"/>
          <w:b/>
          <w:bCs/>
          <w:color w:val="2F5496" w:themeColor="accent1" w:themeShade="BF"/>
          <w:sz w:val="24"/>
          <w:szCs w:val="24"/>
          <w:u w:val="single"/>
        </w:rPr>
        <w:t>Table 1:</w:t>
      </w:r>
      <w:r w:rsidRPr="00FC01F7">
        <w:rPr>
          <w:rFonts w:asciiTheme="minorHAnsi" w:eastAsiaTheme="minorHAnsi" w:hAnsiTheme="minorHAnsi" w:cstheme="minorHAnsi"/>
          <w:b/>
          <w:bCs/>
          <w:color w:val="2F5496" w:themeColor="accent1" w:themeShade="BF"/>
          <w:sz w:val="24"/>
          <w:szCs w:val="24"/>
        </w:rPr>
        <w:t xml:space="preserve"> BILH Hospitals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CA398E" w:rsidRPr="00FC01F7" w14:paraId="69D1CB65" w14:textId="77777777" w:rsidTr="00D60D2C">
        <w:trPr>
          <w:cantSplit/>
          <w:trHeight w:val="292"/>
          <w:tblHeader/>
        </w:trPr>
        <w:tc>
          <w:tcPr>
            <w:tcW w:w="4675" w:type="dxa"/>
            <w:shd w:val="clear" w:color="auto" w:fill="F1F1F1"/>
          </w:tcPr>
          <w:p w14:paraId="00D6F21F" w14:textId="6BD8197F" w:rsidR="00CA398E" w:rsidRPr="00FC01F7" w:rsidRDefault="00CA398E">
            <w:pPr>
              <w:pStyle w:val="TableParagraph"/>
              <w:spacing w:line="272" w:lineRule="exact"/>
              <w:ind w:left="1562"/>
              <w:rPr>
                <w:rFonts w:asciiTheme="minorHAnsi" w:hAnsiTheme="minorHAnsi" w:cstheme="minorHAnsi"/>
                <w:b/>
                <w:sz w:val="24"/>
                <w:szCs w:val="24"/>
              </w:rPr>
            </w:pPr>
            <w:r w:rsidRPr="00FC01F7">
              <w:rPr>
                <w:rFonts w:asciiTheme="minorHAnsi" w:hAnsiTheme="minorHAnsi" w:cstheme="minorHAnsi"/>
                <w:b/>
                <w:sz w:val="24"/>
                <w:szCs w:val="24"/>
              </w:rPr>
              <w:t xml:space="preserve">Acute </w:t>
            </w:r>
            <w:r w:rsidRPr="00FC01F7">
              <w:rPr>
                <w:rFonts w:asciiTheme="minorHAnsi" w:hAnsiTheme="minorHAnsi" w:cstheme="minorHAnsi"/>
                <w:b/>
                <w:spacing w:val="-2"/>
                <w:sz w:val="24"/>
                <w:szCs w:val="24"/>
              </w:rPr>
              <w:t>Hospital</w:t>
            </w:r>
          </w:p>
        </w:tc>
        <w:tc>
          <w:tcPr>
            <w:tcW w:w="4675" w:type="dxa"/>
            <w:shd w:val="clear" w:color="auto" w:fill="F1F1F1"/>
          </w:tcPr>
          <w:p w14:paraId="51133B2B" w14:textId="77777777" w:rsidR="00CA398E" w:rsidRPr="00FC01F7" w:rsidRDefault="00CA398E">
            <w:pPr>
              <w:pStyle w:val="TableParagraph"/>
              <w:spacing w:line="272" w:lineRule="exact"/>
              <w:ind w:left="996"/>
              <w:rPr>
                <w:rFonts w:asciiTheme="minorHAnsi" w:hAnsiTheme="minorHAnsi" w:cstheme="minorHAnsi"/>
                <w:b/>
                <w:sz w:val="24"/>
                <w:szCs w:val="24"/>
              </w:rPr>
            </w:pPr>
            <w:r w:rsidRPr="00FC01F7">
              <w:rPr>
                <w:rFonts w:asciiTheme="minorHAnsi" w:hAnsiTheme="minorHAnsi" w:cstheme="minorHAnsi"/>
                <w:b/>
                <w:sz w:val="24"/>
                <w:szCs w:val="24"/>
              </w:rPr>
              <w:t>Type</w:t>
            </w:r>
            <w:r w:rsidRPr="00FC01F7">
              <w:rPr>
                <w:rFonts w:asciiTheme="minorHAnsi" w:hAnsiTheme="minorHAnsi" w:cstheme="minorHAnsi"/>
                <w:b/>
                <w:spacing w:val="-2"/>
                <w:sz w:val="24"/>
                <w:szCs w:val="24"/>
              </w:rPr>
              <w:t xml:space="preserve"> </w:t>
            </w:r>
            <w:r w:rsidRPr="00FC01F7">
              <w:rPr>
                <w:rFonts w:asciiTheme="minorHAnsi" w:hAnsiTheme="minorHAnsi" w:cstheme="minorHAnsi"/>
                <w:b/>
                <w:sz w:val="24"/>
                <w:szCs w:val="24"/>
              </w:rPr>
              <w:t>(Per</w:t>
            </w:r>
            <w:r w:rsidRPr="00FC01F7">
              <w:rPr>
                <w:rFonts w:asciiTheme="minorHAnsi" w:hAnsiTheme="minorHAnsi" w:cstheme="minorHAnsi"/>
                <w:b/>
                <w:spacing w:val="1"/>
                <w:sz w:val="24"/>
                <w:szCs w:val="24"/>
              </w:rPr>
              <w:t xml:space="preserve"> </w:t>
            </w:r>
            <w:r w:rsidRPr="00FC01F7">
              <w:rPr>
                <w:rFonts w:asciiTheme="minorHAnsi" w:hAnsiTheme="minorHAnsi" w:cstheme="minorHAnsi"/>
                <w:b/>
                <w:sz w:val="24"/>
                <w:szCs w:val="24"/>
              </w:rPr>
              <w:t>CHIA</w:t>
            </w:r>
            <w:r w:rsidRPr="00FC01F7">
              <w:rPr>
                <w:rFonts w:asciiTheme="minorHAnsi" w:hAnsiTheme="minorHAnsi" w:cstheme="minorHAnsi"/>
                <w:b/>
                <w:spacing w:val="-2"/>
                <w:sz w:val="24"/>
                <w:szCs w:val="24"/>
              </w:rPr>
              <w:t xml:space="preserve"> Category </w:t>
            </w:r>
            <w:r w:rsidRPr="00FC01F7">
              <w:rPr>
                <w:rStyle w:val="EndnoteReference"/>
                <w:rFonts w:asciiTheme="minorHAnsi" w:hAnsiTheme="minorHAnsi" w:cstheme="minorHAnsi"/>
                <w:b/>
                <w:spacing w:val="-2"/>
                <w:sz w:val="24"/>
                <w:szCs w:val="24"/>
              </w:rPr>
              <w:endnoteReference w:id="2"/>
            </w:r>
            <w:r w:rsidRPr="00FC01F7">
              <w:rPr>
                <w:rStyle w:val="EndnoteReference"/>
                <w:rFonts w:asciiTheme="minorHAnsi" w:hAnsiTheme="minorHAnsi" w:cstheme="minorHAnsi"/>
                <w:sz w:val="24"/>
                <w:szCs w:val="24"/>
              </w:rPr>
              <w:t xml:space="preserve">, </w:t>
            </w:r>
            <w:r w:rsidRPr="00FC01F7">
              <w:rPr>
                <w:rStyle w:val="EndnoteReference"/>
                <w:rFonts w:asciiTheme="minorHAnsi" w:hAnsiTheme="minorHAnsi" w:cstheme="minorHAnsi"/>
                <w:b/>
                <w:spacing w:val="-2"/>
                <w:sz w:val="24"/>
                <w:szCs w:val="24"/>
              </w:rPr>
              <w:endnoteReference w:id="3"/>
            </w:r>
            <w:r w:rsidRPr="00FC01F7">
              <w:rPr>
                <w:rFonts w:asciiTheme="minorHAnsi" w:hAnsiTheme="minorHAnsi" w:cstheme="minorHAnsi"/>
                <w:b/>
                <w:sz w:val="24"/>
                <w:szCs w:val="24"/>
              </w:rPr>
              <w:t>)</w:t>
            </w:r>
          </w:p>
        </w:tc>
      </w:tr>
      <w:tr w:rsidR="00CA398E" w:rsidRPr="00FC01F7" w14:paraId="49A82700" w14:textId="77777777" w:rsidTr="00D60D2C">
        <w:trPr>
          <w:cantSplit/>
          <w:trHeight w:val="294"/>
        </w:trPr>
        <w:tc>
          <w:tcPr>
            <w:tcW w:w="4675" w:type="dxa"/>
          </w:tcPr>
          <w:p w14:paraId="3074C0C7" w14:textId="77777777" w:rsidR="00CA398E" w:rsidRPr="00FC01F7" w:rsidRDefault="00CA398E">
            <w:pPr>
              <w:pStyle w:val="TableParagraph"/>
              <w:spacing w:line="275" w:lineRule="exact"/>
              <w:ind w:left="107"/>
              <w:rPr>
                <w:rFonts w:asciiTheme="minorHAnsi" w:hAnsiTheme="minorHAnsi" w:cstheme="minorHAnsi"/>
                <w:sz w:val="24"/>
                <w:szCs w:val="24"/>
              </w:rPr>
            </w:pPr>
            <w:r w:rsidRPr="00FC01F7">
              <w:rPr>
                <w:rFonts w:asciiTheme="minorHAnsi" w:hAnsiTheme="minorHAnsi" w:cstheme="minorHAnsi"/>
                <w:sz w:val="24"/>
                <w:szCs w:val="24"/>
              </w:rPr>
              <w:t>Anna</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Jaques</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c>
          <w:tcPr>
            <w:tcW w:w="4675" w:type="dxa"/>
          </w:tcPr>
          <w:p w14:paraId="0A145907" w14:textId="77777777" w:rsidR="00CA398E" w:rsidRPr="00FC01F7" w:rsidRDefault="00CA398E">
            <w:pPr>
              <w:pStyle w:val="TableParagraph"/>
              <w:spacing w:line="275" w:lineRule="exact"/>
              <w:ind w:left="107"/>
              <w:rPr>
                <w:rFonts w:asciiTheme="minorHAnsi" w:hAnsiTheme="minorHAnsi" w:cstheme="minorHAnsi"/>
                <w:sz w:val="24"/>
                <w:szCs w:val="24"/>
              </w:rPr>
            </w:pPr>
            <w:r w:rsidRPr="00FC01F7">
              <w:rPr>
                <w:rFonts w:asciiTheme="minorHAnsi" w:hAnsiTheme="minorHAnsi" w:cstheme="minorHAnsi"/>
                <w:sz w:val="24"/>
                <w:szCs w:val="24"/>
              </w:rPr>
              <w:t>Community</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3D8BBD5D" w14:textId="77777777" w:rsidTr="00D60D2C">
        <w:trPr>
          <w:cantSplit/>
          <w:trHeight w:val="292"/>
        </w:trPr>
        <w:tc>
          <w:tcPr>
            <w:tcW w:w="4675" w:type="dxa"/>
          </w:tcPr>
          <w:p w14:paraId="52ED1373"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Beth Israel</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Deaconess</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Hospital–Milton</w:t>
            </w:r>
          </w:p>
        </w:tc>
        <w:tc>
          <w:tcPr>
            <w:tcW w:w="4675" w:type="dxa"/>
          </w:tcPr>
          <w:p w14:paraId="6C10048E"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Community</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395E4ACE" w14:textId="77777777" w:rsidTr="00D60D2C">
        <w:trPr>
          <w:cantSplit/>
          <w:trHeight w:val="292"/>
        </w:trPr>
        <w:tc>
          <w:tcPr>
            <w:tcW w:w="4675" w:type="dxa"/>
          </w:tcPr>
          <w:p w14:paraId="34EC6357"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Beth Israel</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Deaconess</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Hospital–Needham</w:t>
            </w:r>
          </w:p>
        </w:tc>
        <w:tc>
          <w:tcPr>
            <w:tcW w:w="4675" w:type="dxa"/>
          </w:tcPr>
          <w:p w14:paraId="6BABD02D"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Community</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45F8AC1B" w14:textId="77777777" w:rsidTr="00D60D2C">
        <w:trPr>
          <w:cantSplit/>
          <w:trHeight w:val="292"/>
        </w:trPr>
        <w:tc>
          <w:tcPr>
            <w:tcW w:w="4675" w:type="dxa"/>
          </w:tcPr>
          <w:p w14:paraId="71688F6F"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Beth Israel</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Deaconess</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Hospital–Plymouth</w:t>
            </w:r>
          </w:p>
        </w:tc>
        <w:tc>
          <w:tcPr>
            <w:tcW w:w="4675" w:type="dxa"/>
          </w:tcPr>
          <w:p w14:paraId="535383EB"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Community-High</w:t>
            </w:r>
            <w:r w:rsidRPr="00FC01F7">
              <w:rPr>
                <w:rFonts w:asciiTheme="minorHAnsi" w:hAnsiTheme="minorHAnsi" w:cstheme="minorHAnsi"/>
                <w:spacing w:val="-3"/>
                <w:sz w:val="24"/>
                <w:szCs w:val="24"/>
              </w:rPr>
              <w:t xml:space="preserve"> </w:t>
            </w:r>
            <w:r w:rsidRPr="00FC01F7">
              <w:rPr>
                <w:rFonts w:asciiTheme="minorHAnsi" w:hAnsiTheme="minorHAnsi" w:cstheme="minorHAnsi"/>
                <w:sz w:val="24"/>
                <w:szCs w:val="24"/>
              </w:rPr>
              <w:t>Public</w:t>
            </w:r>
            <w:r w:rsidRPr="00FC01F7">
              <w:rPr>
                <w:rFonts w:asciiTheme="minorHAnsi" w:hAnsiTheme="minorHAnsi" w:cstheme="minorHAnsi"/>
                <w:spacing w:val="-5"/>
                <w:sz w:val="24"/>
                <w:szCs w:val="24"/>
              </w:rPr>
              <w:t xml:space="preserve"> </w:t>
            </w:r>
            <w:r w:rsidRPr="00FC01F7">
              <w:rPr>
                <w:rFonts w:asciiTheme="minorHAnsi" w:hAnsiTheme="minorHAnsi" w:cstheme="minorHAnsi"/>
                <w:sz w:val="24"/>
                <w:szCs w:val="24"/>
              </w:rPr>
              <w:t>Payer</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4F74FF46" w14:textId="77777777" w:rsidTr="00D60D2C">
        <w:trPr>
          <w:cantSplit/>
          <w:trHeight w:val="292"/>
        </w:trPr>
        <w:tc>
          <w:tcPr>
            <w:tcW w:w="4675" w:type="dxa"/>
          </w:tcPr>
          <w:p w14:paraId="6FEF6A90"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Beth Israel</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Deaconess</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 xml:space="preserve">Medical </w:t>
            </w:r>
            <w:r w:rsidRPr="00FC01F7">
              <w:rPr>
                <w:rFonts w:asciiTheme="minorHAnsi" w:hAnsiTheme="minorHAnsi" w:cstheme="minorHAnsi"/>
                <w:spacing w:val="-2"/>
                <w:sz w:val="24"/>
                <w:szCs w:val="24"/>
              </w:rPr>
              <w:t>Center</w:t>
            </w:r>
          </w:p>
        </w:tc>
        <w:tc>
          <w:tcPr>
            <w:tcW w:w="4675" w:type="dxa"/>
          </w:tcPr>
          <w:p w14:paraId="4ED7FF96"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Academic</w:t>
            </w:r>
            <w:r w:rsidRPr="00FC01F7">
              <w:rPr>
                <w:rFonts w:asciiTheme="minorHAnsi" w:hAnsiTheme="minorHAnsi" w:cstheme="minorHAnsi"/>
                <w:spacing w:val="-1"/>
                <w:sz w:val="24"/>
                <w:szCs w:val="24"/>
              </w:rPr>
              <w:t xml:space="preserve"> </w:t>
            </w:r>
            <w:r w:rsidRPr="00FC01F7">
              <w:rPr>
                <w:rFonts w:asciiTheme="minorHAnsi" w:hAnsiTheme="minorHAnsi" w:cstheme="minorHAnsi"/>
                <w:sz w:val="24"/>
                <w:szCs w:val="24"/>
              </w:rPr>
              <w:t xml:space="preserve">Medical </w:t>
            </w:r>
            <w:r w:rsidRPr="00FC01F7">
              <w:rPr>
                <w:rFonts w:asciiTheme="minorHAnsi" w:hAnsiTheme="minorHAnsi" w:cstheme="minorHAnsi"/>
                <w:spacing w:val="-2"/>
                <w:sz w:val="24"/>
                <w:szCs w:val="24"/>
              </w:rPr>
              <w:t>Center</w:t>
            </w:r>
          </w:p>
        </w:tc>
      </w:tr>
      <w:tr w:rsidR="00CA398E" w:rsidRPr="00FC01F7" w14:paraId="7958ADC0" w14:textId="77777777" w:rsidTr="00D60D2C">
        <w:trPr>
          <w:cantSplit/>
          <w:trHeight w:val="294"/>
        </w:trPr>
        <w:tc>
          <w:tcPr>
            <w:tcW w:w="4675" w:type="dxa"/>
          </w:tcPr>
          <w:p w14:paraId="5671FBD7" w14:textId="77777777" w:rsidR="00CA398E" w:rsidRPr="00FC01F7" w:rsidRDefault="00CA398E">
            <w:pPr>
              <w:pStyle w:val="TableParagraph"/>
              <w:spacing w:before="1" w:line="273" w:lineRule="exact"/>
              <w:ind w:left="107"/>
              <w:rPr>
                <w:rFonts w:asciiTheme="minorHAnsi" w:hAnsiTheme="minorHAnsi" w:cstheme="minorHAnsi"/>
                <w:sz w:val="24"/>
                <w:szCs w:val="24"/>
              </w:rPr>
            </w:pPr>
            <w:r w:rsidRPr="00FC01F7">
              <w:rPr>
                <w:rFonts w:asciiTheme="minorHAnsi" w:hAnsiTheme="minorHAnsi" w:cstheme="minorHAnsi"/>
                <w:sz w:val="24"/>
                <w:szCs w:val="24"/>
              </w:rPr>
              <w:t>Lahey</w:t>
            </w:r>
            <w:r w:rsidRPr="00FC01F7">
              <w:rPr>
                <w:rFonts w:asciiTheme="minorHAnsi" w:hAnsiTheme="minorHAnsi" w:cstheme="minorHAnsi"/>
                <w:spacing w:val="-1"/>
                <w:sz w:val="24"/>
                <w:szCs w:val="24"/>
              </w:rPr>
              <w:t xml:space="preserve"> </w:t>
            </w:r>
            <w:r w:rsidRPr="00FC01F7">
              <w:rPr>
                <w:rFonts w:asciiTheme="minorHAnsi" w:hAnsiTheme="minorHAnsi" w:cstheme="minorHAnsi"/>
                <w:sz w:val="24"/>
                <w:szCs w:val="24"/>
              </w:rPr>
              <w:t>Hospital</w:t>
            </w:r>
            <w:r w:rsidRPr="00FC01F7">
              <w:rPr>
                <w:rFonts w:asciiTheme="minorHAnsi" w:hAnsiTheme="minorHAnsi" w:cstheme="minorHAnsi"/>
                <w:spacing w:val="-1"/>
                <w:sz w:val="24"/>
                <w:szCs w:val="24"/>
              </w:rPr>
              <w:t xml:space="preserve"> </w:t>
            </w:r>
            <w:r w:rsidRPr="00FC01F7">
              <w:rPr>
                <w:rFonts w:asciiTheme="minorHAnsi" w:hAnsiTheme="minorHAnsi" w:cstheme="minorHAnsi"/>
                <w:sz w:val="24"/>
                <w:szCs w:val="24"/>
              </w:rPr>
              <w:t>&amp;</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 xml:space="preserve">Medical </w:t>
            </w:r>
            <w:r w:rsidRPr="00FC01F7">
              <w:rPr>
                <w:rFonts w:asciiTheme="minorHAnsi" w:hAnsiTheme="minorHAnsi" w:cstheme="minorHAnsi"/>
                <w:spacing w:val="-2"/>
                <w:sz w:val="24"/>
                <w:szCs w:val="24"/>
              </w:rPr>
              <w:t>Center</w:t>
            </w:r>
          </w:p>
        </w:tc>
        <w:tc>
          <w:tcPr>
            <w:tcW w:w="4675" w:type="dxa"/>
          </w:tcPr>
          <w:p w14:paraId="6DD75805" w14:textId="77777777" w:rsidR="00CA398E" w:rsidRPr="00FC01F7" w:rsidRDefault="00CA398E">
            <w:pPr>
              <w:pStyle w:val="TableParagraph"/>
              <w:spacing w:before="1" w:line="273" w:lineRule="exact"/>
              <w:ind w:left="107"/>
              <w:rPr>
                <w:rFonts w:asciiTheme="minorHAnsi" w:hAnsiTheme="minorHAnsi" w:cstheme="minorHAnsi"/>
                <w:sz w:val="24"/>
                <w:szCs w:val="24"/>
              </w:rPr>
            </w:pPr>
            <w:r w:rsidRPr="00FC01F7">
              <w:rPr>
                <w:rFonts w:asciiTheme="minorHAnsi" w:hAnsiTheme="minorHAnsi" w:cstheme="minorHAnsi"/>
                <w:sz w:val="24"/>
                <w:szCs w:val="24"/>
              </w:rPr>
              <w:t>Teaching</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05848393" w14:textId="77777777" w:rsidTr="00D60D2C">
        <w:trPr>
          <w:cantSplit/>
          <w:trHeight w:val="292"/>
        </w:trPr>
        <w:tc>
          <w:tcPr>
            <w:tcW w:w="4675" w:type="dxa"/>
          </w:tcPr>
          <w:p w14:paraId="5A0E9B5B"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Mount</w:t>
            </w:r>
            <w:r w:rsidRPr="00FC01F7">
              <w:rPr>
                <w:rFonts w:asciiTheme="minorHAnsi" w:hAnsiTheme="minorHAnsi" w:cstheme="minorHAnsi"/>
                <w:spacing w:val="-3"/>
                <w:sz w:val="24"/>
                <w:szCs w:val="24"/>
              </w:rPr>
              <w:t xml:space="preserve"> </w:t>
            </w:r>
            <w:r w:rsidRPr="00FC01F7">
              <w:rPr>
                <w:rFonts w:asciiTheme="minorHAnsi" w:hAnsiTheme="minorHAnsi" w:cstheme="minorHAnsi"/>
                <w:sz w:val="24"/>
                <w:szCs w:val="24"/>
              </w:rPr>
              <w:t>Auburn</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c>
          <w:tcPr>
            <w:tcW w:w="4675" w:type="dxa"/>
          </w:tcPr>
          <w:p w14:paraId="7D6ACE97"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Teaching</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47796C89" w14:textId="77777777" w:rsidTr="00D60D2C">
        <w:trPr>
          <w:cantSplit/>
          <w:trHeight w:val="292"/>
        </w:trPr>
        <w:tc>
          <w:tcPr>
            <w:tcW w:w="4675" w:type="dxa"/>
          </w:tcPr>
          <w:p w14:paraId="47B856AC"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New</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England</w:t>
            </w:r>
            <w:r w:rsidRPr="00FC01F7">
              <w:rPr>
                <w:rFonts w:asciiTheme="minorHAnsi" w:hAnsiTheme="minorHAnsi" w:cstheme="minorHAnsi"/>
                <w:spacing w:val="-2"/>
                <w:sz w:val="24"/>
                <w:szCs w:val="24"/>
              </w:rPr>
              <w:t xml:space="preserve"> </w:t>
            </w:r>
            <w:r w:rsidRPr="00FC01F7">
              <w:rPr>
                <w:rFonts w:asciiTheme="minorHAnsi" w:hAnsiTheme="minorHAnsi" w:cstheme="minorHAnsi"/>
                <w:sz w:val="24"/>
                <w:szCs w:val="24"/>
              </w:rPr>
              <w:t>Baptist</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c>
          <w:tcPr>
            <w:tcW w:w="4675" w:type="dxa"/>
          </w:tcPr>
          <w:p w14:paraId="05E1EE23"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Specialty</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r w:rsidR="00CA398E" w:rsidRPr="00FC01F7" w14:paraId="009FB852" w14:textId="77777777" w:rsidTr="00D60D2C">
        <w:trPr>
          <w:cantSplit/>
          <w:trHeight w:val="292"/>
        </w:trPr>
        <w:tc>
          <w:tcPr>
            <w:tcW w:w="4675" w:type="dxa"/>
          </w:tcPr>
          <w:p w14:paraId="1845A9F9"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Northeast</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c>
          <w:tcPr>
            <w:tcW w:w="4675" w:type="dxa"/>
          </w:tcPr>
          <w:p w14:paraId="43968601" w14:textId="77777777" w:rsidR="00CA398E" w:rsidRPr="00FC01F7" w:rsidRDefault="00CA398E">
            <w:pPr>
              <w:pStyle w:val="TableParagraph"/>
              <w:spacing w:line="272" w:lineRule="exact"/>
              <w:ind w:left="107"/>
              <w:rPr>
                <w:rFonts w:asciiTheme="minorHAnsi" w:hAnsiTheme="minorHAnsi" w:cstheme="minorHAnsi"/>
                <w:sz w:val="24"/>
                <w:szCs w:val="24"/>
              </w:rPr>
            </w:pPr>
            <w:r w:rsidRPr="00FC01F7">
              <w:rPr>
                <w:rFonts w:asciiTheme="minorHAnsi" w:hAnsiTheme="minorHAnsi" w:cstheme="minorHAnsi"/>
                <w:sz w:val="24"/>
                <w:szCs w:val="24"/>
              </w:rPr>
              <w:t>Community-High</w:t>
            </w:r>
            <w:r w:rsidRPr="00FC01F7">
              <w:rPr>
                <w:rFonts w:asciiTheme="minorHAnsi" w:hAnsiTheme="minorHAnsi" w:cstheme="minorHAnsi"/>
                <w:spacing w:val="-4"/>
                <w:sz w:val="24"/>
                <w:szCs w:val="24"/>
              </w:rPr>
              <w:t xml:space="preserve"> </w:t>
            </w:r>
            <w:r w:rsidRPr="00FC01F7">
              <w:rPr>
                <w:rFonts w:asciiTheme="minorHAnsi" w:hAnsiTheme="minorHAnsi" w:cstheme="minorHAnsi"/>
                <w:sz w:val="24"/>
                <w:szCs w:val="24"/>
              </w:rPr>
              <w:t>Public</w:t>
            </w:r>
            <w:r w:rsidRPr="00FC01F7">
              <w:rPr>
                <w:rFonts w:asciiTheme="minorHAnsi" w:hAnsiTheme="minorHAnsi" w:cstheme="minorHAnsi"/>
                <w:spacing w:val="-5"/>
                <w:sz w:val="24"/>
                <w:szCs w:val="24"/>
              </w:rPr>
              <w:t xml:space="preserve"> </w:t>
            </w:r>
            <w:r w:rsidRPr="00FC01F7">
              <w:rPr>
                <w:rFonts w:asciiTheme="minorHAnsi" w:hAnsiTheme="minorHAnsi" w:cstheme="minorHAnsi"/>
                <w:spacing w:val="-2"/>
                <w:sz w:val="24"/>
                <w:szCs w:val="24"/>
              </w:rPr>
              <w:t>Payer</w:t>
            </w:r>
          </w:p>
        </w:tc>
      </w:tr>
      <w:tr w:rsidR="00CA398E" w:rsidRPr="00FC01F7" w14:paraId="5B7E997D" w14:textId="77777777" w:rsidTr="00D60D2C">
        <w:trPr>
          <w:cantSplit/>
          <w:trHeight w:val="294"/>
        </w:trPr>
        <w:tc>
          <w:tcPr>
            <w:tcW w:w="4675" w:type="dxa"/>
          </w:tcPr>
          <w:p w14:paraId="0A6EE11B" w14:textId="77777777" w:rsidR="00CA398E" w:rsidRPr="00FC01F7" w:rsidRDefault="00CA398E">
            <w:pPr>
              <w:pStyle w:val="TableParagraph"/>
              <w:spacing w:before="1" w:line="273" w:lineRule="exact"/>
              <w:ind w:left="107"/>
              <w:rPr>
                <w:rFonts w:asciiTheme="minorHAnsi" w:hAnsiTheme="minorHAnsi" w:cstheme="minorHAnsi"/>
                <w:sz w:val="24"/>
                <w:szCs w:val="24"/>
              </w:rPr>
            </w:pPr>
            <w:r w:rsidRPr="00FC01F7">
              <w:rPr>
                <w:rFonts w:asciiTheme="minorHAnsi" w:hAnsiTheme="minorHAnsi" w:cstheme="minorHAnsi"/>
                <w:sz w:val="24"/>
                <w:szCs w:val="24"/>
              </w:rPr>
              <w:t>Winchester</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c>
          <w:tcPr>
            <w:tcW w:w="4675" w:type="dxa"/>
          </w:tcPr>
          <w:p w14:paraId="5ABE8EF1" w14:textId="77777777" w:rsidR="00CA398E" w:rsidRPr="00FC01F7" w:rsidRDefault="00CA398E">
            <w:pPr>
              <w:pStyle w:val="TableParagraph"/>
              <w:spacing w:before="1" w:line="273" w:lineRule="exact"/>
              <w:ind w:left="107"/>
              <w:rPr>
                <w:rFonts w:asciiTheme="minorHAnsi" w:hAnsiTheme="minorHAnsi" w:cstheme="minorHAnsi"/>
                <w:sz w:val="24"/>
                <w:szCs w:val="24"/>
              </w:rPr>
            </w:pPr>
            <w:r w:rsidRPr="00FC01F7">
              <w:rPr>
                <w:rFonts w:asciiTheme="minorHAnsi" w:hAnsiTheme="minorHAnsi" w:cstheme="minorHAnsi"/>
                <w:sz w:val="24"/>
                <w:szCs w:val="24"/>
              </w:rPr>
              <w:t>Community</w:t>
            </w:r>
            <w:r w:rsidRPr="00FC01F7">
              <w:rPr>
                <w:rFonts w:asciiTheme="minorHAnsi" w:hAnsiTheme="minorHAnsi" w:cstheme="minorHAnsi"/>
                <w:spacing w:val="-1"/>
                <w:sz w:val="24"/>
                <w:szCs w:val="24"/>
              </w:rPr>
              <w:t xml:space="preserve"> </w:t>
            </w:r>
            <w:r w:rsidRPr="00FC01F7">
              <w:rPr>
                <w:rFonts w:asciiTheme="minorHAnsi" w:hAnsiTheme="minorHAnsi" w:cstheme="minorHAnsi"/>
                <w:spacing w:val="-2"/>
                <w:sz w:val="24"/>
                <w:szCs w:val="24"/>
              </w:rPr>
              <w:t>Hospital</w:t>
            </w:r>
          </w:p>
        </w:tc>
      </w:tr>
    </w:tbl>
    <w:p w14:paraId="22D34227" w14:textId="77777777" w:rsidR="00CA398E" w:rsidRPr="00FC01F7" w:rsidRDefault="00CA398E" w:rsidP="00CA398E">
      <w:pPr>
        <w:pStyle w:val="BodyText"/>
        <w:spacing w:before="4"/>
        <w:rPr>
          <w:rFonts w:asciiTheme="minorHAnsi" w:hAnsiTheme="minorHAnsi" w:cstheme="minorHAnsi"/>
          <w:sz w:val="24"/>
          <w:szCs w:val="24"/>
        </w:rPr>
      </w:pPr>
    </w:p>
    <w:p w14:paraId="5AB65806" w14:textId="308F6B84" w:rsidR="45C967FF" w:rsidRDefault="00CA398E" w:rsidP="00AA1A22">
      <w:pPr>
        <w:pStyle w:val="BodyText"/>
        <w:spacing w:after="100" w:afterAutospacing="1"/>
        <w:ind w:right="130"/>
        <w:rPr>
          <w:rFonts w:asciiTheme="minorHAnsi" w:hAnsiTheme="minorHAnsi"/>
          <w:sz w:val="24"/>
          <w:szCs w:val="24"/>
        </w:rPr>
      </w:pPr>
      <w:r w:rsidRPr="45C967FF">
        <w:rPr>
          <w:rFonts w:asciiTheme="minorHAnsi" w:hAnsiTheme="minorHAnsi"/>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sidRPr="45C967FF">
        <w:rPr>
          <w:rFonts w:asciiTheme="minorHAnsi" w:hAnsiTheme="minorHAnsi"/>
          <w:spacing w:val="-3"/>
          <w:sz w:val="24"/>
          <w:szCs w:val="24"/>
        </w:rPr>
        <w:t xml:space="preserve"> </w:t>
      </w:r>
      <w:r w:rsidRPr="45C967FF">
        <w:rPr>
          <w:rFonts w:asciiTheme="minorHAnsi" w:hAnsiTheme="minorHAnsi"/>
          <w:sz w:val="24"/>
          <w:szCs w:val="24"/>
        </w:rPr>
        <w:t>community</w:t>
      </w:r>
      <w:r w:rsidRPr="45C967FF">
        <w:rPr>
          <w:rFonts w:asciiTheme="minorHAnsi" w:hAnsiTheme="minorHAnsi"/>
          <w:spacing w:val="-3"/>
          <w:sz w:val="24"/>
          <w:szCs w:val="24"/>
        </w:rPr>
        <w:t xml:space="preserve"> </w:t>
      </w:r>
      <w:r w:rsidRPr="45C967FF">
        <w:rPr>
          <w:rFonts w:asciiTheme="minorHAnsi" w:hAnsiTheme="minorHAnsi"/>
          <w:sz w:val="24"/>
          <w:szCs w:val="24"/>
        </w:rPr>
        <w:t>hospitals</w:t>
      </w:r>
      <w:r w:rsidRPr="45C967FF">
        <w:rPr>
          <w:rFonts w:asciiTheme="minorHAnsi" w:hAnsiTheme="minorHAnsi"/>
          <w:spacing w:val="-3"/>
          <w:sz w:val="24"/>
          <w:szCs w:val="24"/>
        </w:rPr>
        <w:t xml:space="preserve"> </w:t>
      </w:r>
      <w:r w:rsidRPr="45C967FF">
        <w:rPr>
          <w:rFonts w:asciiTheme="minorHAnsi" w:hAnsiTheme="minorHAnsi"/>
          <w:sz w:val="24"/>
          <w:szCs w:val="24"/>
        </w:rPr>
        <w:t>and</w:t>
      </w:r>
      <w:r w:rsidRPr="45C967FF">
        <w:rPr>
          <w:rFonts w:asciiTheme="minorHAnsi" w:hAnsiTheme="minorHAnsi"/>
          <w:spacing w:val="-4"/>
          <w:sz w:val="24"/>
          <w:szCs w:val="24"/>
        </w:rPr>
        <w:t xml:space="preserve"> </w:t>
      </w:r>
      <w:r w:rsidRPr="45C967FF">
        <w:rPr>
          <w:rFonts w:asciiTheme="minorHAnsi" w:hAnsiTheme="minorHAnsi"/>
          <w:sz w:val="24"/>
          <w:szCs w:val="24"/>
        </w:rPr>
        <w:t>providers</w:t>
      </w:r>
      <w:r w:rsidRPr="45C967FF">
        <w:rPr>
          <w:rFonts w:asciiTheme="minorHAnsi" w:hAnsiTheme="minorHAnsi"/>
          <w:spacing w:val="-5"/>
          <w:sz w:val="24"/>
          <w:szCs w:val="24"/>
        </w:rPr>
        <w:t xml:space="preserve"> </w:t>
      </w:r>
      <w:r w:rsidRPr="45C967FF">
        <w:rPr>
          <w:rFonts w:asciiTheme="minorHAnsi" w:hAnsiTheme="minorHAnsi"/>
          <w:sz w:val="24"/>
          <w:szCs w:val="24"/>
        </w:rPr>
        <w:t>throughout</w:t>
      </w:r>
      <w:r w:rsidRPr="45C967FF">
        <w:rPr>
          <w:rFonts w:asciiTheme="minorHAnsi" w:hAnsiTheme="minorHAnsi"/>
          <w:spacing w:val="-2"/>
          <w:sz w:val="24"/>
          <w:szCs w:val="24"/>
        </w:rPr>
        <w:t xml:space="preserve"> </w:t>
      </w:r>
      <w:r w:rsidRPr="45C967FF">
        <w:rPr>
          <w:rFonts w:asciiTheme="minorHAnsi" w:hAnsiTheme="minorHAnsi"/>
          <w:sz w:val="24"/>
          <w:szCs w:val="24"/>
        </w:rPr>
        <w:t>Eastern</w:t>
      </w:r>
      <w:r w:rsidRPr="45C967FF">
        <w:rPr>
          <w:rFonts w:asciiTheme="minorHAnsi" w:hAnsiTheme="minorHAnsi"/>
          <w:spacing w:val="-3"/>
          <w:sz w:val="24"/>
          <w:szCs w:val="24"/>
        </w:rPr>
        <w:t xml:space="preserve"> </w:t>
      </w:r>
      <w:r w:rsidRPr="45C967FF">
        <w:rPr>
          <w:rFonts w:asciiTheme="minorHAnsi" w:hAnsiTheme="minorHAnsi"/>
          <w:sz w:val="24"/>
          <w:szCs w:val="24"/>
        </w:rPr>
        <w:t>Massachusetts</w:t>
      </w:r>
      <w:r w:rsidRPr="45C967FF">
        <w:rPr>
          <w:rFonts w:asciiTheme="minorHAnsi" w:hAnsiTheme="minorHAnsi"/>
          <w:spacing w:val="-4"/>
          <w:sz w:val="24"/>
          <w:szCs w:val="24"/>
        </w:rPr>
        <w:t xml:space="preserve"> </w:t>
      </w:r>
      <w:r w:rsidRPr="45C967FF">
        <w:rPr>
          <w:rFonts w:asciiTheme="minorHAnsi" w:hAnsiTheme="minorHAnsi"/>
          <w:sz w:val="24"/>
          <w:szCs w:val="24"/>
        </w:rPr>
        <w:t>to</w:t>
      </w:r>
      <w:r w:rsidRPr="45C967FF">
        <w:rPr>
          <w:rFonts w:asciiTheme="minorHAnsi" w:hAnsiTheme="minorHAnsi"/>
          <w:spacing w:val="-4"/>
          <w:sz w:val="24"/>
          <w:szCs w:val="24"/>
        </w:rPr>
        <w:t xml:space="preserve"> </w:t>
      </w:r>
      <w:r w:rsidRPr="45C967FF">
        <w:rPr>
          <w:rFonts w:asciiTheme="minorHAnsi" w:hAnsiTheme="minorHAnsi"/>
          <w:sz w:val="24"/>
          <w:szCs w:val="24"/>
        </w:rPr>
        <w:t>improve</w:t>
      </w:r>
      <w:r w:rsidRPr="45C967FF">
        <w:rPr>
          <w:rFonts w:asciiTheme="minorHAnsi" w:hAnsiTheme="minorHAnsi"/>
          <w:spacing w:val="-4"/>
          <w:sz w:val="24"/>
          <w:szCs w:val="24"/>
        </w:rPr>
        <w:t xml:space="preserve"> </w:t>
      </w:r>
      <w:r w:rsidRPr="45C967FF">
        <w:rPr>
          <w:rFonts w:asciiTheme="minorHAnsi" w:hAnsiTheme="minorHAnsi"/>
          <w:sz w:val="24"/>
          <w:szCs w:val="24"/>
        </w:rPr>
        <w:t>quality of care while managing medical costs.</w:t>
      </w:r>
    </w:p>
    <w:p w14:paraId="434FEC3F" w14:textId="6E2D31F3" w:rsidR="00CA398E" w:rsidRPr="00F240A8" w:rsidRDefault="00CA398E" w:rsidP="00CA398E">
      <w:pPr>
        <w:pStyle w:val="BodyText"/>
        <w:ind w:right="133"/>
        <w:rPr>
          <w:rFonts w:asciiTheme="minorHAnsi" w:hAnsiTheme="minorHAnsi" w:cstheme="minorHAnsi"/>
          <w:b/>
          <w:bCs/>
          <w:sz w:val="24"/>
          <w:szCs w:val="24"/>
        </w:rPr>
      </w:pPr>
      <w:r w:rsidRPr="00F240A8">
        <w:rPr>
          <w:rFonts w:asciiTheme="minorHAnsi" w:hAnsiTheme="minorHAnsi" w:cstheme="minorHAnsi"/>
          <w:b/>
          <w:bCs/>
          <w:sz w:val="24"/>
          <w:szCs w:val="24"/>
        </w:rPr>
        <w:t xml:space="preserve">Beth Israel Deaconess </w:t>
      </w:r>
      <w:r w:rsidR="00F240A8" w:rsidRPr="00F240A8">
        <w:rPr>
          <w:rFonts w:asciiTheme="minorHAnsi" w:hAnsiTheme="minorHAnsi" w:cstheme="minorHAnsi"/>
          <w:b/>
          <w:bCs/>
          <w:sz w:val="24"/>
          <w:szCs w:val="24"/>
        </w:rPr>
        <w:t>Medical Center (BIDMC)</w:t>
      </w:r>
      <w:r w:rsidRPr="00F240A8">
        <w:rPr>
          <w:rFonts w:asciiTheme="minorHAnsi" w:hAnsiTheme="minorHAnsi" w:cstheme="minorHAnsi"/>
          <w:b/>
          <w:bCs/>
          <w:sz w:val="24"/>
          <w:szCs w:val="24"/>
        </w:rPr>
        <w:t xml:space="preserve"> </w:t>
      </w:r>
    </w:p>
    <w:p w14:paraId="273486CC" w14:textId="537D751C" w:rsidR="004C545F" w:rsidRPr="005F45B6" w:rsidRDefault="004C545F" w:rsidP="00A32116">
      <w:pPr>
        <w:rPr>
          <w:rFonts w:cs="Times New Roman"/>
          <w:sz w:val="24"/>
          <w:szCs w:val="24"/>
        </w:rPr>
      </w:pPr>
      <w:r w:rsidRPr="00A32116">
        <w:rPr>
          <w:rFonts w:cs="Times New Roman"/>
          <w:sz w:val="24"/>
          <w:szCs w:val="24"/>
        </w:rPr>
        <w:t>BIDMC is</w:t>
      </w:r>
      <w:r w:rsidR="006F1FB1" w:rsidRPr="00A32116">
        <w:rPr>
          <w:sz w:val="24"/>
          <w:szCs w:val="24"/>
        </w:rPr>
        <w:t xml:space="preserve"> a non-profit, academic medical center and teaching affiliate of Harvard Medical School located in the Longwood Medical and Academic Area in Boston. </w:t>
      </w:r>
      <w:r w:rsidR="00360B9A" w:rsidRPr="00A32116">
        <w:rPr>
          <w:rFonts w:cs="Times New Roman"/>
          <w:sz w:val="24"/>
          <w:szCs w:val="24"/>
        </w:rPr>
        <w:t>BIDMC</w:t>
      </w:r>
      <w:r w:rsidR="00360B9A" w:rsidRPr="00360B9A">
        <w:rPr>
          <w:rFonts w:cs="Times New Roman"/>
          <w:sz w:val="24"/>
          <w:szCs w:val="24"/>
        </w:rPr>
        <w:t xml:space="preserve"> offers a full range of adult clinical services to patients in Eastern Massachusetts including cardiovascular care, cancer care, care for digestive diseases, OB/GYN, neonatology, neurosciences, orthopedics, psychiatry/behavioral health, transplantation, and emergency services and </w:t>
      </w:r>
      <w:r w:rsidR="00323714">
        <w:rPr>
          <w:rFonts w:cs="Times New Roman"/>
          <w:sz w:val="24"/>
          <w:szCs w:val="24"/>
        </w:rPr>
        <w:t xml:space="preserve">the Applicant states that the Hospital is known for </w:t>
      </w:r>
      <w:r w:rsidR="00360B9A" w:rsidRPr="00360B9A">
        <w:rPr>
          <w:rFonts w:cs="Times New Roman"/>
          <w:sz w:val="24"/>
          <w:szCs w:val="24"/>
        </w:rPr>
        <w:t>biomedical research, teaching, and community service.</w:t>
      </w:r>
    </w:p>
    <w:p w14:paraId="2524195A" w14:textId="52D89E78" w:rsidR="004C545F" w:rsidRPr="005F45B6" w:rsidRDefault="004C545F" w:rsidP="00360B9A">
      <w:pPr>
        <w:jc w:val="both"/>
        <w:rPr>
          <w:rFonts w:cs="Times New Roman"/>
          <w:sz w:val="24"/>
          <w:szCs w:val="24"/>
        </w:rPr>
      </w:pPr>
      <w:r w:rsidRPr="005F45B6">
        <w:rPr>
          <w:rFonts w:cs="Times New Roman"/>
          <w:sz w:val="24"/>
          <w:szCs w:val="24"/>
        </w:rPr>
        <w:t>BIDMC is contracted with BILHPN and currently participates in its subsidiary ACO, Beth Israel Deaconess Physician Organization, LLC (d/b/a Beth Israel Deaconess Care Organization (BIDCO).</w:t>
      </w:r>
    </w:p>
    <w:p w14:paraId="42287A01" w14:textId="77777777" w:rsidR="004C25F6" w:rsidRPr="00185FBE" w:rsidRDefault="004C25F6" w:rsidP="003227B8">
      <w:pPr>
        <w:spacing w:after="0"/>
        <w:rPr>
          <w:highlight w:val="yellow"/>
        </w:rPr>
      </w:pPr>
    </w:p>
    <w:p w14:paraId="3A682F02" w14:textId="5CAC82E9" w:rsidR="00FE0737" w:rsidRPr="002519C2" w:rsidRDefault="0024289A" w:rsidP="0024289A">
      <w:pPr>
        <w:spacing w:after="0" w:line="240" w:lineRule="auto"/>
        <w:rPr>
          <w:b/>
          <w:bCs/>
          <w:sz w:val="24"/>
          <w:szCs w:val="24"/>
        </w:rPr>
      </w:pPr>
      <w:r w:rsidRPr="002519C2">
        <w:rPr>
          <w:b/>
          <w:bCs/>
          <w:sz w:val="24"/>
          <w:szCs w:val="24"/>
        </w:rPr>
        <w:lastRenderedPageBreak/>
        <w:t>Proposed Project</w:t>
      </w:r>
    </w:p>
    <w:p w14:paraId="1A52CFDB" w14:textId="77777777" w:rsidR="00705A93" w:rsidRPr="00A17BCF" w:rsidRDefault="002B3C57" w:rsidP="00A0068E">
      <w:pPr>
        <w:spacing w:after="0" w:line="240" w:lineRule="auto"/>
        <w:rPr>
          <w:sz w:val="24"/>
          <w:szCs w:val="24"/>
        </w:rPr>
      </w:pPr>
      <w:r w:rsidRPr="00A17BCF">
        <w:rPr>
          <w:sz w:val="24"/>
          <w:szCs w:val="24"/>
        </w:rPr>
        <w:t xml:space="preserve">The Proposed Project </w:t>
      </w:r>
      <w:r w:rsidR="00B84F53" w:rsidRPr="00A17BCF">
        <w:rPr>
          <w:sz w:val="24"/>
          <w:szCs w:val="24"/>
        </w:rPr>
        <w:t>includes</w:t>
      </w:r>
      <w:r w:rsidRPr="00A17BCF">
        <w:rPr>
          <w:sz w:val="24"/>
          <w:szCs w:val="24"/>
        </w:rPr>
        <w:t xml:space="preserve"> </w:t>
      </w:r>
      <w:r w:rsidR="00705A93" w:rsidRPr="00A17BCF">
        <w:rPr>
          <w:sz w:val="24"/>
          <w:szCs w:val="24"/>
        </w:rPr>
        <w:t>three main components:</w:t>
      </w:r>
    </w:p>
    <w:p w14:paraId="2FB8DB6C" w14:textId="18269A5C" w:rsidR="009D423D" w:rsidRPr="008B0D26" w:rsidRDefault="0057517F" w:rsidP="00872CCA">
      <w:pPr>
        <w:pStyle w:val="ListParagraph"/>
        <w:numPr>
          <w:ilvl w:val="0"/>
          <w:numId w:val="8"/>
        </w:numPr>
        <w:spacing w:after="0" w:line="240" w:lineRule="auto"/>
        <w:rPr>
          <w:rFonts w:cstheme="minorHAnsi"/>
          <w:bCs/>
          <w:sz w:val="24"/>
          <w:szCs w:val="24"/>
        </w:rPr>
      </w:pPr>
      <w:r>
        <w:rPr>
          <w:rFonts w:cstheme="minorHAnsi"/>
          <w:bCs/>
          <w:sz w:val="24"/>
          <w:szCs w:val="24"/>
        </w:rPr>
        <w:t>R</w:t>
      </w:r>
      <w:r w:rsidR="00791B20" w:rsidRPr="008B0D26">
        <w:rPr>
          <w:rFonts w:cstheme="minorHAnsi"/>
          <w:bCs/>
          <w:sz w:val="24"/>
          <w:szCs w:val="24"/>
        </w:rPr>
        <w:t xml:space="preserve">elocate and expand the </w:t>
      </w:r>
      <w:r w:rsidR="00075D0A" w:rsidRPr="008B0D26">
        <w:rPr>
          <w:rFonts w:cstheme="minorHAnsi"/>
          <w:bCs/>
          <w:sz w:val="24"/>
          <w:szCs w:val="24"/>
        </w:rPr>
        <w:t xml:space="preserve">Hematology-Oncology and Infusion Clinic </w:t>
      </w:r>
      <w:r w:rsidR="00791B20" w:rsidRPr="008B0D26">
        <w:rPr>
          <w:rFonts w:cstheme="minorHAnsi"/>
          <w:bCs/>
          <w:sz w:val="24"/>
          <w:szCs w:val="24"/>
        </w:rPr>
        <w:t xml:space="preserve">currently located at Beth Israel Deaconess Hospital - Plymouth, Inc. (BID Plymouth) to a new location </w:t>
      </w:r>
      <w:r w:rsidR="00625B4D" w:rsidRPr="0044302B">
        <w:rPr>
          <w:rFonts w:cstheme="minorHAnsi"/>
          <w:bCs/>
          <w:sz w:val="24"/>
          <w:szCs w:val="24"/>
        </w:rPr>
        <w:t>at 10 Cordage Park Circle in Plymouth, Massachusetts</w:t>
      </w:r>
      <w:r w:rsidR="00625B4D" w:rsidRPr="008B0D26">
        <w:rPr>
          <w:rFonts w:cstheme="minorHAnsi"/>
          <w:bCs/>
          <w:sz w:val="24"/>
          <w:szCs w:val="24"/>
        </w:rPr>
        <w:t xml:space="preserve"> (</w:t>
      </w:r>
      <w:r w:rsidR="00E11970" w:rsidRPr="008B0D26">
        <w:rPr>
          <w:rFonts w:cstheme="minorHAnsi"/>
          <w:bCs/>
          <w:sz w:val="24"/>
          <w:szCs w:val="24"/>
        </w:rPr>
        <w:t xml:space="preserve">Cordage Park Satellite), </w:t>
      </w:r>
      <w:r w:rsidR="003102C0" w:rsidRPr="008B0D26">
        <w:rPr>
          <w:rFonts w:cstheme="minorHAnsi"/>
          <w:bCs/>
          <w:sz w:val="24"/>
          <w:szCs w:val="24"/>
        </w:rPr>
        <w:t xml:space="preserve">resulting in a </w:t>
      </w:r>
      <w:r w:rsidR="00CB652F" w:rsidRPr="008B0D26">
        <w:rPr>
          <w:rFonts w:cstheme="minorHAnsi"/>
          <w:bCs/>
          <w:sz w:val="24"/>
          <w:szCs w:val="24"/>
        </w:rPr>
        <w:t xml:space="preserve">transfer of site by lease and equipping of an approximately 29,704 square-foot </w:t>
      </w:r>
      <w:r w:rsidR="003102C0" w:rsidRPr="008B0D26">
        <w:rPr>
          <w:rFonts w:cstheme="minorHAnsi"/>
          <w:bCs/>
          <w:sz w:val="24"/>
          <w:szCs w:val="24"/>
        </w:rPr>
        <w:t>facility</w:t>
      </w:r>
      <w:r w:rsidR="00075D0A" w:rsidRPr="008B0D26">
        <w:rPr>
          <w:rFonts w:cstheme="minorHAnsi"/>
          <w:bCs/>
          <w:sz w:val="24"/>
          <w:szCs w:val="24"/>
        </w:rPr>
        <w:t>.</w:t>
      </w:r>
    </w:p>
    <w:p w14:paraId="0AAA9289" w14:textId="02D616BF" w:rsidR="00CB652F" w:rsidRPr="00E77DAE" w:rsidRDefault="00A01948" w:rsidP="00872CCA">
      <w:pPr>
        <w:pStyle w:val="ListParagraph"/>
        <w:numPr>
          <w:ilvl w:val="0"/>
          <w:numId w:val="8"/>
        </w:numPr>
        <w:spacing w:after="0" w:line="240" w:lineRule="auto"/>
        <w:rPr>
          <w:rFonts w:cs="Times New Roman"/>
          <w:sz w:val="24"/>
          <w:szCs w:val="24"/>
        </w:rPr>
      </w:pPr>
      <w:r>
        <w:rPr>
          <w:rFonts w:cs="Times New Roman"/>
          <w:sz w:val="24"/>
          <w:szCs w:val="24"/>
        </w:rPr>
        <w:t xml:space="preserve">Relocate and </w:t>
      </w:r>
      <w:r w:rsidR="004F68E9">
        <w:rPr>
          <w:rFonts w:cs="Times New Roman"/>
          <w:sz w:val="24"/>
          <w:szCs w:val="24"/>
        </w:rPr>
        <w:t>expand</w:t>
      </w:r>
      <w:r w:rsidR="00B0506D">
        <w:rPr>
          <w:rFonts w:cs="Times New Roman"/>
          <w:sz w:val="24"/>
          <w:szCs w:val="24"/>
        </w:rPr>
        <w:t xml:space="preserve"> specialty services at</w:t>
      </w:r>
      <w:r w:rsidR="004F68E9">
        <w:rPr>
          <w:rFonts w:cs="Times New Roman"/>
          <w:sz w:val="24"/>
          <w:szCs w:val="24"/>
        </w:rPr>
        <w:t xml:space="preserve"> </w:t>
      </w:r>
      <w:r w:rsidR="001F0218" w:rsidRPr="00E77DAE">
        <w:rPr>
          <w:rFonts w:cs="Times New Roman"/>
          <w:sz w:val="24"/>
          <w:szCs w:val="24"/>
        </w:rPr>
        <w:t>an approximately 100,000 square-foot, four story, multi-specialty site at 55 General McConville Way, Quincy</w:t>
      </w:r>
      <w:r w:rsidR="00865EA7">
        <w:rPr>
          <w:rFonts w:cs="Times New Roman"/>
          <w:sz w:val="24"/>
          <w:szCs w:val="24"/>
        </w:rPr>
        <w:t xml:space="preserve"> (Quincy Satellite)</w:t>
      </w:r>
      <w:r w:rsidR="008B0D26" w:rsidRPr="00E77DAE">
        <w:rPr>
          <w:rFonts w:cs="Times New Roman"/>
          <w:sz w:val="24"/>
          <w:szCs w:val="24"/>
        </w:rPr>
        <w:t xml:space="preserve"> that will provide </w:t>
      </w:r>
      <w:r w:rsidR="00E77DAE" w:rsidRPr="00E77DAE">
        <w:rPr>
          <w:rFonts w:cs="Times New Roman"/>
          <w:sz w:val="24"/>
          <w:szCs w:val="24"/>
        </w:rPr>
        <w:t>primary care, urgent care, OB/GYN, orthopedics, hematology-oncology, cardiology, gastroenterology, lab, and diagnostic imaging services.</w:t>
      </w:r>
    </w:p>
    <w:p w14:paraId="657CB21B" w14:textId="6D3C5B57" w:rsidR="00EF790F" w:rsidRDefault="00EB6D0E" w:rsidP="00872CCA">
      <w:pPr>
        <w:pStyle w:val="ListParagraph"/>
        <w:numPr>
          <w:ilvl w:val="0"/>
          <w:numId w:val="8"/>
        </w:numPr>
        <w:spacing w:after="0" w:line="240" w:lineRule="auto"/>
        <w:rPr>
          <w:rFonts w:cs="Times New Roman"/>
          <w:sz w:val="24"/>
          <w:szCs w:val="24"/>
        </w:rPr>
      </w:pPr>
      <w:r>
        <w:rPr>
          <w:rFonts w:cs="Times New Roman"/>
          <w:sz w:val="24"/>
          <w:szCs w:val="24"/>
        </w:rPr>
        <w:t>Include</w:t>
      </w:r>
      <w:r w:rsidR="0057517F">
        <w:rPr>
          <w:rFonts w:cs="Times New Roman"/>
          <w:sz w:val="24"/>
          <w:szCs w:val="24"/>
        </w:rPr>
        <w:t xml:space="preserve"> </w:t>
      </w:r>
      <w:r w:rsidR="00865EA7">
        <w:rPr>
          <w:rFonts w:cs="Times New Roman"/>
          <w:sz w:val="24"/>
          <w:szCs w:val="24"/>
        </w:rPr>
        <w:t>required equipment</w:t>
      </w:r>
      <w:r w:rsidR="00EF790F">
        <w:rPr>
          <w:rFonts w:cs="Times New Roman"/>
          <w:sz w:val="24"/>
          <w:szCs w:val="24"/>
        </w:rPr>
        <w:t xml:space="preserve"> </w:t>
      </w:r>
      <w:r w:rsidR="00EF790F" w:rsidRPr="00E77DAE">
        <w:rPr>
          <w:rFonts w:cs="Times New Roman"/>
          <w:sz w:val="24"/>
          <w:szCs w:val="24"/>
        </w:rPr>
        <w:t>at the Quincy Satellite</w:t>
      </w:r>
      <w:r w:rsidR="0057517F">
        <w:rPr>
          <w:rFonts w:cs="Times New Roman"/>
          <w:sz w:val="24"/>
          <w:szCs w:val="24"/>
        </w:rPr>
        <w:t>:</w:t>
      </w:r>
      <w:r w:rsidR="00865EA7">
        <w:rPr>
          <w:rFonts w:cs="Times New Roman"/>
          <w:sz w:val="24"/>
          <w:szCs w:val="24"/>
        </w:rPr>
        <w:t xml:space="preserve"> </w:t>
      </w:r>
    </w:p>
    <w:p w14:paraId="6D7ACE48" w14:textId="6B268193" w:rsidR="00EF790F" w:rsidRDefault="00A17BCF" w:rsidP="00872CCA">
      <w:pPr>
        <w:pStyle w:val="ListParagraph"/>
        <w:numPr>
          <w:ilvl w:val="1"/>
          <w:numId w:val="9"/>
        </w:numPr>
        <w:spacing w:after="0" w:line="240" w:lineRule="auto"/>
        <w:rPr>
          <w:rFonts w:cs="Times New Roman"/>
          <w:sz w:val="24"/>
          <w:szCs w:val="24"/>
        </w:rPr>
      </w:pPr>
      <w:r w:rsidRPr="00E77DAE">
        <w:rPr>
          <w:rFonts w:cs="Times New Roman"/>
          <w:sz w:val="24"/>
          <w:szCs w:val="24"/>
        </w:rPr>
        <w:t xml:space="preserve">one computerized tomography </w:t>
      </w:r>
      <w:r w:rsidR="00273AFD">
        <w:rPr>
          <w:rFonts w:cs="Times New Roman"/>
          <w:sz w:val="24"/>
          <w:szCs w:val="24"/>
        </w:rPr>
        <w:t xml:space="preserve">(CT) </w:t>
      </w:r>
      <w:r w:rsidR="004B24B4">
        <w:rPr>
          <w:rFonts w:cs="Times New Roman"/>
          <w:sz w:val="24"/>
          <w:szCs w:val="24"/>
        </w:rPr>
        <w:t>unit</w:t>
      </w:r>
    </w:p>
    <w:p w14:paraId="3F601676" w14:textId="5FF5994F" w:rsidR="009D423D" w:rsidRPr="00A90B54" w:rsidRDefault="00A17BCF" w:rsidP="00872CCA">
      <w:pPr>
        <w:pStyle w:val="ListParagraph"/>
        <w:numPr>
          <w:ilvl w:val="1"/>
          <w:numId w:val="9"/>
        </w:numPr>
        <w:spacing w:after="0" w:line="240" w:lineRule="auto"/>
        <w:rPr>
          <w:rFonts w:cs="Times New Roman"/>
          <w:sz w:val="24"/>
          <w:szCs w:val="24"/>
        </w:rPr>
      </w:pPr>
      <w:r w:rsidRPr="00E77DAE">
        <w:rPr>
          <w:rFonts w:cs="Times New Roman"/>
          <w:sz w:val="24"/>
          <w:szCs w:val="24"/>
        </w:rPr>
        <w:t>one magnetic resonance imager</w:t>
      </w:r>
      <w:r w:rsidR="00273AFD">
        <w:rPr>
          <w:rFonts w:cs="Times New Roman"/>
          <w:sz w:val="24"/>
          <w:szCs w:val="24"/>
        </w:rPr>
        <w:t xml:space="preserve"> (MRI)</w:t>
      </w:r>
    </w:p>
    <w:p w14:paraId="18B11A81" w14:textId="77777777" w:rsidR="009D423D" w:rsidRPr="00185FBE" w:rsidRDefault="009D423D" w:rsidP="00A0068E">
      <w:pPr>
        <w:spacing w:after="0" w:line="240" w:lineRule="auto"/>
        <w:rPr>
          <w:sz w:val="24"/>
          <w:szCs w:val="24"/>
          <w:highlight w:val="yellow"/>
        </w:rPr>
      </w:pPr>
    </w:p>
    <w:p w14:paraId="101FEAA0" w14:textId="1F6EB34A" w:rsidR="00A0068E" w:rsidRPr="00185FBE" w:rsidRDefault="00125A8A" w:rsidP="00F6790E">
      <w:pPr>
        <w:spacing w:after="0" w:line="240" w:lineRule="auto"/>
        <w:rPr>
          <w:sz w:val="24"/>
          <w:szCs w:val="24"/>
          <w:highlight w:val="yellow"/>
        </w:rPr>
      </w:pPr>
      <w:r w:rsidRPr="00BB5C4B">
        <w:rPr>
          <w:sz w:val="24"/>
          <w:szCs w:val="24"/>
        </w:rPr>
        <w:t xml:space="preserve">The Cordage Park Satellite and Quincy Satellites (collectively </w:t>
      </w:r>
      <w:r w:rsidR="008F4DBC" w:rsidRPr="00BB5C4B">
        <w:rPr>
          <w:sz w:val="24"/>
          <w:szCs w:val="24"/>
        </w:rPr>
        <w:t>“The Satellites”) are expected t</w:t>
      </w:r>
      <w:r w:rsidR="0030383E" w:rsidRPr="00BB5C4B">
        <w:rPr>
          <w:sz w:val="24"/>
          <w:szCs w:val="24"/>
        </w:rPr>
        <w:t xml:space="preserve">o expand access to </w:t>
      </w:r>
      <w:r w:rsidR="00BB5C4B" w:rsidRPr="00BB5C4B">
        <w:rPr>
          <w:sz w:val="24"/>
          <w:szCs w:val="24"/>
        </w:rPr>
        <w:t>hematology-oncology and infusion, primary, specialty, and diagnostic care within the respective communities.</w:t>
      </w:r>
      <w:r w:rsidR="003227B8" w:rsidRPr="00A10A16">
        <w:rPr>
          <w:sz w:val="24"/>
          <w:szCs w:val="24"/>
        </w:rPr>
        <w:t xml:space="preserve"> </w:t>
      </w:r>
      <w:r w:rsidR="00A10A16" w:rsidRPr="00A10A16">
        <w:rPr>
          <w:sz w:val="24"/>
          <w:szCs w:val="24"/>
        </w:rPr>
        <w:t>The Satellites will be licensed as BIDMC hospital-based satellites and will be run as a hospital outpatient department (HOPD) of BIDMC</w:t>
      </w:r>
      <w:r w:rsidR="00F33C3F">
        <w:rPr>
          <w:sz w:val="24"/>
          <w:szCs w:val="24"/>
        </w:rPr>
        <w:t xml:space="preserve">, which will expand </w:t>
      </w:r>
      <w:r w:rsidR="00DE76D3">
        <w:rPr>
          <w:sz w:val="24"/>
          <w:szCs w:val="24"/>
        </w:rPr>
        <w:t>regional</w:t>
      </w:r>
      <w:r w:rsidR="00F33C3F">
        <w:rPr>
          <w:sz w:val="24"/>
          <w:szCs w:val="24"/>
        </w:rPr>
        <w:t xml:space="preserve"> access to </w:t>
      </w:r>
      <w:r w:rsidR="00173417">
        <w:rPr>
          <w:sz w:val="24"/>
          <w:szCs w:val="24"/>
        </w:rPr>
        <w:t>complex clinical services</w:t>
      </w:r>
      <w:r w:rsidR="00030FB5">
        <w:rPr>
          <w:sz w:val="24"/>
          <w:szCs w:val="24"/>
        </w:rPr>
        <w:t xml:space="preserve"> at a lower cost than many of the </w:t>
      </w:r>
      <w:r w:rsidR="00BB1A53" w:rsidRPr="00BB1A53">
        <w:rPr>
          <w:sz w:val="24"/>
          <w:szCs w:val="24"/>
        </w:rPr>
        <w:t>other Greater Boston academic medical centers</w:t>
      </w:r>
      <w:r w:rsidR="00EC6620">
        <w:rPr>
          <w:sz w:val="24"/>
          <w:szCs w:val="24"/>
        </w:rPr>
        <w:t>.</w:t>
      </w:r>
    </w:p>
    <w:p w14:paraId="43D7C166" w14:textId="77777777" w:rsidR="006672D1" w:rsidRPr="001012C7" w:rsidRDefault="006672D1" w:rsidP="006672D1">
      <w:pPr>
        <w:pStyle w:val="Heading1"/>
        <w:spacing w:line="240" w:lineRule="auto"/>
        <w:rPr>
          <w:rFonts w:cstheme="minorHAnsi"/>
        </w:rPr>
      </w:pPr>
      <w:bookmarkStart w:id="2" w:name="_Toc144207766"/>
      <w:bookmarkStart w:id="3" w:name="_Toc196819104"/>
      <w:r w:rsidRPr="001012C7">
        <w:rPr>
          <w:rFonts w:cstheme="minorHAnsi"/>
        </w:rPr>
        <w:t>Factor 1</w:t>
      </w:r>
      <w:bookmarkEnd w:id="2"/>
      <w:bookmarkEnd w:id="3"/>
      <w:r w:rsidRPr="001012C7">
        <w:rPr>
          <w:rFonts w:cstheme="minorHAnsi"/>
        </w:rPr>
        <w:t xml:space="preserve"> </w:t>
      </w:r>
    </w:p>
    <w:p w14:paraId="4723352E" w14:textId="79D239E2" w:rsidR="006672D1" w:rsidRPr="001012C7" w:rsidRDefault="006672D1" w:rsidP="006672D1">
      <w:pPr>
        <w:pStyle w:val="NoSpacing"/>
        <w:contextualSpacing/>
        <w:rPr>
          <w:sz w:val="24"/>
          <w:szCs w:val="24"/>
        </w:rPr>
      </w:pPr>
      <w:r w:rsidRPr="001012C7">
        <w:rPr>
          <w:sz w:val="24"/>
          <w:szCs w:val="24"/>
        </w:rPr>
        <w:t xml:space="preserve">In this section, we assess if the Applicant has sufficiently addressed Patient Panel need, public health value, competitiveness and cost containment, as well as community engagement for the </w:t>
      </w:r>
      <w:r w:rsidR="001012C7" w:rsidRPr="001012C7">
        <w:rPr>
          <w:sz w:val="24"/>
          <w:szCs w:val="24"/>
        </w:rPr>
        <w:t>establishment of the Satellites.</w:t>
      </w:r>
    </w:p>
    <w:p w14:paraId="6A330F1D" w14:textId="77777777" w:rsidR="006672D1" w:rsidRPr="00185FBE" w:rsidRDefault="006672D1" w:rsidP="00F6790E">
      <w:pPr>
        <w:spacing w:after="0" w:line="240" w:lineRule="auto"/>
        <w:rPr>
          <w:sz w:val="24"/>
          <w:szCs w:val="24"/>
          <w:highlight w:val="yellow"/>
        </w:rPr>
      </w:pPr>
    </w:p>
    <w:p w14:paraId="72606428" w14:textId="4CB0052C" w:rsidR="00513147" w:rsidRPr="00A10A16" w:rsidRDefault="00D57998" w:rsidP="002B05B4">
      <w:pPr>
        <w:pStyle w:val="Heading1"/>
      </w:pPr>
      <w:bookmarkStart w:id="4" w:name="_Toc196819105"/>
      <w:r w:rsidRPr="00A10A16">
        <w:t>Patient Panel</w:t>
      </w:r>
      <w:r w:rsidR="0017637D" w:rsidRPr="00A10A16">
        <w:rPr>
          <w:rStyle w:val="FootnoteReference"/>
        </w:rPr>
        <w:footnoteReference w:id="2"/>
      </w:r>
      <w:bookmarkEnd w:id="4"/>
      <w:r w:rsidRPr="00A10A16">
        <w:rPr>
          <w:vertAlign w:val="superscript"/>
        </w:rPr>
        <w:t xml:space="preserve"> </w:t>
      </w:r>
    </w:p>
    <w:p w14:paraId="08253969" w14:textId="632790A4" w:rsidR="00A261C4" w:rsidRDefault="00A261C4" w:rsidP="00A261C4">
      <w:pPr>
        <w:spacing w:after="0" w:line="240" w:lineRule="auto"/>
        <w:rPr>
          <w:sz w:val="24"/>
          <w:szCs w:val="24"/>
        </w:rPr>
      </w:pPr>
      <w:r w:rsidRPr="4E898A69">
        <w:rPr>
          <w:color w:val="191919"/>
          <w:sz w:val="24"/>
          <w:szCs w:val="24"/>
        </w:rPr>
        <w:t>The Applicant</w:t>
      </w:r>
      <w:r>
        <w:rPr>
          <w:color w:val="191919"/>
          <w:sz w:val="24"/>
          <w:szCs w:val="24"/>
        </w:rPr>
        <w:t xml:space="preserve">’s system-wide Patient Panel demographics, located in Appendix II, show that </w:t>
      </w:r>
      <w:r w:rsidRPr="007E07F7">
        <w:rPr>
          <w:rFonts w:cstheme="minorHAnsi"/>
          <w:sz w:val="24"/>
          <w:szCs w:val="24"/>
        </w:rPr>
        <w:t xml:space="preserve">Patients aged 65+ were the largest patient cohort </w:t>
      </w:r>
      <w:r>
        <w:rPr>
          <w:rFonts w:cstheme="minorHAnsi"/>
          <w:sz w:val="24"/>
          <w:szCs w:val="24"/>
        </w:rPr>
        <w:t xml:space="preserve">with </w:t>
      </w:r>
      <w:r w:rsidRPr="007E07F7">
        <w:rPr>
          <w:rFonts w:cstheme="minorHAnsi"/>
          <w:sz w:val="24"/>
          <w:szCs w:val="24"/>
        </w:rPr>
        <w:t>greater than 30% of unique patients</w:t>
      </w:r>
      <w:r>
        <w:rPr>
          <w:rFonts w:cstheme="minorHAnsi"/>
          <w:sz w:val="24"/>
          <w:szCs w:val="24"/>
        </w:rPr>
        <w:t xml:space="preserve">, </w:t>
      </w:r>
      <w:r>
        <w:rPr>
          <w:sz w:val="24"/>
          <w:szCs w:val="24"/>
        </w:rPr>
        <w:t>t</w:t>
      </w:r>
      <w:r w:rsidRPr="00A17DAB">
        <w:rPr>
          <w:rFonts w:cstheme="minorHAnsi"/>
          <w:sz w:val="24"/>
          <w:szCs w:val="24"/>
        </w:rPr>
        <w:t xml:space="preserve">he vast majority </w:t>
      </w:r>
      <w:r>
        <w:rPr>
          <w:rFonts w:cstheme="minorHAnsi"/>
          <w:sz w:val="24"/>
          <w:szCs w:val="24"/>
        </w:rPr>
        <w:t xml:space="preserve">(over 75%) </w:t>
      </w:r>
      <w:r w:rsidRPr="00A17DAB">
        <w:rPr>
          <w:rFonts w:cstheme="minorHAnsi"/>
          <w:sz w:val="24"/>
          <w:szCs w:val="24"/>
        </w:rPr>
        <w:t>of the patients identify as white</w:t>
      </w:r>
      <w:r>
        <w:rPr>
          <w:rFonts w:cstheme="minorHAnsi"/>
          <w:sz w:val="24"/>
          <w:szCs w:val="24"/>
        </w:rPr>
        <w:t xml:space="preserve">, and Not Hispanic/Latino, and the </w:t>
      </w:r>
      <w:r w:rsidRPr="00D312CB">
        <w:rPr>
          <w:rFonts w:cstheme="minorHAnsi"/>
          <w:sz w:val="24"/>
          <w:szCs w:val="24"/>
        </w:rPr>
        <w:t xml:space="preserve">percentage of Medicaid/ Medicare patients </w:t>
      </w:r>
      <w:r>
        <w:rPr>
          <w:rFonts w:cstheme="minorHAnsi"/>
          <w:sz w:val="24"/>
          <w:szCs w:val="24"/>
        </w:rPr>
        <w:t xml:space="preserve">was </w:t>
      </w:r>
      <w:r w:rsidRPr="00D312CB">
        <w:rPr>
          <w:rFonts w:cstheme="minorHAnsi"/>
          <w:sz w:val="24"/>
          <w:szCs w:val="24"/>
        </w:rPr>
        <w:t>46.1%</w:t>
      </w:r>
      <w:r>
        <w:rPr>
          <w:rFonts w:cstheme="minorHAnsi"/>
          <w:sz w:val="24"/>
          <w:szCs w:val="24"/>
        </w:rPr>
        <w:t xml:space="preserve">. The Applicant </w:t>
      </w:r>
      <w:r w:rsidRPr="4E898A69">
        <w:rPr>
          <w:color w:val="191919"/>
          <w:sz w:val="24"/>
          <w:szCs w:val="24"/>
        </w:rPr>
        <w:t>provided data showing that the top 1</w:t>
      </w:r>
      <w:r>
        <w:rPr>
          <w:color w:val="191919"/>
          <w:sz w:val="24"/>
          <w:szCs w:val="24"/>
        </w:rPr>
        <w:t>5</w:t>
      </w:r>
      <w:r w:rsidRPr="4E898A69">
        <w:rPr>
          <w:color w:val="191919"/>
          <w:sz w:val="24"/>
          <w:szCs w:val="24"/>
        </w:rPr>
        <w:t xml:space="preserve"> patient origins of their </w:t>
      </w:r>
      <w:r>
        <w:rPr>
          <w:color w:val="191919"/>
          <w:sz w:val="24"/>
          <w:szCs w:val="24"/>
        </w:rPr>
        <w:t xml:space="preserve">BILH system-wide </w:t>
      </w:r>
      <w:r w:rsidRPr="4E898A69">
        <w:rPr>
          <w:color w:val="191919"/>
          <w:sz w:val="24"/>
          <w:szCs w:val="24"/>
        </w:rPr>
        <w:t>Patient Panel included Plymouth, Woburn, Beverly, Peabody, Gloucester, Quincy, Boston, Cambridge, Billerica, Burlington, Dorchester, Arlington, Danvers, Medford, and Wilmington</w:t>
      </w:r>
      <w:r w:rsidRPr="4E898A69">
        <w:rPr>
          <w:rStyle w:val="FootnoteReference"/>
          <w:color w:val="191919"/>
          <w:sz w:val="24"/>
          <w:szCs w:val="24"/>
        </w:rPr>
        <w:footnoteReference w:id="3"/>
      </w:r>
      <w:r w:rsidRPr="4E898A69">
        <w:rPr>
          <w:color w:val="191919"/>
          <w:sz w:val="24"/>
          <w:szCs w:val="24"/>
        </w:rPr>
        <w:t>.</w:t>
      </w:r>
      <w:r w:rsidRPr="4E898A69">
        <w:rPr>
          <w:color w:val="191919"/>
        </w:rPr>
        <w:t xml:space="preserve"> </w:t>
      </w:r>
    </w:p>
    <w:p w14:paraId="1694BEAA" w14:textId="77777777" w:rsidR="00A261C4" w:rsidRDefault="00A261C4" w:rsidP="00290E5C">
      <w:pPr>
        <w:spacing w:after="0" w:line="240" w:lineRule="auto"/>
        <w:rPr>
          <w:sz w:val="24"/>
          <w:szCs w:val="24"/>
        </w:rPr>
      </w:pPr>
    </w:p>
    <w:p w14:paraId="685CCE24" w14:textId="788E276E" w:rsidR="004609C1" w:rsidRPr="004609C1" w:rsidRDefault="009216E2" w:rsidP="004609C1">
      <w:pPr>
        <w:spacing w:after="0" w:line="240" w:lineRule="auto"/>
        <w:rPr>
          <w:sz w:val="24"/>
          <w:szCs w:val="24"/>
        </w:rPr>
      </w:pPr>
      <w:r w:rsidRPr="61C08B52">
        <w:rPr>
          <w:sz w:val="24"/>
          <w:szCs w:val="24"/>
        </w:rPr>
        <w:t>The Proposed Project is for two new Satellite site</w:t>
      </w:r>
      <w:r w:rsidR="00FD76E8" w:rsidRPr="61C08B52">
        <w:rPr>
          <w:sz w:val="24"/>
          <w:szCs w:val="24"/>
        </w:rPr>
        <w:t>s</w:t>
      </w:r>
      <w:r w:rsidR="0099795E">
        <w:rPr>
          <w:sz w:val="24"/>
          <w:szCs w:val="24"/>
        </w:rPr>
        <w:t>.</w:t>
      </w:r>
      <w:r w:rsidRPr="61C08B52">
        <w:rPr>
          <w:sz w:val="24"/>
          <w:szCs w:val="24"/>
        </w:rPr>
        <w:t xml:space="preserve"> </w:t>
      </w:r>
      <w:r w:rsidR="0099795E" w:rsidRPr="0099795E">
        <w:rPr>
          <w:sz w:val="24"/>
          <w:szCs w:val="24"/>
        </w:rPr>
        <w:t>The patient population for the Proposed Project has yet to be fully established. However, each satellite site will incorporate some existing patient populations as those services are relocated.</w:t>
      </w:r>
      <w:r w:rsidRPr="61C08B52">
        <w:rPr>
          <w:sz w:val="24"/>
          <w:szCs w:val="24"/>
        </w:rPr>
        <w:t xml:space="preserve"> </w:t>
      </w:r>
      <w:r w:rsidR="0099795E">
        <w:rPr>
          <w:sz w:val="24"/>
          <w:szCs w:val="24"/>
        </w:rPr>
        <w:t>Additionally, t</w:t>
      </w:r>
      <w:r w:rsidR="00EB4733" w:rsidRPr="61C08B52">
        <w:rPr>
          <w:sz w:val="24"/>
          <w:szCs w:val="24"/>
        </w:rPr>
        <w:t xml:space="preserve">he </w:t>
      </w:r>
      <w:r w:rsidR="00FD76E8" w:rsidRPr="61C08B52">
        <w:rPr>
          <w:sz w:val="24"/>
          <w:szCs w:val="24"/>
        </w:rPr>
        <w:t>Satellites</w:t>
      </w:r>
      <w:r w:rsidR="00EB4733" w:rsidRPr="61C08B52">
        <w:rPr>
          <w:sz w:val="24"/>
          <w:szCs w:val="24"/>
        </w:rPr>
        <w:t xml:space="preserve"> will </w:t>
      </w:r>
      <w:r w:rsidR="00EB4733" w:rsidRPr="61C08B52">
        <w:rPr>
          <w:sz w:val="24"/>
          <w:szCs w:val="24"/>
        </w:rPr>
        <w:lastRenderedPageBreak/>
        <w:t xml:space="preserve">serve patients currently receiving care </w:t>
      </w:r>
      <w:r w:rsidR="00C0630B" w:rsidRPr="61C08B52">
        <w:rPr>
          <w:sz w:val="24"/>
          <w:szCs w:val="24"/>
        </w:rPr>
        <w:t>at the Applicant’s member hospitals and community satellites</w:t>
      </w:r>
      <w:r w:rsidR="00EB4733" w:rsidRPr="61C08B52">
        <w:rPr>
          <w:sz w:val="24"/>
          <w:szCs w:val="24"/>
        </w:rPr>
        <w:t xml:space="preserve"> Plymouth, Quincy, and surrounding communities. Therefore, the Applicant relied on </w:t>
      </w:r>
      <w:r w:rsidR="00A53D13" w:rsidRPr="61C08B52">
        <w:rPr>
          <w:sz w:val="24"/>
          <w:szCs w:val="24"/>
        </w:rPr>
        <w:t>p</w:t>
      </w:r>
      <w:r w:rsidR="00EB4733" w:rsidRPr="61C08B52">
        <w:rPr>
          <w:sz w:val="24"/>
          <w:szCs w:val="24"/>
        </w:rPr>
        <w:t xml:space="preserve">atient </w:t>
      </w:r>
      <w:r w:rsidR="00A53D13" w:rsidRPr="61C08B52">
        <w:rPr>
          <w:sz w:val="24"/>
          <w:szCs w:val="24"/>
        </w:rPr>
        <w:t xml:space="preserve">population </w:t>
      </w:r>
      <w:r w:rsidR="00EB4733" w:rsidRPr="61C08B52">
        <w:rPr>
          <w:sz w:val="24"/>
          <w:szCs w:val="24"/>
        </w:rPr>
        <w:t>data from existing sites located at BID-Plymouth, Beth Israel Lahey Health Primary Care Quincy Square (BILHPC Quincy), BILH Urgent Care Quincy,</w:t>
      </w:r>
      <w:r w:rsidR="00EB4733" w:rsidRPr="0099795E">
        <w:rPr>
          <w:sz w:val="24"/>
          <w:szCs w:val="24"/>
          <w:vertAlign w:val="superscript"/>
        </w:rPr>
        <w:footnoteReference w:id="4"/>
      </w:r>
      <w:r w:rsidR="00EB4733" w:rsidRPr="0099795E">
        <w:rPr>
          <w:sz w:val="24"/>
          <w:szCs w:val="24"/>
          <w:vertAlign w:val="superscript"/>
        </w:rPr>
        <w:t xml:space="preserve"> </w:t>
      </w:r>
      <w:r w:rsidR="00EB4733" w:rsidRPr="61C08B52">
        <w:rPr>
          <w:sz w:val="24"/>
          <w:szCs w:val="24"/>
        </w:rPr>
        <w:t>and Beth Israel Deaconess Milton Hospital (BID Milton) to determine the need for the Proposed Project.</w:t>
      </w:r>
      <w:r w:rsidR="005A6698" w:rsidRPr="61C08B52">
        <w:rPr>
          <w:sz w:val="24"/>
          <w:szCs w:val="24"/>
        </w:rPr>
        <w:t xml:space="preserve"> </w:t>
      </w:r>
      <w:r w:rsidR="005217B4" w:rsidRPr="61C08B52">
        <w:rPr>
          <w:sz w:val="24"/>
          <w:szCs w:val="24"/>
        </w:rPr>
        <w:t xml:space="preserve">Staff finds this is an acceptable way to define </w:t>
      </w:r>
      <w:r w:rsidR="006D7F63" w:rsidRPr="61C08B52">
        <w:rPr>
          <w:sz w:val="24"/>
          <w:szCs w:val="24"/>
        </w:rPr>
        <w:t>patient population</w:t>
      </w:r>
      <w:r w:rsidR="000E12D1" w:rsidRPr="61C08B52">
        <w:rPr>
          <w:sz w:val="24"/>
          <w:szCs w:val="24"/>
        </w:rPr>
        <w:t xml:space="preserve"> for the proposed Satellites</w:t>
      </w:r>
      <w:r w:rsidR="005217B4" w:rsidRPr="61C08B52">
        <w:rPr>
          <w:sz w:val="24"/>
          <w:szCs w:val="24"/>
        </w:rPr>
        <w:t>.</w:t>
      </w:r>
      <w:r w:rsidR="00EB4733" w:rsidRPr="61C08B52">
        <w:rPr>
          <w:sz w:val="24"/>
          <w:szCs w:val="24"/>
        </w:rPr>
        <w:t xml:space="preserve"> </w:t>
      </w:r>
      <w:r w:rsidR="00290E5C" w:rsidRPr="61C08B52">
        <w:rPr>
          <w:sz w:val="24"/>
          <w:szCs w:val="24"/>
        </w:rPr>
        <w:t xml:space="preserve">Table </w:t>
      </w:r>
      <w:r w:rsidR="00EB4733" w:rsidRPr="61C08B52">
        <w:rPr>
          <w:sz w:val="24"/>
          <w:szCs w:val="24"/>
        </w:rPr>
        <w:t>2</w:t>
      </w:r>
      <w:r w:rsidR="00E76908" w:rsidRPr="61C08B52">
        <w:rPr>
          <w:sz w:val="24"/>
          <w:szCs w:val="24"/>
        </w:rPr>
        <w:t xml:space="preserve"> </w:t>
      </w:r>
      <w:r w:rsidR="00290E5C" w:rsidRPr="61C08B52">
        <w:rPr>
          <w:sz w:val="24"/>
          <w:szCs w:val="24"/>
        </w:rPr>
        <w:t xml:space="preserve">below shows the </w:t>
      </w:r>
      <w:r w:rsidR="00A53D13" w:rsidRPr="61C08B52">
        <w:rPr>
          <w:sz w:val="24"/>
          <w:szCs w:val="24"/>
        </w:rPr>
        <w:t>patient populations</w:t>
      </w:r>
      <w:r w:rsidR="003D12BC" w:rsidRPr="61C08B52">
        <w:rPr>
          <w:sz w:val="24"/>
          <w:szCs w:val="24"/>
        </w:rPr>
        <w:t xml:space="preserve"> </w:t>
      </w:r>
      <w:r w:rsidR="003C7B13" w:rsidRPr="61C08B52">
        <w:rPr>
          <w:sz w:val="24"/>
          <w:szCs w:val="24"/>
        </w:rPr>
        <w:t>from Fiscal</w:t>
      </w:r>
      <w:r w:rsidR="001C101D" w:rsidRPr="61C08B52">
        <w:rPr>
          <w:sz w:val="24"/>
          <w:szCs w:val="24"/>
        </w:rPr>
        <w:t xml:space="preserve"> </w:t>
      </w:r>
      <w:r w:rsidR="00096857" w:rsidRPr="61C08B52">
        <w:rPr>
          <w:sz w:val="24"/>
          <w:szCs w:val="24"/>
        </w:rPr>
        <w:t>Year</w:t>
      </w:r>
      <w:r w:rsidR="00CA4721" w:rsidRPr="61C08B52">
        <w:rPr>
          <w:sz w:val="24"/>
          <w:szCs w:val="24"/>
        </w:rPr>
        <w:t xml:space="preserve"> </w:t>
      </w:r>
      <w:r w:rsidR="00096857" w:rsidRPr="61C08B52">
        <w:rPr>
          <w:sz w:val="24"/>
          <w:szCs w:val="24"/>
        </w:rPr>
        <w:t>(</w:t>
      </w:r>
      <w:r w:rsidR="003C7B13" w:rsidRPr="61C08B52">
        <w:rPr>
          <w:sz w:val="24"/>
          <w:szCs w:val="24"/>
        </w:rPr>
        <w:t>F</w:t>
      </w:r>
      <w:r w:rsidR="00E76908" w:rsidRPr="61C08B52">
        <w:rPr>
          <w:sz w:val="24"/>
          <w:szCs w:val="24"/>
        </w:rPr>
        <w:t>Y</w:t>
      </w:r>
      <w:r w:rsidR="00096857" w:rsidRPr="61C08B52">
        <w:rPr>
          <w:sz w:val="24"/>
          <w:szCs w:val="24"/>
        </w:rPr>
        <w:t>)</w:t>
      </w:r>
      <w:r w:rsidR="00E76908" w:rsidRPr="61C08B52">
        <w:rPr>
          <w:sz w:val="24"/>
          <w:szCs w:val="24"/>
        </w:rPr>
        <w:t>20</w:t>
      </w:r>
      <w:r w:rsidR="00EB1A7F" w:rsidRPr="61C08B52">
        <w:rPr>
          <w:sz w:val="24"/>
          <w:szCs w:val="24"/>
        </w:rPr>
        <w:t>19</w:t>
      </w:r>
      <w:r w:rsidR="00E76908" w:rsidRPr="61C08B52">
        <w:rPr>
          <w:sz w:val="24"/>
          <w:szCs w:val="24"/>
        </w:rPr>
        <w:t xml:space="preserve"> through</w:t>
      </w:r>
      <w:r w:rsidR="00520C0E" w:rsidRPr="61C08B52">
        <w:rPr>
          <w:sz w:val="24"/>
          <w:szCs w:val="24"/>
        </w:rPr>
        <w:t xml:space="preserve"> </w:t>
      </w:r>
      <w:r w:rsidR="00AE7CFE" w:rsidRPr="61C08B52">
        <w:rPr>
          <w:sz w:val="24"/>
          <w:szCs w:val="24"/>
        </w:rPr>
        <w:t>F</w:t>
      </w:r>
      <w:r w:rsidR="0099746C" w:rsidRPr="61C08B52">
        <w:rPr>
          <w:sz w:val="24"/>
          <w:szCs w:val="24"/>
        </w:rPr>
        <w:t>Y202</w:t>
      </w:r>
      <w:r w:rsidR="00AE7CFE" w:rsidRPr="61C08B52">
        <w:rPr>
          <w:sz w:val="24"/>
          <w:szCs w:val="24"/>
        </w:rPr>
        <w:t>3</w:t>
      </w:r>
      <w:r w:rsidR="002C0C9D" w:rsidRPr="61C08B52">
        <w:rPr>
          <w:sz w:val="24"/>
          <w:szCs w:val="24"/>
        </w:rPr>
        <w:t xml:space="preserve">. </w:t>
      </w:r>
      <w:r w:rsidR="004609C1" w:rsidRPr="61C08B52">
        <w:rPr>
          <w:sz w:val="24"/>
          <w:szCs w:val="24"/>
        </w:rPr>
        <w:t>The Applicant notes that the number of unique patients for BID-Plymouth</w:t>
      </w:r>
      <w:r w:rsidR="000A4BEA" w:rsidRPr="61C08B52">
        <w:rPr>
          <w:rStyle w:val="FootnoteReference"/>
          <w:sz w:val="24"/>
          <w:szCs w:val="24"/>
        </w:rPr>
        <w:footnoteReference w:id="5"/>
      </w:r>
      <w:r w:rsidR="004609C1" w:rsidRPr="61C08B52">
        <w:rPr>
          <w:sz w:val="24"/>
          <w:szCs w:val="24"/>
        </w:rPr>
        <w:t xml:space="preserve"> and BILH Urgent Care Quincy declined </w:t>
      </w:r>
      <w:r w:rsidR="000A4BEA" w:rsidRPr="61C08B52">
        <w:rPr>
          <w:sz w:val="24"/>
          <w:szCs w:val="24"/>
        </w:rPr>
        <w:t xml:space="preserve">largely </w:t>
      </w:r>
      <w:r w:rsidR="004609C1" w:rsidRPr="61C08B52">
        <w:rPr>
          <w:sz w:val="24"/>
          <w:szCs w:val="24"/>
        </w:rPr>
        <w:t>because they had been Covid testing sites, a service which declined between FY2021 and FY2023.</w:t>
      </w:r>
    </w:p>
    <w:p w14:paraId="2A6E4153" w14:textId="4B5D204E" w:rsidR="00E76908" w:rsidRPr="00185FBE" w:rsidRDefault="00E76908" w:rsidP="00290E5C">
      <w:pPr>
        <w:spacing w:after="0" w:line="240" w:lineRule="auto"/>
        <w:rPr>
          <w:sz w:val="24"/>
          <w:szCs w:val="24"/>
          <w:highlight w:val="yellow"/>
        </w:rPr>
      </w:pPr>
    </w:p>
    <w:p w14:paraId="0674B51F" w14:textId="77777777" w:rsidR="00E76908" w:rsidRPr="00D80535" w:rsidRDefault="00E76908" w:rsidP="00290E5C">
      <w:pPr>
        <w:spacing w:after="0" w:line="240" w:lineRule="auto"/>
        <w:rPr>
          <w:sz w:val="24"/>
          <w:szCs w:val="24"/>
        </w:rPr>
      </w:pPr>
    </w:p>
    <w:p w14:paraId="2DA7F862" w14:textId="46CCCAF1" w:rsidR="00E76908" w:rsidRPr="00D80535" w:rsidRDefault="00E76908" w:rsidP="00006E50">
      <w:pPr>
        <w:pStyle w:val="Caption"/>
        <w:spacing w:after="0"/>
        <w:contextualSpacing/>
        <w:jc w:val="center"/>
        <w:rPr>
          <w:rFonts w:cstheme="minorHAnsi"/>
          <w:color w:val="2F5496" w:themeColor="accent1" w:themeShade="BF"/>
          <w:sz w:val="24"/>
          <w:szCs w:val="24"/>
        </w:rPr>
      </w:pPr>
      <w:r w:rsidRPr="00D80535">
        <w:rPr>
          <w:rFonts w:cstheme="minorHAnsi"/>
          <w:color w:val="2F5496" w:themeColor="accent1" w:themeShade="BF"/>
          <w:sz w:val="24"/>
          <w:szCs w:val="24"/>
          <w:u w:val="single"/>
        </w:rPr>
        <w:t xml:space="preserve">Table </w:t>
      </w:r>
      <w:r w:rsidR="00ED6343" w:rsidRPr="00D80535">
        <w:rPr>
          <w:rFonts w:cstheme="minorHAnsi"/>
          <w:color w:val="2F5496" w:themeColor="accent1" w:themeShade="BF"/>
          <w:sz w:val="24"/>
          <w:szCs w:val="24"/>
          <w:u w:val="single"/>
        </w:rPr>
        <w:t>2</w:t>
      </w:r>
      <w:r w:rsidRPr="00D80535">
        <w:rPr>
          <w:rFonts w:cstheme="minorHAnsi"/>
          <w:color w:val="2F5496" w:themeColor="accent1" w:themeShade="BF"/>
          <w:sz w:val="24"/>
          <w:szCs w:val="24"/>
          <w:u w:val="single"/>
        </w:rPr>
        <w:t>:</w:t>
      </w:r>
      <w:r w:rsidRPr="00D80535">
        <w:rPr>
          <w:rFonts w:cstheme="minorHAnsi"/>
          <w:color w:val="2F5496" w:themeColor="accent1" w:themeShade="BF"/>
          <w:sz w:val="24"/>
          <w:szCs w:val="24"/>
        </w:rPr>
        <w:t xml:space="preserve"> </w:t>
      </w:r>
      <w:r w:rsidR="007455B7" w:rsidRPr="00D80535">
        <w:rPr>
          <w:rFonts w:cstheme="minorHAnsi"/>
          <w:color w:val="2F5496" w:themeColor="accent1" w:themeShade="BF"/>
          <w:sz w:val="24"/>
          <w:szCs w:val="24"/>
        </w:rPr>
        <w:t xml:space="preserve">Overview of </w:t>
      </w:r>
      <w:r w:rsidR="00E21F45">
        <w:rPr>
          <w:rFonts w:cstheme="minorHAnsi"/>
          <w:color w:val="2F5496" w:themeColor="accent1" w:themeShade="BF"/>
          <w:sz w:val="24"/>
          <w:szCs w:val="24"/>
        </w:rPr>
        <w:t xml:space="preserve">Unique </w:t>
      </w:r>
      <w:r w:rsidRPr="00D80535">
        <w:rPr>
          <w:rFonts w:cstheme="minorHAnsi"/>
          <w:color w:val="2F5496" w:themeColor="accent1" w:themeShade="BF"/>
          <w:sz w:val="24"/>
          <w:szCs w:val="24"/>
        </w:rPr>
        <w:t>Patient</w:t>
      </w:r>
      <w:r w:rsidR="002B7A3C">
        <w:rPr>
          <w:rFonts w:cstheme="minorHAnsi"/>
          <w:color w:val="2F5496" w:themeColor="accent1" w:themeShade="BF"/>
          <w:sz w:val="24"/>
          <w:szCs w:val="24"/>
        </w:rPr>
        <w:t xml:space="preserve">s </w:t>
      </w:r>
      <w:r w:rsidR="00107232">
        <w:rPr>
          <w:rFonts w:cstheme="minorHAnsi"/>
          <w:color w:val="2F5496" w:themeColor="accent1" w:themeShade="BF"/>
          <w:sz w:val="24"/>
          <w:szCs w:val="24"/>
        </w:rPr>
        <w:t xml:space="preserve">In Proposed </w:t>
      </w:r>
      <w:r w:rsidR="000F17CE">
        <w:rPr>
          <w:rFonts w:cstheme="minorHAnsi"/>
          <w:color w:val="2F5496" w:themeColor="accent1" w:themeShade="BF"/>
          <w:sz w:val="24"/>
          <w:szCs w:val="24"/>
        </w:rPr>
        <w:t>Service Area</w:t>
      </w:r>
      <w:r w:rsidR="00EB1A7F">
        <w:rPr>
          <w:rStyle w:val="FootnoteReference"/>
          <w:rFonts w:cstheme="minorHAnsi"/>
          <w:color w:val="2F5496" w:themeColor="accent1" w:themeShade="BF"/>
          <w:sz w:val="24"/>
          <w:szCs w:val="24"/>
        </w:rPr>
        <w:footnoteReference w:id="6"/>
      </w:r>
    </w:p>
    <w:tbl>
      <w:tblPr>
        <w:tblStyle w:val="TableGrid"/>
        <w:tblW w:w="0" w:type="auto"/>
        <w:jc w:val="center"/>
        <w:tblLook w:val="04A0" w:firstRow="1" w:lastRow="0" w:firstColumn="1" w:lastColumn="0" w:noHBand="0" w:noVBand="1"/>
      </w:tblPr>
      <w:tblGrid>
        <w:gridCol w:w="2850"/>
        <w:gridCol w:w="1255"/>
        <w:gridCol w:w="1255"/>
        <w:gridCol w:w="1255"/>
        <w:gridCol w:w="1255"/>
        <w:gridCol w:w="1480"/>
      </w:tblGrid>
      <w:tr w:rsidR="007531D9" w:rsidRPr="00185FBE" w14:paraId="7E606C2E" w14:textId="77777777" w:rsidTr="009E4BE8">
        <w:trPr>
          <w:cantSplit/>
          <w:tblHeader/>
          <w:jc w:val="center"/>
        </w:trPr>
        <w:tc>
          <w:tcPr>
            <w:tcW w:w="2850" w:type="dxa"/>
            <w:shd w:val="clear" w:color="auto" w:fill="D9E2F3" w:themeFill="accent1" w:themeFillTint="33"/>
          </w:tcPr>
          <w:p w14:paraId="237AEDD1" w14:textId="4B83480E" w:rsidR="007531D9" w:rsidRPr="00DE4E57" w:rsidRDefault="007531D9" w:rsidP="001317C8">
            <w:pPr>
              <w:jc w:val="center"/>
              <w:rPr>
                <w:b/>
                <w:bCs/>
                <w:sz w:val="24"/>
                <w:szCs w:val="24"/>
              </w:rPr>
            </w:pPr>
            <w:r w:rsidRPr="00DE4E57">
              <w:rPr>
                <w:b/>
                <w:bCs/>
                <w:sz w:val="24"/>
                <w:szCs w:val="24"/>
              </w:rPr>
              <w:t>System/ Hospital</w:t>
            </w:r>
          </w:p>
        </w:tc>
        <w:tc>
          <w:tcPr>
            <w:tcW w:w="1255" w:type="dxa"/>
            <w:shd w:val="clear" w:color="auto" w:fill="D9E2F3" w:themeFill="accent1" w:themeFillTint="33"/>
          </w:tcPr>
          <w:p w14:paraId="05833378" w14:textId="4B0A1427" w:rsidR="007531D9" w:rsidRPr="00DE4E57" w:rsidRDefault="007531D9" w:rsidP="001317C8">
            <w:pPr>
              <w:jc w:val="center"/>
              <w:rPr>
                <w:b/>
                <w:bCs/>
                <w:sz w:val="24"/>
                <w:szCs w:val="24"/>
              </w:rPr>
            </w:pPr>
            <w:r w:rsidRPr="00DE4E57">
              <w:rPr>
                <w:b/>
                <w:bCs/>
                <w:sz w:val="24"/>
                <w:szCs w:val="24"/>
              </w:rPr>
              <w:t>FY2019</w:t>
            </w:r>
          </w:p>
        </w:tc>
        <w:tc>
          <w:tcPr>
            <w:tcW w:w="1255" w:type="dxa"/>
            <w:shd w:val="clear" w:color="auto" w:fill="D9E2F3" w:themeFill="accent1" w:themeFillTint="33"/>
          </w:tcPr>
          <w:p w14:paraId="78585B9C" w14:textId="0147EA6C" w:rsidR="007531D9" w:rsidRPr="00DE4E57" w:rsidRDefault="007531D9" w:rsidP="001317C8">
            <w:pPr>
              <w:jc w:val="center"/>
              <w:rPr>
                <w:b/>
                <w:bCs/>
                <w:sz w:val="24"/>
                <w:szCs w:val="24"/>
              </w:rPr>
            </w:pPr>
            <w:r w:rsidRPr="00DE4E57">
              <w:rPr>
                <w:b/>
                <w:bCs/>
                <w:sz w:val="24"/>
                <w:szCs w:val="24"/>
              </w:rPr>
              <w:t>FY2020</w:t>
            </w:r>
          </w:p>
        </w:tc>
        <w:tc>
          <w:tcPr>
            <w:tcW w:w="1255" w:type="dxa"/>
            <w:shd w:val="clear" w:color="auto" w:fill="D9E2F3" w:themeFill="accent1" w:themeFillTint="33"/>
          </w:tcPr>
          <w:p w14:paraId="1C5D62F4" w14:textId="3A7D6A00" w:rsidR="007531D9" w:rsidRPr="00DE4E57" w:rsidRDefault="007531D9" w:rsidP="001317C8">
            <w:pPr>
              <w:jc w:val="center"/>
              <w:rPr>
                <w:b/>
                <w:bCs/>
                <w:sz w:val="24"/>
                <w:szCs w:val="24"/>
              </w:rPr>
            </w:pPr>
            <w:r w:rsidRPr="00DE4E57">
              <w:rPr>
                <w:b/>
                <w:bCs/>
                <w:sz w:val="24"/>
                <w:szCs w:val="24"/>
              </w:rPr>
              <w:t>FY2021</w:t>
            </w:r>
          </w:p>
        </w:tc>
        <w:tc>
          <w:tcPr>
            <w:tcW w:w="1255" w:type="dxa"/>
            <w:shd w:val="clear" w:color="auto" w:fill="D9E2F3" w:themeFill="accent1" w:themeFillTint="33"/>
          </w:tcPr>
          <w:p w14:paraId="45A9E682" w14:textId="467A71A4" w:rsidR="007531D9" w:rsidRPr="00DE4E57" w:rsidRDefault="007531D9" w:rsidP="001317C8">
            <w:pPr>
              <w:jc w:val="center"/>
              <w:rPr>
                <w:b/>
                <w:bCs/>
                <w:sz w:val="24"/>
                <w:szCs w:val="24"/>
              </w:rPr>
            </w:pPr>
            <w:r w:rsidRPr="00DE4E57">
              <w:rPr>
                <w:b/>
                <w:bCs/>
                <w:sz w:val="24"/>
                <w:szCs w:val="24"/>
              </w:rPr>
              <w:t>FY2022</w:t>
            </w:r>
          </w:p>
        </w:tc>
        <w:tc>
          <w:tcPr>
            <w:tcW w:w="1480" w:type="dxa"/>
            <w:shd w:val="clear" w:color="auto" w:fill="D9E2F3" w:themeFill="accent1" w:themeFillTint="33"/>
          </w:tcPr>
          <w:p w14:paraId="21FCE817" w14:textId="5B0DF550" w:rsidR="007531D9" w:rsidRPr="00DE4E57" w:rsidRDefault="007531D9" w:rsidP="001317C8">
            <w:pPr>
              <w:jc w:val="center"/>
              <w:rPr>
                <w:b/>
                <w:bCs/>
                <w:sz w:val="24"/>
                <w:szCs w:val="24"/>
              </w:rPr>
            </w:pPr>
            <w:r w:rsidRPr="00DE4E57">
              <w:rPr>
                <w:b/>
                <w:bCs/>
                <w:sz w:val="24"/>
                <w:szCs w:val="24"/>
              </w:rPr>
              <w:t>FY2023</w:t>
            </w:r>
          </w:p>
        </w:tc>
      </w:tr>
      <w:tr w:rsidR="00AF0519" w:rsidRPr="00185FBE" w14:paraId="12265E46" w14:textId="77777777" w:rsidTr="009E4BE8">
        <w:trPr>
          <w:cantSplit/>
          <w:jc w:val="center"/>
        </w:trPr>
        <w:tc>
          <w:tcPr>
            <w:tcW w:w="2850" w:type="dxa"/>
            <w:shd w:val="clear" w:color="auto" w:fill="FFFFFF" w:themeFill="background1"/>
          </w:tcPr>
          <w:p w14:paraId="3A6E0010" w14:textId="57296FD4" w:rsidR="00AF0519" w:rsidRPr="00DE4E57" w:rsidRDefault="00AF0519" w:rsidP="00AF0519">
            <w:pPr>
              <w:rPr>
                <w:rFonts w:ascii="Calibri" w:hAnsi="Calibri" w:cs="Calibri"/>
                <w:sz w:val="24"/>
                <w:szCs w:val="24"/>
              </w:rPr>
            </w:pPr>
            <w:r w:rsidRPr="00DE4E57">
              <w:rPr>
                <w:rFonts w:ascii="Calibri" w:hAnsi="Calibri" w:cs="Calibri"/>
                <w:sz w:val="24"/>
                <w:szCs w:val="24"/>
              </w:rPr>
              <w:t>BID-Plymouth</w:t>
            </w:r>
          </w:p>
        </w:tc>
        <w:tc>
          <w:tcPr>
            <w:tcW w:w="1255" w:type="dxa"/>
            <w:shd w:val="clear" w:color="auto" w:fill="FFFFFF" w:themeFill="background1"/>
          </w:tcPr>
          <w:p w14:paraId="1FEC992E" w14:textId="7E520811" w:rsidR="00AF0519" w:rsidRPr="00DE4E57" w:rsidRDefault="00AF0519" w:rsidP="00AF0519">
            <w:pPr>
              <w:jc w:val="center"/>
              <w:rPr>
                <w:color w:val="000000"/>
                <w:sz w:val="24"/>
                <w:szCs w:val="24"/>
              </w:rPr>
            </w:pPr>
            <w:r w:rsidRPr="00DE4E57">
              <w:rPr>
                <w:color w:val="000000"/>
                <w:sz w:val="24"/>
                <w:szCs w:val="24"/>
              </w:rPr>
              <w:t>80,912</w:t>
            </w:r>
          </w:p>
        </w:tc>
        <w:tc>
          <w:tcPr>
            <w:tcW w:w="1255" w:type="dxa"/>
            <w:shd w:val="clear" w:color="auto" w:fill="FFFFFF" w:themeFill="background1"/>
          </w:tcPr>
          <w:p w14:paraId="6FAF292C" w14:textId="2C0C6AB7" w:rsidR="00AF0519" w:rsidRPr="00DE4E57" w:rsidRDefault="00AF0519" w:rsidP="00AF0519">
            <w:pPr>
              <w:jc w:val="center"/>
              <w:rPr>
                <w:color w:val="000000"/>
                <w:sz w:val="24"/>
                <w:szCs w:val="24"/>
              </w:rPr>
            </w:pPr>
            <w:r w:rsidRPr="00DE4E57">
              <w:rPr>
                <w:color w:val="000000"/>
                <w:sz w:val="24"/>
                <w:szCs w:val="24"/>
              </w:rPr>
              <w:t>75,625</w:t>
            </w:r>
          </w:p>
        </w:tc>
        <w:tc>
          <w:tcPr>
            <w:tcW w:w="1255" w:type="dxa"/>
            <w:shd w:val="clear" w:color="auto" w:fill="FFFFFF" w:themeFill="background1"/>
          </w:tcPr>
          <w:p w14:paraId="47626DF5" w14:textId="2DAA0C86" w:rsidR="00AF0519" w:rsidRPr="00DE4E57" w:rsidRDefault="00AF0519" w:rsidP="00AF0519">
            <w:pPr>
              <w:jc w:val="center"/>
              <w:rPr>
                <w:rFonts w:ascii="Calibri" w:hAnsi="Calibri" w:cs="Calibri"/>
                <w:color w:val="000000"/>
                <w:sz w:val="24"/>
                <w:szCs w:val="24"/>
                <w:highlight w:val="yellow"/>
              </w:rPr>
            </w:pPr>
            <w:r w:rsidRPr="00DE4E57">
              <w:rPr>
                <w:color w:val="000000"/>
                <w:sz w:val="24"/>
                <w:szCs w:val="24"/>
              </w:rPr>
              <w:t>88,269</w:t>
            </w:r>
          </w:p>
        </w:tc>
        <w:tc>
          <w:tcPr>
            <w:tcW w:w="1255" w:type="dxa"/>
            <w:shd w:val="clear" w:color="auto" w:fill="FFFFFF" w:themeFill="background1"/>
          </w:tcPr>
          <w:p w14:paraId="26213443" w14:textId="3EA68B29" w:rsidR="00AF0519" w:rsidRPr="00DE4E57" w:rsidRDefault="325B84AC" w:rsidP="00AF0519">
            <w:pPr>
              <w:jc w:val="center"/>
              <w:rPr>
                <w:rFonts w:ascii="Calibri" w:hAnsi="Calibri" w:cs="Calibri"/>
                <w:color w:val="000000"/>
                <w:sz w:val="24"/>
                <w:szCs w:val="24"/>
                <w:highlight w:val="yellow"/>
              </w:rPr>
            </w:pPr>
            <w:r w:rsidRPr="45C967FF">
              <w:rPr>
                <w:color w:val="000000" w:themeColor="text1"/>
                <w:sz w:val="24"/>
                <w:szCs w:val="24"/>
              </w:rPr>
              <w:t>82,530</w:t>
            </w:r>
          </w:p>
        </w:tc>
        <w:tc>
          <w:tcPr>
            <w:tcW w:w="1480" w:type="dxa"/>
            <w:shd w:val="clear" w:color="auto" w:fill="FFFFFF" w:themeFill="background1"/>
          </w:tcPr>
          <w:p w14:paraId="62DEA32A" w14:textId="250D3673" w:rsidR="00AF0519" w:rsidRPr="00DE4E57" w:rsidRDefault="325B84AC" w:rsidP="00AF0519">
            <w:pPr>
              <w:jc w:val="center"/>
              <w:rPr>
                <w:rFonts w:ascii="Calibri" w:hAnsi="Calibri" w:cs="Calibri"/>
                <w:color w:val="000000"/>
                <w:sz w:val="24"/>
                <w:szCs w:val="24"/>
                <w:highlight w:val="yellow"/>
              </w:rPr>
            </w:pPr>
            <w:r w:rsidRPr="45C967FF">
              <w:rPr>
                <w:color w:val="000000" w:themeColor="text1"/>
                <w:sz w:val="24"/>
                <w:szCs w:val="24"/>
              </w:rPr>
              <w:t>81,364</w:t>
            </w:r>
          </w:p>
        </w:tc>
      </w:tr>
      <w:tr w:rsidR="00AF0519" w:rsidRPr="00185FBE" w14:paraId="24255045" w14:textId="77777777" w:rsidTr="009E4BE8">
        <w:trPr>
          <w:cantSplit/>
          <w:jc w:val="center"/>
        </w:trPr>
        <w:tc>
          <w:tcPr>
            <w:tcW w:w="2850" w:type="dxa"/>
          </w:tcPr>
          <w:p w14:paraId="5148C259" w14:textId="5A697C5B" w:rsidR="00AF0519" w:rsidRPr="00DE4E57" w:rsidRDefault="00AF0519" w:rsidP="00AF0519">
            <w:pPr>
              <w:rPr>
                <w:rFonts w:ascii="Calibri" w:hAnsi="Calibri" w:cs="Calibri"/>
                <w:sz w:val="24"/>
                <w:szCs w:val="24"/>
              </w:rPr>
            </w:pPr>
            <w:r w:rsidRPr="00DE4E57">
              <w:rPr>
                <w:rFonts w:ascii="Calibri" w:hAnsi="Calibri" w:cs="Calibri"/>
                <w:sz w:val="24"/>
                <w:szCs w:val="24"/>
              </w:rPr>
              <w:t>BID-Plymouth Oncology</w:t>
            </w:r>
          </w:p>
        </w:tc>
        <w:tc>
          <w:tcPr>
            <w:tcW w:w="1255" w:type="dxa"/>
          </w:tcPr>
          <w:p w14:paraId="0374310B" w14:textId="7366AFBD" w:rsidR="00AF0519" w:rsidRPr="00DE4E57" w:rsidRDefault="00AF0519" w:rsidP="00AF0519">
            <w:pPr>
              <w:jc w:val="center"/>
              <w:rPr>
                <w:sz w:val="24"/>
                <w:szCs w:val="24"/>
              </w:rPr>
            </w:pPr>
            <w:r w:rsidRPr="00DE4E57">
              <w:rPr>
                <w:color w:val="000000"/>
                <w:sz w:val="24"/>
                <w:szCs w:val="24"/>
              </w:rPr>
              <w:t>3,637</w:t>
            </w:r>
          </w:p>
        </w:tc>
        <w:tc>
          <w:tcPr>
            <w:tcW w:w="1255" w:type="dxa"/>
          </w:tcPr>
          <w:p w14:paraId="493BB2F8" w14:textId="4570EDE1" w:rsidR="00AF0519" w:rsidRPr="00DE4E57" w:rsidRDefault="00AF0519" w:rsidP="00AF0519">
            <w:pPr>
              <w:jc w:val="center"/>
              <w:rPr>
                <w:sz w:val="24"/>
                <w:szCs w:val="24"/>
              </w:rPr>
            </w:pPr>
            <w:r w:rsidRPr="00DE4E57">
              <w:rPr>
                <w:color w:val="000000"/>
                <w:sz w:val="24"/>
                <w:szCs w:val="24"/>
              </w:rPr>
              <w:t>3,588</w:t>
            </w:r>
          </w:p>
        </w:tc>
        <w:tc>
          <w:tcPr>
            <w:tcW w:w="1255" w:type="dxa"/>
          </w:tcPr>
          <w:p w14:paraId="6F54B6C2" w14:textId="62CC0DD6" w:rsidR="00AF0519" w:rsidRPr="00DE4E57" w:rsidRDefault="00AF0519" w:rsidP="00AF0519">
            <w:pPr>
              <w:jc w:val="center"/>
              <w:rPr>
                <w:sz w:val="24"/>
                <w:szCs w:val="24"/>
              </w:rPr>
            </w:pPr>
            <w:r w:rsidRPr="00DE4E57">
              <w:rPr>
                <w:sz w:val="24"/>
                <w:szCs w:val="24"/>
              </w:rPr>
              <w:t>3,253</w:t>
            </w:r>
          </w:p>
        </w:tc>
        <w:tc>
          <w:tcPr>
            <w:tcW w:w="1255" w:type="dxa"/>
          </w:tcPr>
          <w:p w14:paraId="1FF415EF" w14:textId="63E776DF" w:rsidR="00AF0519" w:rsidRPr="00DE4E57" w:rsidRDefault="00AF0519" w:rsidP="00AF0519">
            <w:pPr>
              <w:jc w:val="center"/>
              <w:rPr>
                <w:sz w:val="24"/>
                <w:szCs w:val="24"/>
              </w:rPr>
            </w:pPr>
            <w:r w:rsidRPr="00DE4E57">
              <w:rPr>
                <w:sz w:val="24"/>
                <w:szCs w:val="24"/>
              </w:rPr>
              <w:t>3,303</w:t>
            </w:r>
          </w:p>
        </w:tc>
        <w:tc>
          <w:tcPr>
            <w:tcW w:w="1480" w:type="dxa"/>
          </w:tcPr>
          <w:p w14:paraId="71FA2333" w14:textId="699386EF" w:rsidR="00AF0519" w:rsidRPr="00DE4E57" w:rsidRDefault="00AF0519" w:rsidP="00AF0519">
            <w:pPr>
              <w:jc w:val="center"/>
              <w:rPr>
                <w:sz w:val="24"/>
                <w:szCs w:val="24"/>
              </w:rPr>
            </w:pPr>
            <w:r w:rsidRPr="00DE4E57">
              <w:rPr>
                <w:sz w:val="24"/>
                <w:szCs w:val="24"/>
              </w:rPr>
              <w:t>3,853</w:t>
            </w:r>
          </w:p>
        </w:tc>
      </w:tr>
      <w:tr w:rsidR="00AF0519" w:rsidRPr="00185FBE" w14:paraId="1B008178" w14:textId="77777777" w:rsidTr="009E4BE8">
        <w:trPr>
          <w:cantSplit/>
          <w:jc w:val="center"/>
        </w:trPr>
        <w:tc>
          <w:tcPr>
            <w:tcW w:w="2850" w:type="dxa"/>
          </w:tcPr>
          <w:p w14:paraId="6FC5EF4B" w14:textId="6EF57B34" w:rsidR="00AF0519" w:rsidRPr="00DE4E57" w:rsidRDefault="00AF0519" w:rsidP="00AF0519">
            <w:pPr>
              <w:rPr>
                <w:rFonts w:ascii="Calibri" w:hAnsi="Calibri" w:cs="Calibri"/>
                <w:sz w:val="24"/>
                <w:szCs w:val="24"/>
              </w:rPr>
            </w:pPr>
            <w:r w:rsidRPr="00DE4E57">
              <w:rPr>
                <w:rFonts w:ascii="Calibri" w:hAnsi="Calibri" w:cs="Calibri"/>
                <w:sz w:val="24"/>
                <w:szCs w:val="24"/>
              </w:rPr>
              <w:t>BILHPC Quincy</w:t>
            </w:r>
            <w:r w:rsidR="00D207E0" w:rsidRPr="00DE4E57">
              <w:rPr>
                <w:rStyle w:val="FootnoteReference"/>
                <w:rFonts w:ascii="Calibri" w:hAnsi="Calibri" w:cs="Calibri"/>
                <w:sz w:val="24"/>
                <w:szCs w:val="24"/>
              </w:rPr>
              <w:footnoteReference w:id="7"/>
            </w:r>
          </w:p>
        </w:tc>
        <w:tc>
          <w:tcPr>
            <w:tcW w:w="1255" w:type="dxa"/>
          </w:tcPr>
          <w:p w14:paraId="45F444D0" w14:textId="1862B346" w:rsidR="00AF0519" w:rsidRPr="00DE4E57" w:rsidRDefault="00AF0519" w:rsidP="00AF0519">
            <w:pPr>
              <w:jc w:val="center"/>
              <w:rPr>
                <w:sz w:val="24"/>
                <w:szCs w:val="24"/>
              </w:rPr>
            </w:pPr>
            <w:r w:rsidRPr="00DE4E57">
              <w:rPr>
                <w:color w:val="000000"/>
                <w:sz w:val="24"/>
                <w:szCs w:val="24"/>
              </w:rPr>
              <w:t>NA</w:t>
            </w:r>
          </w:p>
        </w:tc>
        <w:tc>
          <w:tcPr>
            <w:tcW w:w="1255" w:type="dxa"/>
          </w:tcPr>
          <w:p w14:paraId="36FF2631" w14:textId="1D843270" w:rsidR="00AF0519" w:rsidRPr="00DE4E57" w:rsidRDefault="00AF0519" w:rsidP="00AF0519">
            <w:pPr>
              <w:jc w:val="center"/>
              <w:rPr>
                <w:sz w:val="24"/>
                <w:szCs w:val="24"/>
              </w:rPr>
            </w:pPr>
            <w:r w:rsidRPr="00DE4E57">
              <w:rPr>
                <w:color w:val="000000"/>
                <w:sz w:val="24"/>
                <w:szCs w:val="24"/>
              </w:rPr>
              <w:t>NA</w:t>
            </w:r>
          </w:p>
        </w:tc>
        <w:tc>
          <w:tcPr>
            <w:tcW w:w="1255" w:type="dxa"/>
          </w:tcPr>
          <w:p w14:paraId="1775AB7F" w14:textId="78F70170" w:rsidR="00AF0519" w:rsidRPr="00DE4E57" w:rsidRDefault="00AF0519" w:rsidP="00AF0519">
            <w:pPr>
              <w:jc w:val="center"/>
              <w:rPr>
                <w:rFonts w:ascii="Calibri" w:hAnsi="Calibri" w:cs="Calibri"/>
                <w:color w:val="000000"/>
                <w:sz w:val="24"/>
                <w:szCs w:val="24"/>
                <w:highlight w:val="yellow"/>
              </w:rPr>
            </w:pPr>
            <w:r w:rsidRPr="00DE4E57">
              <w:rPr>
                <w:sz w:val="24"/>
                <w:szCs w:val="24"/>
              </w:rPr>
              <w:t>1,458</w:t>
            </w:r>
          </w:p>
        </w:tc>
        <w:tc>
          <w:tcPr>
            <w:tcW w:w="1255" w:type="dxa"/>
          </w:tcPr>
          <w:p w14:paraId="1840F1B1" w14:textId="6F0F3979" w:rsidR="00AF0519" w:rsidRPr="00DE4E57" w:rsidRDefault="00AF0519" w:rsidP="00AF0519">
            <w:pPr>
              <w:jc w:val="center"/>
              <w:rPr>
                <w:rFonts w:ascii="Calibri" w:hAnsi="Calibri" w:cs="Calibri"/>
                <w:color w:val="000000"/>
                <w:sz w:val="24"/>
                <w:szCs w:val="24"/>
                <w:highlight w:val="yellow"/>
              </w:rPr>
            </w:pPr>
            <w:r w:rsidRPr="00DE4E57">
              <w:rPr>
                <w:sz w:val="24"/>
                <w:szCs w:val="24"/>
              </w:rPr>
              <w:t>2,524</w:t>
            </w:r>
          </w:p>
        </w:tc>
        <w:tc>
          <w:tcPr>
            <w:tcW w:w="1480" w:type="dxa"/>
          </w:tcPr>
          <w:p w14:paraId="0E84E2E1" w14:textId="4016BCF4" w:rsidR="00AF0519" w:rsidRPr="00DE4E57" w:rsidRDefault="00AF0519" w:rsidP="00AF0519">
            <w:pPr>
              <w:jc w:val="center"/>
              <w:rPr>
                <w:rFonts w:ascii="Calibri" w:hAnsi="Calibri" w:cs="Calibri"/>
                <w:sz w:val="24"/>
                <w:szCs w:val="24"/>
                <w:highlight w:val="yellow"/>
              </w:rPr>
            </w:pPr>
            <w:r w:rsidRPr="00DE4E57">
              <w:rPr>
                <w:sz w:val="24"/>
                <w:szCs w:val="24"/>
              </w:rPr>
              <w:t>2,867</w:t>
            </w:r>
          </w:p>
        </w:tc>
      </w:tr>
      <w:tr w:rsidR="00AF0519" w:rsidRPr="00185FBE" w14:paraId="5A14F54D" w14:textId="77777777" w:rsidTr="009E4BE8">
        <w:trPr>
          <w:cantSplit/>
          <w:jc w:val="center"/>
        </w:trPr>
        <w:tc>
          <w:tcPr>
            <w:tcW w:w="2850" w:type="dxa"/>
          </w:tcPr>
          <w:p w14:paraId="1ABF6B6E" w14:textId="7A4DC9CE" w:rsidR="00AF0519" w:rsidRPr="00DE4E57" w:rsidRDefault="00AF0519" w:rsidP="00AF0519">
            <w:pPr>
              <w:rPr>
                <w:rFonts w:ascii="Calibri" w:hAnsi="Calibri" w:cs="Calibri"/>
                <w:sz w:val="24"/>
                <w:szCs w:val="24"/>
              </w:rPr>
            </w:pPr>
            <w:r w:rsidRPr="00DE4E57">
              <w:rPr>
                <w:rFonts w:ascii="Calibri" w:hAnsi="Calibri" w:cs="Calibri"/>
                <w:sz w:val="24"/>
                <w:szCs w:val="24"/>
              </w:rPr>
              <w:t>BILH Urgent Care Quincy</w:t>
            </w:r>
            <w:r w:rsidR="00363DC5" w:rsidRPr="00DE4E57">
              <w:rPr>
                <w:rStyle w:val="FootnoteReference"/>
                <w:rFonts w:ascii="Calibri" w:hAnsi="Calibri" w:cs="Calibri"/>
                <w:sz w:val="24"/>
                <w:szCs w:val="24"/>
              </w:rPr>
              <w:footnoteReference w:id="8"/>
            </w:r>
          </w:p>
        </w:tc>
        <w:tc>
          <w:tcPr>
            <w:tcW w:w="1255" w:type="dxa"/>
          </w:tcPr>
          <w:p w14:paraId="5B9019E0" w14:textId="738FBA64" w:rsidR="00AF0519" w:rsidRPr="00DE4E57" w:rsidRDefault="00AF0519" w:rsidP="00AF0519">
            <w:pPr>
              <w:jc w:val="center"/>
              <w:rPr>
                <w:sz w:val="24"/>
                <w:szCs w:val="24"/>
              </w:rPr>
            </w:pPr>
            <w:r w:rsidRPr="00DE4E57">
              <w:rPr>
                <w:color w:val="000000"/>
                <w:sz w:val="24"/>
                <w:szCs w:val="24"/>
              </w:rPr>
              <w:t>NA</w:t>
            </w:r>
          </w:p>
        </w:tc>
        <w:tc>
          <w:tcPr>
            <w:tcW w:w="1255" w:type="dxa"/>
          </w:tcPr>
          <w:p w14:paraId="5B366742" w14:textId="6BEE8802" w:rsidR="00AF0519" w:rsidRPr="00DE4E57" w:rsidRDefault="00AF0519" w:rsidP="00AF0519">
            <w:pPr>
              <w:jc w:val="center"/>
              <w:rPr>
                <w:sz w:val="24"/>
                <w:szCs w:val="24"/>
              </w:rPr>
            </w:pPr>
            <w:r w:rsidRPr="00DE4E57">
              <w:rPr>
                <w:color w:val="000000"/>
                <w:sz w:val="24"/>
                <w:szCs w:val="24"/>
              </w:rPr>
              <w:t>NA</w:t>
            </w:r>
          </w:p>
        </w:tc>
        <w:tc>
          <w:tcPr>
            <w:tcW w:w="1255" w:type="dxa"/>
          </w:tcPr>
          <w:p w14:paraId="3C8914E2" w14:textId="7C90C5C7" w:rsidR="00AF0519" w:rsidRPr="00DE4E57" w:rsidRDefault="00506E58" w:rsidP="00AF0519">
            <w:pPr>
              <w:jc w:val="center"/>
              <w:rPr>
                <w:rFonts w:ascii="Calibri" w:hAnsi="Calibri" w:cs="Calibri"/>
                <w:sz w:val="24"/>
                <w:szCs w:val="24"/>
              </w:rPr>
            </w:pPr>
            <w:r w:rsidRPr="00DE4E57">
              <w:rPr>
                <w:rFonts w:eastAsia="Times New Roman" w:cstheme="minorHAnsi"/>
                <w:color w:val="000000"/>
                <w:sz w:val="24"/>
                <w:szCs w:val="24"/>
              </w:rPr>
              <w:t>13,621</w:t>
            </w:r>
          </w:p>
        </w:tc>
        <w:tc>
          <w:tcPr>
            <w:tcW w:w="1255" w:type="dxa"/>
          </w:tcPr>
          <w:p w14:paraId="71F2E53C" w14:textId="25C73B53" w:rsidR="00AF0519" w:rsidRPr="00DE4E57" w:rsidRDefault="1C9714D4" w:rsidP="00AF0519">
            <w:pPr>
              <w:jc w:val="center"/>
              <w:rPr>
                <w:rFonts w:ascii="Calibri" w:hAnsi="Calibri" w:cs="Calibri"/>
                <w:sz w:val="24"/>
                <w:szCs w:val="24"/>
              </w:rPr>
            </w:pPr>
            <w:r w:rsidRPr="45C967FF">
              <w:rPr>
                <w:rFonts w:eastAsia="Times New Roman"/>
                <w:color w:val="000000" w:themeColor="text1"/>
                <w:sz w:val="24"/>
                <w:szCs w:val="24"/>
              </w:rPr>
              <w:t>15,343</w:t>
            </w:r>
          </w:p>
        </w:tc>
        <w:tc>
          <w:tcPr>
            <w:tcW w:w="1480" w:type="dxa"/>
          </w:tcPr>
          <w:p w14:paraId="0E512569" w14:textId="7F6D1B94" w:rsidR="00AF0519" w:rsidRPr="00DE4E57" w:rsidRDefault="325B84AC" w:rsidP="00AF0519">
            <w:pPr>
              <w:jc w:val="center"/>
              <w:rPr>
                <w:rFonts w:ascii="Calibri" w:hAnsi="Calibri" w:cs="Calibri"/>
                <w:sz w:val="24"/>
                <w:szCs w:val="24"/>
              </w:rPr>
            </w:pPr>
            <w:r w:rsidRPr="45C967FF">
              <w:rPr>
                <w:sz w:val="24"/>
                <w:szCs w:val="24"/>
              </w:rPr>
              <w:t>14,228</w:t>
            </w:r>
          </w:p>
        </w:tc>
      </w:tr>
      <w:tr w:rsidR="00AF0519" w:rsidRPr="00185FBE" w14:paraId="3CDC1BD1" w14:textId="77777777" w:rsidTr="009E4BE8">
        <w:trPr>
          <w:cantSplit/>
          <w:jc w:val="center"/>
        </w:trPr>
        <w:tc>
          <w:tcPr>
            <w:tcW w:w="2850" w:type="dxa"/>
          </w:tcPr>
          <w:p w14:paraId="1443A70A" w14:textId="5E6F6B58" w:rsidR="00AF0519" w:rsidRPr="00DE4E57" w:rsidRDefault="00AF0519" w:rsidP="00AF0519">
            <w:pPr>
              <w:rPr>
                <w:rFonts w:ascii="Calibri" w:hAnsi="Calibri" w:cs="Calibri"/>
                <w:sz w:val="24"/>
                <w:szCs w:val="24"/>
              </w:rPr>
            </w:pPr>
            <w:r w:rsidRPr="00DE4E57">
              <w:rPr>
                <w:rFonts w:ascii="Calibri" w:hAnsi="Calibri" w:cs="Calibri"/>
                <w:sz w:val="24"/>
                <w:szCs w:val="24"/>
              </w:rPr>
              <w:t>BID Milton</w:t>
            </w:r>
          </w:p>
        </w:tc>
        <w:tc>
          <w:tcPr>
            <w:tcW w:w="1255" w:type="dxa"/>
          </w:tcPr>
          <w:p w14:paraId="4BD9B242" w14:textId="38E4B455" w:rsidR="00AF0519" w:rsidRPr="00DE4E57" w:rsidRDefault="00AF0519" w:rsidP="00AF0519">
            <w:pPr>
              <w:jc w:val="center"/>
              <w:rPr>
                <w:rFonts w:cs="Times New Roman"/>
                <w:color w:val="000000"/>
                <w:sz w:val="24"/>
                <w:szCs w:val="24"/>
              </w:rPr>
            </w:pPr>
            <w:r w:rsidRPr="00DE4E57">
              <w:rPr>
                <w:color w:val="000000"/>
                <w:sz w:val="24"/>
                <w:szCs w:val="24"/>
              </w:rPr>
              <w:t>59,669</w:t>
            </w:r>
          </w:p>
        </w:tc>
        <w:tc>
          <w:tcPr>
            <w:tcW w:w="1255" w:type="dxa"/>
          </w:tcPr>
          <w:p w14:paraId="520DC2D1" w14:textId="38E6E13E" w:rsidR="00AF0519" w:rsidRPr="00DE4E57" w:rsidRDefault="00AF0519" w:rsidP="00AF0519">
            <w:pPr>
              <w:jc w:val="center"/>
              <w:rPr>
                <w:rFonts w:cs="Times New Roman"/>
                <w:color w:val="000000"/>
                <w:sz w:val="24"/>
                <w:szCs w:val="24"/>
              </w:rPr>
            </w:pPr>
            <w:r w:rsidRPr="00DE4E57">
              <w:rPr>
                <w:color w:val="000000"/>
                <w:sz w:val="24"/>
                <w:szCs w:val="24"/>
              </w:rPr>
              <w:t>54,997</w:t>
            </w:r>
          </w:p>
        </w:tc>
        <w:tc>
          <w:tcPr>
            <w:tcW w:w="1255" w:type="dxa"/>
          </w:tcPr>
          <w:p w14:paraId="026BEAED" w14:textId="4424C7B2" w:rsidR="00AF0519" w:rsidRPr="00DE4E57" w:rsidRDefault="00AF0519" w:rsidP="00AF0519">
            <w:pPr>
              <w:jc w:val="center"/>
              <w:rPr>
                <w:rFonts w:ascii="Calibri" w:hAnsi="Calibri" w:cs="Calibri"/>
                <w:sz w:val="24"/>
                <w:szCs w:val="24"/>
              </w:rPr>
            </w:pPr>
            <w:r w:rsidRPr="00DE4E57">
              <w:rPr>
                <w:rFonts w:cs="Times New Roman"/>
                <w:color w:val="000000"/>
                <w:sz w:val="24"/>
                <w:szCs w:val="24"/>
              </w:rPr>
              <w:t>79,054</w:t>
            </w:r>
          </w:p>
        </w:tc>
        <w:tc>
          <w:tcPr>
            <w:tcW w:w="1255" w:type="dxa"/>
          </w:tcPr>
          <w:p w14:paraId="012033BC" w14:textId="44F7CA80" w:rsidR="00AF0519" w:rsidRPr="00DE4E57" w:rsidRDefault="00AF0519" w:rsidP="00AF0519">
            <w:pPr>
              <w:jc w:val="center"/>
              <w:rPr>
                <w:rFonts w:ascii="Calibri" w:hAnsi="Calibri" w:cs="Calibri"/>
                <w:sz w:val="24"/>
                <w:szCs w:val="24"/>
              </w:rPr>
            </w:pPr>
            <w:r w:rsidRPr="00DE4E57">
              <w:rPr>
                <w:rFonts w:cs="Times New Roman"/>
                <w:color w:val="000000"/>
                <w:sz w:val="24"/>
                <w:szCs w:val="24"/>
              </w:rPr>
              <w:t>69,010</w:t>
            </w:r>
          </w:p>
        </w:tc>
        <w:tc>
          <w:tcPr>
            <w:tcW w:w="1480" w:type="dxa"/>
          </w:tcPr>
          <w:p w14:paraId="4B6D582A" w14:textId="1DBD1FF9" w:rsidR="00AF0519" w:rsidRPr="00DE4E57" w:rsidRDefault="00AF0519" w:rsidP="00AF0519">
            <w:pPr>
              <w:jc w:val="center"/>
              <w:rPr>
                <w:rFonts w:ascii="Calibri" w:hAnsi="Calibri" w:cs="Calibri"/>
                <w:sz w:val="24"/>
                <w:szCs w:val="24"/>
              </w:rPr>
            </w:pPr>
            <w:r w:rsidRPr="00DE4E57">
              <w:rPr>
                <w:rFonts w:cs="Times New Roman"/>
                <w:color w:val="000000"/>
                <w:sz w:val="24"/>
                <w:szCs w:val="24"/>
              </w:rPr>
              <w:t>70,696</w:t>
            </w:r>
          </w:p>
        </w:tc>
      </w:tr>
    </w:tbl>
    <w:p w14:paraId="44609371" w14:textId="3D95081C" w:rsidR="006C2ABB" w:rsidRPr="00AE367D" w:rsidRDefault="006C2ABB" w:rsidP="00D24A16">
      <w:pPr>
        <w:spacing w:after="0" w:line="240" w:lineRule="auto"/>
        <w:rPr>
          <w:b/>
          <w:bCs/>
          <w:sz w:val="24"/>
          <w:szCs w:val="24"/>
          <w:highlight w:val="yellow"/>
        </w:rPr>
      </w:pPr>
    </w:p>
    <w:p w14:paraId="6D8C88CF" w14:textId="302E615E" w:rsidR="00AE367D" w:rsidRPr="0069494C" w:rsidRDefault="00AB2ABC" w:rsidP="007C0E02">
      <w:pPr>
        <w:spacing w:after="0" w:line="240" w:lineRule="auto"/>
        <w:rPr>
          <w:color w:val="191919"/>
          <w:sz w:val="24"/>
          <w:szCs w:val="24"/>
        </w:rPr>
      </w:pPr>
      <w:r>
        <w:rPr>
          <w:color w:val="191919"/>
          <w:sz w:val="24"/>
          <w:szCs w:val="24"/>
        </w:rPr>
        <w:t xml:space="preserve">For the </w:t>
      </w:r>
      <w:r w:rsidR="00D26B42">
        <w:rPr>
          <w:color w:val="191919"/>
          <w:sz w:val="24"/>
          <w:szCs w:val="24"/>
        </w:rPr>
        <w:t>proposed Cordage Park Satellite</w:t>
      </w:r>
      <w:r>
        <w:rPr>
          <w:color w:val="191919"/>
          <w:sz w:val="24"/>
          <w:szCs w:val="24"/>
        </w:rPr>
        <w:t>, t</w:t>
      </w:r>
      <w:r w:rsidR="00756477" w:rsidRPr="00AE367D">
        <w:rPr>
          <w:color w:val="191919"/>
          <w:sz w:val="24"/>
          <w:szCs w:val="24"/>
        </w:rPr>
        <w:t xml:space="preserve">he Applicant provided </w:t>
      </w:r>
      <w:r>
        <w:rPr>
          <w:color w:val="191919"/>
          <w:sz w:val="24"/>
          <w:szCs w:val="24"/>
        </w:rPr>
        <w:t xml:space="preserve">patient origin </w:t>
      </w:r>
      <w:r w:rsidR="00756477" w:rsidRPr="00AE367D">
        <w:rPr>
          <w:color w:val="191919"/>
          <w:sz w:val="24"/>
          <w:szCs w:val="24"/>
        </w:rPr>
        <w:t>data showing that</w:t>
      </w:r>
      <w:r w:rsidR="00F253FA">
        <w:rPr>
          <w:color w:val="191919"/>
          <w:sz w:val="24"/>
          <w:szCs w:val="24"/>
        </w:rPr>
        <w:t xml:space="preserve"> </w:t>
      </w:r>
      <w:r w:rsidR="00D26B42">
        <w:rPr>
          <w:color w:val="191919"/>
          <w:sz w:val="24"/>
          <w:szCs w:val="24"/>
        </w:rPr>
        <w:t>approximately 80</w:t>
      </w:r>
      <w:r w:rsidR="00F253FA">
        <w:rPr>
          <w:color w:val="191919"/>
          <w:sz w:val="24"/>
          <w:szCs w:val="24"/>
        </w:rPr>
        <w:t>%</w:t>
      </w:r>
      <w:r w:rsidR="00756477" w:rsidRPr="00AE367D">
        <w:rPr>
          <w:color w:val="191919"/>
          <w:sz w:val="24"/>
          <w:szCs w:val="24"/>
        </w:rPr>
        <w:t xml:space="preserve"> </w:t>
      </w:r>
      <w:r w:rsidR="00F15848" w:rsidRPr="00AE367D">
        <w:rPr>
          <w:color w:val="191919"/>
          <w:sz w:val="24"/>
          <w:szCs w:val="24"/>
        </w:rPr>
        <w:t>BID-Plymouth’s patient</w:t>
      </w:r>
      <w:r w:rsidR="0018222B" w:rsidRPr="00AE367D">
        <w:rPr>
          <w:color w:val="191919"/>
          <w:sz w:val="24"/>
          <w:szCs w:val="24"/>
        </w:rPr>
        <w:t xml:space="preserve">s originated </w:t>
      </w:r>
      <w:r w:rsidR="0018222B" w:rsidRPr="00AE367D">
        <w:rPr>
          <w:rFonts w:cs="Times New Roman"/>
          <w:sz w:val="24"/>
          <w:szCs w:val="24"/>
        </w:rPr>
        <w:t>from Plymouth</w:t>
      </w:r>
      <w:r w:rsidR="00D26B42">
        <w:rPr>
          <w:rFonts w:cs="Times New Roman"/>
          <w:sz w:val="24"/>
          <w:szCs w:val="24"/>
        </w:rPr>
        <w:t xml:space="preserve"> and</w:t>
      </w:r>
      <w:r w:rsidR="0018222B" w:rsidRPr="00AE367D">
        <w:rPr>
          <w:rFonts w:cs="Times New Roman"/>
          <w:sz w:val="24"/>
          <w:szCs w:val="24"/>
        </w:rPr>
        <w:t xml:space="preserve"> other towns in Plymouth County</w:t>
      </w:r>
      <w:r w:rsidR="00D26B42">
        <w:rPr>
          <w:rFonts w:cs="Times New Roman"/>
          <w:sz w:val="24"/>
          <w:szCs w:val="24"/>
        </w:rPr>
        <w:t>.</w:t>
      </w:r>
      <w:r w:rsidR="00756477" w:rsidRPr="00AE367D">
        <w:rPr>
          <w:color w:val="191919"/>
          <w:sz w:val="24"/>
          <w:szCs w:val="24"/>
        </w:rPr>
        <w:t xml:space="preserve"> </w:t>
      </w:r>
      <w:r w:rsidR="00D26B42">
        <w:rPr>
          <w:color w:val="191919"/>
          <w:sz w:val="24"/>
          <w:szCs w:val="24"/>
        </w:rPr>
        <w:t>For the Qunicy Satellite, t</w:t>
      </w:r>
      <w:r w:rsidR="00DA5528">
        <w:rPr>
          <w:color w:val="191919"/>
          <w:sz w:val="24"/>
          <w:szCs w:val="24"/>
        </w:rPr>
        <w:t>he</w:t>
      </w:r>
      <w:r>
        <w:rPr>
          <w:color w:val="191919"/>
          <w:sz w:val="24"/>
          <w:szCs w:val="24"/>
        </w:rPr>
        <w:t xml:space="preserve"> Applicant provided data showing that </w:t>
      </w:r>
      <w:r w:rsidR="00D501BB">
        <w:rPr>
          <w:color w:val="191919"/>
          <w:sz w:val="24"/>
          <w:szCs w:val="24"/>
        </w:rPr>
        <w:t xml:space="preserve">over 80% of the </w:t>
      </w:r>
      <w:r w:rsidR="00805760" w:rsidRPr="00AE367D">
        <w:rPr>
          <w:rFonts w:cs="Times New Roman"/>
          <w:sz w:val="24"/>
          <w:szCs w:val="24"/>
        </w:rPr>
        <w:t>BILHPC Quincy Square</w:t>
      </w:r>
      <w:r w:rsidR="00D501BB">
        <w:rPr>
          <w:rFonts w:cs="Times New Roman"/>
          <w:sz w:val="24"/>
          <w:szCs w:val="24"/>
        </w:rPr>
        <w:t xml:space="preserve"> and </w:t>
      </w:r>
      <w:r w:rsidR="00D501BB" w:rsidRPr="00AE367D">
        <w:rPr>
          <w:rFonts w:cs="Times New Roman"/>
          <w:sz w:val="24"/>
          <w:szCs w:val="24"/>
        </w:rPr>
        <w:t>BILH Urgent Care Quincy’s</w:t>
      </w:r>
      <w:r w:rsidR="00805760" w:rsidRPr="00AE367D">
        <w:rPr>
          <w:rFonts w:cs="Times New Roman"/>
          <w:sz w:val="24"/>
          <w:szCs w:val="24"/>
        </w:rPr>
        <w:t xml:space="preserve"> patient p</w:t>
      </w:r>
      <w:r w:rsidR="00D501BB">
        <w:rPr>
          <w:rFonts w:cs="Times New Roman"/>
          <w:sz w:val="24"/>
          <w:szCs w:val="24"/>
        </w:rPr>
        <w:t xml:space="preserve">opulation </w:t>
      </w:r>
      <w:r w:rsidR="00805760" w:rsidRPr="00AE367D">
        <w:rPr>
          <w:rFonts w:cs="Times New Roman"/>
          <w:sz w:val="24"/>
          <w:szCs w:val="24"/>
        </w:rPr>
        <w:t>originated from Quincy</w:t>
      </w:r>
      <w:r w:rsidR="00D501BB">
        <w:rPr>
          <w:rFonts w:cs="Times New Roman"/>
          <w:sz w:val="24"/>
          <w:szCs w:val="24"/>
        </w:rPr>
        <w:t xml:space="preserve"> and </w:t>
      </w:r>
      <w:r w:rsidR="00805760" w:rsidRPr="00AE367D">
        <w:rPr>
          <w:rFonts w:cs="Times New Roman"/>
          <w:sz w:val="24"/>
          <w:szCs w:val="24"/>
        </w:rPr>
        <w:t>from the towns immediately adjacent to Quincy</w:t>
      </w:r>
      <w:r w:rsidR="00D501BB">
        <w:rPr>
          <w:rFonts w:cs="Times New Roman"/>
          <w:sz w:val="24"/>
          <w:szCs w:val="24"/>
        </w:rPr>
        <w:t>.</w:t>
      </w:r>
      <w:r w:rsidR="00805760" w:rsidRPr="00AE367D">
        <w:rPr>
          <w:rFonts w:cs="Times New Roman"/>
          <w:sz w:val="24"/>
          <w:szCs w:val="24"/>
        </w:rPr>
        <w:t xml:space="preserve"> </w:t>
      </w:r>
      <w:r w:rsidR="00DA5528">
        <w:rPr>
          <w:rFonts w:cs="Times New Roman"/>
          <w:sz w:val="24"/>
          <w:szCs w:val="24"/>
        </w:rPr>
        <w:t>The</w:t>
      </w:r>
      <w:r w:rsidR="008B0EF2">
        <w:rPr>
          <w:rFonts w:cs="Times New Roman"/>
          <w:sz w:val="24"/>
          <w:szCs w:val="24"/>
        </w:rPr>
        <w:t xml:space="preserve"> Applicant </w:t>
      </w:r>
      <w:r w:rsidR="00DA5528">
        <w:rPr>
          <w:rFonts w:cs="Times New Roman"/>
          <w:sz w:val="24"/>
          <w:szCs w:val="24"/>
        </w:rPr>
        <w:t xml:space="preserve">also </w:t>
      </w:r>
      <w:r w:rsidR="008B0EF2">
        <w:rPr>
          <w:rFonts w:cs="Times New Roman"/>
          <w:sz w:val="24"/>
          <w:szCs w:val="24"/>
        </w:rPr>
        <w:t>provided data showing that a</w:t>
      </w:r>
      <w:r w:rsidR="00B171BC" w:rsidRPr="00AE367D">
        <w:rPr>
          <w:rFonts w:cs="Times New Roman"/>
          <w:sz w:val="24"/>
          <w:szCs w:val="24"/>
        </w:rPr>
        <w:t>pproximately 14% of BID Milton’s patient panel originate from Quincy, with the remaining 60.3% originating from other towns in Plymouth and Norfolk counties</w:t>
      </w:r>
      <w:r w:rsidR="000D154B">
        <w:rPr>
          <w:rFonts w:cs="Times New Roman"/>
          <w:sz w:val="24"/>
          <w:szCs w:val="24"/>
        </w:rPr>
        <w:t>, which overlaps the interests of both Satellites</w:t>
      </w:r>
      <w:r w:rsidR="0069494C">
        <w:rPr>
          <w:rFonts w:cs="Times New Roman"/>
          <w:sz w:val="24"/>
          <w:szCs w:val="24"/>
        </w:rPr>
        <w:t>.</w:t>
      </w:r>
    </w:p>
    <w:p w14:paraId="696A7B85" w14:textId="77777777" w:rsidR="00B171BC" w:rsidRDefault="00B171BC" w:rsidP="007C0E02">
      <w:pPr>
        <w:spacing w:after="0" w:line="240" w:lineRule="auto"/>
        <w:rPr>
          <w:rFonts w:cs="Times New Roman"/>
        </w:rPr>
      </w:pPr>
    </w:p>
    <w:p w14:paraId="1A98193B" w14:textId="0EBA6CD5" w:rsidR="007C0E02" w:rsidRPr="00185FBE" w:rsidRDefault="007C0E02" w:rsidP="007C0E02">
      <w:pPr>
        <w:spacing w:after="0" w:line="240" w:lineRule="auto"/>
        <w:rPr>
          <w:sz w:val="24"/>
          <w:szCs w:val="24"/>
          <w:highlight w:val="yellow"/>
        </w:rPr>
      </w:pPr>
      <w:r w:rsidRPr="0089298E">
        <w:rPr>
          <w:sz w:val="24"/>
          <w:szCs w:val="24"/>
        </w:rPr>
        <w:t xml:space="preserve">Table </w:t>
      </w:r>
      <w:r w:rsidR="0089298E" w:rsidRPr="0089298E">
        <w:rPr>
          <w:sz w:val="24"/>
          <w:szCs w:val="24"/>
        </w:rPr>
        <w:t>3</w:t>
      </w:r>
      <w:r w:rsidRPr="0089298E">
        <w:rPr>
          <w:sz w:val="24"/>
          <w:szCs w:val="24"/>
        </w:rPr>
        <w:t xml:space="preserve"> shows the demographic </w:t>
      </w:r>
      <w:r w:rsidRPr="00085F51">
        <w:rPr>
          <w:sz w:val="24"/>
          <w:szCs w:val="24"/>
        </w:rPr>
        <w:t>characteristics of</w:t>
      </w:r>
      <w:r w:rsidR="00874FC5" w:rsidRPr="00085F51">
        <w:rPr>
          <w:sz w:val="24"/>
          <w:szCs w:val="24"/>
        </w:rPr>
        <w:t xml:space="preserve"> </w:t>
      </w:r>
      <w:r w:rsidR="00814C19" w:rsidRPr="00085F51">
        <w:rPr>
          <w:sz w:val="24"/>
          <w:szCs w:val="24"/>
        </w:rPr>
        <w:t xml:space="preserve">the </w:t>
      </w:r>
      <w:r w:rsidR="0089298E" w:rsidRPr="00085F51">
        <w:rPr>
          <w:sz w:val="24"/>
          <w:szCs w:val="24"/>
        </w:rPr>
        <w:t xml:space="preserve">BID-Plymouth, </w:t>
      </w:r>
      <w:r w:rsidR="00EC759E">
        <w:rPr>
          <w:sz w:val="24"/>
          <w:szCs w:val="24"/>
        </w:rPr>
        <w:t xml:space="preserve">BID-Plymouth Oncology, </w:t>
      </w:r>
      <w:r w:rsidR="0089298E" w:rsidRPr="00085F51">
        <w:rPr>
          <w:sz w:val="24"/>
          <w:szCs w:val="24"/>
        </w:rPr>
        <w:t>BILHPC Quincy, BILH Urgent Care Quincy,</w:t>
      </w:r>
      <w:r w:rsidR="00085F51" w:rsidRPr="00085F51">
        <w:rPr>
          <w:sz w:val="24"/>
          <w:szCs w:val="24"/>
        </w:rPr>
        <w:t xml:space="preserve"> </w:t>
      </w:r>
      <w:r w:rsidR="0089298E" w:rsidRPr="00085F51">
        <w:rPr>
          <w:sz w:val="24"/>
          <w:szCs w:val="24"/>
        </w:rPr>
        <w:t>and BID Milton</w:t>
      </w:r>
      <w:r w:rsidR="00085F51" w:rsidRPr="00085F51">
        <w:rPr>
          <w:sz w:val="24"/>
          <w:szCs w:val="24"/>
        </w:rPr>
        <w:t xml:space="preserve">. </w:t>
      </w:r>
      <w:r w:rsidRPr="00085F51">
        <w:rPr>
          <w:sz w:val="24"/>
          <w:szCs w:val="24"/>
        </w:rPr>
        <w:t>Staff notes the following observations:</w:t>
      </w:r>
    </w:p>
    <w:p w14:paraId="10059146" w14:textId="77777777" w:rsidR="00DE39E0" w:rsidRPr="00C501EC" w:rsidRDefault="00DE39E0" w:rsidP="007C0E02">
      <w:pPr>
        <w:spacing w:after="0" w:line="240" w:lineRule="auto"/>
        <w:rPr>
          <w:sz w:val="24"/>
          <w:szCs w:val="24"/>
        </w:rPr>
      </w:pPr>
    </w:p>
    <w:p w14:paraId="580CAC32" w14:textId="3DA3CC69" w:rsidR="007C0E02" w:rsidRPr="00BB372E" w:rsidRDefault="006F4BC1" w:rsidP="006D54D3">
      <w:pPr>
        <w:pStyle w:val="ListParagraph"/>
        <w:numPr>
          <w:ilvl w:val="0"/>
          <w:numId w:val="1"/>
        </w:numPr>
        <w:spacing w:after="0" w:line="240" w:lineRule="auto"/>
        <w:rPr>
          <w:rFonts w:ascii="Times New Roman" w:hAnsi="Times New Roman" w:cs="Times New Roman"/>
          <w:sz w:val="24"/>
          <w:szCs w:val="24"/>
        </w:rPr>
      </w:pPr>
      <w:r w:rsidRPr="00C501EC">
        <w:rPr>
          <w:b/>
          <w:bCs/>
          <w:sz w:val="24"/>
          <w:szCs w:val="24"/>
        </w:rPr>
        <w:t>Age-</w:t>
      </w:r>
      <w:r w:rsidRPr="00C501EC">
        <w:rPr>
          <w:rFonts w:ascii="Times New Roman" w:hAnsi="Times New Roman" w:cs="Times New Roman"/>
          <w:sz w:val="24"/>
          <w:szCs w:val="24"/>
        </w:rPr>
        <w:t xml:space="preserve"> </w:t>
      </w:r>
      <w:r w:rsidR="00155BEF" w:rsidRPr="00C501EC">
        <w:rPr>
          <w:rFonts w:cstheme="minorHAnsi"/>
          <w:sz w:val="24"/>
          <w:szCs w:val="24"/>
        </w:rPr>
        <w:t>BID P</w:t>
      </w:r>
      <w:r w:rsidR="0048411A" w:rsidRPr="00C501EC">
        <w:rPr>
          <w:rFonts w:cstheme="minorHAnsi"/>
          <w:sz w:val="24"/>
          <w:szCs w:val="24"/>
        </w:rPr>
        <w:t>lymouth</w:t>
      </w:r>
      <w:r w:rsidR="00BD1A06">
        <w:rPr>
          <w:rFonts w:cstheme="minorHAnsi"/>
          <w:sz w:val="24"/>
          <w:szCs w:val="24"/>
        </w:rPr>
        <w:t>’s</w:t>
      </w:r>
      <w:r w:rsidR="0048411A" w:rsidRPr="00C501EC">
        <w:rPr>
          <w:rFonts w:cstheme="minorHAnsi"/>
          <w:sz w:val="24"/>
          <w:szCs w:val="24"/>
        </w:rPr>
        <w:t xml:space="preserve"> Oncology</w:t>
      </w:r>
      <w:r w:rsidR="00F31CD4" w:rsidRPr="00C501EC">
        <w:rPr>
          <w:rFonts w:cstheme="minorHAnsi"/>
          <w:sz w:val="24"/>
          <w:szCs w:val="24"/>
        </w:rPr>
        <w:t xml:space="preserve"> patients are largely aged 65+ (63%), while all of the </w:t>
      </w:r>
      <w:r w:rsidR="00F31CD4" w:rsidRPr="00BB372E">
        <w:rPr>
          <w:rFonts w:cstheme="minorHAnsi"/>
          <w:sz w:val="24"/>
          <w:szCs w:val="24"/>
        </w:rPr>
        <w:t>facilit</w:t>
      </w:r>
      <w:r w:rsidR="00C501EC" w:rsidRPr="00BB372E">
        <w:rPr>
          <w:rFonts w:cstheme="minorHAnsi"/>
          <w:sz w:val="24"/>
          <w:szCs w:val="24"/>
        </w:rPr>
        <w:t xml:space="preserve">ies examined see a majority of their patients </w:t>
      </w:r>
      <w:r w:rsidR="00AF363A">
        <w:rPr>
          <w:rFonts w:cstheme="minorHAnsi"/>
          <w:sz w:val="24"/>
          <w:szCs w:val="24"/>
        </w:rPr>
        <w:t xml:space="preserve">(55% or more) </w:t>
      </w:r>
      <w:r w:rsidR="00C501EC" w:rsidRPr="00BB372E">
        <w:rPr>
          <w:rFonts w:cstheme="minorHAnsi"/>
          <w:sz w:val="24"/>
          <w:szCs w:val="24"/>
        </w:rPr>
        <w:t>in the 18-64 age range.</w:t>
      </w:r>
    </w:p>
    <w:p w14:paraId="7936EA1B" w14:textId="5C20FB04" w:rsidR="007C0E02" w:rsidRPr="00934D2C" w:rsidRDefault="007C0E02" w:rsidP="007C0E02">
      <w:pPr>
        <w:numPr>
          <w:ilvl w:val="0"/>
          <w:numId w:val="1"/>
        </w:numPr>
        <w:spacing w:after="0" w:line="240" w:lineRule="auto"/>
        <w:rPr>
          <w:sz w:val="24"/>
          <w:szCs w:val="24"/>
        </w:rPr>
      </w:pPr>
      <w:r w:rsidRPr="00BB372E">
        <w:rPr>
          <w:b/>
          <w:bCs/>
          <w:sz w:val="24"/>
          <w:szCs w:val="24"/>
        </w:rPr>
        <w:lastRenderedPageBreak/>
        <w:t>Race/Ethnicity-</w:t>
      </w:r>
      <w:r w:rsidRPr="00BB372E">
        <w:rPr>
          <w:sz w:val="24"/>
          <w:szCs w:val="24"/>
        </w:rPr>
        <w:t xml:space="preserve"> </w:t>
      </w:r>
      <w:r w:rsidR="00630C10">
        <w:rPr>
          <w:sz w:val="24"/>
          <w:szCs w:val="24"/>
        </w:rPr>
        <w:t>T</w:t>
      </w:r>
      <w:r w:rsidR="00ED7922" w:rsidRPr="00BB372E">
        <w:rPr>
          <w:sz w:val="24"/>
          <w:szCs w:val="24"/>
        </w:rPr>
        <w:t xml:space="preserve">he </w:t>
      </w:r>
      <w:r w:rsidR="00BB117B">
        <w:rPr>
          <w:sz w:val="24"/>
          <w:szCs w:val="24"/>
        </w:rPr>
        <w:t>largest percentage of</w:t>
      </w:r>
      <w:r w:rsidR="00606FF8" w:rsidRPr="00BB372E">
        <w:rPr>
          <w:sz w:val="24"/>
          <w:szCs w:val="24"/>
        </w:rPr>
        <w:t xml:space="preserve"> patients served identified as White. BID Milton </w:t>
      </w:r>
      <w:r w:rsidR="0085396C" w:rsidRPr="00BB372E">
        <w:rPr>
          <w:sz w:val="24"/>
          <w:szCs w:val="24"/>
        </w:rPr>
        <w:t xml:space="preserve">had </w:t>
      </w:r>
      <w:r w:rsidR="00BB372E" w:rsidRPr="00BB372E">
        <w:rPr>
          <w:sz w:val="24"/>
          <w:szCs w:val="24"/>
        </w:rPr>
        <w:t xml:space="preserve">over 18% of patients identifying as Black/ </w:t>
      </w:r>
      <w:r w:rsidR="00BB372E" w:rsidRPr="00934D2C">
        <w:rPr>
          <w:sz w:val="24"/>
          <w:szCs w:val="24"/>
        </w:rPr>
        <w:t>African American</w:t>
      </w:r>
      <w:r w:rsidR="00630C10">
        <w:rPr>
          <w:sz w:val="24"/>
          <w:szCs w:val="24"/>
        </w:rPr>
        <w:t xml:space="preserve"> and BILHPC Quincy had over 7% of its </w:t>
      </w:r>
      <w:r w:rsidR="00630C10" w:rsidRPr="00BB372E">
        <w:rPr>
          <w:sz w:val="24"/>
          <w:szCs w:val="24"/>
        </w:rPr>
        <w:t xml:space="preserve">patients identifying as Black/ </w:t>
      </w:r>
      <w:r w:rsidR="00630C10" w:rsidRPr="00934D2C">
        <w:rPr>
          <w:sz w:val="24"/>
          <w:szCs w:val="24"/>
        </w:rPr>
        <w:t>African American</w:t>
      </w:r>
      <w:r w:rsidR="00630C10">
        <w:rPr>
          <w:sz w:val="24"/>
          <w:szCs w:val="24"/>
        </w:rPr>
        <w:t xml:space="preserve"> or Asian</w:t>
      </w:r>
      <w:r w:rsidR="00BB372E" w:rsidRPr="00934D2C">
        <w:rPr>
          <w:sz w:val="24"/>
          <w:szCs w:val="24"/>
        </w:rPr>
        <w:t>.</w:t>
      </w:r>
      <w:r w:rsidR="009A7948" w:rsidRPr="00934D2C">
        <w:rPr>
          <w:sz w:val="24"/>
          <w:szCs w:val="24"/>
        </w:rPr>
        <w:t xml:space="preserve"> </w:t>
      </w:r>
    </w:p>
    <w:p w14:paraId="6D14A302" w14:textId="79C5B5C3" w:rsidR="003A7AE0" w:rsidRPr="0047533B" w:rsidRDefault="008C4EFA" w:rsidP="0047533B">
      <w:pPr>
        <w:pStyle w:val="ListParagraph"/>
        <w:numPr>
          <w:ilvl w:val="0"/>
          <w:numId w:val="1"/>
        </w:numPr>
        <w:spacing w:after="0" w:line="240" w:lineRule="auto"/>
        <w:rPr>
          <w:sz w:val="24"/>
          <w:szCs w:val="24"/>
        </w:rPr>
      </w:pPr>
      <w:r w:rsidRPr="00934D2C">
        <w:rPr>
          <w:b/>
          <w:bCs/>
          <w:sz w:val="24"/>
          <w:szCs w:val="24"/>
        </w:rPr>
        <w:t xml:space="preserve">Payer Mix- </w:t>
      </w:r>
      <w:r w:rsidR="00C47E12" w:rsidRPr="00934D2C">
        <w:rPr>
          <w:rFonts w:cstheme="minorHAnsi"/>
          <w:sz w:val="24"/>
          <w:szCs w:val="24"/>
        </w:rPr>
        <w:t xml:space="preserve">Over 60% of BID-Plymouth’s Oncology patients are covered by Medicare, consistent with </w:t>
      </w:r>
      <w:r w:rsidR="00D00CB3">
        <w:rPr>
          <w:rFonts w:cstheme="minorHAnsi"/>
          <w:sz w:val="24"/>
          <w:szCs w:val="24"/>
        </w:rPr>
        <w:t>the</w:t>
      </w:r>
      <w:r w:rsidR="00C47E12" w:rsidRPr="00934D2C">
        <w:rPr>
          <w:rFonts w:cstheme="minorHAnsi"/>
          <w:sz w:val="24"/>
          <w:szCs w:val="24"/>
        </w:rPr>
        <w:t xml:space="preserve"> primary </w:t>
      </w:r>
      <w:r w:rsidR="00A061B0" w:rsidRPr="00934D2C">
        <w:rPr>
          <w:rFonts w:cstheme="minorHAnsi"/>
          <w:sz w:val="24"/>
          <w:szCs w:val="24"/>
        </w:rPr>
        <w:t xml:space="preserve">age demographic served. </w:t>
      </w:r>
      <w:r w:rsidR="00841F8F" w:rsidRPr="00934D2C">
        <w:rPr>
          <w:rFonts w:cstheme="minorHAnsi"/>
          <w:sz w:val="24"/>
          <w:szCs w:val="24"/>
        </w:rPr>
        <w:t>BILHPC Quincy and Qu</w:t>
      </w:r>
      <w:r w:rsidR="00852917" w:rsidRPr="00934D2C">
        <w:rPr>
          <w:rFonts w:cstheme="minorHAnsi"/>
          <w:sz w:val="24"/>
          <w:szCs w:val="24"/>
        </w:rPr>
        <w:t>in</w:t>
      </w:r>
      <w:r w:rsidR="00841F8F" w:rsidRPr="00934D2C">
        <w:rPr>
          <w:rFonts w:cstheme="minorHAnsi"/>
          <w:sz w:val="24"/>
          <w:szCs w:val="24"/>
        </w:rPr>
        <w:t xml:space="preserve">cy Urgent Care’s patients were </w:t>
      </w:r>
      <w:r w:rsidR="00852917" w:rsidRPr="00934D2C">
        <w:rPr>
          <w:rFonts w:cstheme="minorHAnsi"/>
          <w:sz w:val="24"/>
          <w:szCs w:val="24"/>
        </w:rPr>
        <w:t xml:space="preserve">over 50% Commercial insured and </w:t>
      </w:r>
      <w:r w:rsidR="00841F8F" w:rsidRPr="00934D2C">
        <w:rPr>
          <w:rFonts w:cstheme="minorHAnsi"/>
          <w:sz w:val="24"/>
          <w:szCs w:val="24"/>
        </w:rPr>
        <w:t xml:space="preserve">between </w:t>
      </w:r>
      <w:r w:rsidR="00A86EE3">
        <w:rPr>
          <w:rFonts w:cstheme="minorHAnsi"/>
          <w:sz w:val="24"/>
          <w:szCs w:val="24"/>
        </w:rPr>
        <w:t>16</w:t>
      </w:r>
      <w:r w:rsidR="00841F8F" w:rsidRPr="00934D2C">
        <w:rPr>
          <w:rFonts w:cstheme="minorHAnsi"/>
          <w:sz w:val="24"/>
          <w:szCs w:val="24"/>
        </w:rPr>
        <w:t>-27% Medic</w:t>
      </w:r>
      <w:r w:rsidR="00A86EE3">
        <w:rPr>
          <w:rFonts w:cstheme="minorHAnsi"/>
          <w:sz w:val="24"/>
          <w:szCs w:val="24"/>
        </w:rPr>
        <w:t>aid</w:t>
      </w:r>
      <w:r w:rsidR="00841F8F" w:rsidRPr="00934D2C">
        <w:rPr>
          <w:rFonts w:cstheme="minorHAnsi"/>
          <w:sz w:val="24"/>
          <w:szCs w:val="24"/>
        </w:rPr>
        <w:t xml:space="preserve">. </w:t>
      </w:r>
      <w:r w:rsidR="007D6C8E" w:rsidRPr="00934D2C">
        <w:rPr>
          <w:rFonts w:cstheme="minorHAnsi"/>
          <w:sz w:val="24"/>
          <w:szCs w:val="24"/>
        </w:rPr>
        <w:t xml:space="preserve">BID Plymouth </w:t>
      </w:r>
      <w:r w:rsidR="005A0AE0" w:rsidRPr="00934D2C">
        <w:rPr>
          <w:rFonts w:cstheme="minorHAnsi"/>
          <w:sz w:val="24"/>
          <w:szCs w:val="24"/>
        </w:rPr>
        <w:t>and BID Milton</w:t>
      </w:r>
      <w:r w:rsidR="006A100F" w:rsidRPr="00934D2C">
        <w:rPr>
          <w:rFonts w:cstheme="minorHAnsi"/>
          <w:sz w:val="24"/>
          <w:szCs w:val="24"/>
        </w:rPr>
        <w:t>’s patients were over 30% Medica</w:t>
      </w:r>
      <w:r w:rsidR="0047533B">
        <w:rPr>
          <w:rFonts w:cstheme="minorHAnsi"/>
          <w:sz w:val="24"/>
          <w:szCs w:val="24"/>
        </w:rPr>
        <w:t>re</w:t>
      </w:r>
      <w:r w:rsidR="006A100F" w:rsidRPr="00934D2C">
        <w:rPr>
          <w:rFonts w:cstheme="minorHAnsi"/>
          <w:sz w:val="24"/>
          <w:szCs w:val="24"/>
        </w:rPr>
        <w:t xml:space="preserve"> patients. </w:t>
      </w:r>
    </w:p>
    <w:p w14:paraId="66C9B3ED" w14:textId="77777777" w:rsidR="003A7AE0" w:rsidRPr="00185FBE" w:rsidRDefault="003A7AE0" w:rsidP="003E5301">
      <w:pPr>
        <w:spacing w:after="0" w:line="240" w:lineRule="auto"/>
        <w:jc w:val="center"/>
        <w:rPr>
          <w:b/>
          <w:bCs/>
          <w:sz w:val="24"/>
          <w:szCs w:val="24"/>
          <w:highlight w:val="yellow"/>
        </w:rPr>
      </w:pPr>
    </w:p>
    <w:p w14:paraId="2A81CCF9" w14:textId="50446A76" w:rsidR="0025244D" w:rsidRPr="00107232" w:rsidRDefault="0025244D" w:rsidP="0025244D">
      <w:pPr>
        <w:pStyle w:val="Caption"/>
        <w:spacing w:after="0"/>
        <w:contextualSpacing/>
        <w:jc w:val="center"/>
        <w:rPr>
          <w:rFonts w:cstheme="minorHAnsi"/>
          <w:color w:val="2F5496" w:themeColor="accent1" w:themeShade="BF"/>
          <w:sz w:val="24"/>
          <w:szCs w:val="24"/>
        </w:rPr>
      </w:pPr>
      <w:r w:rsidRPr="00107232">
        <w:rPr>
          <w:rFonts w:cstheme="minorHAnsi"/>
          <w:color w:val="2F5496" w:themeColor="accent1" w:themeShade="BF"/>
          <w:sz w:val="24"/>
          <w:szCs w:val="24"/>
          <w:u w:val="single"/>
        </w:rPr>
        <w:t xml:space="preserve">Table </w:t>
      </w:r>
      <w:r w:rsidR="00DE135C">
        <w:rPr>
          <w:rFonts w:cstheme="minorHAnsi"/>
          <w:color w:val="2F5496" w:themeColor="accent1" w:themeShade="BF"/>
          <w:sz w:val="24"/>
          <w:szCs w:val="24"/>
          <w:u w:val="single"/>
        </w:rPr>
        <w:t>3</w:t>
      </w:r>
      <w:r w:rsidRPr="00107232">
        <w:rPr>
          <w:rFonts w:cstheme="minorHAnsi"/>
          <w:color w:val="2F5496" w:themeColor="accent1" w:themeShade="BF"/>
          <w:sz w:val="24"/>
          <w:szCs w:val="24"/>
        </w:rPr>
        <w:t>:</w:t>
      </w:r>
      <w:r w:rsidR="00085F51" w:rsidRPr="00107232">
        <w:rPr>
          <w:rFonts w:cstheme="minorHAnsi"/>
          <w:color w:val="2F5496" w:themeColor="accent1" w:themeShade="BF"/>
          <w:sz w:val="24"/>
          <w:szCs w:val="24"/>
        </w:rPr>
        <w:t xml:space="preserve"> </w:t>
      </w:r>
      <w:r w:rsidRPr="00107232">
        <w:rPr>
          <w:rFonts w:cstheme="minorHAnsi"/>
          <w:color w:val="2F5496" w:themeColor="accent1" w:themeShade="BF"/>
          <w:sz w:val="24"/>
          <w:szCs w:val="24"/>
        </w:rPr>
        <w:t xml:space="preserve">Patient </w:t>
      </w:r>
      <w:r w:rsidR="00107232">
        <w:rPr>
          <w:rFonts w:cstheme="minorHAnsi"/>
          <w:color w:val="2F5496" w:themeColor="accent1" w:themeShade="BF"/>
          <w:sz w:val="24"/>
          <w:szCs w:val="24"/>
        </w:rPr>
        <w:t>Po</w:t>
      </w:r>
      <w:r w:rsidR="00E05692">
        <w:rPr>
          <w:rFonts w:cstheme="minorHAnsi"/>
          <w:color w:val="2F5496" w:themeColor="accent1" w:themeShade="BF"/>
          <w:sz w:val="24"/>
          <w:szCs w:val="24"/>
        </w:rPr>
        <w:t>pu</w:t>
      </w:r>
      <w:r w:rsidR="00107232">
        <w:rPr>
          <w:rFonts w:cstheme="minorHAnsi"/>
          <w:color w:val="2F5496" w:themeColor="accent1" w:themeShade="BF"/>
          <w:sz w:val="24"/>
          <w:szCs w:val="24"/>
        </w:rPr>
        <w:t>lation</w:t>
      </w:r>
      <w:r w:rsidR="00A911E9" w:rsidRPr="00107232">
        <w:rPr>
          <w:rFonts w:cstheme="minorHAnsi"/>
          <w:color w:val="2F5496" w:themeColor="accent1" w:themeShade="BF"/>
          <w:sz w:val="24"/>
          <w:szCs w:val="24"/>
        </w:rPr>
        <w:t xml:space="preserve"> </w:t>
      </w:r>
      <w:r w:rsidRPr="00107232">
        <w:rPr>
          <w:rFonts w:cstheme="minorHAnsi"/>
          <w:color w:val="2F5496" w:themeColor="accent1" w:themeShade="BF"/>
          <w:sz w:val="24"/>
          <w:szCs w:val="24"/>
        </w:rPr>
        <w:t>Demographic Profile</w:t>
      </w:r>
      <w:r w:rsidR="00107232" w:rsidRPr="00107232">
        <w:rPr>
          <w:rFonts w:cstheme="minorHAnsi"/>
          <w:color w:val="2F5496" w:themeColor="accent1" w:themeShade="BF"/>
          <w:sz w:val="24"/>
          <w:szCs w:val="24"/>
        </w:rPr>
        <w:t>s</w:t>
      </w:r>
      <w:r w:rsidR="000F17CE">
        <w:rPr>
          <w:rFonts w:cstheme="minorHAnsi"/>
          <w:color w:val="2F5496" w:themeColor="accent1" w:themeShade="BF"/>
          <w:sz w:val="24"/>
          <w:szCs w:val="24"/>
        </w:rPr>
        <w:t xml:space="preserve"> In Proposed Service Area</w:t>
      </w:r>
      <w:r w:rsidR="00A911E9" w:rsidRPr="00107232">
        <w:rPr>
          <w:rFonts w:cstheme="minorHAnsi"/>
          <w:color w:val="2F5496" w:themeColor="accent1" w:themeShade="BF"/>
          <w:sz w:val="24"/>
          <w:szCs w:val="24"/>
        </w:rPr>
        <w:t>, FY2023</w:t>
      </w:r>
    </w:p>
    <w:tbl>
      <w:tblPr>
        <w:tblStyle w:val="TableGrid"/>
        <w:tblW w:w="0" w:type="auto"/>
        <w:jc w:val="right"/>
        <w:tblLayout w:type="fixed"/>
        <w:tblLook w:val="04A0" w:firstRow="1" w:lastRow="0" w:firstColumn="1" w:lastColumn="0" w:noHBand="0" w:noVBand="1"/>
      </w:tblPr>
      <w:tblGrid>
        <w:gridCol w:w="1421"/>
        <w:gridCol w:w="1585"/>
        <w:gridCol w:w="1586"/>
        <w:gridCol w:w="1586"/>
        <w:gridCol w:w="1586"/>
        <w:gridCol w:w="1586"/>
      </w:tblGrid>
      <w:tr w:rsidR="002B7A3C" w:rsidRPr="00185FBE" w14:paraId="032E63E4" w14:textId="3EF081E8" w:rsidTr="00762DA5">
        <w:trPr>
          <w:cantSplit/>
          <w:trHeight w:val="144"/>
          <w:tblHeader/>
          <w:jc w:val="right"/>
        </w:trPr>
        <w:tc>
          <w:tcPr>
            <w:tcW w:w="1421" w:type="dxa"/>
            <w:tcBorders>
              <w:bottom w:val="single" w:sz="4" w:space="0" w:color="auto"/>
            </w:tcBorders>
            <w:shd w:val="clear" w:color="auto" w:fill="D9E2F3" w:themeFill="accent1" w:themeFillTint="33"/>
          </w:tcPr>
          <w:p w14:paraId="782065BF" w14:textId="77777777" w:rsidR="002B7A3C" w:rsidRPr="00185FBE" w:rsidRDefault="002B7A3C">
            <w:pPr>
              <w:rPr>
                <w:rFonts w:cstheme="minorHAnsi"/>
                <w:highlight w:val="yellow"/>
              </w:rPr>
            </w:pPr>
          </w:p>
        </w:tc>
        <w:tc>
          <w:tcPr>
            <w:tcW w:w="1585" w:type="dxa"/>
            <w:tcBorders>
              <w:bottom w:val="single" w:sz="4" w:space="0" w:color="auto"/>
            </w:tcBorders>
            <w:shd w:val="clear" w:color="auto" w:fill="D9E2F3" w:themeFill="accent1" w:themeFillTint="33"/>
          </w:tcPr>
          <w:p w14:paraId="0DEC3F0F" w14:textId="3CBDDCE4" w:rsidR="002B7A3C" w:rsidRPr="000F17CE" w:rsidRDefault="002B7A3C">
            <w:pPr>
              <w:jc w:val="center"/>
              <w:rPr>
                <w:rFonts w:eastAsia="Calibri" w:cstheme="minorHAnsi"/>
                <w:b/>
              </w:rPr>
            </w:pPr>
            <w:r w:rsidRPr="000F17CE">
              <w:rPr>
                <w:rFonts w:eastAsia="Calibri" w:cstheme="minorHAnsi"/>
                <w:b/>
              </w:rPr>
              <w:t>BID</w:t>
            </w:r>
            <w:r>
              <w:rPr>
                <w:rFonts w:eastAsia="Calibri" w:cstheme="minorHAnsi"/>
                <w:b/>
              </w:rPr>
              <w:t>-Plymouth</w:t>
            </w:r>
          </w:p>
        </w:tc>
        <w:tc>
          <w:tcPr>
            <w:tcW w:w="1586" w:type="dxa"/>
            <w:tcBorders>
              <w:bottom w:val="single" w:sz="4" w:space="0" w:color="auto"/>
            </w:tcBorders>
            <w:shd w:val="clear" w:color="auto" w:fill="D9E2F3" w:themeFill="accent1" w:themeFillTint="33"/>
          </w:tcPr>
          <w:p w14:paraId="6297F229" w14:textId="5F9E5B8F" w:rsidR="002B7A3C" w:rsidRPr="000F17CE" w:rsidRDefault="002B7A3C">
            <w:pPr>
              <w:jc w:val="center"/>
              <w:rPr>
                <w:rFonts w:eastAsia="Calibri" w:cstheme="minorHAnsi"/>
                <w:b/>
              </w:rPr>
            </w:pPr>
            <w:r>
              <w:rPr>
                <w:rFonts w:eastAsia="Calibri" w:cstheme="minorHAnsi"/>
                <w:b/>
              </w:rPr>
              <w:t>BID-Plymouth Oncology</w:t>
            </w:r>
          </w:p>
        </w:tc>
        <w:tc>
          <w:tcPr>
            <w:tcW w:w="1586" w:type="dxa"/>
            <w:tcBorders>
              <w:bottom w:val="single" w:sz="4" w:space="0" w:color="auto"/>
            </w:tcBorders>
            <w:shd w:val="clear" w:color="auto" w:fill="D9E2F3" w:themeFill="accent1" w:themeFillTint="33"/>
          </w:tcPr>
          <w:p w14:paraId="7B705C64" w14:textId="352A2A2A" w:rsidR="002B7A3C" w:rsidRDefault="002B7A3C">
            <w:pPr>
              <w:jc w:val="center"/>
              <w:rPr>
                <w:rFonts w:eastAsia="Calibri" w:cstheme="minorHAnsi"/>
                <w:b/>
              </w:rPr>
            </w:pPr>
            <w:r w:rsidRPr="000F17CE">
              <w:rPr>
                <w:rFonts w:eastAsia="Calibri" w:cstheme="minorHAnsi"/>
                <w:b/>
              </w:rPr>
              <w:t>BILHPC Quincy</w:t>
            </w:r>
            <w:r w:rsidR="00630C10">
              <w:rPr>
                <w:rStyle w:val="FootnoteReference"/>
                <w:rFonts w:eastAsia="Calibri" w:cstheme="minorHAnsi"/>
                <w:b/>
              </w:rPr>
              <w:footnoteReference w:id="9"/>
            </w:r>
          </w:p>
          <w:p w14:paraId="7CD90768" w14:textId="338563A7" w:rsidR="002B7A3C" w:rsidRPr="000F17CE" w:rsidRDefault="002B7A3C">
            <w:pPr>
              <w:jc w:val="center"/>
              <w:rPr>
                <w:rFonts w:eastAsia="Calibri" w:cstheme="minorHAnsi"/>
                <w:b/>
              </w:rPr>
            </w:pPr>
          </w:p>
        </w:tc>
        <w:tc>
          <w:tcPr>
            <w:tcW w:w="1586" w:type="dxa"/>
            <w:tcBorders>
              <w:bottom w:val="single" w:sz="4" w:space="0" w:color="auto"/>
            </w:tcBorders>
            <w:shd w:val="clear" w:color="auto" w:fill="D9E2F3" w:themeFill="accent1" w:themeFillTint="33"/>
          </w:tcPr>
          <w:p w14:paraId="71D8086E" w14:textId="748B6D86" w:rsidR="002B7A3C" w:rsidRPr="000F17CE" w:rsidRDefault="002B7A3C">
            <w:pPr>
              <w:jc w:val="center"/>
              <w:rPr>
                <w:rFonts w:eastAsia="Calibri" w:cstheme="minorHAnsi"/>
                <w:b/>
              </w:rPr>
            </w:pPr>
            <w:r w:rsidRPr="000F17CE">
              <w:rPr>
                <w:rFonts w:eastAsia="Calibri" w:cstheme="minorHAnsi"/>
                <w:b/>
              </w:rPr>
              <w:t>BILH Urgent Care Quincy</w:t>
            </w:r>
            <w:r>
              <w:rPr>
                <w:rStyle w:val="FootnoteReference"/>
                <w:rFonts w:eastAsia="Calibri" w:cstheme="minorHAnsi"/>
                <w:b/>
              </w:rPr>
              <w:footnoteReference w:id="10"/>
            </w:r>
          </w:p>
        </w:tc>
        <w:tc>
          <w:tcPr>
            <w:tcW w:w="1586" w:type="dxa"/>
            <w:tcBorders>
              <w:bottom w:val="single" w:sz="4" w:space="0" w:color="auto"/>
            </w:tcBorders>
            <w:shd w:val="clear" w:color="auto" w:fill="D9E2F3" w:themeFill="accent1" w:themeFillTint="33"/>
          </w:tcPr>
          <w:p w14:paraId="2BB47AE6" w14:textId="2E04175D" w:rsidR="002B7A3C" w:rsidRPr="000F17CE" w:rsidRDefault="002B7A3C">
            <w:pPr>
              <w:jc w:val="center"/>
              <w:rPr>
                <w:rFonts w:eastAsia="Calibri" w:cstheme="minorHAnsi"/>
                <w:b/>
              </w:rPr>
            </w:pPr>
            <w:r w:rsidRPr="000F17CE">
              <w:rPr>
                <w:rFonts w:eastAsia="Calibri" w:cstheme="minorHAnsi"/>
                <w:b/>
              </w:rPr>
              <w:t>BID Milton</w:t>
            </w:r>
          </w:p>
        </w:tc>
      </w:tr>
      <w:tr w:rsidR="002B7A3C" w:rsidRPr="00185FBE" w14:paraId="06B5AE0E" w14:textId="158BEA9A" w:rsidTr="00762DA5">
        <w:trPr>
          <w:cantSplit/>
          <w:trHeight w:val="144"/>
          <w:jc w:val="right"/>
        </w:trPr>
        <w:tc>
          <w:tcPr>
            <w:tcW w:w="1421" w:type="dxa"/>
            <w:tcBorders>
              <w:bottom w:val="single" w:sz="4" w:space="0" w:color="auto"/>
            </w:tcBorders>
          </w:tcPr>
          <w:p w14:paraId="25BAE0FF" w14:textId="77777777" w:rsidR="002B7A3C" w:rsidRPr="000F17CE" w:rsidRDefault="002B7A3C" w:rsidP="002B7A3C">
            <w:pPr>
              <w:rPr>
                <w:rFonts w:cstheme="minorHAnsi"/>
              </w:rPr>
            </w:pPr>
            <w:r w:rsidRPr="000F17CE">
              <w:rPr>
                <w:rFonts w:eastAsia="Calibri" w:cstheme="minorHAnsi"/>
                <w:b/>
              </w:rPr>
              <w:t>Total Unique Patients</w:t>
            </w:r>
          </w:p>
        </w:tc>
        <w:tc>
          <w:tcPr>
            <w:tcW w:w="1585" w:type="dxa"/>
            <w:tcBorders>
              <w:bottom w:val="single" w:sz="4" w:space="0" w:color="auto"/>
            </w:tcBorders>
          </w:tcPr>
          <w:p w14:paraId="0D564ED7" w14:textId="44776AFD" w:rsidR="002B7A3C" w:rsidRPr="001F6ACB" w:rsidRDefault="00630C10" w:rsidP="002B7A3C">
            <w:pPr>
              <w:ind w:left="720" w:hanging="557"/>
              <w:contextualSpacing/>
              <w:jc w:val="right"/>
              <w:rPr>
                <w:rFonts w:eastAsia="Calibri" w:cstheme="minorHAnsi"/>
                <w:bCs/>
                <w:sz w:val="24"/>
                <w:szCs w:val="24"/>
                <w:highlight w:val="yellow"/>
              </w:rPr>
            </w:pPr>
            <w:r>
              <w:rPr>
                <w:color w:val="000000"/>
                <w:sz w:val="24"/>
                <w:szCs w:val="24"/>
              </w:rPr>
              <w:t>81,364</w:t>
            </w:r>
          </w:p>
        </w:tc>
        <w:tc>
          <w:tcPr>
            <w:tcW w:w="1586" w:type="dxa"/>
            <w:tcBorders>
              <w:bottom w:val="single" w:sz="4" w:space="0" w:color="auto"/>
            </w:tcBorders>
          </w:tcPr>
          <w:p w14:paraId="28C47AA1" w14:textId="73E51D8A" w:rsidR="002B7A3C" w:rsidRPr="00881203" w:rsidRDefault="002B7A3C" w:rsidP="002B7A3C">
            <w:pPr>
              <w:ind w:left="720" w:hanging="557"/>
              <w:contextualSpacing/>
              <w:jc w:val="right"/>
              <w:rPr>
                <w:sz w:val="24"/>
                <w:szCs w:val="24"/>
              </w:rPr>
            </w:pPr>
            <w:r w:rsidRPr="00881203">
              <w:rPr>
                <w:rFonts w:cs="Times New Roman"/>
                <w:sz w:val="24"/>
                <w:szCs w:val="24"/>
              </w:rPr>
              <w:t>3,853</w:t>
            </w:r>
          </w:p>
        </w:tc>
        <w:tc>
          <w:tcPr>
            <w:tcW w:w="1586" w:type="dxa"/>
            <w:tcBorders>
              <w:bottom w:val="single" w:sz="4" w:space="0" w:color="auto"/>
            </w:tcBorders>
          </w:tcPr>
          <w:p w14:paraId="14DB84D7" w14:textId="696D7F96" w:rsidR="002B7A3C" w:rsidRPr="001F6ACB" w:rsidRDefault="002B7A3C" w:rsidP="002B7A3C">
            <w:pPr>
              <w:ind w:left="720" w:hanging="557"/>
              <w:contextualSpacing/>
              <w:jc w:val="right"/>
              <w:rPr>
                <w:rFonts w:cstheme="minorHAnsi"/>
                <w:b/>
                <w:bCs/>
                <w:color w:val="000000"/>
                <w:sz w:val="24"/>
                <w:szCs w:val="24"/>
                <w:highlight w:val="yellow"/>
              </w:rPr>
            </w:pPr>
            <w:r w:rsidRPr="001F6ACB">
              <w:rPr>
                <w:sz w:val="24"/>
                <w:szCs w:val="24"/>
              </w:rPr>
              <w:t>17,095</w:t>
            </w:r>
          </w:p>
        </w:tc>
        <w:tc>
          <w:tcPr>
            <w:tcW w:w="1586" w:type="dxa"/>
            <w:tcBorders>
              <w:bottom w:val="single" w:sz="4" w:space="0" w:color="auto"/>
            </w:tcBorders>
          </w:tcPr>
          <w:p w14:paraId="3FB63975" w14:textId="13B724BB" w:rsidR="002B7A3C" w:rsidRPr="001F6ACB" w:rsidRDefault="002B7A3C" w:rsidP="002B7A3C">
            <w:pPr>
              <w:ind w:left="720" w:hanging="557"/>
              <w:contextualSpacing/>
              <w:jc w:val="right"/>
              <w:rPr>
                <w:rFonts w:cstheme="minorHAnsi"/>
                <w:b/>
                <w:bCs/>
                <w:color w:val="000000"/>
                <w:sz w:val="24"/>
                <w:szCs w:val="24"/>
                <w:highlight w:val="yellow"/>
              </w:rPr>
            </w:pPr>
            <w:r w:rsidRPr="001F6ACB">
              <w:rPr>
                <w:sz w:val="24"/>
                <w:szCs w:val="24"/>
              </w:rPr>
              <w:t>14,228</w:t>
            </w:r>
          </w:p>
        </w:tc>
        <w:tc>
          <w:tcPr>
            <w:tcW w:w="1586" w:type="dxa"/>
            <w:tcBorders>
              <w:bottom w:val="single" w:sz="4" w:space="0" w:color="auto"/>
            </w:tcBorders>
          </w:tcPr>
          <w:p w14:paraId="33B3C5E7" w14:textId="398C3975" w:rsidR="002B7A3C" w:rsidRPr="001F6ACB" w:rsidRDefault="002B7A3C" w:rsidP="002B7A3C">
            <w:pPr>
              <w:ind w:left="720" w:hanging="557"/>
              <w:contextualSpacing/>
              <w:jc w:val="right"/>
              <w:rPr>
                <w:rFonts w:ascii="Calibri" w:hAnsi="Calibri" w:cs="Calibri"/>
                <w:sz w:val="24"/>
                <w:szCs w:val="24"/>
                <w:highlight w:val="yellow"/>
              </w:rPr>
            </w:pPr>
            <w:r w:rsidRPr="001F6ACB">
              <w:rPr>
                <w:rFonts w:cs="Times New Roman"/>
                <w:color w:val="000000"/>
                <w:sz w:val="24"/>
                <w:szCs w:val="24"/>
              </w:rPr>
              <w:t>70,696</w:t>
            </w:r>
          </w:p>
        </w:tc>
      </w:tr>
      <w:tr w:rsidR="002B7A3C" w:rsidRPr="00185FBE" w14:paraId="4F467217" w14:textId="470DD12E" w:rsidTr="00762DA5">
        <w:trPr>
          <w:cantSplit/>
          <w:trHeight w:val="144"/>
          <w:jc w:val="right"/>
        </w:trPr>
        <w:tc>
          <w:tcPr>
            <w:tcW w:w="1421" w:type="dxa"/>
            <w:tcBorders>
              <w:top w:val="single" w:sz="4" w:space="0" w:color="auto"/>
              <w:left w:val="single" w:sz="4" w:space="0" w:color="auto"/>
              <w:bottom w:val="nil"/>
              <w:right w:val="single" w:sz="4" w:space="0" w:color="auto"/>
            </w:tcBorders>
          </w:tcPr>
          <w:p w14:paraId="02E30F61" w14:textId="77777777" w:rsidR="002B7A3C" w:rsidRPr="000F17CE" w:rsidRDefault="002B7A3C" w:rsidP="002B7A3C">
            <w:pPr>
              <w:contextualSpacing/>
              <w:rPr>
                <w:rFonts w:eastAsia="Calibri" w:cstheme="minorHAnsi"/>
                <w:bCs/>
              </w:rPr>
            </w:pPr>
            <w:r w:rsidRPr="000F17CE">
              <w:rPr>
                <w:rFonts w:eastAsia="Calibri" w:cstheme="minorHAnsi"/>
                <w:b/>
              </w:rPr>
              <w:t>Gender</w:t>
            </w:r>
          </w:p>
        </w:tc>
        <w:tc>
          <w:tcPr>
            <w:tcW w:w="1585" w:type="dxa"/>
            <w:tcBorders>
              <w:top w:val="single" w:sz="4" w:space="0" w:color="auto"/>
              <w:left w:val="single" w:sz="4" w:space="0" w:color="auto"/>
              <w:bottom w:val="nil"/>
              <w:right w:val="single" w:sz="4" w:space="0" w:color="auto"/>
            </w:tcBorders>
          </w:tcPr>
          <w:p w14:paraId="5BD1A9DE" w14:textId="6F52DF37" w:rsidR="002B7A3C" w:rsidRPr="001F6ACB" w:rsidRDefault="002B7A3C" w:rsidP="002B7A3C">
            <w:pPr>
              <w:contextualSpacing/>
              <w:rPr>
                <w:rFonts w:eastAsia="Calibri" w:cstheme="minorHAnsi"/>
                <w:bCs/>
                <w:sz w:val="24"/>
                <w:szCs w:val="24"/>
                <w:highlight w:val="yellow"/>
              </w:rPr>
            </w:pPr>
          </w:p>
        </w:tc>
        <w:tc>
          <w:tcPr>
            <w:tcW w:w="1586" w:type="dxa"/>
            <w:tcBorders>
              <w:top w:val="single" w:sz="4" w:space="0" w:color="auto"/>
              <w:left w:val="single" w:sz="4" w:space="0" w:color="auto"/>
              <w:bottom w:val="nil"/>
              <w:right w:val="single" w:sz="4" w:space="0" w:color="auto"/>
            </w:tcBorders>
          </w:tcPr>
          <w:p w14:paraId="2581F255" w14:textId="77777777" w:rsidR="002B7A3C" w:rsidRPr="00881203" w:rsidRDefault="002B7A3C" w:rsidP="002B7A3C">
            <w:pPr>
              <w:contextualSpacing/>
              <w:rPr>
                <w:rFonts w:eastAsia="Calibri" w:cstheme="minorHAnsi"/>
                <w:bCs/>
                <w:sz w:val="24"/>
                <w:szCs w:val="24"/>
                <w:highlight w:val="yellow"/>
              </w:rPr>
            </w:pPr>
          </w:p>
        </w:tc>
        <w:tc>
          <w:tcPr>
            <w:tcW w:w="1586" w:type="dxa"/>
            <w:tcBorders>
              <w:top w:val="single" w:sz="4" w:space="0" w:color="auto"/>
              <w:left w:val="single" w:sz="4" w:space="0" w:color="auto"/>
              <w:bottom w:val="nil"/>
              <w:right w:val="single" w:sz="4" w:space="0" w:color="auto"/>
            </w:tcBorders>
          </w:tcPr>
          <w:p w14:paraId="044209A9" w14:textId="076AC130" w:rsidR="002B7A3C" w:rsidRPr="001F6ACB" w:rsidRDefault="002B7A3C" w:rsidP="002B7A3C">
            <w:pPr>
              <w:contextualSpacing/>
              <w:rPr>
                <w:rFonts w:eastAsia="Calibri" w:cstheme="minorHAnsi"/>
                <w:bCs/>
                <w:sz w:val="24"/>
                <w:szCs w:val="24"/>
                <w:highlight w:val="yellow"/>
              </w:rPr>
            </w:pPr>
          </w:p>
        </w:tc>
        <w:tc>
          <w:tcPr>
            <w:tcW w:w="1586" w:type="dxa"/>
            <w:tcBorders>
              <w:top w:val="single" w:sz="4" w:space="0" w:color="auto"/>
              <w:left w:val="single" w:sz="4" w:space="0" w:color="auto"/>
              <w:bottom w:val="nil"/>
              <w:right w:val="single" w:sz="4" w:space="0" w:color="auto"/>
            </w:tcBorders>
          </w:tcPr>
          <w:p w14:paraId="0F340E3D" w14:textId="77777777" w:rsidR="002B7A3C" w:rsidRPr="001F6ACB" w:rsidRDefault="002B7A3C" w:rsidP="002B7A3C">
            <w:pPr>
              <w:contextualSpacing/>
              <w:rPr>
                <w:rFonts w:eastAsia="Calibri" w:cstheme="minorHAnsi"/>
                <w:bCs/>
                <w:sz w:val="24"/>
                <w:szCs w:val="24"/>
                <w:highlight w:val="yellow"/>
              </w:rPr>
            </w:pPr>
          </w:p>
        </w:tc>
        <w:tc>
          <w:tcPr>
            <w:tcW w:w="1586" w:type="dxa"/>
            <w:tcBorders>
              <w:top w:val="single" w:sz="4" w:space="0" w:color="auto"/>
              <w:left w:val="single" w:sz="4" w:space="0" w:color="auto"/>
              <w:bottom w:val="nil"/>
              <w:right w:val="single" w:sz="4" w:space="0" w:color="auto"/>
            </w:tcBorders>
          </w:tcPr>
          <w:p w14:paraId="781EA986" w14:textId="77777777" w:rsidR="002B7A3C" w:rsidRPr="001F6ACB" w:rsidRDefault="002B7A3C" w:rsidP="002B7A3C">
            <w:pPr>
              <w:contextualSpacing/>
              <w:rPr>
                <w:rFonts w:eastAsia="Calibri" w:cstheme="minorHAnsi"/>
                <w:bCs/>
                <w:sz w:val="24"/>
                <w:szCs w:val="24"/>
                <w:highlight w:val="yellow"/>
              </w:rPr>
            </w:pPr>
          </w:p>
        </w:tc>
      </w:tr>
      <w:tr w:rsidR="002B7A3C" w:rsidRPr="00185FBE" w14:paraId="12B49B5B" w14:textId="4CFA27C0" w:rsidTr="00762DA5">
        <w:trPr>
          <w:cantSplit/>
          <w:trHeight w:val="144"/>
          <w:jc w:val="right"/>
        </w:trPr>
        <w:tc>
          <w:tcPr>
            <w:tcW w:w="1421" w:type="dxa"/>
            <w:tcBorders>
              <w:top w:val="nil"/>
              <w:left w:val="single" w:sz="4" w:space="0" w:color="auto"/>
              <w:bottom w:val="nil"/>
              <w:right w:val="single" w:sz="4" w:space="0" w:color="auto"/>
            </w:tcBorders>
          </w:tcPr>
          <w:p w14:paraId="5C93AAA7" w14:textId="77777777" w:rsidR="002B7A3C" w:rsidRPr="000F17CE" w:rsidRDefault="002B7A3C" w:rsidP="002B7A3C">
            <w:pPr>
              <w:contextualSpacing/>
              <w:rPr>
                <w:rFonts w:eastAsia="Calibri" w:cstheme="minorHAnsi"/>
                <w:b/>
              </w:rPr>
            </w:pPr>
            <w:r w:rsidRPr="000F17CE">
              <w:rPr>
                <w:rFonts w:eastAsia="Calibri" w:cstheme="minorHAnsi"/>
                <w:bCs/>
              </w:rPr>
              <w:t xml:space="preserve">   Female</w:t>
            </w:r>
          </w:p>
        </w:tc>
        <w:tc>
          <w:tcPr>
            <w:tcW w:w="1585" w:type="dxa"/>
            <w:tcBorders>
              <w:top w:val="nil"/>
              <w:left w:val="single" w:sz="4" w:space="0" w:color="auto"/>
              <w:bottom w:val="nil"/>
              <w:right w:val="single" w:sz="4" w:space="0" w:color="auto"/>
            </w:tcBorders>
          </w:tcPr>
          <w:p w14:paraId="2806C1C1" w14:textId="0D18C36A" w:rsidR="002B7A3C" w:rsidRPr="001F6ACB" w:rsidRDefault="002B7A3C" w:rsidP="002B7A3C">
            <w:pPr>
              <w:ind w:left="720" w:hanging="557"/>
              <w:contextualSpacing/>
              <w:jc w:val="right"/>
              <w:rPr>
                <w:rFonts w:eastAsia="Calibri" w:cstheme="minorHAnsi"/>
                <w:bCs/>
                <w:sz w:val="24"/>
                <w:szCs w:val="24"/>
                <w:highlight w:val="yellow"/>
              </w:rPr>
            </w:pPr>
            <w:r w:rsidRPr="001F6ACB">
              <w:rPr>
                <w:rFonts w:cs="Times New Roman"/>
                <w:sz w:val="24"/>
                <w:szCs w:val="24"/>
              </w:rPr>
              <w:t>59.2%</w:t>
            </w:r>
          </w:p>
        </w:tc>
        <w:tc>
          <w:tcPr>
            <w:tcW w:w="1586" w:type="dxa"/>
            <w:tcBorders>
              <w:top w:val="nil"/>
              <w:left w:val="single" w:sz="4" w:space="0" w:color="auto"/>
              <w:bottom w:val="nil"/>
              <w:right w:val="single" w:sz="4" w:space="0" w:color="auto"/>
            </w:tcBorders>
          </w:tcPr>
          <w:p w14:paraId="4DCE07FC" w14:textId="3E5FF7D9"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58.0%</w:t>
            </w:r>
          </w:p>
        </w:tc>
        <w:tc>
          <w:tcPr>
            <w:tcW w:w="1586" w:type="dxa"/>
            <w:tcBorders>
              <w:top w:val="nil"/>
              <w:left w:val="single" w:sz="4" w:space="0" w:color="auto"/>
              <w:bottom w:val="nil"/>
              <w:right w:val="single" w:sz="4" w:space="0" w:color="auto"/>
            </w:tcBorders>
          </w:tcPr>
          <w:p w14:paraId="78B53C08" w14:textId="09484921" w:rsidR="002B7A3C" w:rsidRPr="00313F3D" w:rsidRDefault="002B7A3C" w:rsidP="002B7A3C">
            <w:pPr>
              <w:ind w:left="720" w:hanging="557"/>
              <w:contextualSpacing/>
              <w:jc w:val="right"/>
              <w:rPr>
                <w:rFonts w:cs="Times New Roman"/>
                <w:sz w:val="24"/>
                <w:szCs w:val="24"/>
                <w:highlight w:val="yellow"/>
              </w:rPr>
            </w:pPr>
            <w:r w:rsidRPr="0047533B">
              <w:rPr>
                <w:rFonts w:cs="Times New Roman"/>
                <w:sz w:val="24"/>
                <w:szCs w:val="24"/>
              </w:rPr>
              <w:t>75.0%</w:t>
            </w:r>
          </w:p>
        </w:tc>
        <w:tc>
          <w:tcPr>
            <w:tcW w:w="1586" w:type="dxa"/>
            <w:tcBorders>
              <w:top w:val="nil"/>
              <w:left w:val="single" w:sz="4" w:space="0" w:color="auto"/>
              <w:bottom w:val="nil"/>
              <w:right w:val="single" w:sz="4" w:space="0" w:color="auto"/>
            </w:tcBorders>
          </w:tcPr>
          <w:p w14:paraId="6E59679E" w14:textId="27F6418C" w:rsidR="002B7A3C" w:rsidRPr="001F6ACB" w:rsidRDefault="002B7A3C" w:rsidP="002B7A3C">
            <w:pPr>
              <w:ind w:left="720" w:hanging="557"/>
              <w:contextualSpacing/>
              <w:jc w:val="right"/>
              <w:rPr>
                <w:rFonts w:cstheme="minorHAnsi"/>
                <w:color w:val="000000"/>
                <w:sz w:val="24"/>
                <w:szCs w:val="24"/>
              </w:rPr>
            </w:pPr>
            <w:r w:rsidRPr="001F6ACB">
              <w:rPr>
                <w:rFonts w:cstheme="minorHAnsi"/>
                <w:color w:val="000000"/>
                <w:sz w:val="24"/>
                <w:szCs w:val="24"/>
              </w:rPr>
              <w:t>0.0%</w:t>
            </w:r>
          </w:p>
        </w:tc>
        <w:tc>
          <w:tcPr>
            <w:tcW w:w="1586" w:type="dxa"/>
            <w:tcBorders>
              <w:top w:val="nil"/>
              <w:left w:val="single" w:sz="4" w:space="0" w:color="auto"/>
              <w:bottom w:val="nil"/>
              <w:right w:val="single" w:sz="4" w:space="0" w:color="auto"/>
            </w:tcBorders>
          </w:tcPr>
          <w:p w14:paraId="33D3CABD" w14:textId="4FCFA57B" w:rsidR="002B7A3C" w:rsidRPr="001F6ACB" w:rsidRDefault="002B7A3C" w:rsidP="002B7A3C">
            <w:pPr>
              <w:ind w:left="720" w:hanging="557"/>
              <w:contextualSpacing/>
              <w:jc w:val="right"/>
              <w:rPr>
                <w:rFonts w:cstheme="minorHAnsi"/>
                <w:color w:val="000000"/>
                <w:sz w:val="24"/>
                <w:szCs w:val="24"/>
                <w:highlight w:val="yellow"/>
              </w:rPr>
            </w:pPr>
            <w:r w:rsidRPr="001F6ACB">
              <w:rPr>
                <w:rFonts w:cs="Times New Roman"/>
                <w:sz w:val="24"/>
                <w:szCs w:val="24"/>
              </w:rPr>
              <w:t>57.7%</w:t>
            </w:r>
          </w:p>
        </w:tc>
      </w:tr>
      <w:tr w:rsidR="002B7A3C" w:rsidRPr="00185FBE" w14:paraId="7AD98759" w14:textId="64A3C8F4" w:rsidTr="00762DA5">
        <w:trPr>
          <w:cantSplit/>
          <w:trHeight w:val="144"/>
          <w:jc w:val="right"/>
        </w:trPr>
        <w:tc>
          <w:tcPr>
            <w:tcW w:w="1421" w:type="dxa"/>
            <w:tcBorders>
              <w:top w:val="nil"/>
              <w:left w:val="single" w:sz="4" w:space="0" w:color="auto"/>
              <w:bottom w:val="nil"/>
              <w:right w:val="single" w:sz="4" w:space="0" w:color="auto"/>
            </w:tcBorders>
          </w:tcPr>
          <w:p w14:paraId="35B89CB2" w14:textId="77777777" w:rsidR="002B7A3C" w:rsidRPr="000F17CE" w:rsidRDefault="002B7A3C" w:rsidP="002B7A3C">
            <w:pPr>
              <w:ind w:left="720" w:hanging="557"/>
              <w:contextualSpacing/>
              <w:rPr>
                <w:rFonts w:eastAsia="Calibri" w:cstheme="minorHAnsi"/>
                <w:bCs/>
              </w:rPr>
            </w:pPr>
            <w:r w:rsidRPr="000F17CE">
              <w:rPr>
                <w:rFonts w:eastAsia="Calibri" w:cstheme="minorHAnsi"/>
                <w:bCs/>
              </w:rPr>
              <w:t>Male</w:t>
            </w:r>
          </w:p>
        </w:tc>
        <w:tc>
          <w:tcPr>
            <w:tcW w:w="1585" w:type="dxa"/>
            <w:tcBorders>
              <w:top w:val="nil"/>
              <w:left w:val="single" w:sz="4" w:space="0" w:color="auto"/>
              <w:bottom w:val="nil"/>
              <w:right w:val="single" w:sz="4" w:space="0" w:color="auto"/>
            </w:tcBorders>
          </w:tcPr>
          <w:p w14:paraId="066019B5" w14:textId="3F267C36" w:rsidR="002B7A3C" w:rsidRPr="001F6ACB" w:rsidRDefault="002B7A3C" w:rsidP="002B7A3C">
            <w:pPr>
              <w:ind w:left="720" w:hanging="557"/>
              <w:contextualSpacing/>
              <w:jc w:val="right"/>
              <w:rPr>
                <w:rFonts w:eastAsia="Calibri" w:cstheme="minorHAnsi"/>
                <w:bCs/>
                <w:sz w:val="24"/>
                <w:szCs w:val="24"/>
                <w:highlight w:val="yellow"/>
              </w:rPr>
            </w:pPr>
            <w:r w:rsidRPr="001F6ACB">
              <w:rPr>
                <w:rFonts w:cs="Times New Roman"/>
                <w:sz w:val="24"/>
                <w:szCs w:val="24"/>
              </w:rPr>
              <w:t>39.</w:t>
            </w:r>
            <w:r>
              <w:rPr>
                <w:rFonts w:cs="Times New Roman"/>
                <w:sz w:val="24"/>
                <w:szCs w:val="24"/>
              </w:rPr>
              <w:t>2</w:t>
            </w:r>
            <w:r w:rsidRPr="001F6ACB">
              <w:rPr>
                <w:rFonts w:cs="Times New Roman"/>
                <w:sz w:val="24"/>
                <w:szCs w:val="24"/>
              </w:rPr>
              <w:t>%</w:t>
            </w:r>
          </w:p>
        </w:tc>
        <w:tc>
          <w:tcPr>
            <w:tcW w:w="1586" w:type="dxa"/>
            <w:tcBorders>
              <w:top w:val="nil"/>
              <w:left w:val="single" w:sz="4" w:space="0" w:color="auto"/>
              <w:bottom w:val="nil"/>
              <w:right w:val="single" w:sz="4" w:space="0" w:color="auto"/>
            </w:tcBorders>
          </w:tcPr>
          <w:p w14:paraId="5365BBBA" w14:textId="38CC2D66"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41.9%</w:t>
            </w:r>
          </w:p>
        </w:tc>
        <w:tc>
          <w:tcPr>
            <w:tcW w:w="1586" w:type="dxa"/>
            <w:tcBorders>
              <w:top w:val="nil"/>
              <w:left w:val="single" w:sz="4" w:space="0" w:color="auto"/>
              <w:bottom w:val="nil"/>
              <w:right w:val="single" w:sz="4" w:space="0" w:color="auto"/>
            </w:tcBorders>
          </w:tcPr>
          <w:p w14:paraId="6BA1FFAE" w14:textId="2BA6989D" w:rsidR="002B7A3C" w:rsidRPr="00313F3D" w:rsidRDefault="002B7A3C" w:rsidP="002B7A3C">
            <w:pPr>
              <w:ind w:left="720" w:hanging="557"/>
              <w:contextualSpacing/>
              <w:jc w:val="right"/>
              <w:rPr>
                <w:rFonts w:cs="Times New Roman"/>
                <w:sz w:val="24"/>
                <w:szCs w:val="24"/>
                <w:highlight w:val="yellow"/>
              </w:rPr>
            </w:pPr>
            <w:r w:rsidRPr="0047533B">
              <w:rPr>
                <w:rFonts w:cs="Times New Roman"/>
                <w:sz w:val="24"/>
                <w:szCs w:val="24"/>
              </w:rPr>
              <w:t>25.0%</w:t>
            </w:r>
          </w:p>
        </w:tc>
        <w:tc>
          <w:tcPr>
            <w:tcW w:w="1586" w:type="dxa"/>
            <w:tcBorders>
              <w:top w:val="nil"/>
              <w:left w:val="single" w:sz="4" w:space="0" w:color="auto"/>
              <w:bottom w:val="nil"/>
              <w:right w:val="single" w:sz="4" w:space="0" w:color="auto"/>
            </w:tcBorders>
          </w:tcPr>
          <w:p w14:paraId="01BD7DB8" w14:textId="2D3D5B25" w:rsidR="002B7A3C" w:rsidRPr="001F6ACB" w:rsidRDefault="002B7A3C" w:rsidP="002B7A3C">
            <w:pPr>
              <w:ind w:left="720" w:hanging="557"/>
              <w:contextualSpacing/>
              <w:jc w:val="right"/>
              <w:rPr>
                <w:rFonts w:cstheme="minorHAnsi"/>
                <w:color w:val="000000"/>
                <w:sz w:val="24"/>
                <w:szCs w:val="24"/>
              </w:rPr>
            </w:pPr>
            <w:r w:rsidRPr="001F6ACB">
              <w:rPr>
                <w:rFonts w:cstheme="minorHAnsi"/>
                <w:color w:val="000000"/>
                <w:sz w:val="24"/>
                <w:szCs w:val="24"/>
              </w:rPr>
              <w:t>0.0%</w:t>
            </w:r>
          </w:p>
        </w:tc>
        <w:tc>
          <w:tcPr>
            <w:tcW w:w="1586" w:type="dxa"/>
            <w:tcBorders>
              <w:top w:val="nil"/>
              <w:left w:val="single" w:sz="4" w:space="0" w:color="auto"/>
              <w:bottom w:val="nil"/>
              <w:right w:val="single" w:sz="4" w:space="0" w:color="auto"/>
            </w:tcBorders>
          </w:tcPr>
          <w:p w14:paraId="7A6123B6" w14:textId="0FA5E757" w:rsidR="002B7A3C" w:rsidRPr="001F6ACB" w:rsidRDefault="002B7A3C" w:rsidP="002B7A3C">
            <w:pPr>
              <w:ind w:left="720" w:hanging="557"/>
              <w:contextualSpacing/>
              <w:jc w:val="right"/>
              <w:rPr>
                <w:rFonts w:cstheme="minorHAnsi"/>
                <w:color w:val="000000"/>
                <w:sz w:val="24"/>
                <w:szCs w:val="24"/>
                <w:highlight w:val="yellow"/>
              </w:rPr>
            </w:pPr>
            <w:r w:rsidRPr="001F6ACB">
              <w:rPr>
                <w:rFonts w:cs="Times New Roman"/>
                <w:sz w:val="24"/>
                <w:szCs w:val="24"/>
              </w:rPr>
              <w:t>42.2%</w:t>
            </w:r>
          </w:p>
        </w:tc>
      </w:tr>
      <w:tr w:rsidR="002B7A3C" w:rsidRPr="00185FBE" w14:paraId="0DCEE458" w14:textId="0673BEB8" w:rsidTr="00762DA5">
        <w:trPr>
          <w:cantSplit/>
          <w:trHeight w:val="144"/>
          <w:jc w:val="right"/>
        </w:trPr>
        <w:tc>
          <w:tcPr>
            <w:tcW w:w="1421" w:type="dxa"/>
            <w:tcBorders>
              <w:top w:val="nil"/>
              <w:left w:val="single" w:sz="4" w:space="0" w:color="auto"/>
              <w:bottom w:val="single" w:sz="4" w:space="0" w:color="auto"/>
              <w:right w:val="single" w:sz="4" w:space="0" w:color="auto"/>
            </w:tcBorders>
          </w:tcPr>
          <w:p w14:paraId="171DEDC7" w14:textId="40A83EBD" w:rsidR="002B7A3C" w:rsidRPr="000F17CE" w:rsidRDefault="002B7A3C" w:rsidP="002B7A3C">
            <w:pPr>
              <w:contextualSpacing/>
              <w:rPr>
                <w:rFonts w:eastAsia="Calibri" w:cstheme="minorHAnsi"/>
                <w:bCs/>
              </w:rPr>
            </w:pPr>
            <w:r w:rsidRPr="000F17CE">
              <w:rPr>
                <w:rFonts w:eastAsia="Calibri" w:cstheme="minorHAnsi"/>
                <w:b/>
              </w:rPr>
              <w:t xml:space="preserve">   </w:t>
            </w:r>
            <w:r w:rsidRPr="000F17CE">
              <w:rPr>
                <w:rFonts w:eastAsia="Calibri" w:cstheme="minorHAnsi"/>
                <w:bCs/>
              </w:rPr>
              <w:t>Other</w:t>
            </w:r>
            <w:r w:rsidRPr="000F17CE">
              <w:rPr>
                <w:rStyle w:val="FootnoteReference"/>
                <w:rFonts w:eastAsia="Calibri" w:cstheme="minorHAnsi"/>
                <w:bCs/>
              </w:rPr>
              <w:footnoteReference w:id="11"/>
            </w:r>
          </w:p>
        </w:tc>
        <w:tc>
          <w:tcPr>
            <w:tcW w:w="1585" w:type="dxa"/>
            <w:tcBorders>
              <w:top w:val="nil"/>
              <w:left w:val="single" w:sz="4" w:space="0" w:color="auto"/>
              <w:bottom w:val="single" w:sz="4" w:space="0" w:color="auto"/>
              <w:right w:val="single" w:sz="4" w:space="0" w:color="auto"/>
            </w:tcBorders>
          </w:tcPr>
          <w:p w14:paraId="7237A150" w14:textId="10F29B4A" w:rsidR="002B7A3C" w:rsidRPr="001F6ACB" w:rsidRDefault="002B7A3C" w:rsidP="002B7A3C">
            <w:pPr>
              <w:ind w:left="720" w:hanging="557"/>
              <w:contextualSpacing/>
              <w:jc w:val="right"/>
              <w:rPr>
                <w:rFonts w:eastAsia="Calibri" w:cstheme="minorHAnsi"/>
                <w:b/>
                <w:sz w:val="24"/>
                <w:szCs w:val="24"/>
                <w:highlight w:val="yellow"/>
              </w:rPr>
            </w:pPr>
            <w:r w:rsidRPr="001F6ACB">
              <w:rPr>
                <w:rFonts w:cs="Times New Roman"/>
                <w:sz w:val="24"/>
                <w:szCs w:val="24"/>
              </w:rPr>
              <w:t>1.6%</w:t>
            </w:r>
          </w:p>
        </w:tc>
        <w:tc>
          <w:tcPr>
            <w:tcW w:w="1586" w:type="dxa"/>
            <w:tcBorders>
              <w:top w:val="nil"/>
              <w:left w:val="single" w:sz="4" w:space="0" w:color="auto"/>
              <w:bottom w:val="single" w:sz="4" w:space="0" w:color="auto"/>
              <w:right w:val="single" w:sz="4" w:space="0" w:color="auto"/>
            </w:tcBorders>
          </w:tcPr>
          <w:p w14:paraId="777B52C6" w14:textId="301A6A22" w:rsidR="002B7A3C" w:rsidRPr="00881203" w:rsidRDefault="002B7A3C" w:rsidP="002B7A3C">
            <w:pPr>
              <w:ind w:left="720" w:hanging="557"/>
              <w:contextualSpacing/>
              <w:jc w:val="right"/>
              <w:rPr>
                <w:rFonts w:cs="Times New Roman"/>
                <w:sz w:val="24"/>
                <w:szCs w:val="24"/>
              </w:rPr>
            </w:pPr>
            <w:r>
              <w:rPr>
                <w:rFonts w:cs="Times New Roman"/>
                <w:sz w:val="24"/>
                <w:szCs w:val="24"/>
              </w:rPr>
              <w:t>0.1%</w:t>
            </w:r>
          </w:p>
        </w:tc>
        <w:tc>
          <w:tcPr>
            <w:tcW w:w="1586" w:type="dxa"/>
            <w:tcBorders>
              <w:top w:val="nil"/>
              <w:left w:val="single" w:sz="4" w:space="0" w:color="auto"/>
              <w:bottom w:val="single" w:sz="4" w:space="0" w:color="auto"/>
              <w:right w:val="single" w:sz="4" w:space="0" w:color="auto"/>
            </w:tcBorders>
          </w:tcPr>
          <w:p w14:paraId="5B3478D7" w14:textId="65CCA8F9" w:rsidR="002B7A3C" w:rsidRPr="001F6ACB" w:rsidRDefault="002B7A3C" w:rsidP="002B7A3C">
            <w:pPr>
              <w:ind w:left="720" w:hanging="557"/>
              <w:contextualSpacing/>
              <w:jc w:val="right"/>
              <w:rPr>
                <w:rFonts w:cs="Times New Roman"/>
                <w:sz w:val="24"/>
                <w:szCs w:val="24"/>
              </w:rPr>
            </w:pPr>
            <w:r w:rsidRPr="001F6ACB">
              <w:rPr>
                <w:rFonts w:cs="Times New Roman"/>
                <w:sz w:val="24"/>
                <w:szCs w:val="24"/>
              </w:rPr>
              <w:t>0.0%</w:t>
            </w:r>
          </w:p>
        </w:tc>
        <w:tc>
          <w:tcPr>
            <w:tcW w:w="1586" w:type="dxa"/>
            <w:tcBorders>
              <w:top w:val="nil"/>
              <w:left w:val="single" w:sz="4" w:space="0" w:color="auto"/>
              <w:bottom w:val="single" w:sz="4" w:space="0" w:color="auto"/>
              <w:right w:val="single" w:sz="4" w:space="0" w:color="auto"/>
            </w:tcBorders>
          </w:tcPr>
          <w:p w14:paraId="070CB6D6" w14:textId="5FDBE4EB" w:rsidR="002B7A3C" w:rsidRPr="001F6ACB" w:rsidRDefault="002B7A3C" w:rsidP="002B7A3C">
            <w:pPr>
              <w:ind w:left="720" w:hanging="557"/>
              <w:contextualSpacing/>
              <w:jc w:val="right"/>
              <w:rPr>
                <w:rFonts w:cstheme="minorHAnsi"/>
                <w:color w:val="000000"/>
                <w:sz w:val="24"/>
                <w:szCs w:val="24"/>
              </w:rPr>
            </w:pPr>
            <w:r w:rsidRPr="001F6ACB">
              <w:rPr>
                <w:rFonts w:cstheme="minorHAnsi"/>
                <w:color w:val="000000"/>
                <w:sz w:val="24"/>
                <w:szCs w:val="24"/>
              </w:rPr>
              <w:t>100.0%</w:t>
            </w:r>
          </w:p>
        </w:tc>
        <w:tc>
          <w:tcPr>
            <w:tcW w:w="1586" w:type="dxa"/>
            <w:tcBorders>
              <w:top w:val="nil"/>
              <w:left w:val="single" w:sz="4" w:space="0" w:color="auto"/>
              <w:bottom w:val="single" w:sz="4" w:space="0" w:color="auto"/>
              <w:right w:val="single" w:sz="4" w:space="0" w:color="auto"/>
            </w:tcBorders>
          </w:tcPr>
          <w:p w14:paraId="216840DC" w14:textId="01BF864A" w:rsidR="002B7A3C" w:rsidRPr="001F6ACB" w:rsidRDefault="002B7A3C" w:rsidP="002B7A3C">
            <w:pPr>
              <w:ind w:left="720" w:hanging="557"/>
              <w:contextualSpacing/>
              <w:jc w:val="right"/>
              <w:rPr>
                <w:rFonts w:cstheme="minorHAnsi"/>
                <w:color w:val="000000"/>
                <w:sz w:val="24"/>
                <w:szCs w:val="24"/>
                <w:highlight w:val="yellow"/>
              </w:rPr>
            </w:pPr>
            <w:r w:rsidRPr="001F6ACB">
              <w:rPr>
                <w:rFonts w:cs="Times New Roman"/>
                <w:sz w:val="24"/>
                <w:szCs w:val="24"/>
              </w:rPr>
              <w:t>0.</w:t>
            </w:r>
            <w:r>
              <w:rPr>
                <w:rFonts w:cs="Times New Roman"/>
                <w:sz w:val="24"/>
                <w:szCs w:val="24"/>
              </w:rPr>
              <w:t>1</w:t>
            </w:r>
            <w:r w:rsidRPr="001F6ACB">
              <w:rPr>
                <w:rFonts w:cs="Times New Roman"/>
                <w:sz w:val="24"/>
                <w:szCs w:val="24"/>
              </w:rPr>
              <w:t>%</w:t>
            </w:r>
          </w:p>
        </w:tc>
      </w:tr>
      <w:tr w:rsidR="002B7A3C" w:rsidRPr="00185FBE" w14:paraId="47B7BD9C" w14:textId="3FD0DA2E" w:rsidTr="00762DA5">
        <w:trPr>
          <w:cantSplit/>
          <w:trHeight w:val="144"/>
          <w:jc w:val="right"/>
        </w:trPr>
        <w:tc>
          <w:tcPr>
            <w:tcW w:w="1421" w:type="dxa"/>
            <w:tcBorders>
              <w:top w:val="nil"/>
              <w:left w:val="single" w:sz="4" w:space="0" w:color="auto"/>
              <w:bottom w:val="single" w:sz="4" w:space="0" w:color="auto"/>
              <w:right w:val="single" w:sz="4" w:space="0" w:color="auto"/>
            </w:tcBorders>
          </w:tcPr>
          <w:p w14:paraId="062A4D02" w14:textId="01F4E1C1" w:rsidR="002B7A3C" w:rsidRPr="000F17CE" w:rsidRDefault="002B7A3C" w:rsidP="002B7A3C">
            <w:pPr>
              <w:contextualSpacing/>
              <w:rPr>
                <w:rFonts w:eastAsia="Calibri" w:cstheme="minorHAnsi"/>
                <w:bCs/>
              </w:rPr>
            </w:pPr>
            <w:r w:rsidRPr="000F17CE">
              <w:rPr>
                <w:rFonts w:eastAsia="Calibri" w:cstheme="minorHAnsi"/>
                <w:b/>
              </w:rPr>
              <w:t xml:space="preserve">   Total</w:t>
            </w:r>
          </w:p>
        </w:tc>
        <w:tc>
          <w:tcPr>
            <w:tcW w:w="1585" w:type="dxa"/>
            <w:tcBorders>
              <w:top w:val="nil"/>
              <w:left w:val="single" w:sz="4" w:space="0" w:color="auto"/>
              <w:bottom w:val="single" w:sz="4" w:space="0" w:color="auto"/>
              <w:right w:val="single" w:sz="4" w:space="0" w:color="auto"/>
            </w:tcBorders>
          </w:tcPr>
          <w:p w14:paraId="1FD8F9F4" w14:textId="0D26B342" w:rsidR="002B7A3C" w:rsidRPr="001F6ACB" w:rsidRDefault="002B7A3C" w:rsidP="002B7A3C">
            <w:pPr>
              <w:ind w:left="720" w:hanging="557"/>
              <w:contextualSpacing/>
              <w:jc w:val="right"/>
              <w:rPr>
                <w:rFonts w:eastAsia="Calibri" w:cstheme="minorHAnsi"/>
                <w:b/>
                <w:sz w:val="24"/>
                <w:szCs w:val="24"/>
                <w:highlight w:val="yellow"/>
              </w:rPr>
            </w:pPr>
            <w:r w:rsidRPr="001F6ACB">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2434A117" w14:textId="0A7382D0" w:rsidR="002B7A3C" w:rsidRPr="00881203" w:rsidRDefault="002B7A3C" w:rsidP="002B7A3C">
            <w:pPr>
              <w:ind w:left="720" w:hanging="557"/>
              <w:contextualSpacing/>
              <w:jc w:val="right"/>
              <w:rPr>
                <w:rFonts w:eastAsia="Calibri" w:cstheme="minorHAnsi"/>
                <w:b/>
                <w:sz w:val="24"/>
                <w:szCs w:val="24"/>
              </w:rPr>
            </w:pPr>
            <w:r w:rsidRPr="00881203">
              <w:rPr>
                <w:rFonts w:eastAsia="Calibri" w:cstheme="minorHAnsi"/>
                <w:b/>
                <w:sz w:val="24"/>
                <w:szCs w:val="24"/>
              </w:rPr>
              <w:t>100.00%</w:t>
            </w:r>
          </w:p>
        </w:tc>
        <w:tc>
          <w:tcPr>
            <w:tcW w:w="1586" w:type="dxa"/>
            <w:tcBorders>
              <w:top w:val="nil"/>
              <w:left w:val="single" w:sz="4" w:space="0" w:color="auto"/>
              <w:bottom w:val="single" w:sz="4" w:space="0" w:color="auto"/>
              <w:right w:val="single" w:sz="4" w:space="0" w:color="auto"/>
            </w:tcBorders>
          </w:tcPr>
          <w:p w14:paraId="28E37A66" w14:textId="7C675BAB" w:rsidR="002B7A3C" w:rsidRPr="001F6ACB" w:rsidRDefault="002B7A3C" w:rsidP="002B7A3C">
            <w:pPr>
              <w:ind w:left="720" w:hanging="557"/>
              <w:contextualSpacing/>
              <w:jc w:val="right"/>
              <w:rPr>
                <w:rFonts w:eastAsia="Calibri" w:cstheme="minorHAnsi"/>
                <w:b/>
                <w:sz w:val="24"/>
                <w:szCs w:val="24"/>
                <w:highlight w:val="yellow"/>
              </w:rPr>
            </w:pPr>
            <w:r w:rsidRPr="001F6ACB">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4DF20E9F" w14:textId="46C833D3" w:rsidR="002B7A3C" w:rsidRPr="001F6ACB" w:rsidRDefault="002B7A3C" w:rsidP="002B7A3C">
            <w:pPr>
              <w:ind w:left="720" w:hanging="557"/>
              <w:contextualSpacing/>
              <w:jc w:val="right"/>
              <w:rPr>
                <w:rFonts w:eastAsia="Calibri" w:cstheme="minorHAnsi"/>
                <w:b/>
                <w:sz w:val="24"/>
                <w:szCs w:val="24"/>
              </w:rPr>
            </w:pPr>
            <w:r w:rsidRPr="001F6ACB">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4A4EE430" w14:textId="39F7F3DF" w:rsidR="002B7A3C" w:rsidRPr="001F6ACB" w:rsidRDefault="002B7A3C" w:rsidP="002B7A3C">
            <w:pPr>
              <w:ind w:left="720" w:hanging="557"/>
              <w:contextualSpacing/>
              <w:jc w:val="right"/>
              <w:rPr>
                <w:rFonts w:eastAsia="Calibri" w:cstheme="minorHAnsi"/>
                <w:b/>
                <w:sz w:val="24"/>
                <w:szCs w:val="24"/>
                <w:highlight w:val="yellow"/>
              </w:rPr>
            </w:pPr>
            <w:r w:rsidRPr="00291EE5">
              <w:rPr>
                <w:rFonts w:eastAsia="Calibri" w:cstheme="minorHAnsi"/>
                <w:b/>
                <w:sz w:val="24"/>
                <w:szCs w:val="24"/>
              </w:rPr>
              <w:t>100.</w:t>
            </w:r>
            <w:r>
              <w:rPr>
                <w:rFonts w:eastAsia="Calibri" w:cstheme="minorHAnsi"/>
                <w:b/>
                <w:sz w:val="24"/>
                <w:szCs w:val="24"/>
              </w:rPr>
              <w:t>0</w:t>
            </w:r>
            <w:r w:rsidRPr="00291EE5">
              <w:rPr>
                <w:rFonts w:eastAsia="Calibri" w:cstheme="minorHAnsi"/>
                <w:b/>
                <w:sz w:val="24"/>
                <w:szCs w:val="24"/>
              </w:rPr>
              <w:t>%</w:t>
            </w:r>
          </w:p>
        </w:tc>
      </w:tr>
      <w:tr w:rsidR="002B7A3C" w:rsidRPr="00185FBE" w14:paraId="4953FFBD" w14:textId="35AD64E6" w:rsidTr="00762DA5">
        <w:trPr>
          <w:cantSplit/>
          <w:trHeight w:val="144"/>
          <w:jc w:val="right"/>
        </w:trPr>
        <w:tc>
          <w:tcPr>
            <w:tcW w:w="1421" w:type="dxa"/>
            <w:tcBorders>
              <w:top w:val="single" w:sz="4" w:space="0" w:color="auto"/>
              <w:left w:val="single" w:sz="4" w:space="0" w:color="auto"/>
              <w:bottom w:val="nil"/>
              <w:right w:val="single" w:sz="4" w:space="0" w:color="auto"/>
            </w:tcBorders>
          </w:tcPr>
          <w:p w14:paraId="6EF1DBA4" w14:textId="7BCE2DE6" w:rsidR="002B7A3C" w:rsidRPr="000F17CE" w:rsidRDefault="002B7A3C" w:rsidP="002B7A3C">
            <w:pPr>
              <w:ind w:left="520" w:hanging="557"/>
              <w:contextualSpacing/>
              <w:rPr>
                <w:rFonts w:eastAsia="Calibri" w:cstheme="minorHAnsi"/>
                <w:b/>
              </w:rPr>
            </w:pPr>
            <w:r w:rsidRPr="000F17CE">
              <w:rPr>
                <w:rFonts w:eastAsia="Calibri" w:cstheme="minorHAnsi"/>
                <w:b/>
              </w:rPr>
              <w:t>Age</w:t>
            </w:r>
          </w:p>
        </w:tc>
        <w:tc>
          <w:tcPr>
            <w:tcW w:w="1585" w:type="dxa"/>
            <w:tcBorders>
              <w:top w:val="single" w:sz="4" w:space="0" w:color="auto"/>
              <w:left w:val="single" w:sz="4" w:space="0" w:color="auto"/>
              <w:bottom w:val="nil"/>
              <w:right w:val="single" w:sz="4" w:space="0" w:color="auto"/>
            </w:tcBorders>
          </w:tcPr>
          <w:p w14:paraId="4F8417D7" w14:textId="3F77779D" w:rsidR="002B7A3C" w:rsidRPr="00185FBE" w:rsidRDefault="002B7A3C" w:rsidP="002B7A3C">
            <w:pPr>
              <w:ind w:left="5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55AE4E8D" w14:textId="77777777" w:rsidR="002B7A3C" w:rsidRPr="00881203" w:rsidRDefault="002B7A3C" w:rsidP="002B7A3C">
            <w:pPr>
              <w:ind w:left="520" w:hanging="557"/>
              <w:contextualSpacing/>
              <w:jc w:val="right"/>
              <w:rPr>
                <w:rFonts w:eastAsia="Calibri" w:cstheme="minorHAnsi"/>
                <w:b/>
                <w:sz w:val="24"/>
                <w:szCs w:val="24"/>
                <w:highlight w:val="yellow"/>
              </w:rPr>
            </w:pPr>
          </w:p>
        </w:tc>
        <w:tc>
          <w:tcPr>
            <w:tcW w:w="1586" w:type="dxa"/>
            <w:tcBorders>
              <w:top w:val="single" w:sz="4" w:space="0" w:color="auto"/>
              <w:left w:val="single" w:sz="4" w:space="0" w:color="auto"/>
              <w:bottom w:val="nil"/>
              <w:right w:val="single" w:sz="4" w:space="0" w:color="auto"/>
            </w:tcBorders>
          </w:tcPr>
          <w:p w14:paraId="194AB5CA" w14:textId="15396397" w:rsidR="002B7A3C" w:rsidRPr="00185FBE" w:rsidRDefault="002B7A3C" w:rsidP="002B7A3C">
            <w:pPr>
              <w:ind w:left="5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2CDC06EB" w14:textId="77777777" w:rsidR="002B7A3C" w:rsidRPr="00185FBE" w:rsidRDefault="002B7A3C" w:rsidP="002B7A3C">
            <w:pPr>
              <w:ind w:left="5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58049CED" w14:textId="77777777" w:rsidR="002B7A3C" w:rsidRPr="00185FBE" w:rsidRDefault="002B7A3C" w:rsidP="002B7A3C">
            <w:pPr>
              <w:ind w:left="520" w:hanging="557"/>
              <w:contextualSpacing/>
              <w:jc w:val="right"/>
              <w:rPr>
                <w:rFonts w:eastAsia="Calibri" w:cstheme="minorHAnsi"/>
                <w:b/>
                <w:highlight w:val="yellow"/>
              </w:rPr>
            </w:pPr>
          </w:p>
        </w:tc>
      </w:tr>
      <w:tr w:rsidR="002B7A3C" w:rsidRPr="00185FBE" w14:paraId="54759A35" w14:textId="490AF7A9" w:rsidTr="00762DA5">
        <w:trPr>
          <w:cantSplit/>
          <w:trHeight w:val="144"/>
          <w:jc w:val="right"/>
        </w:trPr>
        <w:tc>
          <w:tcPr>
            <w:tcW w:w="1421" w:type="dxa"/>
            <w:tcBorders>
              <w:top w:val="nil"/>
              <w:left w:val="single" w:sz="4" w:space="0" w:color="auto"/>
              <w:bottom w:val="nil"/>
              <w:right w:val="single" w:sz="4" w:space="0" w:color="auto"/>
            </w:tcBorders>
          </w:tcPr>
          <w:p w14:paraId="3686D5CB" w14:textId="4852F322" w:rsidR="002B7A3C" w:rsidRPr="000F17CE" w:rsidRDefault="002B7A3C" w:rsidP="002B7A3C">
            <w:pPr>
              <w:contextualSpacing/>
              <w:rPr>
                <w:rFonts w:eastAsia="Calibri" w:cstheme="minorHAnsi"/>
                <w:bCs/>
              </w:rPr>
            </w:pPr>
            <w:r w:rsidRPr="000F17CE">
              <w:rPr>
                <w:rFonts w:eastAsia="Calibri" w:cstheme="minorHAnsi"/>
                <w:bCs/>
              </w:rPr>
              <w:t xml:space="preserve">    </w:t>
            </w:r>
            <w:r w:rsidRPr="000F17CE">
              <w:rPr>
                <w:rFonts w:cstheme="minorHAnsi"/>
              </w:rPr>
              <w:t>0 to 17</w:t>
            </w:r>
          </w:p>
        </w:tc>
        <w:tc>
          <w:tcPr>
            <w:tcW w:w="1585" w:type="dxa"/>
            <w:tcBorders>
              <w:top w:val="nil"/>
              <w:left w:val="single" w:sz="4" w:space="0" w:color="auto"/>
              <w:bottom w:val="nil"/>
              <w:right w:val="single" w:sz="4" w:space="0" w:color="auto"/>
            </w:tcBorders>
          </w:tcPr>
          <w:p w14:paraId="6DC4A84E" w14:textId="2F3B4750" w:rsidR="002B7A3C" w:rsidRPr="001615B4" w:rsidRDefault="002B7A3C" w:rsidP="002B7A3C">
            <w:pPr>
              <w:ind w:left="720" w:hanging="557"/>
              <w:contextualSpacing/>
              <w:jc w:val="right"/>
              <w:rPr>
                <w:rFonts w:cstheme="minorHAnsi"/>
                <w:sz w:val="24"/>
                <w:szCs w:val="24"/>
                <w:highlight w:val="yellow"/>
              </w:rPr>
            </w:pPr>
            <w:r w:rsidRPr="001615B4">
              <w:rPr>
                <w:rFonts w:cs="Times New Roman"/>
                <w:sz w:val="24"/>
                <w:szCs w:val="24"/>
              </w:rPr>
              <w:t>8.0%</w:t>
            </w:r>
          </w:p>
        </w:tc>
        <w:tc>
          <w:tcPr>
            <w:tcW w:w="1586" w:type="dxa"/>
            <w:tcBorders>
              <w:top w:val="nil"/>
              <w:left w:val="single" w:sz="4" w:space="0" w:color="auto"/>
              <w:bottom w:val="nil"/>
              <w:right w:val="single" w:sz="4" w:space="0" w:color="auto"/>
            </w:tcBorders>
          </w:tcPr>
          <w:p w14:paraId="5E132EF5" w14:textId="25206752" w:rsidR="002B7A3C" w:rsidRPr="00CA7F14" w:rsidRDefault="002B7A3C" w:rsidP="002B7A3C">
            <w:pPr>
              <w:ind w:left="720" w:hanging="557"/>
              <w:contextualSpacing/>
              <w:jc w:val="right"/>
              <w:rPr>
                <w:rFonts w:cstheme="minorHAnsi"/>
                <w:sz w:val="24"/>
                <w:szCs w:val="24"/>
              </w:rPr>
            </w:pPr>
            <w:r w:rsidRPr="00CA7F14">
              <w:rPr>
                <w:rFonts w:cs="Times New Roman"/>
                <w:sz w:val="24"/>
                <w:szCs w:val="24"/>
              </w:rPr>
              <w:t>0.1%</w:t>
            </w:r>
          </w:p>
        </w:tc>
        <w:tc>
          <w:tcPr>
            <w:tcW w:w="1586" w:type="dxa"/>
            <w:tcBorders>
              <w:top w:val="nil"/>
              <w:left w:val="single" w:sz="4" w:space="0" w:color="auto"/>
              <w:bottom w:val="nil"/>
              <w:right w:val="single" w:sz="4" w:space="0" w:color="auto"/>
            </w:tcBorders>
          </w:tcPr>
          <w:p w14:paraId="5A9D7EB9" w14:textId="4E4F94FB" w:rsidR="002B7A3C" w:rsidRPr="002462B1" w:rsidRDefault="002B7A3C" w:rsidP="002B7A3C">
            <w:pPr>
              <w:ind w:left="720" w:hanging="557"/>
              <w:contextualSpacing/>
              <w:jc w:val="right"/>
              <w:rPr>
                <w:rFonts w:cstheme="minorHAnsi"/>
                <w:sz w:val="24"/>
                <w:szCs w:val="24"/>
              </w:rPr>
            </w:pPr>
            <w:r w:rsidRPr="002462B1">
              <w:rPr>
                <w:rFonts w:cstheme="minorHAnsi"/>
                <w:sz w:val="24"/>
                <w:szCs w:val="24"/>
              </w:rPr>
              <w:t>5%</w:t>
            </w:r>
          </w:p>
        </w:tc>
        <w:tc>
          <w:tcPr>
            <w:tcW w:w="1586" w:type="dxa"/>
            <w:tcBorders>
              <w:top w:val="nil"/>
              <w:left w:val="single" w:sz="4" w:space="0" w:color="auto"/>
              <w:bottom w:val="nil"/>
              <w:right w:val="single" w:sz="4" w:space="0" w:color="auto"/>
            </w:tcBorders>
            <w:vAlign w:val="center"/>
          </w:tcPr>
          <w:p w14:paraId="4E8A7493" w14:textId="7D4D7125" w:rsidR="002B7A3C" w:rsidRPr="00C644D6" w:rsidRDefault="002B7A3C" w:rsidP="002B7A3C">
            <w:pPr>
              <w:ind w:left="720" w:hanging="557"/>
              <w:contextualSpacing/>
              <w:jc w:val="right"/>
              <w:rPr>
                <w:rFonts w:cstheme="minorHAnsi"/>
                <w:color w:val="000000"/>
                <w:sz w:val="24"/>
                <w:szCs w:val="24"/>
                <w:highlight w:val="yellow"/>
              </w:rPr>
            </w:pPr>
            <w:r w:rsidRPr="00C644D6">
              <w:rPr>
                <w:rFonts w:cs="Times New Roman"/>
                <w:sz w:val="24"/>
                <w:szCs w:val="24"/>
              </w:rPr>
              <w:t>7.</w:t>
            </w:r>
            <w:r>
              <w:rPr>
                <w:rFonts w:cs="Times New Roman"/>
                <w:sz w:val="24"/>
                <w:szCs w:val="24"/>
              </w:rPr>
              <w:t>6</w:t>
            </w:r>
            <w:r w:rsidRPr="00C644D6">
              <w:rPr>
                <w:rFonts w:cs="Times New Roman"/>
                <w:sz w:val="24"/>
                <w:szCs w:val="24"/>
              </w:rPr>
              <w:t>%</w:t>
            </w:r>
          </w:p>
        </w:tc>
        <w:tc>
          <w:tcPr>
            <w:tcW w:w="1586" w:type="dxa"/>
            <w:tcBorders>
              <w:top w:val="nil"/>
              <w:left w:val="single" w:sz="4" w:space="0" w:color="auto"/>
              <w:bottom w:val="nil"/>
              <w:right w:val="single" w:sz="4" w:space="0" w:color="auto"/>
            </w:tcBorders>
          </w:tcPr>
          <w:p w14:paraId="44CBE875" w14:textId="6B23A7A2" w:rsidR="002B7A3C" w:rsidRPr="00C644D6" w:rsidRDefault="002B7A3C" w:rsidP="002B7A3C">
            <w:pPr>
              <w:ind w:left="720" w:hanging="557"/>
              <w:contextualSpacing/>
              <w:jc w:val="right"/>
              <w:rPr>
                <w:rFonts w:cstheme="minorHAnsi"/>
                <w:bCs/>
                <w:sz w:val="24"/>
                <w:szCs w:val="24"/>
              </w:rPr>
            </w:pPr>
            <w:r w:rsidRPr="00C644D6">
              <w:rPr>
                <w:rFonts w:cs="Times New Roman"/>
                <w:sz w:val="24"/>
                <w:szCs w:val="24"/>
              </w:rPr>
              <w:t>3.8%</w:t>
            </w:r>
          </w:p>
        </w:tc>
      </w:tr>
      <w:tr w:rsidR="002B7A3C" w:rsidRPr="00185FBE" w14:paraId="54CD47D1" w14:textId="3EF09561" w:rsidTr="00762DA5">
        <w:trPr>
          <w:cantSplit/>
          <w:trHeight w:val="144"/>
          <w:jc w:val="right"/>
        </w:trPr>
        <w:tc>
          <w:tcPr>
            <w:tcW w:w="1421" w:type="dxa"/>
            <w:tcBorders>
              <w:top w:val="nil"/>
              <w:left w:val="single" w:sz="4" w:space="0" w:color="auto"/>
              <w:bottom w:val="nil"/>
              <w:right w:val="single" w:sz="4" w:space="0" w:color="auto"/>
            </w:tcBorders>
          </w:tcPr>
          <w:p w14:paraId="3EA9C111" w14:textId="47491918" w:rsidR="002B7A3C" w:rsidRPr="000F17CE" w:rsidRDefault="002B7A3C" w:rsidP="002B7A3C">
            <w:pPr>
              <w:contextualSpacing/>
              <w:rPr>
                <w:rFonts w:eastAsia="Calibri" w:cstheme="minorHAnsi"/>
                <w:b/>
              </w:rPr>
            </w:pPr>
            <w:r w:rsidRPr="000F17CE">
              <w:rPr>
                <w:rFonts w:cstheme="minorHAnsi"/>
              </w:rPr>
              <w:t xml:space="preserve">   18 to </w:t>
            </w:r>
            <w:r>
              <w:rPr>
                <w:rFonts w:cstheme="minorHAnsi"/>
              </w:rPr>
              <w:t>64</w:t>
            </w:r>
          </w:p>
        </w:tc>
        <w:tc>
          <w:tcPr>
            <w:tcW w:w="1585" w:type="dxa"/>
            <w:tcBorders>
              <w:top w:val="nil"/>
              <w:left w:val="single" w:sz="4" w:space="0" w:color="auto"/>
              <w:bottom w:val="nil"/>
              <w:right w:val="single" w:sz="4" w:space="0" w:color="auto"/>
            </w:tcBorders>
          </w:tcPr>
          <w:p w14:paraId="11606C8A" w14:textId="755947CD" w:rsidR="002B7A3C" w:rsidRPr="00D57627" w:rsidRDefault="002B7A3C" w:rsidP="002B7A3C">
            <w:pPr>
              <w:ind w:left="720" w:hanging="557"/>
              <w:contextualSpacing/>
              <w:jc w:val="right"/>
              <w:rPr>
                <w:rFonts w:cstheme="minorHAnsi"/>
                <w:sz w:val="24"/>
                <w:szCs w:val="24"/>
                <w:highlight w:val="yellow"/>
              </w:rPr>
            </w:pPr>
            <w:r w:rsidRPr="00D57627">
              <w:rPr>
                <w:rFonts w:cs="Times New Roman"/>
                <w:sz w:val="24"/>
                <w:szCs w:val="24"/>
              </w:rPr>
              <w:t>55.0%</w:t>
            </w:r>
          </w:p>
        </w:tc>
        <w:tc>
          <w:tcPr>
            <w:tcW w:w="1586" w:type="dxa"/>
            <w:tcBorders>
              <w:top w:val="nil"/>
              <w:left w:val="single" w:sz="4" w:space="0" w:color="auto"/>
              <w:bottom w:val="nil"/>
              <w:right w:val="single" w:sz="4" w:space="0" w:color="auto"/>
            </w:tcBorders>
            <w:vAlign w:val="bottom"/>
          </w:tcPr>
          <w:p w14:paraId="735F762F" w14:textId="17CFCE39" w:rsidR="002B7A3C" w:rsidRPr="00881203" w:rsidRDefault="002B7A3C" w:rsidP="002B7A3C">
            <w:pPr>
              <w:ind w:left="720" w:hanging="557"/>
              <w:contextualSpacing/>
              <w:jc w:val="right"/>
              <w:rPr>
                <w:rFonts w:cstheme="minorHAnsi"/>
                <w:sz w:val="24"/>
                <w:szCs w:val="24"/>
              </w:rPr>
            </w:pPr>
            <w:r w:rsidRPr="00881203">
              <w:rPr>
                <w:rFonts w:cs="Times New Roman"/>
                <w:color w:val="000000"/>
                <w:sz w:val="24"/>
                <w:szCs w:val="24"/>
              </w:rPr>
              <w:t>36.7%</w:t>
            </w:r>
          </w:p>
        </w:tc>
        <w:tc>
          <w:tcPr>
            <w:tcW w:w="1586" w:type="dxa"/>
            <w:tcBorders>
              <w:top w:val="nil"/>
              <w:left w:val="single" w:sz="4" w:space="0" w:color="auto"/>
              <w:bottom w:val="nil"/>
              <w:right w:val="single" w:sz="4" w:space="0" w:color="auto"/>
            </w:tcBorders>
          </w:tcPr>
          <w:p w14:paraId="4584CDA1" w14:textId="0D9DA213" w:rsidR="002B7A3C" w:rsidRPr="00D57627" w:rsidRDefault="002B7A3C" w:rsidP="002B7A3C">
            <w:pPr>
              <w:ind w:left="720" w:hanging="557"/>
              <w:contextualSpacing/>
              <w:jc w:val="right"/>
              <w:rPr>
                <w:rFonts w:cstheme="minorHAnsi"/>
                <w:sz w:val="24"/>
                <w:szCs w:val="24"/>
              </w:rPr>
            </w:pPr>
            <w:r w:rsidRPr="00D57627">
              <w:rPr>
                <w:rFonts w:cstheme="minorHAnsi"/>
                <w:sz w:val="24"/>
                <w:szCs w:val="24"/>
              </w:rPr>
              <w:t>75.0%</w:t>
            </w:r>
          </w:p>
        </w:tc>
        <w:tc>
          <w:tcPr>
            <w:tcW w:w="1586" w:type="dxa"/>
            <w:tcBorders>
              <w:top w:val="nil"/>
              <w:left w:val="single" w:sz="4" w:space="0" w:color="auto"/>
              <w:bottom w:val="nil"/>
              <w:right w:val="single" w:sz="4" w:space="0" w:color="auto"/>
            </w:tcBorders>
            <w:vAlign w:val="center"/>
          </w:tcPr>
          <w:p w14:paraId="63092B23" w14:textId="1EFA9AF8" w:rsidR="002B7A3C" w:rsidRPr="00C644D6" w:rsidRDefault="002B7A3C" w:rsidP="002B7A3C">
            <w:pPr>
              <w:ind w:left="720" w:hanging="557"/>
              <w:contextualSpacing/>
              <w:jc w:val="right"/>
              <w:rPr>
                <w:rFonts w:cstheme="minorHAnsi"/>
                <w:color w:val="000000"/>
                <w:sz w:val="24"/>
                <w:szCs w:val="24"/>
                <w:highlight w:val="yellow"/>
              </w:rPr>
            </w:pPr>
            <w:r w:rsidRPr="00C644D6">
              <w:rPr>
                <w:rFonts w:cs="Times New Roman"/>
                <w:sz w:val="24"/>
                <w:szCs w:val="24"/>
              </w:rPr>
              <w:t>67.2%</w:t>
            </w:r>
          </w:p>
        </w:tc>
        <w:tc>
          <w:tcPr>
            <w:tcW w:w="1586" w:type="dxa"/>
            <w:tcBorders>
              <w:top w:val="nil"/>
              <w:left w:val="single" w:sz="4" w:space="0" w:color="auto"/>
              <w:bottom w:val="nil"/>
              <w:right w:val="single" w:sz="4" w:space="0" w:color="auto"/>
            </w:tcBorders>
          </w:tcPr>
          <w:p w14:paraId="2E9F91CA" w14:textId="51E2EF81" w:rsidR="002B7A3C" w:rsidRPr="00C644D6" w:rsidRDefault="002B7A3C" w:rsidP="002B7A3C">
            <w:pPr>
              <w:ind w:left="720" w:hanging="557"/>
              <w:contextualSpacing/>
              <w:jc w:val="right"/>
              <w:rPr>
                <w:rFonts w:cstheme="minorHAnsi"/>
                <w:bCs/>
                <w:sz w:val="24"/>
                <w:szCs w:val="24"/>
              </w:rPr>
            </w:pPr>
            <w:r w:rsidRPr="00C644D6">
              <w:rPr>
                <w:rFonts w:cs="Times New Roman"/>
                <w:sz w:val="24"/>
                <w:szCs w:val="24"/>
              </w:rPr>
              <w:t>61.5%</w:t>
            </w:r>
          </w:p>
        </w:tc>
      </w:tr>
      <w:tr w:rsidR="002B7A3C" w:rsidRPr="00185FBE" w14:paraId="760DAF8D" w14:textId="77777777" w:rsidTr="00762DA5">
        <w:trPr>
          <w:cantSplit/>
          <w:trHeight w:val="144"/>
          <w:jc w:val="right"/>
        </w:trPr>
        <w:tc>
          <w:tcPr>
            <w:tcW w:w="1421" w:type="dxa"/>
            <w:tcBorders>
              <w:top w:val="nil"/>
              <w:left w:val="single" w:sz="4" w:space="0" w:color="auto"/>
              <w:bottom w:val="nil"/>
              <w:right w:val="single" w:sz="4" w:space="0" w:color="auto"/>
            </w:tcBorders>
          </w:tcPr>
          <w:p w14:paraId="3CF9A9A0" w14:textId="1776D9A8" w:rsidR="002B7A3C" w:rsidRPr="000F17CE" w:rsidRDefault="002B7A3C" w:rsidP="002B7A3C">
            <w:pPr>
              <w:ind w:left="720" w:hanging="557"/>
              <w:contextualSpacing/>
              <w:rPr>
                <w:rFonts w:cstheme="minorHAnsi"/>
              </w:rPr>
            </w:pPr>
            <w:r w:rsidRPr="000F17CE">
              <w:rPr>
                <w:rFonts w:cstheme="minorHAnsi"/>
              </w:rPr>
              <w:t>65 and Older</w:t>
            </w:r>
          </w:p>
        </w:tc>
        <w:tc>
          <w:tcPr>
            <w:tcW w:w="1585" w:type="dxa"/>
            <w:tcBorders>
              <w:top w:val="nil"/>
              <w:left w:val="single" w:sz="4" w:space="0" w:color="auto"/>
              <w:bottom w:val="nil"/>
              <w:right w:val="single" w:sz="4" w:space="0" w:color="auto"/>
            </w:tcBorders>
          </w:tcPr>
          <w:p w14:paraId="50ED3C09" w14:textId="7CF074C3" w:rsidR="002B7A3C" w:rsidRPr="00D57627" w:rsidRDefault="002B7A3C" w:rsidP="002B7A3C">
            <w:pPr>
              <w:ind w:left="720" w:hanging="557"/>
              <w:contextualSpacing/>
              <w:jc w:val="right"/>
              <w:rPr>
                <w:rFonts w:cs="Times New Roman"/>
                <w:sz w:val="24"/>
                <w:szCs w:val="24"/>
              </w:rPr>
            </w:pPr>
            <w:r w:rsidRPr="00D57627">
              <w:rPr>
                <w:rFonts w:cs="Times New Roman"/>
                <w:sz w:val="24"/>
                <w:szCs w:val="24"/>
              </w:rPr>
              <w:t>37.0%</w:t>
            </w:r>
          </w:p>
        </w:tc>
        <w:tc>
          <w:tcPr>
            <w:tcW w:w="1586" w:type="dxa"/>
            <w:tcBorders>
              <w:top w:val="nil"/>
              <w:left w:val="single" w:sz="4" w:space="0" w:color="auto"/>
              <w:bottom w:val="nil"/>
              <w:right w:val="single" w:sz="4" w:space="0" w:color="auto"/>
            </w:tcBorders>
            <w:vAlign w:val="bottom"/>
          </w:tcPr>
          <w:p w14:paraId="2CDFD7A4" w14:textId="1A272186" w:rsidR="002B7A3C" w:rsidRPr="00881203" w:rsidRDefault="002B7A3C" w:rsidP="002B7A3C">
            <w:pPr>
              <w:ind w:left="720" w:hanging="557"/>
              <w:contextualSpacing/>
              <w:jc w:val="right"/>
              <w:rPr>
                <w:rFonts w:cstheme="minorHAnsi"/>
                <w:sz w:val="24"/>
                <w:szCs w:val="24"/>
              </w:rPr>
            </w:pPr>
            <w:r w:rsidRPr="00881203">
              <w:rPr>
                <w:rFonts w:cs="Times New Roman"/>
                <w:color w:val="000000"/>
                <w:sz w:val="24"/>
                <w:szCs w:val="24"/>
              </w:rPr>
              <w:t>63.2%</w:t>
            </w:r>
          </w:p>
        </w:tc>
        <w:tc>
          <w:tcPr>
            <w:tcW w:w="1586" w:type="dxa"/>
            <w:tcBorders>
              <w:top w:val="nil"/>
              <w:left w:val="single" w:sz="4" w:space="0" w:color="auto"/>
              <w:bottom w:val="nil"/>
              <w:right w:val="single" w:sz="4" w:space="0" w:color="auto"/>
            </w:tcBorders>
          </w:tcPr>
          <w:p w14:paraId="3825081A" w14:textId="44E1FE26" w:rsidR="002B7A3C" w:rsidRPr="00D57627" w:rsidRDefault="002B7A3C" w:rsidP="002B7A3C">
            <w:pPr>
              <w:ind w:left="720" w:hanging="557"/>
              <w:contextualSpacing/>
              <w:jc w:val="right"/>
              <w:rPr>
                <w:rFonts w:cstheme="minorHAnsi"/>
                <w:sz w:val="24"/>
                <w:szCs w:val="24"/>
              </w:rPr>
            </w:pPr>
            <w:r w:rsidRPr="00D57627">
              <w:rPr>
                <w:rFonts w:cstheme="minorHAnsi"/>
                <w:sz w:val="24"/>
                <w:szCs w:val="24"/>
              </w:rPr>
              <w:t>20.0%</w:t>
            </w:r>
          </w:p>
        </w:tc>
        <w:tc>
          <w:tcPr>
            <w:tcW w:w="1586" w:type="dxa"/>
            <w:tcBorders>
              <w:top w:val="nil"/>
              <w:left w:val="single" w:sz="4" w:space="0" w:color="auto"/>
              <w:bottom w:val="nil"/>
              <w:right w:val="single" w:sz="4" w:space="0" w:color="auto"/>
            </w:tcBorders>
            <w:vAlign w:val="center"/>
          </w:tcPr>
          <w:p w14:paraId="7FB49752" w14:textId="0F17DFC2" w:rsidR="002B7A3C" w:rsidRPr="00D57627" w:rsidRDefault="002B7A3C" w:rsidP="002B7A3C">
            <w:pPr>
              <w:ind w:left="720" w:hanging="557"/>
              <w:contextualSpacing/>
              <w:jc w:val="right"/>
              <w:rPr>
                <w:rFonts w:cs="Times New Roman"/>
                <w:sz w:val="24"/>
                <w:szCs w:val="24"/>
              </w:rPr>
            </w:pPr>
            <w:r w:rsidRPr="00D57627">
              <w:rPr>
                <w:rFonts w:cs="Times New Roman"/>
                <w:sz w:val="24"/>
                <w:szCs w:val="24"/>
              </w:rPr>
              <w:t>23.9%</w:t>
            </w:r>
          </w:p>
        </w:tc>
        <w:tc>
          <w:tcPr>
            <w:tcW w:w="1586" w:type="dxa"/>
            <w:tcBorders>
              <w:top w:val="nil"/>
              <w:left w:val="single" w:sz="4" w:space="0" w:color="auto"/>
              <w:bottom w:val="nil"/>
              <w:right w:val="single" w:sz="4" w:space="0" w:color="auto"/>
            </w:tcBorders>
          </w:tcPr>
          <w:p w14:paraId="4E1E28BD" w14:textId="0A0B193C" w:rsidR="002B7A3C" w:rsidRPr="00C644D6" w:rsidRDefault="002B7A3C" w:rsidP="002B7A3C">
            <w:pPr>
              <w:ind w:left="720" w:hanging="557"/>
              <w:contextualSpacing/>
              <w:jc w:val="right"/>
              <w:rPr>
                <w:rFonts w:cstheme="minorHAnsi"/>
                <w:bCs/>
                <w:sz w:val="24"/>
                <w:szCs w:val="24"/>
              </w:rPr>
            </w:pPr>
            <w:r w:rsidRPr="00C644D6">
              <w:rPr>
                <w:rFonts w:cs="Times New Roman"/>
                <w:sz w:val="24"/>
                <w:szCs w:val="24"/>
              </w:rPr>
              <w:t>34.7%</w:t>
            </w:r>
          </w:p>
        </w:tc>
      </w:tr>
      <w:tr w:rsidR="002B7A3C" w:rsidRPr="00185FBE" w14:paraId="742F494D" w14:textId="166FB43A" w:rsidTr="00762DA5">
        <w:trPr>
          <w:cantSplit/>
          <w:trHeight w:val="144"/>
          <w:jc w:val="right"/>
        </w:trPr>
        <w:tc>
          <w:tcPr>
            <w:tcW w:w="1421" w:type="dxa"/>
            <w:tcBorders>
              <w:top w:val="nil"/>
              <w:left w:val="single" w:sz="4" w:space="0" w:color="auto"/>
              <w:bottom w:val="nil"/>
              <w:right w:val="single" w:sz="4" w:space="0" w:color="auto"/>
            </w:tcBorders>
          </w:tcPr>
          <w:p w14:paraId="5565C210" w14:textId="3712F0B3" w:rsidR="002B7A3C" w:rsidRPr="000F17CE" w:rsidRDefault="002B7A3C" w:rsidP="002B7A3C">
            <w:pPr>
              <w:ind w:left="720" w:hanging="557"/>
              <w:contextualSpacing/>
              <w:rPr>
                <w:rFonts w:eastAsia="Calibri" w:cstheme="minorHAnsi"/>
                <w:bCs/>
              </w:rPr>
            </w:pPr>
            <w:r>
              <w:rPr>
                <w:rFonts w:cstheme="minorHAnsi"/>
              </w:rPr>
              <w:t>Unknown</w:t>
            </w:r>
          </w:p>
        </w:tc>
        <w:tc>
          <w:tcPr>
            <w:tcW w:w="1585" w:type="dxa"/>
            <w:tcBorders>
              <w:top w:val="nil"/>
              <w:left w:val="single" w:sz="4" w:space="0" w:color="auto"/>
              <w:bottom w:val="nil"/>
              <w:right w:val="single" w:sz="4" w:space="0" w:color="auto"/>
            </w:tcBorders>
          </w:tcPr>
          <w:p w14:paraId="3BD2D00E" w14:textId="65FFDB20" w:rsidR="002B7A3C" w:rsidRPr="00D57627" w:rsidRDefault="002B7A3C" w:rsidP="002B7A3C">
            <w:pPr>
              <w:ind w:left="720" w:hanging="557"/>
              <w:contextualSpacing/>
              <w:jc w:val="right"/>
              <w:rPr>
                <w:rFonts w:cstheme="minorHAnsi"/>
                <w:sz w:val="24"/>
                <w:szCs w:val="24"/>
                <w:highlight w:val="yellow"/>
              </w:rPr>
            </w:pPr>
            <w:r w:rsidRPr="00D57627">
              <w:rPr>
                <w:rFonts w:cs="Times New Roman"/>
                <w:sz w:val="24"/>
                <w:szCs w:val="24"/>
              </w:rPr>
              <w:t>0.0%</w:t>
            </w:r>
          </w:p>
        </w:tc>
        <w:tc>
          <w:tcPr>
            <w:tcW w:w="1586" w:type="dxa"/>
            <w:tcBorders>
              <w:top w:val="nil"/>
              <w:left w:val="single" w:sz="4" w:space="0" w:color="auto"/>
              <w:bottom w:val="nil"/>
              <w:right w:val="single" w:sz="4" w:space="0" w:color="auto"/>
            </w:tcBorders>
          </w:tcPr>
          <w:p w14:paraId="61CB26EC" w14:textId="4514B430" w:rsidR="002B7A3C" w:rsidRPr="00881203" w:rsidRDefault="002B7A3C" w:rsidP="002B7A3C">
            <w:pPr>
              <w:ind w:left="720" w:hanging="557"/>
              <w:contextualSpacing/>
              <w:jc w:val="right"/>
              <w:rPr>
                <w:rFonts w:cstheme="minorHAnsi"/>
                <w:sz w:val="24"/>
                <w:szCs w:val="24"/>
              </w:rPr>
            </w:pPr>
            <w:r w:rsidRPr="00881203">
              <w:rPr>
                <w:rFonts w:cstheme="minorHAnsi"/>
                <w:sz w:val="24"/>
                <w:szCs w:val="24"/>
              </w:rPr>
              <w:t>0.00%</w:t>
            </w:r>
          </w:p>
        </w:tc>
        <w:tc>
          <w:tcPr>
            <w:tcW w:w="1586" w:type="dxa"/>
            <w:tcBorders>
              <w:top w:val="nil"/>
              <w:left w:val="single" w:sz="4" w:space="0" w:color="auto"/>
              <w:bottom w:val="nil"/>
              <w:right w:val="single" w:sz="4" w:space="0" w:color="auto"/>
            </w:tcBorders>
          </w:tcPr>
          <w:p w14:paraId="092426EE" w14:textId="212D4C0C" w:rsidR="002B7A3C" w:rsidRPr="00D57627" w:rsidRDefault="002B7A3C" w:rsidP="002B7A3C">
            <w:pPr>
              <w:ind w:left="720" w:hanging="557"/>
              <w:contextualSpacing/>
              <w:jc w:val="right"/>
              <w:rPr>
                <w:rFonts w:cstheme="minorHAnsi"/>
                <w:sz w:val="24"/>
                <w:szCs w:val="24"/>
              </w:rPr>
            </w:pPr>
            <w:r w:rsidRPr="00D57627">
              <w:rPr>
                <w:rFonts w:cstheme="minorHAnsi"/>
                <w:sz w:val="24"/>
                <w:szCs w:val="24"/>
              </w:rPr>
              <w:t>0.0%</w:t>
            </w:r>
          </w:p>
        </w:tc>
        <w:tc>
          <w:tcPr>
            <w:tcW w:w="1586" w:type="dxa"/>
            <w:tcBorders>
              <w:top w:val="nil"/>
              <w:left w:val="single" w:sz="4" w:space="0" w:color="auto"/>
              <w:bottom w:val="nil"/>
              <w:right w:val="single" w:sz="4" w:space="0" w:color="auto"/>
            </w:tcBorders>
            <w:vAlign w:val="center"/>
          </w:tcPr>
          <w:p w14:paraId="381A2381" w14:textId="062BEEBE" w:rsidR="002B7A3C" w:rsidRPr="00313F3D" w:rsidRDefault="002B7A3C" w:rsidP="002B7A3C">
            <w:pPr>
              <w:ind w:left="720" w:hanging="557"/>
              <w:contextualSpacing/>
              <w:jc w:val="right"/>
              <w:rPr>
                <w:rFonts w:cs="Times New Roman"/>
                <w:sz w:val="24"/>
                <w:szCs w:val="24"/>
              </w:rPr>
            </w:pPr>
            <w:r w:rsidRPr="00D57627">
              <w:rPr>
                <w:rFonts w:cs="Times New Roman"/>
                <w:sz w:val="24"/>
                <w:szCs w:val="24"/>
              </w:rPr>
              <w:t>1.3%</w:t>
            </w:r>
          </w:p>
        </w:tc>
        <w:tc>
          <w:tcPr>
            <w:tcW w:w="1586" w:type="dxa"/>
            <w:tcBorders>
              <w:top w:val="nil"/>
              <w:left w:val="single" w:sz="4" w:space="0" w:color="auto"/>
              <w:bottom w:val="nil"/>
              <w:right w:val="single" w:sz="4" w:space="0" w:color="auto"/>
            </w:tcBorders>
          </w:tcPr>
          <w:p w14:paraId="5661DAD4" w14:textId="2FB59D7C" w:rsidR="002B7A3C" w:rsidRPr="00C644D6" w:rsidRDefault="002B7A3C" w:rsidP="002B7A3C">
            <w:pPr>
              <w:ind w:left="720" w:hanging="557"/>
              <w:contextualSpacing/>
              <w:jc w:val="right"/>
              <w:rPr>
                <w:rFonts w:cstheme="minorHAnsi"/>
                <w:bCs/>
                <w:sz w:val="24"/>
                <w:szCs w:val="24"/>
              </w:rPr>
            </w:pPr>
            <w:r w:rsidRPr="00C644D6">
              <w:rPr>
                <w:rFonts w:cstheme="minorHAnsi"/>
                <w:bCs/>
                <w:sz w:val="24"/>
                <w:szCs w:val="24"/>
              </w:rPr>
              <w:t>0.0%</w:t>
            </w:r>
          </w:p>
        </w:tc>
      </w:tr>
      <w:tr w:rsidR="002B7A3C" w:rsidRPr="00185FBE" w14:paraId="4FC985A2" w14:textId="6AE3F7CF" w:rsidTr="00762DA5">
        <w:trPr>
          <w:cantSplit/>
          <w:trHeight w:val="486"/>
          <w:jc w:val="right"/>
        </w:trPr>
        <w:tc>
          <w:tcPr>
            <w:tcW w:w="1421" w:type="dxa"/>
            <w:tcBorders>
              <w:top w:val="nil"/>
              <w:left w:val="single" w:sz="4" w:space="0" w:color="auto"/>
              <w:bottom w:val="single" w:sz="4" w:space="0" w:color="auto"/>
              <w:right w:val="single" w:sz="4" w:space="0" w:color="auto"/>
            </w:tcBorders>
          </w:tcPr>
          <w:p w14:paraId="3EEA83CE" w14:textId="5A1D99AD" w:rsidR="002B7A3C" w:rsidRPr="000F17CE" w:rsidRDefault="002B7A3C" w:rsidP="002B7A3C">
            <w:pPr>
              <w:ind w:left="720" w:hanging="557"/>
              <w:contextualSpacing/>
              <w:rPr>
                <w:rFonts w:eastAsia="Calibri" w:cstheme="minorHAnsi"/>
                <w:bCs/>
              </w:rPr>
            </w:pPr>
            <w:r w:rsidRPr="000F17CE">
              <w:rPr>
                <w:rFonts w:eastAsia="Calibri" w:cstheme="minorHAnsi"/>
                <w:b/>
              </w:rPr>
              <w:t xml:space="preserve"> Total</w:t>
            </w:r>
          </w:p>
        </w:tc>
        <w:tc>
          <w:tcPr>
            <w:tcW w:w="1585" w:type="dxa"/>
            <w:tcBorders>
              <w:top w:val="nil"/>
              <w:left w:val="single" w:sz="4" w:space="0" w:color="auto"/>
              <w:bottom w:val="single" w:sz="4" w:space="0" w:color="auto"/>
              <w:right w:val="single" w:sz="4" w:space="0" w:color="auto"/>
            </w:tcBorders>
          </w:tcPr>
          <w:p w14:paraId="45CF3E97" w14:textId="6F132557" w:rsidR="002B7A3C" w:rsidRPr="006A37AF" w:rsidRDefault="002B7A3C" w:rsidP="002B7A3C">
            <w:pPr>
              <w:ind w:left="720" w:hanging="557"/>
              <w:contextualSpacing/>
              <w:jc w:val="right"/>
              <w:rPr>
                <w:rFonts w:cstheme="minorHAnsi"/>
                <w:sz w:val="24"/>
                <w:szCs w:val="24"/>
              </w:rPr>
            </w:pPr>
            <w:r w:rsidRPr="006A37AF">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7A15A504" w14:textId="210C32CA" w:rsidR="002B7A3C" w:rsidRPr="00881203" w:rsidRDefault="002B7A3C" w:rsidP="002B7A3C">
            <w:pPr>
              <w:ind w:left="720" w:hanging="557"/>
              <w:contextualSpacing/>
              <w:jc w:val="right"/>
              <w:rPr>
                <w:rFonts w:eastAsia="Calibri" w:cstheme="minorHAnsi"/>
                <w:b/>
                <w:sz w:val="24"/>
                <w:szCs w:val="24"/>
              </w:rPr>
            </w:pPr>
            <w:r w:rsidRPr="00881203">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082BFCAE" w14:textId="4E6454CA" w:rsidR="002B7A3C" w:rsidRPr="006A37AF" w:rsidRDefault="002B7A3C" w:rsidP="002B7A3C">
            <w:pPr>
              <w:ind w:left="720" w:hanging="557"/>
              <w:contextualSpacing/>
              <w:jc w:val="right"/>
              <w:rPr>
                <w:rFonts w:eastAsia="Calibri" w:cstheme="minorHAnsi"/>
                <w:b/>
                <w:sz w:val="24"/>
                <w:szCs w:val="24"/>
              </w:rPr>
            </w:pPr>
            <w:r w:rsidRPr="006A37AF">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549737F0" w14:textId="16778B12" w:rsidR="002B7A3C" w:rsidRPr="006A37AF" w:rsidRDefault="002B7A3C" w:rsidP="002B7A3C">
            <w:pPr>
              <w:ind w:left="720" w:hanging="557"/>
              <w:contextualSpacing/>
              <w:jc w:val="right"/>
              <w:rPr>
                <w:rFonts w:eastAsia="Calibri" w:cstheme="minorHAnsi"/>
                <w:b/>
                <w:sz w:val="24"/>
                <w:szCs w:val="24"/>
              </w:rPr>
            </w:pPr>
            <w:r w:rsidRPr="006A37AF">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46A6BA08" w14:textId="465CCF77" w:rsidR="002B7A3C" w:rsidRPr="006A37AF" w:rsidRDefault="002B7A3C" w:rsidP="002B7A3C">
            <w:pPr>
              <w:ind w:left="720" w:hanging="557"/>
              <w:contextualSpacing/>
              <w:jc w:val="right"/>
              <w:rPr>
                <w:rFonts w:eastAsia="Calibri" w:cstheme="minorHAnsi"/>
                <w:b/>
                <w:sz w:val="24"/>
                <w:szCs w:val="24"/>
              </w:rPr>
            </w:pPr>
            <w:r w:rsidRPr="006A37AF">
              <w:rPr>
                <w:rFonts w:eastAsia="Calibri" w:cstheme="minorHAnsi"/>
                <w:b/>
                <w:sz w:val="24"/>
                <w:szCs w:val="24"/>
              </w:rPr>
              <w:t>100.0%</w:t>
            </w:r>
          </w:p>
        </w:tc>
      </w:tr>
      <w:tr w:rsidR="002B7A3C" w:rsidRPr="00185FBE" w14:paraId="1034486E" w14:textId="2ADAA829" w:rsidTr="00762DA5">
        <w:trPr>
          <w:cantSplit/>
          <w:trHeight w:val="144"/>
          <w:jc w:val="right"/>
        </w:trPr>
        <w:tc>
          <w:tcPr>
            <w:tcW w:w="1421" w:type="dxa"/>
            <w:tcBorders>
              <w:top w:val="single" w:sz="4" w:space="0" w:color="auto"/>
              <w:left w:val="single" w:sz="4" w:space="0" w:color="auto"/>
              <w:bottom w:val="nil"/>
              <w:right w:val="single" w:sz="4" w:space="0" w:color="auto"/>
            </w:tcBorders>
          </w:tcPr>
          <w:p w14:paraId="011883C1" w14:textId="5D7332DD" w:rsidR="002B7A3C" w:rsidRPr="000F17CE" w:rsidRDefault="002B7A3C" w:rsidP="002B7A3C">
            <w:pPr>
              <w:ind w:left="520" w:hanging="557"/>
              <w:contextualSpacing/>
              <w:rPr>
                <w:rFonts w:eastAsia="Calibri" w:cstheme="minorHAnsi"/>
                <w:b/>
              </w:rPr>
            </w:pPr>
            <w:r w:rsidRPr="000F17CE">
              <w:rPr>
                <w:rFonts w:eastAsia="Calibri" w:cstheme="minorHAnsi"/>
                <w:b/>
              </w:rPr>
              <w:t>Race</w:t>
            </w:r>
          </w:p>
        </w:tc>
        <w:tc>
          <w:tcPr>
            <w:tcW w:w="1585" w:type="dxa"/>
            <w:tcBorders>
              <w:top w:val="single" w:sz="4" w:space="0" w:color="auto"/>
              <w:left w:val="single" w:sz="4" w:space="0" w:color="auto"/>
              <w:bottom w:val="nil"/>
              <w:right w:val="single" w:sz="4" w:space="0" w:color="auto"/>
            </w:tcBorders>
          </w:tcPr>
          <w:p w14:paraId="248325CF" w14:textId="40AFB2A5" w:rsidR="002B7A3C" w:rsidRPr="00185FBE" w:rsidRDefault="002B7A3C" w:rsidP="002B7A3C">
            <w:pPr>
              <w:ind w:left="7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57EB83DE" w14:textId="77777777" w:rsidR="002B7A3C" w:rsidRPr="00881203" w:rsidRDefault="002B7A3C" w:rsidP="002B7A3C">
            <w:pPr>
              <w:ind w:left="720" w:hanging="557"/>
              <w:contextualSpacing/>
              <w:jc w:val="right"/>
              <w:rPr>
                <w:rFonts w:eastAsia="Calibri" w:cstheme="minorHAnsi"/>
                <w:b/>
                <w:sz w:val="24"/>
                <w:szCs w:val="24"/>
                <w:highlight w:val="yellow"/>
              </w:rPr>
            </w:pPr>
          </w:p>
        </w:tc>
        <w:tc>
          <w:tcPr>
            <w:tcW w:w="1586" w:type="dxa"/>
            <w:tcBorders>
              <w:top w:val="single" w:sz="4" w:space="0" w:color="auto"/>
              <w:left w:val="single" w:sz="4" w:space="0" w:color="auto"/>
              <w:bottom w:val="nil"/>
              <w:right w:val="single" w:sz="4" w:space="0" w:color="auto"/>
            </w:tcBorders>
          </w:tcPr>
          <w:p w14:paraId="3FEA9431" w14:textId="23463853" w:rsidR="002B7A3C" w:rsidRPr="00185FBE" w:rsidRDefault="002B7A3C" w:rsidP="002B7A3C">
            <w:pPr>
              <w:ind w:left="7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701948D2" w14:textId="77777777" w:rsidR="002B7A3C" w:rsidRPr="00185FBE" w:rsidRDefault="002B7A3C" w:rsidP="002B7A3C">
            <w:pPr>
              <w:ind w:left="720" w:hanging="557"/>
              <w:contextualSpacing/>
              <w:jc w:val="right"/>
              <w:rPr>
                <w:rFonts w:eastAsia="Calibri" w:cstheme="minorHAnsi"/>
                <w:b/>
                <w:highlight w:val="yellow"/>
              </w:rPr>
            </w:pPr>
          </w:p>
        </w:tc>
        <w:tc>
          <w:tcPr>
            <w:tcW w:w="1586" w:type="dxa"/>
            <w:tcBorders>
              <w:top w:val="single" w:sz="4" w:space="0" w:color="auto"/>
              <w:left w:val="single" w:sz="4" w:space="0" w:color="auto"/>
              <w:bottom w:val="nil"/>
              <w:right w:val="single" w:sz="4" w:space="0" w:color="auto"/>
            </w:tcBorders>
          </w:tcPr>
          <w:p w14:paraId="2171F1D5" w14:textId="77777777" w:rsidR="002B7A3C" w:rsidRPr="00185FBE" w:rsidRDefault="002B7A3C" w:rsidP="002B7A3C">
            <w:pPr>
              <w:ind w:left="720" w:hanging="557"/>
              <w:contextualSpacing/>
              <w:jc w:val="right"/>
              <w:rPr>
                <w:rFonts w:eastAsia="Calibri" w:cstheme="minorHAnsi"/>
                <w:b/>
                <w:highlight w:val="yellow"/>
              </w:rPr>
            </w:pPr>
          </w:p>
        </w:tc>
      </w:tr>
      <w:tr w:rsidR="002B7A3C" w:rsidRPr="00185FBE" w14:paraId="126035A3" w14:textId="5772D4B3" w:rsidTr="00762DA5">
        <w:trPr>
          <w:cantSplit/>
          <w:trHeight w:val="144"/>
          <w:jc w:val="right"/>
        </w:trPr>
        <w:tc>
          <w:tcPr>
            <w:tcW w:w="1421" w:type="dxa"/>
            <w:tcBorders>
              <w:top w:val="nil"/>
              <w:left w:val="single" w:sz="4" w:space="0" w:color="auto"/>
              <w:bottom w:val="nil"/>
              <w:right w:val="single" w:sz="4" w:space="0" w:color="auto"/>
            </w:tcBorders>
          </w:tcPr>
          <w:p w14:paraId="40CB5351" w14:textId="01881023" w:rsidR="002B7A3C" w:rsidRPr="00A86EE3" w:rsidRDefault="002B7A3C" w:rsidP="002B7A3C">
            <w:pPr>
              <w:contextualSpacing/>
              <w:rPr>
                <w:rFonts w:cs="Times New Roman"/>
                <w:sz w:val="24"/>
                <w:szCs w:val="24"/>
              </w:rPr>
            </w:pPr>
            <w:r w:rsidRPr="00BC63EA">
              <w:rPr>
                <w:rFonts w:cs="Times New Roman"/>
                <w:sz w:val="24"/>
                <w:szCs w:val="24"/>
              </w:rPr>
              <w:t>American Indian or Alaska Native</w:t>
            </w:r>
          </w:p>
        </w:tc>
        <w:tc>
          <w:tcPr>
            <w:tcW w:w="1585" w:type="dxa"/>
            <w:tcBorders>
              <w:top w:val="nil"/>
              <w:left w:val="single" w:sz="4" w:space="0" w:color="auto"/>
              <w:bottom w:val="nil"/>
              <w:right w:val="single" w:sz="4" w:space="0" w:color="auto"/>
            </w:tcBorders>
          </w:tcPr>
          <w:p w14:paraId="53481C79" w14:textId="316DC38B" w:rsidR="002B7A3C" w:rsidRPr="00313F3D" w:rsidRDefault="002B7A3C" w:rsidP="002B7A3C">
            <w:pPr>
              <w:ind w:left="720" w:hanging="557"/>
              <w:contextualSpacing/>
              <w:jc w:val="right"/>
              <w:rPr>
                <w:rFonts w:cs="Times New Roman"/>
                <w:sz w:val="24"/>
                <w:szCs w:val="24"/>
              </w:rPr>
            </w:pPr>
            <w:r w:rsidRPr="00A86EE3">
              <w:rPr>
                <w:rFonts w:cs="Times New Roman"/>
                <w:sz w:val="24"/>
                <w:szCs w:val="24"/>
              </w:rPr>
              <w:t>0.1%</w:t>
            </w:r>
          </w:p>
        </w:tc>
        <w:tc>
          <w:tcPr>
            <w:tcW w:w="1586" w:type="dxa"/>
            <w:tcBorders>
              <w:top w:val="nil"/>
              <w:left w:val="single" w:sz="4" w:space="0" w:color="auto"/>
              <w:bottom w:val="nil"/>
              <w:right w:val="single" w:sz="4" w:space="0" w:color="auto"/>
            </w:tcBorders>
          </w:tcPr>
          <w:p w14:paraId="5C0E9A44" w14:textId="318AE605" w:rsidR="002B7A3C" w:rsidRPr="00881203" w:rsidRDefault="002B7A3C" w:rsidP="002B7A3C">
            <w:pPr>
              <w:ind w:left="720"/>
              <w:contextualSpacing/>
              <w:rPr>
                <w:rFonts w:cs="Times New Roman"/>
                <w:sz w:val="24"/>
                <w:szCs w:val="24"/>
              </w:rPr>
            </w:pPr>
            <w:r>
              <w:rPr>
                <w:rFonts w:cs="Times New Roman"/>
                <w:sz w:val="24"/>
                <w:szCs w:val="24"/>
              </w:rPr>
              <w:t>0.0%</w:t>
            </w:r>
          </w:p>
        </w:tc>
        <w:tc>
          <w:tcPr>
            <w:tcW w:w="1586" w:type="dxa"/>
            <w:tcBorders>
              <w:top w:val="nil"/>
              <w:left w:val="single" w:sz="4" w:space="0" w:color="auto"/>
              <w:bottom w:val="nil"/>
              <w:right w:val="single" w:sz="4" w:space="0" w:color="auto"/>
            </w:tcBorders>
          </w:tcPr>
          <w:p w14:paraId="10166C9E" w14:textId="4A8A342C" w:rsidR="002B7A3C" w:rsidRPr="000F56DB" w:rsidRDefault="002B7A3C" w:rsidP="002B7A3C">
            <w:pPr>
              <w:ind w:left="720" w:hanging="557"/>
              <w:contextualSpacing/>
              <w:jc w:val="right"/>
              <w:rPr>
                <w:rFonts w:cs="Times New Roman"/>
                <w:sz w:val="24"/>
                <w:szCs w:val="24"/>
              </w:rPr>
            </w:pPr>
            <w:r>
              <w:rPr>
                <w:rFonts w:cs="Times New Roman"/>
                <w:sz w:val="24"/>
                <w:szCs w:val="24"/>
              </w:rPr>
              <w:t>0.1%</w:t>
            </w:r>
          </w:p>
        </w:tc>
        <w:tc>
          <w:tcPr>
            <w:tcW w:w="1586" w:type="dxa"/>
            <w:tcBorders>
              <w:top w:val="nil"/>
              <w:left w:val="single" w:sz="4" w:space="0" w:color="auto"/>
              <w:bottom w:val="nil"/>
              <w:right w:val="single" w:sz="4" w:space="0" w:color="auto"/>
            </w:tcBorders>
          </w:tcPr>
          <w:p w14:paraId="6B159299" w14:textId="0C499EAF"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6B56BA3B" w14:textId="6418DDE8"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0.2%</w:t>
            </w:r>
          </w:p>
        </w:tc>
      </w:tr>
      <w:tr w:rsidR="002B7A3C" w:rsidRPr="00185FBE" w14:paraId="723BC2F8" w14:textId="744C293A" w:rsidTr="00762DA5">
        <w:trPr>
          <w:cantSplit/>
          <w:trHeight w:val="144"/>
          <w:jc w:val="right"/>
        </w:trPr>
        <w:tc>
          <w:tcPr>
            <w:tcW w:w="1421" w:type="dxa"/>
            <w:tcBorders>
              <w:top w:val="nil"/>
              <w:left w:val="single" w:sz="4" w:space="0" w:color="auto"/>
              <w:bottom w:val="nil"/>
              <w:right w:val="single" w:sz="4" w:space="0" w:color="auto"/>
            </w:tcBorders>
          </w:tcPr>
          <w:p w14:paraId="0FF67BD8" w14:textId="7F37171B" w:rsidR="002B7A3C" w:rsidRPr="00A86EE3" w:rsidRDefault="002B7A3C" w:rsidP="00A86EE3">
            <w:pPr>
              <w:contextualSpacing/>
              <w:rPr>
                <w:rFonts w:cs="Times New Roman"/>
                <w:sz w:val="24"/>
                <w:szCs w:val="24"/>
              </w:rPr>
            </w:pPr>
            <w:r w:rsidRPr="00BC63EA">
              <w:rPr>
                <w:rFonts w:cs="Times New Roman"/>
                <w:sz w:val="24"/>
                <w:szCs w:val="24"/>
              </w:rPr>
              <w:t>Asian</w:t>
            </w:r>
          </w:p>
        </w:tc>
        <w:tc>
          <w:tcPr>
            <w:tcW w:w="1585" w:type="dxa"/>
            <w:tcBorders>
              <w:top w:val="nil"/>
              <w:left w:val="single" w:sz="4" w:space="0" w:color="auto"/>
              <w:bottom w:val="nil"/>
              <w:right w:val="single" w:sz="4" w:space="0" w:color="auto"/>
            </w:tcBorders>
          </w:tcPr>
          <w:p w14:paraId="7DF9C7D6" w14:textId="14453FDD" w:rsidR="002B7A3C" w:rsidRPr="00313F3D" w:rsidRDefault="002B7A3C" w:rsidP="002B7A3C">
            <w:pPr>
              <w:ind w:left="720" w:hanging="557"/>
              <w:contextualSpacing/>
              <w:jc w:val="right"/>
              <w:rPr>
                <w:rFonts w:cstheme="minorHAnsi"/>
                <w:sz w:val="24"/>
                <w:szCs w:val="24"/>
                <w:highlight w:val="yellow"/>
              </w:rPr>
            </w:pPr>
            <w:r w:rsidRPr="00A86EE3">
              <w:rPr>
                <w:rFonts w:cs="Times New Roman"/>
                <w:sz w:val="24"/>
                <w:szCs w:val="24"/>
              </w:rPr>
              <w:t>0.6%</w:t>
            </w:r>
          </w:p>
        </w:tc>
        <w:tc>
          <w:tcPr>
            <w:tcW w:w="1586" w:type="dxa"/>
            <w:tcBorders>
              <w:top w:val="nil"/>
              <w:left w:val="single" w:sz="4" w:space="0" w:color="auto"/>
              <w:bottom w:val="nil"/>
              <w:right w:val="single" w:sz="4" w:space="0" w:color="auto"/>
            </w:tcBorders>
          </w:tcPr>
          <w:p w14:paraId="5818A943" w14:textId="13B26623"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0.4%</w:t>
            </w:r>
          </w:p>
        </w:tc>
        <w:tc>
          <w:tcPr>
            <w:tcW w:w="1586" w:type="dxa"/>
            <w:tcBorders>
              <w:top w:val="nil"/>
              <w:left w:val="single" w:sz="4" w:space="0" w:color="auto"/>
              <w:bottom w:val="nil"/>
              <w:right w:val="single" w:sz="4" w:space="0" w:color="auto"/>
            </w:tcBorders>
          </w:tcPr>
          <w:p w14:paraId="06925F72" w14:textId="05C350E4"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7.8%</w:t>
            </w:r>
          </w:p>
        </w:tc>
        <w:tc>
          <w:tcPr>
            <w:tcW w:w="1586" w:type="dxa"/>
            <w:tcBorders>
              <w:top w:val="nil"/>
              <w:left w:val="single" w:sz="4" w:space="0" w:color="auto"/>
              <w:bottom w:val="nil"/>
              <w:right w:val="single" w:sz="4" w:space="0" w:color="auto"/>
            </w:tcBorders>
          </w:tcPr>
          <w:p w14:paraId="6D9829A6" w14:textId="1EEB4162"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28D678D4" w14:textId="7C2381A1"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6.7%</w:t>
            </w:r>
          </w:p>
        </w:tc>
      </w:tr>
      <w:tr w:rsidR="002B7A3C" w:rsidRPr="00185FBE" w14:paraId="3601D6DE" w14:textId="37DC8F10" w:rsidTr="00762DA5">
        <w:trPr>
          <w:cantSplit/>
          <w:trHeight w:val="144"/>
          <w:jc w:val="right"/>
        </w:trPr>
        <w:tc>
          <w:tcPr>
            <w:tcW w:w="1421" w:type="dxa"/>
            <w:tcBorders>
              <w:top w:val="nil"/>
              <w:left w:val="single" w:sz="4" w:space="0" w:color="auto"/>
              <w:bottom w:val="nil"/>
              <w:right w:val="single" w:sz="4" w:space="0" w:color="auto"/>
            </w:tcBorders>
          </w:tcPr>
          <w:p w14:paraId="79B3A2CB" w14:textId="2D60DD2E" w:rsidR="002B7A3C" w:rsidRPr="00A86EE3" w:rsidRDefault="002B7A3C" w:rsidP="00A86EE3">
            <w:pPr>
              <w:contextualSpacing/>
              <w:rPr>
                <w:rFonts w:cs="Times New Roman"/>
                <w:sz w:val="24"/>
                <w:szCs w:val="24"/>
              </w:rPr>
            </w:pPr>
            <w:r w:rsidRPr="00BC63EA">
              <w:rPr>
                <w:rFonts w:cs="Times New Roman"/>
                <w:sz w:val="24"/>
                <w:szCs w:val="24"/>
              </w:rPr>
              <w:t>Black o</w:t>
            </w:r>
            <w:r w:rsidR="00A86EE3">
              <w:rPr>
                <w:rFonts w:cs="Times New Roman"/>
                <w:sz w:val="24"/>
                <w:szCs w:val="24"/>
              </w:rPr>
              <w:t xml:space="preserve">r </w:t>
            </w:r>
            <w:r w:rsidRPr="00BC63EA">
              <w:rPr>
                <w:rFonts w:cs="Times New Roman"/>
                <w:sz w:val="24"/>
                <w:szCs w:val="24"/>
              </w:rPr>
              <w:t>African American</w:t>
            </w:r>
          </w:p>
        </w:tc>
        <w:tc>
          <w:tcPr>
            <w:tcW w:w="1585" w:type="dxa"/>
            <w:tcBorders>
              <w:top w:val="nil"/>
              <w:left w:val="single" w:sz="4" w:space="0" w:color="auto"/>
              <w:bottom w:val="nil"/>
              <w:right w:val="single" w:sz="4" w:space="0" w:color="auto"/>
            </w:tcBorders>
          </w:tcPr>
          <w:p w14:paraId="7B794BF0" w14:textId="47BFCEE9" w:rsidR="002B7A3C" w:rsidRPr="00313F3D" w:rsidRDefault="002B7A3C" w:rsidP="002B7A3C">
            <w:pPr>
              <w:ind w:left="720" w:hanging="557"/>
              <w:contextualSpacing/>
              <w:jc w:val="right"/>
              <w:rPr>
                <w:rFonts w:cstheme="minorHAnsi"/>
                <w:sz w:val="24"/>
                <w:szCs w:val="24"/>
                <w:highlight w:val="yellow"/>
              </w:rPr>
            </w:pPr>
            <w:r w:rsidRPr="00A86EE3">
              <w:rPr>
                <w:rFonts w:cs="Times New Roman"/>
                <w:sz w:val="24"/>
                <w:szCs w:val="24"/>
              </w:rPr>
              <w:t>2.</w:t>
            </w:r>
            <w:r w:rsidR="00A86EE3" w:rsidRPr="00A86EE3">
              <w:rPr>
                <w:rFonts w:cs="Times New Roman"/>
                <w:sz w:val="24"/>
                <w:szCs w:val="24"/>
              </w:rPr>
              <w:t>3</w:t>
            </w:r>
            <w:r w:rsidRPr="00A86EE3">
              <w:rPr>
                <w:rFonts w:cs="Times New Roman"/>
                <w:sz w:val="24"/>
                <w:szCs w:val="24"/>
              </w:rPr>
              <w:t>%</w:t>
            </w:r>
          </w:p>
        </w:tc>
        <w:tc>
          <w:tcPr>
            <w:tcW w:w="1586" w:type="dxa"/>
            <w:tcBorders>
              <w:top w:val="nil"/>
              <w:left w:val="single" w:sz="4" w:space="0" w:color="auto"/>
              <w:bottom w:val="nil"/>
              <w:right w:val="single" w:sz="4" w:space="0" w:color="auto"/>
            </w:tcBorders>
          </w:tcPr>
          <w:p w14:paraId="6E4BD7F7" w14:textId="45A04B18"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1.%</w:t>
            </w:r>
          </w:p>
        </w:tc>
        <w:tc>
          <w:tcPr>
            <w:tcW w:w="1586" w:type="dxa"/>
            <w:tcBorders>
              <w:top w:val="nil"/>
              <w:left w:val="single" w:sz="4" w:space="0" w:color="auto"/>
              <w:bottom w:val="nil"/>
              <w:right w:val="single" w:sz="4" w:space="0" w:color="auto"/>
            </w:tcBorders>
          </w:tcPr>
          <w:p w14:paraId="58EC0479" w14:textId="562712E8"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7.7%</w:t>
            </w:r>
          </w:p>
        </w:tc>
        <w:tc>
          <w:tcPr>
            <w:tcW w:w="1586" w:type="dxa"/>
            <w:tcBorders>
              <w:top w:val="nil"/>
              <w:left w:val="single" w:sz="4" w:space="0" w:color="auto"/>
              <w:bottom w:val="nil"/>
              <w:right w:val="single" w:sz="4" w:space="0" w:color="auto"/>
            </w:tcBorders>
          </w:tcPr>
          <w:p w14:paraId="4616E3CB" w14:textId="7AD7C061"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2369283D" w14:textId="4EC77E47"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18.6%</w:t>
            </w:r>
          </w:p>
        </w:tc>
      </w:tr>
      <w:tr w:rsidR="002B7A3C" w:rsidRPr="00185FBE" w14:paraId="0794838E" w14:textId="000324AE" w:rsidTr="00762DA5">
        <w:trPr>
          <w:cantSplit/>
          <w:trHeight w:val="144"/>
          <w:jc w:val="right"/>
        </w:trPr>
        <w:tc>
          <w:tcPr>
            <w:tcW w:w="1421" w:type="dxa"/>
            <w:tcBorders>
              <w:top w:val="nil"/>
              <w:left w:val="single" w:sz="4" w:space="0" w:color="auto"/>
              <w:bottom w:val="nil"/>
              <w:right w:val="single" w:sz="4" w:space="0" w:color="auto"/>
            </w:tcBorders>
          </w:tcPr>
          <w:p w14:paraId="3F81221C" w14:textId="77777777" w:rsidR="002B7A3C" w:rsidRPr="00BC63EA" w:rsidRDefault="002B7A3C" w:rsidP="00A86EE3">
            <w:pPr>
              <w:contextualSpacing/>
              <w:rPr>
                <w:rFonts w:cs="Times New Roman"/>
                <w:sz w:val="24"/>
                <w:szCs w:val="24"/>
              </w:rPr>
            </w:pPr>
            <w:r w:rsidRPr="00BC63EA">
              <w:rPr>
                <w:rFonts w:cs="Times New Roman"/>
                <w:sz w:val="24"/>
                <w:szCs w:val="24"/>
              </w:rPr>
              <w:lastRenderedPageBreak/>
              <w:t xml:space="preserve">Native Hawaiian or </w:t>
            </w:r>
          </w:p>
          <w:p w14:paraId="7F9CCB66" w14:textId="67690E3B" w:rsidR="002B7A3C" w:rsidRPr="00A86EE3" w:rsidRDefault="002B7A3C" w:rsidP="00A86EE3">
            <w:pPr>
              <w:contextualSpacing/>
              <w:rPr>
                <w:rFonts w:cs="Times New Roman"/>
                <w:sz w:val="24"/>
                <w:szCs w:val="24"/>
              </w:rPr>
            </w:pPr>
            <w:r w:rsidRPr="00BC63EA">
              <w:rPr>
                <w:rFonts w:cs="Times New Roman"/>
                <w:sz w:val="24"/>
                <w:szCs w:val="24"/>
              </w:rPr>
              <w:t>Pacific Islander</w:t>
            </w:r>
          </w:p>
        </w:tc>
        <w:tc>
          <w:tcPr>
            <w:tcW w:w="1585" w:type="dxa"/>
            <w:tcBorders>
              <w:top w:val="nil"/>
              <w:left w:val="single" w:sz="4" w:space="0" w:color="auto"/>
              <w:bottom w:val="nil"/>
              <w:right w:val="single" w:sz="4" w:space="0" w:color="auto"/>
            </w:tcBorders>
          </w:tcPr>
          <w:p w14:paraId="3D341692" w14:textId="2D027D8A" w:rsidR="002B7A3C" w:rsidRPr="00313F3D" w:rsidRDefault="00A86EE3" w:rsidP="002B7A3C">
            <w:pPr>
              <w:ind w:left="720" w:hanging="557"/>
              <w:contextualSpacing/>
              <w:jc w:val="right"/>
              <w:rPr>
                <w:rFonts w:cstheme="minorHAnsi"/>
                <w:sz w:val="24"/>
                <w:szCs w:val="24"/>
                <w:highlight w:val="yellow"/>
              </w:rPr>
            </w:pPr>
            <w:r w:rsidRPr="00A86EE3">
              <w:rPr>
                <w:rFonts w:cs="Times New Roman"/>
                <w:sz w:val="24"/>
                <w:szCs w:val="24"/>
              </w:rPr>
              <w:t>0.0</w:t>
            </w:r>
            <w:r w:rsidR="002B7A3C" w:rsidRPr="00A86EE3">
              <w:rPr>
                <w:rFonts w:cs="Times New Roman"/>
                <w:sz w:val="24"/>
                <w:szCs w:val="24"/>
              </w:rPr>
              <w:t>%</w:t>
            </w:r>
          </w:p>
        </w:tc>
        <w:tc>
          <w:tcPr>
            <w:tcW w:w="1586" w:type="dxa"/>
            <w:tcBorders>
              <w:top w:val="nil"/>
              <w:left w:val="single" w:sz="4" w:space="0" w:color="auto"/>
              <w:bottom w:val="nil"/>
              <w:right w:val="single" w:sz="4" w:space="0" w:color="auto"/>
            </w:tcBorders>
          </w:tcPr>
          <w:p w14:paraId="64977D12" w14:textId="7B70D6F9" w:rsidR="002B7A3C" w:rsidRPr="00881203" w:rsidRDefault="002B7A3C" w:rsidP="002B7A3C">
            <w:pPr>
              <w:ind w:left="720" w:hanging="557"/>
              <w:contextualSpacing/>
              <w:jc w:val="right"/>
              <w:rPr>
                <w:rFonts w:cs="Times New Roman"/>
                <w:sz w:val="24"/>
                <w:szCs w:val="24"/>
              </w:rPr>
            </w:pPr>
            <w:r>
              <w:rPr>
                <w:rFonts w:cs="Times New Roman"/>
                <w:sz w:val="24"/>
                <w:szCs w:val="24"/>
              </w:rPr>
              <w:t>0.1%</w:t>
            </w:r>
          </w:p>
        </w:tc>
        <w:tc>
          <w:tcPr>
            <w:tcW w:w="1586" w:type="dxa"/>
            <w:tcBorders>
              <w:top w:val="nil"/>
              <w:left w:val="single" w:sz="4" w:space="0" w:color="auto"/>
              <w:bottom w:val="nil"/>
              <w:right w:val="single" w:sz="4" w:space="0" w:color="auto"/>
            </w:tcBorders>
          </w:tcPr>
          <w:p w14:paraId="7097556C" w14:textId="79B1A8F2"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0%</w:t>
            </w:r>
          </w:p>
        </w:tc>
        <w:tc>
          <w:tcPr>
            <w:tcW w:w="1586" w:type="dxa"/>
            <w:tcBorders>
              <w:top w:val="nil"/>
              <w:left w:val="single" w:sz="4" w:space="0" w:color="auto"/>
              <w:bottom w:val="nil"/>
              <w:right w:val="single" w:sz="4" w:space="0" w:color="auto"/>
            </w:tcBorders>
          </w:tcPr>
          <w:p w14:paraId="585401B8" w14:textId="07F8F606"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13A2E9D3" w14:textId="70E8B6F9"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0.0%</w:t>
            </w:r>
          </w:p>
        </w:tc>
      </w:tr>
      <w:tr w:rsidR="002B7A3C" w:rsidRPr="00185FBE" w14:paraId="3B7E9E89" w14:textId="2B2A8462" w:rsidTr="00762DA5">
        <w:trPr>
          <w:cantSplit/>
          <w:trHeight w:val="144"/>
          <w:jc w:val="right"/>
        </w:trPr>
        <w:tc>
          <w:tcPr>
            <w:tcW w:w="1421" w:type="dxa"/>
            <w:tcBorders>
              <w:top w:val="nil"/>
              <w:left w:val="single" w:sz="4" w:space="0" w:color="auto"/>
              <w:bottom w:val="nil"/>
              <w:right w:val="single" w:sz="4" w:space="0" w:color="auto"/>
            </w:tcBorders>
            <w:vAlign w:val="center"/>
          </w:tcPr>
          <w:p w14:paraId="1D892E90" w14:textId="0E6C7083" w:rsidR="002B7A3C" w:rsidRPr="00A86EE3" w:rsidRDefault="002B7A3C" w:rsidP="00A86EE3">
            <w:pPr>
              <w:contextualSpacing/>
              <w:rPr>
                <w:rFonts w:cs="Times New Roman"/>
                <w:sz w:val="24"/>
                <w:szCs w:val="24"/>
              </w:rPr>
            </w:pPr>
            <w:r w:rsidRPr="00A86EE3">
              <w:rPr>
                <w:rFonts w:cs="Times New Roman"/>
                <w:sz w:val="24"/>
                <w:szCs w:val="24"/>
              </w:rPr>
              <w:t>Other</w:t>
            </w:r>
            <w:r w:rsidRPr="00A86EE3">
              <w:rPr>
                <w:rFonts w:cs="Times New Roman"/>
                <w:vertAlign w:val="superscript"/>
              </w:rPr>
              <w:footnoteReference w:id="12"/>
            </w:r>
          </w:p>
        </w:tc>
        <w:tc>
          <w:tcPr>
            <w:tcW w:w="1585" w:type="dxa"/>
            <w:tcBorders>
              <w:top w:val="nil"/>
              <w:left w:val="single" w:sz="4" w:space="0" w:color="auto"/>
              <w:bottom w:val="nil"/>
              <w:right w:val="single" w:sz="4" w:space="0" w:color="auto"/>
            </w:tcBorders>
          </w:tcPr>
          <w:p w14:paraId="32CC02F6" w14:textId="0ED96F7D" w:rsidR="002B7A3C" w:rsidRPr="00313F3D" w:rsidRDefault="00A86EE3" w:rsidP="002B7A3C">
            <w:pPr>
              <w:ind w:left="720" w:hanging="557"/>
              <w:contextualSpacing/>
              <w:jc w:val="right"/>
              <w:rPr>
                <w:rFonts w:cstheme="minorHAnsi"/>
                <w:color w:val="000000"/>
                <w:sz w:val="24"/>
                <w:szCs w:val="24"/>
                <w:highlight w:val="yellow"/>
              </w:rPr>
            </w:pPr>
            <w:r w:rsidRPr="00A86EE3">
              <w:rPr>
                <w:rFonts w:cs="Times New Roman"/>
                <w:sz w:val="24"/>
                <w:szCs w:val="24"/>
              </w:rPr>
              <w:t>8.2</w:t>
            </w:r>
            <w:r w:rsidR="002B7A3C" w:rsidRPr="00A86EE3">
              <w:rPr>
                <w:rFonts w:cs="Times New Roman"/>
                <w:sz w:val="24"/>
                <w:szCs w:val="24"/>
              </w:rPr>
              <w:t>%</w:t>
            </w:r>
          </w:p>
        </w:tc>
        <w:tc>
          <w:tcPr>
            <w:tcW w:w="1586" w:type="dxa"/>
            <w:tcBorders>
              <w:top w:val="nil"/>
              <w:left w:val="single" w:sz="4" w:space="0" w:color="auto"/>
              <w:bottom w:val="nil"/>
              <w:right w:val="single" w:sz="4" w:space="0" w:color="auto"/>
            </w:tcBorders>
          </w:tcPr>
          <w:p w14:paraId="3BC961FF" w14:textId="130AFB10"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4.8%</w:t>
            </w:r>
          </w:p>
        </w:tc>
        <w:tc>
          <w:tcPr>
            <w:tcW w:w="1586" w:type="dxa"/>
            <w:tcBorders>
              <w:top w:val="nil"/>
              <w:left w:val="single" w:sz="4" w:space="0" w:color="auto"/>
              <w:bottom w:val="nil"/>
              <w:right w:val="single" w:sz="4" w:space="0" w:color="auto"/>
            </w:tcBorders>
          </w:tcPr>
          <w:p w14:paraId="579A5721" w14:textId="752BD7F7"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6.6%</w:t>
            </w:r>
          </w:p>
        </w:tc>
        <w:tc>
          <w:tcPr>
            <w:tcW w:w="1586" w:type="dxa"/>
            <w:tcBorders>
              <w:top w:val="nil"/>
              <w:left w:val="single" w:sz="4" w:space="0" w:color="auto"/>
              <w:bottom w:val="nil"/>
              <w:right w:val="single" w:sz="4" w:space="0" w:color="auto"/>
            </w:tcBorders>
          </w:tcPr>
          <w:p w14:paraId="570D7CEE" w14:textId="0E429570"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19257E0B" w14:textId="254D47DF"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13.0%</w:t>
            </w:r>
          </w:p>
        </w:tc>
      </w:tr>
      <w:tr w:rsidR="002B7A3C" w:rsidRPr="00185FBE" w14:paraId="371C557B" w14:textId="686E786D" w:rsidTr="00762DA5">
        <w:trPr>
          <w:cantSplit/>
          <w:trHeight w:val="144"/>
          <w:jc w:val="right"/>
        </w:trPr>
        <w:tc>
          <w:tcPr>
            <w:tcW w:w="1421" w:type="dxa"/>
            <w:tcBorders>
              <w:top w:val="nil"/>
              <w:left w:val="single" w:sz="4" w:space="0" w:color="auto"/>
              <w:bottom w:val="nil"/>
              <w:right w:val="single" w:sz="4" w:space="0" w:color="auto"/>
            </w:tcBorders>
          </w:tcPr>
          <w:p w14:paraId="1D76DD2A" w14:textId="51401873" w:rsidR="002B7A3C" w:rsidRPr="00A86EE3" w:rsidRDefault="002B7A3C" w:rsidP="00A86EE3">
            <w:pPr>
              <w:contextualSpacing/>
              <w:rPr>
                <w:rFonts w:cs="Times New Roman"/>
                <w:sz w:val="24"/>
                <w:szCs w:val="24"/>
              </w:rPr>
            </w:pPr>
            <w:r w:rsidRPr="00BC63EA">
              <w:rPr>
                <w:rFonts w:cs="Times New Roman"/>
                <w:sz w:val="24"/>
                <w:szCs w:val="24"/>
              </w:rPr>
              <w:t>White</w:t>
            </w:r>
          </w:p>
        </w:tc>
        <w:tc>
          <w:tcPr>
            <w:tcW w:w="1585" w:type="dxa"/>
            <w:tcBorders>
              <w:top w:val="nil"/>
              <w:left w:val="single" w:sz="4" w:space="0" w:color="auto"/>
              <w:bottom w:val="nil"/>
              <w:right w:val="single" w:sz="4" w:space="0" w:color="auto"/>
            </w:tcBorders>
          </w:tcPr>
          <w:p w14:paraId="740F4EEC" w14:textId="119D621A" w:rsidR="002B7A3C" w:rsidRPr="00A86EE3" w:rsidRDefault="002B7A3C" w:rsidP="002B7A3C">
            <w:pPr>
              <w:ind w:left="720" w:hanging="557"/>
              <w:contextualSpacing/>
              <w:jc w:val="right"/>
              <w:rPr>
                <w:rFonts w:cstheme="minorHAnsi"/>
                <w:color w:val="000000"/>
                <w:sz w:val="24"/>
                <w:szCs w:val="24"/>
              </w:rPr>
            </w:pPr>
            <w:r w:rsidRPr="00A86EE3">
              <w:rPr>
                <w:rFonts w:cs="Times New Roman"/>
                <w:sz w:val="24"/>
                <w:szCs w:val="24"/>
              </w:rPr>
              <w:t>88.7%</w:t>
            </w:r>
          </w:p>
        </w:tc>
        <w:tc>
          <w:tcPr>
            <w:tcW w:w="1586" w:type="dxa"/>
            <w:tcBorders>
              <w:top w:val="nil"/>
              <w:left w:val="single" w:sz="4" w:space="0" w:color="auto"/>
              <w:bottom w:val="nil"/>
              <w:right w:val="single" w:sz="4" w:space="0" w:color="auto"/>
            </w:tcBorders>
          </w:tcPr>
          <w:p w14:paraId="21EC703D" w14:textId="274E3FC0"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93.3%</w:t>
            </w:r>
          </w:p>
        </w:tc>
        <w:tc>
          <w:tcPr>
            <w:tcW w:w="1586" w:type="dxa"/>
            <w:tcBorders>
              <w:top w:val="nil"/>
              <w:left w:val="single" w:sz="4" w:space="0" w:color="auto"/>
              <w:bottom w:val="nil"/>
              <w:right w:val="single" w:sz="4" w:space="0" w:color="auto"/>
            </w:tcBorders>
          </w:tcPr>
          <w:p w14:paraId="0A53BC8F" w14:textId="2CCCA167"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38.5%</w:t>
            </w:r>
          </w:p>
        </w:tc>
        <w:tc>
          <w:tcPr>
            <w:tcW w:w="1586" w:type="dxa"/>
            <w:tcBorders>
              <w:top w:val="nil"/>
              <w:left w:val="single" w:sz="4" w:space="0" w:color="auto"/>
              <w:bottom w:val="nil"/>
              <w:right w:val="single" w:sz="4" w:space="0" w:color="auto"/>
            </w:tcBorders>
          </w:tcPr>
          <w:p w14:paraId="49756123" w14:textId="5D088871"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710EE9E7" w14:textId="0C900AE9"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61.5%</w:t>
            </w:r>
          </w:p>
        </w:tc>
      </w:tr>
      <w:tr w:rsidR="002B7A3C" w:rsidRPr="00185FBE" w14:paraId="2B1559EB" w14:textId="77777777" w:rsidTr="00762DA5">
        <w:trPr>
          <w:cantSplit/>
          <w:trHeight w:val="144"/>
          <w:jc w:val="right"/>
        </w:trPr>
        <w:tc>
          <w:tcPr>
            <w:tcW w:w="1421" w:type="dxa"/>
            <w:tcBorders>
              <w:top w:val="nil"/>
              <w:left w:val="single" w:sz="4" w:space="0" w:color="auto"/>
              <w:bottom w:val="nil"/>
              <w:right w:val="single" w:sz="4" w:space="0" w:color="auto"/>
            </w:tcBorders>
          </w:tcPr>
          <w:p w14:paraId="2BE740E7" w14:textId="22F6DB1B" w:rsidR="002B7A3C" w:rsidRPr="00A86EE3" w:rsidRDefault="002B7A3C" w:rsidP="00A86EE3">
            <w:pPr>
              <w:contextualSpacing/>
              <w:rPr>
                <w:rFonts w:cs="Times New Roman"/>
                <w:sz w:val="24"/>
                <w:szCs w:val="24"/>
              </w:rPr>
            </w:pPr>
            <w:r w:rsidRPr="00BC63EA">
              <w:rPr>
                <w:rFonts w:cs="Times New Roman"/>
                <w:sz w:val="24"/>
                <w:szCs w:val="24"/>
              </w:rPr>
              <w:t>Unknown</w:t>
            </w:r>
          </w:p>
        </w:tc>
        <w:tc>
          <w:tcPr>
            <w:tcW w:w="1585" w:type="dxa"/>
            <w:tcBorders>
              <w:top w:val="nil"/>
              <w:left w:val="single" w:sz="4" w:space="0" w:color="auto"/>
              <w:bottom w:val="nil"/>
              <w:right w:val="single" w:sz="4" w:space="0" w:color="auto"/>
            </w:tcBorders>
          </w:tcPr>
          <w:p w14:paraId="61B1A88B" w14:textId="016AF5E1" w:rsidR="002B7A3C" w:rsidRPr="00A86EE3" w:rsidRDefault="00A86EE3" w:rsidP="002B7A3C">
            <w:pPr>
              <w:ind w:left="720" w:hanging="557"/>
              <w:contextualSpacing/>
              <w:jc w:val="right"/>
              <w:rPr>
                <w:rFonts w:cstheme="minorHAnsi"/>
                <w:color w:val="000000"/>
                <w:sz w:val="24"/>
                <w:szCs w:val="24"/>
              </w:rPr>
            </w:pPr>
            <w:r w:rsidRPr="00A86EE3">
              <w:rPr>
                <w:rFonts w:cs="Times New Roman"/>
                <w:sz w:val="24"/>
                <w:szCs w:val="24"/>
              </w:rPr>
              <w:t>0.0</w:t>
            </w:r>
            <w:r w:rsidR="002B7A3C" w:rsidRPr="00A86EE3">
              <w:rPr>
                <w:rFonts w:cs="Times New Roman"/>
                <w:sz w:val="24"/>
                <w:szCs w:val="24"/>
              </w:rPr>
              <w:t>%</w:t>
            </w:r>
          </w:p>
        </w:tc>
        <w:tc>
          <w:tcPr>
            <w:tcW w:w="1586" w:type="dxa"/>
            <w:tcBorders>
              <w:top w:val="nil"/>
              <w:left w:val="single" w:sz="4" w:space="0" w:color="auto"/>
              <w:bottom w:val="nil"/>
              <w:right w:val="single" w:sz="4" w:space="0" w:color="auto"/>
            </w:tcBorders>
          </w:tcPr>
          <w:p w14:paraId="70BEF5E0" w14:textId="7FF05F4B"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0.0%</w:t>
            </w:r>
          </w:p>
        </w:tc>
        <w:tc>
          <w:tcPr>
            <w:tcW w:w="1586" w:type="dxa"/>
            <w:tcBorders>
              <w:top w:val="nil"/>
              <w:left w:val="single" w:sz="4" w:space="0" w:color="auto"/>
              <w:bottom w:val="nil"/>
              <w:right w:val="single" w:sz="4" w:space="0" w:color="auto"/>
            </w:tcBorders>
          </w:tcPr>
          <w:p w14:paraId="779BD966" w14:textId="048CD13B"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3.1%</w:t>
            </w:r>
          </w:p>
        </w:tc>
        <w:tc>
          <w:tcPr>
            <w:tcW w:w="1586" w:type="dxa"/>
            <w:tcBorders>
              <w:top w:val="nil"/>
              <w:left w:val="single" w:sz="4" w:space="0" w:color="auto"/>
              <w:bottom w:val="nil"/>
              <w:right w:val="single" w:sz="4" w:space="0" w:color="auto"/>
            </w:tcBorders>
          </w:tcPr>
          <w:p w14:paraId="30F01664" w14:textId="483FCA0F" w:rsidR="002B7A3C" w:rsidRPr="00162279" w:rsidRDefault="002B7A3C" w:rsidP="002B7A3C">
            <w:pPr>
              <w:ind w:left="720" w:hanging="557"/>
              <w:contextualSpacing/>
              <w:jc w:val="right"/>
              <w:rPr>
                <w:rFonts w:eastAsia="Times New Roman" w:cstheme="minorHAnsi"/>
                <w:color w:val="000000"/>
                <w:sz w:val="24"/>
                <w:szCs w:val="24"/>
              </w:rPr>
            </w:pPr>
            <w:r w:rsidRPr="00162279">
              <w:rPr>
                <w:rFonts w:eastAsia="Times New Roman" w:cstheme="minorHAnsi"/>
                <w:color w:val="000000"/>
                <w:sz w:val="24"/>
                <w:szCs w:val="24"/>
              </w:rPr>
              <w:t>100.0%</w:t>
            </w:r>
          </w:p>
        </w:tc>
        <w:tc>
          <w:tcPr>
            <w:tcW w:w="1586" w:type="dxa"/>
            <w:tcBorders>
              <w:top w:val="nil"/>
              <w:left w:val="single" w:sz="4" w:space="0" w:color="auto"/>
              <w:bottom w:val="nil"/>
              <w:right w:val="single" w:sz="4" w:space="0" w:color="auto"/>
            </w:tcBorders>
          </w:tcPr>
          <w:p w14:paraId="0597C962" w14:textId="273C5ACF" w:rsidR="002B7A3C" w:rsidRPr="00162279" w:rsidRDefault="002B7A3C" w:rsidP="002B7A3C">
            <w:pPr>
              <w:ind w:left="720" w:hanging="557"/>
              <w:contextualSpacing/>
              <w:jc w:val="right"/>
              <w:rPr>
                <w:rFonts w:eastAsia="Times New Roman" w:cstheme="minorHAnsi"/>
                <w:color w:val="000000"/>
                <w:sz w:val="24"/>
                <w:szCs w:val="24"/>
              </w:rPr>
            </w:pPr>
            <w:r>
              <w:rPr>
                <w:rFonts w:eastAsia="Times New Roman" w:cstheme="minorHAnsi"/>
                <w:color w:val="000000"/>
                <w:sz w:val="24"/>
                <w:szCs w:val="24"/>
              </w:rPr>
              <w:t>0.00%</w:t>
            </w:r>
          </w:p>
        </w:tc>
      </w:tr>
      <w:tr w:rsidR="002B7A3C" w:rsidRPr="00185FBE" w14:paraId="7708551A" w14:textId="5A8BE8CF" w:rsidTr="00762DA5">
        <w:trPr>
          <w:cantSplit/>
          <w:trHeight w:val="144"/>
          <w:jc w:val="right"/>
        </w:trPr>
        <w:tc>
          <w:tcPr>
            <w:tcW w:w="1421" w:type="dxa"/>
            <w:tcBorders>
              <w:top w:val="nil"/>
              <w:left w:val="single" w:sz="4" w:space="0" w:color="auto"/>
              <w:bottom w:val="nil"/>
              <w:right w:val="single" w:sz="4" w:space="0" w:color="auto"/>
            </w:tcBorders>
          </w:tcPr>
          <w:p w14:paraId="179CBD72" w14:textId="07CE1840" w:rsidR="002B7A3C" w:rsidRPr="00A86EE3" w:rsidRDefault="002B7A3C" w:rsidP="00A86EE3">
            <w:pPr>
              <w:contextualSpacing/>
              <w:rPr>
                <w:rFonts w:cs="Times New Roman"/>
                <w:sz w:val="24"/>
                <w:szCs w:val="24"/>
              </w:rPr>
            </w:pPr>
            <w:r w:rsidRPr="00BC63EA">
              <w:rPr>
                <w:rFonts w:cs="Times New Roman"/>
                <w:sz w:val="24"/>
                <w:szCs w:val="24"/>
              </w:rPr>
              <w:t>Patient Declined</w:t>
            </w:r>
          </w:p>
        </w:tc>
        <w:tc>
          <w:tcPr>
            <w:tcW w:w="1585" w:type="dxa"/>
            <w:tcBorders>
              <w:top w:val="nil"/>
              <w:left w:val="single" w:sz="4" w:space="0" w:color="auto"/>
              <w:bottom w:val="nil"/>
              <w:right w:val="single" w:sz="4" w:space="0" w:color="auto"/>
            </w:tcBorders>
          </w:tcPr>
          <w:p w14:paraId="731C7329" w14:textId="0C1093CC" w:rsidR="002B7A3C" w:rsidRPr="00A86EE3" w:rsidRDefault="002B7A3C" w:rsidP="002B7A3C">
            <w:pPr>
              <w:ind w:left="720" w:hanging="557"/>
              <w:contextualSpacing/>
              <w:jc w:val="right"/>
              <w:rPr>
                <w:rFonts w:cstheme="minorHAnsi"/>
                <w:sz w:val="24"/>
                <w:szCs w:val="24"/>
              </w:rPr>
            </w:pPr>
            <w:r w:rsidRPr="00A86EE3">
              <w:rPr>
                <w:rFonts w:cstheme="minorHAnsi"/>
                <w:color w:val="000000"/>
                <w:sz w:val="24"/>
                <w:szCs w:val="24"/>
              </w:rPr>
              <w:t>0.0%</w:t>
            </w:r>
          </w:p>
        </w:tc>
        <w:tc>
          <w:tcPr>
            <w:tcW w:w="1586" w:type="dxa"/>
            <w:tcBorders>
              <w:top w:val="nil"/>
              <w:left w:val="single" w:sz="4" w:space="0" w:color="auto"/>
              <w:bottom w:val="nil"/>
              <w:right w:val="single" w:sz="4" w:space="0" w:color="auto"/>
            </w:tcBorders>
          </w:tcPr>
          <w:p w14:paraId="434C1D7A" w14:textId="096ABD40"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0.00%</w:t>
            </w:r>
          </w:p>
        </w:tc>
        <w:tc>
          <w:tcPr>
            <w:tcW w:w="1586" w:type="dxa"/>
            <w:tcBorders>
              <w:top w:val="nil"/>
              <w:left w:val="single" w:sz="4" w:space="0" w:color="auto"/>
              <w:bottom w:val="nil"/>
              <w:right w:val="single" w:sz="4" w:space="0" w:color="auto"/>
            </w:tcBorders>
          </w:tcPr>
          <w:p w14:paraId="6CE9AE91" w14:textId="1DE5C59A" w:rsidR="002B7A3C" w:rsidRPr="000F56DB" w:rsidRDefault="002B7A3C" w:rsidP="002B7A3C">
            <w:pPr>
              <w:ind w:left="720" w:hanging="557"/>
              <w:contextualSpacing/>
              <w:jc w:val="right"/>
              <w:rPr>
                <w:rFonts w:cs="Times New Roman"/>
                <w:sz w:val="24"/>
                <w:szCs w:val="24"/>
              </w:rPr>
            </w:pPr>
            <w:r w:rsidRPr="000F56DB">
              <w:rPr>
                <w:rFonts w:cs="Times New Roman"/>
                <w:sz w:val="24"/>
                <w:szCs w:val="24"/>
              </w:rPr>
              <w:t>36.2%</w:t>
            </w:r>
          </w:p>
        </w:tc>
        <w:tc>
          <w:tcPr>
            <w:tcW w:w="1586" w:type="dxa"/>
            <w:tcBorders>
              <w:top w:val="nil"/>
              <w:left w:val="single" w:sz="4" w:space="0" w:color="auto"/>
              <w:bottom w:val="nil"/>
              <w:right w:val="single" w:sz="4" w:space="0" w:color="auto"/>
            </w:tcBorders>
          </w:tcPr>
          <w:p w14:paraId="01FCEAFF" w14:textId="37A3BEFC" w:rsidR="002B7A3C" w:rsidRPr="00162279" w:rsidRDefault="002B7A3C" w:rsidP="002B7A3C">
            <w:pPr>
              <w:ind w:left="720" w:hanging="557"/>
              <w:contextualSpacing/>
              <w:jc w:val="right"/>
              <w:rPr>
                <w:rFonts w:cstheme="minorHAnsi"/>
                <w:color w:val="000000"/>
                <w:sz w:val="24"/>
                <w:szCs w:val="24"/>
              </w:rPr>
            </w:pPr>
            <w:r w:rsidRPr="00162279">
              <w:rPr>
                <w:rFonts w:cs="Times New Roman"/>
                <w:sz w:val="24"/>
                <w:szCs w:val="24"/>
              </w:rPr>
              <w:t>0.0%</w:t>
            </w:r>
          </w:p>
        </w:tc>
        <w:tc>
          <w:tcPr>
            <w:tcW w:w="1586" w:type="dxa"/>
            <w:tcBorders>
              <w:top w:val="nil"/>
              <w:left w:val="single" w:sz="4" w:space="0" w:color="auto"/>
              <w:bottom w:val="nil"/>
              <w:right w:val="single" w:sz="4" w:space="0" w:color="auto"/>
            </w:tcBorders>
          </w:tcPr>
          <w:p w14:paraId="446F2996" w14:textId="2D53A151" w:rsidR="002B7A3C" w:rsidRPr="00162279" w:rsidRDefault="002B7A3C" w:rsidP="002B7A3C">
            <w:pPr>
              <w:ind w:left="720" w:hanging="557"/>
              <w:contextualSpacing/>
              <w:jc w:val="right"/>
              <w:rPr>
                <w:rFonts w:eastAsia="Times New Roman" w:cstheme="minorHAnsi"/>
                <w:color w:val="000000"/>
                <w:sz w:val="24"/>
                <w:szCs w:val="24"/>
              </w:rPr>
            </w:pPr>
            <w:r>
              <w:rPr>
                <w:rFonts w:eastAsia="Times New Roman" w:cstheme="minorHAnsi"/>
                <w:color w:val="000000"/>
                <w:sz w:val="24"/>
                <w:szCs w:val="24"/>
              </w:rPr>
              <w:t>0.00%</w:t>
            </w:r>
          </w:p>
        </w:tc>
      </w:tr>
      <w:tr w:rsidR="002B7A3C" w:rsidRPr="00185FBE" w14:paraId="7125D56F" w14:textId="183975C4" w:rsidTr="00762DA5">
        <w:trPr>
          <w:cantSplit/>
          <w:trHeight w:val="144"/>
          <w:jc w:val="right"/>
        </w:trPr>
        <w:tc>
          <w:tcPr>
            <w:tcW w:w="1421" w:type="dxa"/>
            <w:tcBorders>
              <w:top w:val="nil"/>
              <w:left w:val="single" w:sz="4" w:space="0" w:color="auto"/>
              <w:bottom w:val="single" w:sz="4" w:space="0" w:color="auto"/>
              <w:right w:val="single" w:sz="4" w:space="0" w:color="auto"/>
            </w:tcBorders>
            <w:vAlign w:val="center"/>
          </w:tcPr>
          <w:p w14:paraId="15B5C860" w14:textId="156DA69A" w:rsidR="002B7A3C" w:rsidRPr="000F17CE" w:rsidRDefault="002B7A3C" w:rsidP="002B7A3C">
            <w:pPr>
              <w:ind w:left="720" w:hanging="557"/>
              <w:contextualSpacing/>
              <w:rPr>
                <w:rFonts w:cstheme="minorHAnsi"/>
                <w:color w:val="000000"/>
              </w:rPr>
            </w:pPr>
            <w:r w:rsidRPr="000F17CE">
              <w:rPr>
                <w:rFonts w:cstheme="minorHAnsi"/>
                <w:b/>
                <w:bCs/>
                <w:color w:val="000000"/>
              </w:rPr>
              <w:t>Total</w:t>
            </w:r>
          </w:p>
        </w:tc>
        <w:tc>
          <w:tcPr>
            <w:tcW w:w="1585" w:type="dxa"/>
            <w:tcBorders>
              <w:top w:val="nil"/>
              <w:left w:val="single" w:sz="4" w:space="0" w:color="auto"/>
              <w:bottom w:val="single" w:sz="4" w:space="0" w:color="auto"/>
              <w:right w:val="single" w:sz="4" w:space="0" w:color="auto"/>
            </w:tcBorders>
          </w:tcPr>
          <w:p w14:paraId="79D4BD26" w14:textId="05375A04" w:rsidR="002B7A3C" w:rsidRPr="00313F3D" w:rsidRDefault="002B7A3C" w:rsidP="002B7A3C">
            <w:pPr>
              <w:ind w:left="720" w:hanging="557"/>
              <w:contextualSpacing/>
              <w:jc w:val="right"/>
              <w:rPr>
                <w:rFonts w:cstheme="minorHAnsi"/>
                <w:sz w:val="24"/>
                <w:szCs w:val="24"/>
                <w:highlight w:val="yellow"/>
              </w:rPr>
            </w:pPr>
            <w:r w:rsidRPr="00A24744">
              <w:rPr>
                <w:rFonts w:ascii="Calibri" w:hAnsi="Calibri" w:cstheme="minorHAnsi"/>
                <w:b/>
                <w:bCs/>
                <w:color w:val="000000"/>
              </w:rPr>
              <w:t>100.</w:t>
            </w:r>
            <w:r w:rsidR="00630C10" w:rsidRPr="00A24744">
              <w:rPr>
                <w:rFonts w:ascii="Calibri" w:hAnsi="Calibri" w:cstheme="minorHAnsi"/>
                <w:b/>
                <w:bCs/>
                <w:color w:val="000000"/>
              </w:rPr>
              <w:t>0</w:t>
            </w:r>
            <w:r w:rsidRPr="00A24744">
              <w:rPr>
                <w:rFonts w:ascii="Calibri" w:hAnsi="Calibri" w:cstheme="minorHAnsi"/>
                <w:b/>
                <w:bCs/>
                <w:color w:val="000000"/>
              </w:rPr>
              <w:t>%</w:t>
            </w:r>
          </w:p>
        </w:tc>
        <w:tc>
          <w:tcPr>
            <w:tcW w:w="1586" w:type="dxa"/>
            <w:tcBorders>
              <w:top w:val="nil"/>
              <w:left w:val="single" w:sz="4" w:space="0" w:color="auto"/>
              <w:bottom w:val="single" w:sz="4" w:space="0" w:color="auto"/>
              <w:right w:val="single" w:sz="4" w:space="0" w:color="auto"/>
            </w:tcBorders>
          </w:tcPr>
          <w:p w14:paraId="46BAFFE6" w14:textId="647A8265" w:rsidR="002B7A3C" w:rsidRPr="00881203" w:rsidRDefault="002B7A3C" w:rsidP="002B7A3C">
            <w:pPr>
              <w:ind w:left="720" w:hanging="557"/>
              <w:contextualSpacing/>
              <w:jc w:val="right"/>
              <w:rPr>
                <w:rFonts w:ascii="Calibri" w:hAnsi="Calibri" w:cstheme="minorHAnsi"/>
                <w:b/>
                <w:bCs/>
                <w:color w:val="000000"/>
                <w:sz w:val="24"/>
                <w:szCs w:val="24"/>
                <w:highlight w:val="yellow"/>
              </w:rPr>
            </w:pPr>
            <w:r w:rsidRPr="00723862">
              <w:rPr>
                <w:rFonts w:ascii="Calibri" w:hAnsi="Calibri" w:cstheme="minorHAns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61206604" w14:textId="056DC0A6" w:rsidR="002B7A3C" w:rsidRPr="00DF07F2" w:rsidRDefault="002B7A3C" w:rsidP="002B7A3C">
            <w:pPr>
              <w:ind w:left="720" w:hanging="557"/>
              <w:contextualSpacing/>
              <w:jc w:val="right"/>
              <w:rPr>
                <w:rFonts w:cstheme="minorHAnsi"/>
                <w:b/>
                <w:bCs/>
                <w:color w:val="000000"/>
                <w:sz w:val="24"/>
                <w:szCs w:val="24"/>
                <w:highlight w:val="yellow"/>
              </w:rPr>
            </w:pPr>
            <w:r w:rsidRPr="0090706F">
              <w:rPr>
                <w:rFonts w:ascii="Calibri" w:hAnsi="Calibri" w:cstheme="minorHAnsi"/>
                <w:b/>
                <w:bCs/>
                <w:color w:val="000000"/>
              </w:rPr>
              <w:t>100.0%</w:t>
            </w:r>
          </w:p>
        </w:tc>
        <w:tc>
          <w:tcPr>
            <w:tcW w:w="1586" w:type="dxa"/>
            <w:tcBorders>
              <w:top w:val="nil"/>
              <w:left w:val="single" w:sz="4" w:space="0" w:color="auto"/>
              <w:bottom w:val="single" w:sz="4" w:space="0" w:color="auto"/>
              <w:right w:val="single" w:sz="4" w:space="0" w:color="auto"/>
            </w:tcBorders>
          </w:tcPr>
          <w:p w14:paraId="2E9669DE" w14:textId="33DD881B" w:rsidR="002B7A3C" w:rsidRPr="008D0EBB" w:rsidRDefault="002B7A3C" w:rsidP="002B7A3C">
            <w:pPr>
              <w:ind w:left="720" w:hanging="557"/>
              <w:contextualSpacing/>
              <w:jc w:val="right"/>
              <w:rPr>
                <w:rFonts w:cstheme="minorHAnsi"/>
                <w:b/>
                <w:bCs/>
                <w:color w:val="000000"/>
                <w:sz w:val="24"/>
                <w:szCs w:val="24"/>
              </w:rPr>
            </w:pPr>
            <w:r w:rsidRPr="008D0EBB">
              <w:rPr>
                <w:rFonts w:cstheme="minorHAns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6F67AE47" w14:textId="56CE7915" w:rsidR="002B7A3C" w:rsidRPr="00D5287A" w:rsidRDefault="002B7A3C" w:rsidP="002B7A3C">
            <w:pPr>
              <w:ind w:left="720" w:hanging="557"/>
              <w:contextualSpacing/>
              <w:jc w:val="right"/>
              <w:rPr>
                <w:rFonts w:cstheme="minorHAnsi"/>
                <w:b/>
                <w:bCs/>
                <w:color w:val="000000"/>
                <w:sz w:val="24"/>
                <w:szCs w:val="24"/>
                <w:highlight w:val="yellow"/>
              </w:rPr>
            </w:pPr>
            <w:r w:rsidRPr="00D5287A">
              <w:rPr>
                <w:rFonts w:cstheme="minorHAnsi"/>
                <w:b/>
                <w:bCs/>
                <w:color w:val="000000"/>
                <w:sz w:val="24"/>
                <w:szCs w:val="24"/>
              </w:rPr>
              <w:t>100.0%</w:t>
            </w:r>
          </w:p>
        </w:tc>
      </w:tr>
      <w:tr w:rsidR="002B7A3C" w:rsidRPr="00185FBE" w14:paraId="063F0844" w14:textId="61D325ED" w:rsidTr="00762DA5">
        <w:trPr>
          <w:cantSplit/>
          <w:trHeight w:val="144"/>
          <w:jc w:val="right"/>
        </w:trPr>
        <w:tc>
          <w:tcPr>
            <w:tcW w:w="1421" w:type="dxa"/>
            <w:tcBorders>
              <w:top w:val="single" w:sz="4" w:space="0" w:color="auto"/>
              <w:left w:val="single" w:sz="4" w:space="0" w:color="auto"/>
              <w:bottom w:val="nil"/>
              <w:right w:val="single" w:sz="4" w:space="0" w:color="auto"/>
            </w:tcBorders>
            <w:shd w:val="clear" w:color="auto" w:fill="auto"/>
          </w:tcPr>
          <w:p w14:paraId="0BD088F5" w14:textId="533CD3DB" w:rsidR="002B7A3C" w:rsidRPr="000F17CE" w:rsidRDefault="002B7A3C" w:rsidP="002B7A3C">
            <w:pPr>
              <w:contextualSpacing/>
              <w:rPr>
                <w:rFonts w:eastAsia="Calibri" w:cstheme="minorHAnsi"/>
                <w:b/>
              </w:rPr>
            </w:pPr>
            <w:r w:rsidRPr="000F17CE">
              <w:rPr>
                <w:rFonts w:eastAsia="Calibri" w:cstheme="minorHAnsi"/>
                <w:b/>
              </w:rPr>
              <w:t>Ethnicity</w:t>
            </w:r>
          </w:p>
        </w:tc>
        <w:tc>
          <w:tcPr>
            <w:tcW w:w="1585" w:type="dxa"/>
            <w:tcBorders>
              <w:top w:val="single" w:sz="4" w:space="0" w:color="auto"/>
              <w:left w:val="single" w:sz="4" w:space="0" w:color="auto"/>
              <w:bottom w:val="nil"/>
              <w:right w:val="single" w:sz="4" w:space="0" w:color="auto"/>
            </w:tcBorders>
          </w:tcPr>
          <w:p w14:paraId="5A22C3CB" w14:textId="2991C4AB" w:rsidR="002B7A3C" w:rsidRPr="00185FBE" w:rsidRDefault="002B7A3C" w:rsidP="002B7A3C">
            <w:pPr>
              <w:ind w:left="720" w:hanging="557"/>
              <w:contextualSpacing/>
              <w:jc w:val="right"/>
              <w:rPr>
                <w:rFonts w:cstheme="minorHAnsi"/>
                <w:highlight w:val="yellow"/>
              </w:rPr>
            </w:pPr>
          </w:p>
        </w:tc>
        <w:tc>
          <w:tcPr>
            <w:tcW w:w="1586" w:type="dxa"/>
            <w:tcBorders>
              <w:top w:val="single" w:sz="4" w:space="0" w:color="auto"/>
              <w:left w:val="single" w:sz="4" w:space="0" w:color="auto"/>
              <w:bottom w:val="nil"/>
              <w:right w:val="single" w:sz="4" w:space="0" w:color="auto"/>
            </w:tcBorders>
          </w:tcPr>
          <w:p w14:paraId="3BE474EE" w14:textId="77777777" w:rsidR="002B7A3C" w:rsidRPr="00881203" w:rsidRDefault="002B7A3C" w:rsidP="002B7A3C">
            <w:pPr>
              <w:ind w:left="720" w:hanging="557"/>
              <w:contextualSpacing/>
              <w:jc w:val="right"/>
              <w:rPr>
                <w:rFonts w:cstheme="minorHAnsi"/>
                <w:sz w:val="24"/>
                <w:szCs w:val="24"/>
                <w:highlight w:val="yellow"/>
              </w:rPr>
            </w:pPr>
          </w:p>
        </w:tc>
        <w:tc>
          <w:tcPr>
            <w:tcW w:w="1586" w:type="dxa"/>
            <w:tcBorders>
              <w:top w:val="single" w:sz="4" w:space="0" w:color="auto"/>
              <w:left w:val="single" w:sz="4" w:space="0" w:color="auto"/>
              <w:bottom w:val="nil"/>
              <w:right w:val="single" w:sz="4" w:space="0" w:color="auto"/>
            </w:tcBorders>
          </w:tcPr>
          <w:p w14:paraId="02BE23B5" w14:textId="15B42B0E" w:rsidR="002B7A3C" w:rsidRPr="00185FBE" w:rsidRDefault="002B7A3C" w:rsidP="002B7A3C">
            <w:pPr>
              <w:ind w:left="720" w:hanging="557"/>
              <w:contextualSpacing/>
              <w:jc w:val="right"/>
              <w:rPr>
                <w:rFonts w:cstheme="minorHAnsi"/>
                <w:highlight w:val="yellow"/>
              </w:rPr>
            </w:pPr>
          </w:p>
        </w:tc>
        <w:tc>
          <w:tcPr>
            <w:tcW w:w="1586" w:type="dxa"/>
            <w:tcBorders>
              <w:top w:val="single" w:sz="4" w:space="0" w:color="auto"/>
              <w:left w:val="single" w:sz="4" w:space="0" w:color="auto"/>
              <w:bottom w:val="nil"/>
              <w:right w:val="single" w:sz="4" w:space="0" w:color="auto"/>
            </w:tcBorders>
          </w:tcPr>
          <w:p w14:paraId="536C8BE1" w14:textId="77777777" w:rsidR="002B7A3C" w:rsidRPr="00185FBE" w:rsidRDefault="002B7A3C" w:rsidP="002B7A3C">
            <w:pPr>
              <w:ind w:left="720" w:hanging="557"/>
              <w:contextualSpacing/>
              <w:jc w:val="right"/>
              <w:rPr>
                <w:rFonts w:cstheme="minorHAnsi"/>
                <w:highlight w:val="yellow"/>
              </w:rPr>
            </w:pPr>
          </w:p>
        </w:tc>
        <w:tc>
          <w:tcPr>
            <w:tcW w:w="1586" w:type="dxa"/>
            <w:tcBorders>
              <w:top w:val="single" w:sz="4" w:space="0" w:color="auto"/>
              <w:left w:val="single" w:sz="4" w:space="0" w:color="auto"/>
              <w:bottom w:val="nil"/>
              <w:right w:val="single" w:sz="4" w:space="0" w:color="auto"/>
            </w:tcBorders>
          </w:tcPr>
          <w:p w14:paraId="7C62D381" w14:textId="77777777" w:rsidR="002B7A3C" w:rsidRPr="00185FBE" w:rsidRDefault="002B7A3C" w:rsidP="002B7A3C">
            <w:pPr>
              <w:ind w:left="720" w:hanging="557"/>
              <w:contextualSpacing/>
              <w:jc w:val="right"/>
              <w:rPr>
                <w:rFonts w:cstheme="minorHAnsi"/>
                <w:highlight w:val="yellow"/>
              </w:rPr>
            </w:pPr>
          </w:p>
        </w:tc>
      </w:tr>
      <w:tr w:rsidR="002B7A3C" w:rsidRPr="00185FBE" w14:paraId="7137381A" w14:textId="0EC8C29B"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bottom"/>
          </w:tcPr>
          <w:p w14:paraId="5D0E41B0" w14:textId="2A926CF6" w:rsidR="002B7A3C" w:rsidRPr="000F17CE" w:rsidRDefault="002B7A3C" w:rsidP="002B7A3C">
            <w:pPr>
              <w:contextualSpacing/>
              <w:rPr>
                <w:rFonts w:eastAsia="Calibri" w:cstheme="minorHAnsi"/>
                <w:b/>
                <w:sz w:val="24"/>
                <w:szCs w:val="24"/>
              </w:rPr>
            </w:pPr>
            <w:r w:rsidRPr="000F17CE">
              <w:rPr>
                <w:rFonts w:cstheme="minorHAnsi"/>
                <w:color w:val="000000"/>
                <w:sz w:val="24"/>
                <w:szCs w:val="24"/>
              </w:rPr>
              <w:t xml:space="preserve">   Hispanic or Latino</w:t>
            </w:r>
          </w:p>
        </w:tc>
        <w:tc>
          <w:tcPr>
            <w:tcW w:w="1585" w:type="dxa"/>
            <w:tcBorders>
              <w:top w:val="nil"/>
              <w:left w:val="single" w:sz="4" w:space="0" w:color="auto"/>
              <w:bottom w:val="nil"/>
              <w:right w:val="single" w:sz="4" w:space="0" w:color="auto"/>
            </w:tcBorders>
          </w:tcPr>
          <w:p w14:paraId="06FAD1D6" w14:textId="2B2BC955" w:rsidR="002B7A3C" w:rsidRPr="006E192D" w:rsidRDefault="002B7A3C" w:rsidP="002B7A3C">
            <w:pPr>
              <w:ind w:left="720" w:hanging="557"/>
              <w:contextualSpacing/>
              <w:jc w:val="right"/>
              <w:rPr>
                <w:rFonts w:cstheme="minorHAnsi"/>
                <w:sz w:val="24"/>
                <w:szCs w:val="24"/>
                <w:highlight w:val="yellow"/>
              </w:rPr>
            </w:pPr>
            <w:r w:rsidRPr="006E192D">
              <w:rPr>
                <w:sz w:val="24"/>
                <w:szCs w:val="24"/>
              </w:rPr>
              <w:t>1.6%</w:t>
            </w:r>
          </w:p>
        </w:tc>
        <w:tc>
          <w:tcPr>
            <w:tcW w:w="1586" w:type="dxa"/>
            <w:tcBorders>
              <w:top w:val="nil"/>
              <w:left w:val="single" w:sz="4" w:space="0" w:color="auto"/>
              <w:bottom w:val="nil"/>
              <w:right w:val="single" w:sz="4" w:space="0" w:color="auto"/>
            </w:tcBorders>
          </w:tcPr>
          <w:p w14:paraId="63A03862" w14:textId="5157592D"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0.4%</w:t>
            </w:r>
          </w:p>
        </w:tc>
        <w:tc>
          <w:tcPr>
            <w:tcW w:w="1586" w:type="dxa"/>
            <w:tcBorders>
              <w:top w:val="nil"/>
              <w:left w:val="single" w:sz="4" w:space="0" w:color="auto"/>
              <w:bottom w:val="nil"/>
              <w:right w:val="single" w:sz="4" w:space="0" w:color="auto"/>
            </w:tcBorders>
          </w:tcPr>
          <w:p w14:paraId="5F50AA80" w14:textId="799EFEC1" w:rsidR="002B7A3C" w:rsidRPr="006E192D" w:rsidRDefault="002B7A3C" w:rsidP="002B7A3C">
            <w:pPr>
              <w:ind w:left="720" w:hanging="557"/>
              <w:contextualSpacing/>
              <w:jc w:val="right"/>
              <w:rPr>
                <w:rFonts w:cstheme="minorHAnsi"/>
                <w:sz w:val="24"/>
                <w:szCs w:val="24"/>
                <w:highlight w:val="yellow"/>
              </w:rPr>
            </w:pPr>
            <w:r w:rsidRPr="006E192D">
              <w:rPr>
                <w:rFonts w:cs="Times New Roman"/>
                <w:sz w:val="24"/>
                <w:szCs w:val="24"/>
              </w:rPr>
              <w:t>4</w:t>
            </w:r>
            <w:r>
              <w:rPr>
                <w:rFonts w:cs="Times New Roman"/>
                <w:sz w:val="24"/>
                <w:szCs w:val="24"/>
              </w:rPr>
              <w:t>.0</w:t>
            </w:r>
            <w:r w:rsidRPr="006E192D">
              <w:rPr>
                <w:rFonts w:cs="Times New Roman"/>
                <w:sz w:val="24"/>
                <w:szCs w:val="24"/>
              </w:rPr>
              <w:t>%</w:t>
            </w:r>
          </w:p>
        </w:tc>
        <w:tc>
          <w:tcPr>
            <w:tcW w:w="1586" w:type="dxa"/>
            <w:tcBorders>
              <w:top w:val="nil"/>
              <w:left w:val="single" w:sz="4" w:space="0" w:color="auto"/>
              <w:bottom w:val="nil"/>
              <w:right w:val="single" w:sz="4" w:space="0" w:color="auto"/>
            </w:tcBorders>
          </w:tcPr>
          <w:p w14:paraId="34A9CD56" w14:textId="5D775B10" w:rsidR="002B7A3C" w:rsidRPr="006E192D" w:rsidRDefault="002B7A3C" w:rsidP="002B7A3C">
            <w:pPr>
              <w:ind w:left="720" w:hanging="557"/>
              <w:contextualSpacing/>
              <w:jc w:val="right"/>
              <w:rPr>
                <w:rFonts w:cstheme="minorHAnsi"/>
                <w:sz w:val="24"/>
                <w:szCs w:val="24"/>
              </w:rPr>
            </w:pPr>
            <w:r w:rsidRPr="006E192D">
              <w:rPr>
                <w:rFonts w:cstheme="minorHAnsi"/>
                <w:sz w:val="24"/>
                <w:szCs w:val="24"/>
              </w:rPr>
              <w:t>-</w:t>
            </w:r>
          </w:p>
        </w:tc>
        <w:tc>
          <w:tcPr>
            <w:tcW w:w="1586" w:type="dxa"/>
            <w:tcBorders>
              <w:top w:val="nil"/>
              <w:left w:val="single" w:sz="4" w:space="0" w:color="auto"/>
              <w:bottom w:val="nil"/>
              <w:right w:val="single" w:sz="4" w:space="0" w:color="auto"/>
            </w:tcBorders>
          </w:tcPr>
          <w:p w14:paraId="46DE6BE8" w14:textId="523A12F8" w:rsidR="002B7A3C" w:rsidRPr="006E192D" w:rsidRDefault="002B7A3C" w:rsidP="002B7A3C">
            <w:pPr>
              <w:ind w:left="720" w:hanging="557"/>
              <w:contextualSpacing/>
              <w:jc w:val="right"/>
              <w:rPr>
                <w:rFonts w:eastAsia="Times New Roman" w:cstheme="minorHAnsi"/>
                <w:color w:val="000000"/>
                <w:sz w:val="24"/>
                <w:szCs w:val="24"/>
                <w:highlight w:val="yellow"/>
              </w:rPr>
            </w:pPr>
            <w:r w:rsidRPr="006E192D">
              <w:rPr>
                <w:rFonts w:cs="Times New Roman"/>
                <w:color w:val="000000"/>
                <w:sz w:val="24"/>
                <w:szCs w:val="24"/>
              </w:rPr>
              <w:t>3.7%</w:t>
            </w:r>
          </w:p>
        </w:tc>
      </w:tr>
      <w:tr w:rsidR="002B7A3C" w:rsidRPr="00185FBE" w14:paraId="5C2D12B6" w14:textId="25AA85AE"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bottom"/>
          </w:tcPr>
          <w:p w14:paraId="64D23B03" w14:textId="2BACC691" w:rsidR="002B7A3C" w:rsidRPr="000F17CE" w:rsidRDefault="002B7A3C" w:rsidP="002B7A3C">
            <w:pPr>
              <w:contextualSpacing/>
              <w:rPr>
                <w:rFonts w:eastAsia="Calibri" w:cstheme="minorHAnsi"/>
                <w:b/>
                <w:sz w:val="24"/>
                <w:szCs w:val="24"/>
              </w:rPr>
            </w:pPr>
            <w:r w:rsidRPr="000F17CE">
              <w:rPr>
                <w:rFonts w:cstheme="minorHAnsi"/>
                <w:color w:val="000000"/>
                <w:sz w:val="24"/>
                <w:szCs w:val="24"/>
              </w:rPr>
              <w:t xml:space="preserve">   Not Hispanic or Latino</w:t>
            </w:r>
          </w:p>
        </w:tc>
        <w:tc>
          <w:tcPr>
            <w:tcW w:w="1585" w:type="dxa"/>
            <w:tcBorders>
              <w:top w:val="nil"/>
              <w:left w:val="single" w:sz="4" w:space="0" w:color="auto"/>
              <w:bottom w:val="nil"/>
              <w:right w:val="single" w:sz="4" w:space="0" w:color="auto"/>
            </w:tcBorders>
          </w:tcPr>
          <w:p w14:paraId="702ECC09" w14:textId="6FD9AF60" w:rsidR="002B7A3C" w:rsidRPr="006E192D" w:rsidRDefault="002B7A3C" w:rsidP="002B7A3C">
            <w:pPr>
              <w:ind w:left="720" w:hanging="557"/>
              <w:contextualSpacing/>
              <w:jc w:val="right"/>
              <w:rPr>
                <w:rFonts w:cstheme="minorHAnsi"/>
                <w:sz w:val="24"/>
                <w:szCs w:val="24"/>
                <w:highlight w:val="yellow"/>
              </w:rPr>
            </w:pPr>
            <w:r w:rsidRPr="006E192D">
              <w:rPr>
                <w:sz w:val="24"/>
                <w:szCs w:val="24"/>
              </w:rPr>
              <w:t>91.3%</w:t>
            </w:r>
          </w:p>
        </w:tc>
        <w:tc>
          <w:tcPr>
            <w:tcW w:w="1586" w:type="dxa"/>
            <w:tcBorders>
              <w:top w:val="nil"/>
              <w:left w:val="single" w:sz="4" w:space="0" w:color="auto"/>
              <w:bottom w:val="nil"/>
              <w:right w:val="single" w:sz="4" w:space="0" w:color="auto"/>
            </w:tcBorders>
          </w:tcPr>
          <w:p w14:paraId="0DE01EB8" w14:textId="1F04E94B"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96.2%</w:t>
            </w:r>
          </w:p>
        </w:tc>
        <w:tc>
          <w:tcPr>
            <w:tcW w:w="1586" w:type="dxa"/>
            <w:tcBorders>
              <w:top w:val="nil"/>
              <w:left w:val="single" w:sz="4" w:space="0" w:color="auto"/>
              <w:bottom w:val="nil"/>
              <w:right w:val="single" w:sz="4" w:space="0" w:color="auto"/>
            </w:tcBorders>
          </w:tcPr>
          <w:p w14:paraId="4E566F54" w14:textId="3F85DF9B" w:rsidR="002B7A3C" w:rsidRPr="006E192D" w:rsidRDefault="002B7A3C" w:rsidP="002B7A3C">
            <w:pPr>
              <w:ind w:left="720" w:hanging="557"/>
              <w:contextualSpacing/>
              <w:jc w:val="right"/>
              <w:rPr>
                <w:rFonts w:cstheme="minorHAnsi"/>
                <w:sz w:val="24"/>
                <w:szCs w:val="24"/>
                <w:highlight w:val="yellow"/>
              </w:rPr>
            </w:pPr>
            <w:r w:rsidRPr="006E192D">
              <w:rPr>
                <w:rFonts w:cs="Times New Roman"/>
                <w:sz w:val="24"/>
                <w:szCs w:val="24"/>
              </w:rPr>
              <w:t>51</w:t>
            </w:r>
            <w:r>
              <w:rPr>
                <w:rFonts w:cs="Times New Roman"/>
                <w:sz w:val="24"/>
                <w:szCs w:val="24"/>
              </w:rPr>
              <w:t>.0</w:t>
            </w:r>
            <w:r w:rsidRPr="006E192D">
              <w:rPr>
                <w:rFonts w:cs="Times New Roman"/>
                <w:sz w:val="24"/>
                <w:szCs w:val="24"/>
              </w:rPr>
              <w:t>%</w:t>
            </w:r>
          </w:p>
        </w:tc>
        <w:tc>
          <w:tcPr>
            <w:tcW w:w="1586" w:type="dxa"/>
            <w:tcBorders>
              <w:top w:val="nil"/>
              <w:left w:val="single" w:sz="4" w:space="0" w:color="auto"/>
              <w:bottom w:val="nil"/>
              <w:right w:val="single" w:sz="4" w:space="0" w:color="auto"/>
            </w:tcBorders>
          </w:tcPr>
          <w:p w14:paraId="64F9BF4E" w14:textId="46ED5DDD" w:rsidR="002B7A3C" w:rsidRPr="006E192D" w:rsidRDefault="002B7A3C" w:rsidP="002B7A3C">
            <w:pPr>
              <w:ind w:left="720" w:hanging="557"/>
              <w:contextualSpacing/>
              <w:jc w:val="right"/>
              <w:rPr>
                <w:rFonts w:cstheme="minorHAnsi"/>
                <w:sz w:val="24"/>
                <w:szCs w:val="24"/>
              </w:rPr>
            </w:pPr>
            <w:r w:rsidRPr="006E192D">
              <w:rPr>
                <w:rFonts w:cstheme="minorHAnsi"/>
                <w:sz w:val="24"/>
                <w:szCs w:val="24"/>
              </w:rPr>
              <w:t>-</w:t>
            </w:r>
          </w:p>
        </w:tc>
        <w:tc>
          <w:tcPr>
            <w:tcW w:w="1586" w:type="dxa"/>
            <w:tcBorders>
              <w:top w:val="nil"/>
              <w:left w:val="single" w:sz="4" w:space="0" w:color="auto"/>
              <w:bottom w:val="nil"/>
              <w:right w:val="single" w:sz="4" w:space="0" w:color="auto"/>
            </w:tcBorders>
          </w:tcPr>
          <w:p w14:paraId="19D72E18" w14:textId="18F69BCC" w:rsidR="002B7A3C" w:rsidRPr="006E192D" w:rsidRDefault="002B7A3C" w:rsidP="002B7A3C">
            <w:pPr>
              <w:ind w:left="720" w:hanging="557"/>
              <w:contextualSpacing/>
              <w:jc w:val="right"/>
              <w:rPr>
                <w:rFonts w:cstheme="minorHAnsi"/>
                <w:color w:val="000000"/>
                <w:sz w:val="24"/>
                <w:szCs w:val="24"/>
                <w:highlight w:val="yellow"/>
              </w:rPr>
            </w:pPr>
            <w:r w:rsidRPr="006E192D">
              <w:rPr>
                <w:rFonts w:cs="Times New Roman"/>
                <w:color w:val="000000"/>
                <w:sz w:val="24"/>
                <w:szCs w:val="24"/>
              </w:rPr>
              <w:t>86.5%</w:t>
            </w:r>
          </w:p>
        </w:tc>
      </w:tr>
      <w:tr w:rsidR="002B7A3C" w:rsidRPr="00185FBE" w14:paraId="57A34499" w14:textId="0FA5DF27"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bottom"/>
          </w:tcPr>
          <w:p w14:paraId="048CC592" w14:textId="36D6E869" w:rsidR="002B7A3C" w:rsidRPr="000F17CE" w:rsidRDefault="002B7A3C" w:rsidP="002B7A3C">
            <w:pPr>
              <w:contextualSpacing/>
              <w:rPr>
                <w:rFonts w:eastAsia="Calibri" w:cstheme="minorHAnsi"/>
                <w:b/>
                <w:sz w:val="24"/>
                <w:szCs w:val="24"/>
              </w:rPr>
            </w:pPr>
            <w:r w:rsidRPr="000F17CE">
              <w:rPr>
                <w:rFonts w:cstheme="minorHAnsi"/>
                <w:color w:val="000000"/>
                <w:sz w:val="24"/>
                <w:szCs w:val="24"/>
              </w:rPr>
              <w:t xml:space="preserve">   Unknown</w:t>
            </w:r>
          </w:p>
        </w:tc>
        <w:tc>
          <w:tcPr>
            <w:tcW w:w="1585" w:type="dxa"/>
            <w:tcBorders>
              <w:top w:val="nil"/>
              <w:left w:val="single" w:sz="4" w:space="0" w:color="auto"/>
              <w:bottom w:val="nil"/>
              <w:right w:val="single" w:sz="4" w:space="0" w:color="auto"/>
            </w:tcBorders>
          </w:tcPr>
          <w:p w14:paraId="2784364D" w14:textId="1B3D0CC3" w:rsidR="002B7A3C" w:rsidRPr="006E192D" w:rsidRDefault="002B7A3C" w:rsidP="002B7A3C">
            <w:pPr>
              <w:ind w:left="720" w:hanging="557"/>
              <w:contextualSpacing/>
              <w:jc w:val="right"/>
              <w:rPr>
                <w:rFonts w:cstheme="minorHAnsi"/>
                <w:sz w:val="24"/>
                <w:szCs w:val="24"/>
                <w:highlight w:val="yellow"/>
              </w:rPr>
            </w:pPr>
            <w:r w:rsidRPr="006E192D">
              <w:rPr>
                <w:sz w:val="24"/>
                <w:szCs w:val="24"/>
              </w:rPr>
              <w:t>7.1%</w:t>
            </w:r>
          </w:p>
        </w:tc>
        <w:tc>
          <w:tcPr>
            <w:tcW w:w="1586" w:type="dxa"/>
            <w:tcBorders>
              <w:top w:val="nil"/>
              <w:left w:val="single" w:sz="4" w:space="0" w:color="auto"/>
              <w:bottom w:val="nil"/>
              <w:right w:val="single" w:sz="4" w:space="0" w:color="auto"/>
            </w:tcBorders>
          </w:tcPr>
          <w:p w14:paraId="42CC76FD" w14:textId="1A76A2D6" w:rsidR="002B7A3C" w:rsidRPr="00881203" w:rsidRDefault="002B7A3C" w:rsidP="002B7A3C">
            <w:pPr>
              <w:ind w:left="720" w:hanging="557"/>
              <w:contextualSpacing/>
              <w:jc w:val="right"/>
              <w:rPr>
                <w:rFonts w:cs="Times New Roman"/>
                <w:sz w:val="24"/>
                <w:szCs w:val="24"/>
              </w:rPr>
            </w:pPr>
            <w:r w:rsidRPr="00881203">
              <w:rPr>
                <w:rFonts w:cs="Times New Roman"/>
                <w:sz w:val="24"/>
                <w:szCs w:val="24"/>
              </w:rPr>
              <w:t>3.4%</w:t>
            </w:r>
          </w:p>
        </w:tc>
        <w:tc>
          <w:tcPr>
            <w:tcW w:w="1586" w:type="dxa"/>
            <w:tcBorders>
              <w:top w:val="nil"/>
              <w:left w:val="single" w:sz="4" w:space="0" w:color="auto"/>
              <w:bottom w:val="nil"/>
              <w:right w:val="single" w:sz="4" w:space="0" w:color="auto"/>
            </w:tcBorders>
          </w:tcPr>
          <w:p w14:paraId="1623EDA9" w14:textId="571103D2" w:rsidR="002B7A3C" w:rsidRPr="006E192D" w:rsidRDefault="002B7A3C" w:rsidP="002B7A3C">
            <w:pPr>
              <w:ind w:left="720" w:hanging="557"/>
              <w:contextualSpacing/>
              <w:jc w:val="right"/>
              <w:rPr>
                <w:rFonts w:cstheme="minorHAnsi"/>
                <w:sz w:val="24"/>
                <w:szCs w:val="24"/>
                <w:highlight w:val="yellow"/>
              </w:rPr>
            </w:pPr>
            <w:r w:rsidRPr="006E192D">
              <w:rPr>
                <w:rFonts w:cs="Times New Roman"/>
                <w:sz w:val="24"/>
                <w:szCs w:val="24"/>
              </w:rPr>
              <w:t>45</w:t>
            </w:r>
            <w:r>
              <w:rPr>
                <w:rFonts w:cs="Times New Roman"/>
                <w:sz w:val="24"/>
                <w:szCs w:val="24"/>
              </w:rPr>
              <w:t>.0</w:t>
            </w:r>
            <w:r w:rsidRPr="006E192D">
              <w:rPr>
                <w:rFonts w:cs="Times New Roman"/>
                <w:sz w:val="24"/>
                <w:szCs w:val="24"/>
              </w:rPr>
              <w:t>%</w:t>
            </w:r>
          </w:p>
        </w:tc>
        <w:tc>
          <w:tcPr>
            <w:tcW w:w="1586" w:type="dxa"/>
            <w:tcBorders>
              <w:top w:val="nil"/>
              <w:left w:val="single" w:sz="4" w:space="0" w:color="auto"/>
              <w:bottom w:val="nil"/>
              <w:right w:val="single" w:sz="4" w:space="0" w:color="auto"/>
            </w:tcBorders>
          </w:tcPr>
          <w:p w14:paraId="7B611D05" w14:textId="1CA790CD" w:rsidR="002B7A3C" w:rsidRPr="006E192D" w:rsidRDefault="002B7A3C" w:rsidP="002B7A3C">
            <w:pPr>
              <w:ind w:left="720" w:hanging="557"/>
              <w:contextualSpacing/>
              <w:jc w:val="right"/>
              <w:rPr>
                <w:rFonts w:cstheme="minorHAnsi"/>
                <w:sz w:val="24"/>
                <w:szCs w:val="24"/>
              </w:rPr>
            </w:pPr>
            <w:r w:rsidRPr="006E192D">
              <w:rPr>
                <w:rFonts w:cstheme="minorHAnsi"/>
                <w:sz w:val="24"/>
                <w:szCs w:val="24"/>
              </w:rPr>
              <w:t>-</w:t>
            </w:r>
          </w:p>
        </w:tc>
        <w:tc>
          <w:tcPr>
            <w:tcW w:w="1586" w:type="dxa"/>
            <w:tcBorders>
              <w:top w:val="nil"/>
              <w:left w:val="single" w:sz="4" w:space="0" w:color="auto"/>
              <w:bottom w:val="nil"/>
              <w:right w:val="single" w:sz="4" w:space="0" w:color="auto"/>
            </w:tcBorders>
          </w:tcPr>
          <w:p w14:paraId="696E8C18" w14:textId="1C11C3B8" w:rsidR="002B7A3C" w:rsidRPr="006E192D" w:rsidRDefault="002B7A3C" w:rsidP="002B7A3C">
            <w:pPr>
              <w:ind w:left="720" w:hanging="557"/>
              <w:contextualSpacing/>
              <w:jc w:val="right"/>
              <w:rPr>
                <w:rFonts w:cstheme="minorHAnsi"/>
                <w:color w:val="000000"/>
                <w:sz w:val="24"/>
                <w:szCs w:val="24"/>
                <w:highlight w:val="yellow"/>
              </w:rPr>
            </w:pPr>
            <w:r w:rsidRPr="006E192D">
              <w:rPr>
                <w:rFonts w:cs="Times New Roman"/>
                <w:color w:val="000000"/>
                <w:sz w:val="24"/>
                <w:szCs w:val="24"/>
              </w:rPr>
              <w:t>9.8%</w:t>
            </w:r>
          </w:p>
        </w:tc>
      </w:tr>
      <w:tr w:rsidR="002B7A3C" w:rsidRPr="00185FBE" w14:paraId="4BA3A17C" w14:textId="6571D48E" w:rsidTr="00762DA5">
        <w:trPr>
          <w:cantSplit/>
          <w:trHeight w:val="144"/>
          <w:jc w:val="right"/>
        </w:trPr>
        <w:tc>
          <w:tcPr>
            <w:tcW w:w="1421" w:type="dxa"/>
            <w:tcBorders>
              <w:top w:val="nil"/>
              <w:left w:val="single" w:sz="4" w:space="0" w:color="auto"/>
              <w:bottom w:val="single" w:sz="4" w:space="0" w:color="auto"/>
              <w:right w:val="single" w:sz="4" w:space="0" w:color="auto"/>
            </w:tcBorders>
            <w:shd w:val="clear" w:color="auto" w:fill="auto"/>
          </w:tcPr>
          <w:p w14:paraId="41390CCD" w14:textId="2A5B75E7" w:rsidR="002B7A3C" w:rsidRPr="000F17CE" w:rsidRDefault="002B7A3C" w:rsidP="002B7A3C">
            <w:pPr>
              <w:contextualSpacing/>
              <w:rPr>
                <w:rFonts w:eastAsia="Calibri" w:cstheme="minorHAnsi"/>
                <w:b/>
              </w:rPr>
            </w:pPr>
            <w:r w:rsidRPr="000F17CE">
              <w:rPr>
                <w:rFonts w:eastAsia="Calibri" w:cstheme="minorHAnsi"/>
                <w:b/>
              </w:rPr>
              <w:t xml:space="preserve">   Total</w:t>
            </w:r>
          </w:p>
        </w:tc>
        <w:tc>
          <w:tcPr>
            <w:tcW w:w="1585" w:type="dxa"/>
            <w:tcBorders>
              <w:top w:val="nil"/>
              <w:left w:val="single" w:sz="4" w:space="0" w:color="auto"/>
              <w:bottom w:val="single" w:sz="4" w:space="0" w:color="auto"/>
              <w:right w:val="single" w:sz="4" w:space="0" w:color="auto"/>
            </w:tcBorders>
          </w:tcPr>
          <w:p w14:paraId="44ACDBF4" w14:textId="1A71053F" w:rsidR="002B7A3C" w:rsidRPr="006E192D" w:rsidRDefault="002B7A3C" w:rsidP="002B7A3C">
            <w:pPr>
              <w:ind w:left="720" w:hanging="557"/>
              <w:contextualSpacing/>
              <w:jc w:val="right"/>
              <w:rPr>
                <w:rFonts w:cstheme="minorHAnsi"/>
                <w:sz w:val="24"/>
                <w:szCs w:val="24"/>
                <w:highlight w:val="yellow"/>
              </w:rPr>
            </w:pPr>
            <w:r w:rsidRPr="006E192D">
              <w:rPr>
                <w:rFonts w:cstheme="minorHAns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7E5E0CFA" w14:textId="065C6144" w:rsidR="002B7A3C" w:rsidRPr="00881203" w:rsidRDefault="002B7A3C" w:rsidP="002B7A3C">
            <w:pPr>
              <w:ind w:left="720" w:hanging="557"/>
              <w:contextualSpacing/>
              <w:jc w:val="right"/>
              <w:rPr>
                <w:rFonts w:cstheme="minorHAnsi"/>
                <w:b/>
                <w:bCs/>
                <w:color w:val="000000"/>
                <w:sz w:val="24"/>
                <w:szCs w:val="24"/>
              </w:rPr>
            </w:pPr>
            <w:r>
              <w:rPr>
                <w:rFonts w:cstheme="minorHAns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367F046C" w14:textId="6AA606C1" w:rsidR="002B7A3C" w:rsidRPr="006E192D" w:rsidRDefault="002B7A3C" w:rsidP="002B7A3C">
            <w:pPr>
              <w:ind w:left="720" w:hanging="557"/>
              <w:contextualSpacing/>
              <w:jc w:val="right"/>
              <w:rPr>
                <w:rFonts w:cstheme="minorHAnsi"/>
                <w:sz w:val="24"/>
                <w:szCs w:val="24"/>
                <w:highlight w:val="yellow"/>
              </w:rPr>
            </w:pPr>
            <w:r w:rsidRPr="006E192D">
              <w:rPr>
                <w:rFonts w:cstheme="minorHAns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41D96279" w14:textId="47F747D4" w:rsidR="002B7A3C" w:rsidRPr="006E192D" w:rsidRDefault="002B7A3C" w:rsidP="002B7A3C">
            <w:pPr>
              <w:ind w:left="720" w:hanging="557"/>
              <w:contextualSpacing/>
              <w:jc w:val="right"/>
              <w:rPr>
                <w:rFonts w:cstheme="minorHAnsi"/>
                <w:sz w:val="24"/>
                <w:szCs w:val="24"/>
              </w:rPr>
            </w:pPr>
            <w:r w:rsidRPr="006E192D">
              <w:rPr>
                <w:rFonts w:cstheme="minorHAnsi"/>
                <w:b/>
                <w:bCs/>
                <w:color w:val="000000"/>
                <w:sz w:val="24"/>
                <w:szCs w:val="24"/>
              </w:rPr>
              <w:t>0.0%</w:t>
            </w:r>
          </w:p>
        </w:tc>
        <w:tc>
          <w:tcPr>
            <w:tcW w:w="1586" w:type="dxa"/>
            <w:tcBorders>
              <w:top w:val="nil"/>
              <w:left w:val="single" w:sz="4" w:space="0" w:color="auto"/>
              <w:bottom w:val="single" w:sz="4" w:space="0" w:color="auto"/>
              <w:right w:val="single" w:sz="4" w:space="0" w:color="auto"/>
            </w:tcBorders>
          </w:tcPr>
          <w:p w14:paraId="5AF42D11" w14:textId="5EC4EA1F" w:rsidR="002B7A3C" w:rsidRPr="006E192D" w:rsidRDefault="002B7A3C" w:rsidP="002B7A3C">
            <w:pPr>
              <w:ind w:left="720" w:hanging="557"/>
              <w:contextualSpacing/>
              <w:jc w:val="right"/>
              <w:rPr>
                <w:rFonts w:cstheme="minorHAnsi"/>
                <w:b/>
                <w:bCs/>
                <w:color w:val="000000"/>
                <w:sz w:val="24"/>
                <w:szCs w:val="24"/>
                <w:highlight w:val="yellow"/>
              </w:rPr>
            </w:pPr>
            <w:r w:rsidRPr="006E192D">
              <w:rPr>
                <w:rFonts w:cstheme="minorHAnsi"/>
                <w:b/>
                <w:bCs/>
                <w:color w:val="000000"/>
                <w:sz w:val="24"/>
                <w:szCs w:val="24"/>
              </w:rPr>
              <w:t>100.0%</w:t>
            </w:r>
          </w:p>
        </w:tc>
      </w:tr>
      <w:tr w:rsidR="002B7A3C" w:rsidRPr="00185FBE" w14:paraId="568D2565" w14:textId="1F6E136A" w:rsidTr="00762DA5">
        <w:trPr>
          <w:cantSplit/>
          <w:trHeight w:val="144"/>
          <w:jc w:val="right"/>
        </w:trPr>
        <w:tc>
          <w:tcPr>
            <w:tcW w:w="1421" w:type="dxa"/>
            <w:tcBorders>
              <w:top w:val="single" w:sz="4" w:space="0" w:color="auto"/>
              <w:left w:val="single" w:sz="4" w:space="0" w:color="auto"/>
              <w:bottom w:val="nil"/>
              <w:right w:val="single" w:sz="4" w:space="0" w:color="auto"/>
            </w:tcBorders>
            <w:shd w:val="clear" w:color="auto" w:fill="auto"/>
          </w:tcPr>
          <w:p w14:paraId="5379FFEE" w14:textId="1A89054D" w:rsidR="002B7A3C" w:rsidRPr="000F17CE" w:rsidRDefault="002B7A3C" w:rsidP="002B7A3C">
            <w:pPr>
              <w:contextualSpacing/>
              <w:rPr>
                <w:rFonts w:cstheme="minorHAnsi"/>
                <w:color w:val="000000"/>
              </w:rPr>
            </w:pPr>
            <w:r w:rsidRPr="000F17CE">
              <w:rPr>
                <w:rFonts w:eastAsia="Calibri" w:cstheme="minorHAnsi"/>
                <w:b/>
              </w:rPr>
              <w:t>Payer Mix</w:t>
            </w:r>
          </w:p>
        </w:tc>
        <w:tc>
          <w:tcPr>
            <w:tcW w:w="1585" w:type="dxa"/>
            <w:tcBorders>
              <w:top w:val="single" w:sz="4" w:space="0" w:color="auto"/>
              <w:left w:val="single" w:sz="4" w:space="0" w:color="auto"/>
              <w:bottom w:val="nil"/>
              <w:right w:val="single" w:sz="4" w:space="0" w:color="auto"/>
            </w:tcBorders>
          </w:tcPr>
          <w:p w14:paraId="0A5C2A00" w14:textId="2E443069" w:rsidR="002B7A3C" w:rsidRPr="005E33A9" w:rsidRDefault="002B7A3C" w:rsidP="002B7A3C">
            <w:pPr>
              <w:ind w:left="720" w:hanging="557"/>
              <w:contextualSpacing/>
              <w:jc w:val="right"/>
              <w:rPr>
                <w:rFonts w:cstheme="minorHAnsi"/>
                <w:sz w:val="24"/>
                <w:szCs w:val="24"/>
                <w:highlight w:val="yellow"/>
              </w:rPr>
            </w:pPr>
          </w:p>
        </w:tc>
        <w:tc>
          <w:tcPr>
            <w:tcW w:w="1586" w:type="dxa"/>
            <w:tcBorders>
              <w:top w:val="single" w:sz="4" w:space="0" w:color="auto"/>
              <w:left w:val="single" w:sz="4" w:space="0" w:color="auto"/>
              <w:bottom w:val="nil"/>
              <w:right w:val="single" w:sz="4" w:space="0" w:color="auto"/>
            </w:tcBorders>
          </w:tcPr>
          <w:p w14:paraId="168B8205" w14:textId="77777777" w:rsidR="002B7A3C" w:rsidRPr="00881203" w:rsidRDefault="002B7A3C" w:rsidP="002B7A3C">
            <w:pPr>
              <w:ind w:left="720" w:hanging="557"/>
              <w:contextualSpacing/>
              <w:jc w:val="right"/>
              <w:rPr>
                <w:rFonts w:cstheme="minorHAnsi"/>
                <w:sz w:val="24"/>
                <w:szCs w:val="24"/>
                <w:highlight w:val="yellow"/>
              </w:rPr>
            </w:pPr>
          </w:p>
        </w:tc>
        <w:tc>
          <w:tcPr>
            <w:tcW w:w="1586" w:type="dxa"/>
            <w:tcBorders>
              <w:top w:val="single" w:sz="4" w:space="0" w:color="auto"/>
              <w:left w:val="single" w:sz="4" w:space="0" w:color="auto"/>
              <w:bottom w:val="nil"/>
              <w:right w:val="single" w:sz="4" w:space="0" w:color="auto"/>
            </w:tcBorders>
          </w:tcPr>
          <w:p w14:paraId="2AF1DC85" w14:textId="0446432B" w:rsidR="002B7A3C" w:rsidRPr="00185FBE" w:rsidRDefault="002B7A3C" w:rsidP="002B7A3C">
            <w:pPr>
              <w:ind w:left="720" w:hanging="557"/>
              <w:contextualSpacing/>
              <w:jc w:val="right"/>
              <w:rPr>
                <w:rFonts w:cstheme="minorHAnsi"/>
                <w:highlight w:val="yellow"/>
              </w:rPr>
            </w:pPr>
          </w:p>
        </w:tc>
        <w:tc>
          <w:tcPr>
            <w:tcW w:w="1586" w:type="dxa"/>
            <w:tcBorders>
              <w:top w:val="single" w:sz="4" w:space="0" w:color="auto"/>
              <w:left w:val="single" w:sz="4" w:space="0" w:color="auto"/>
              <w:bottom w:val="nil"/>
              <w:right w:val="single" w:sz="4" w:space="0" w:color="auto"/>
            </w:tcBorders>
          </w:tcPr>
          <w:p w14:paraId="37E168CD" w14:textId="77777777" w:rsidR="002B7A3C" w:rsidRPr="00185FBE" w:rsidRDefault="002B7A3C" w:rsidP="002B7A3C">
            <w:pPr>
              <w:ind w:left="720" w:hanging="557"/>
              <w:contextualSpacing/>
              <w:jc w:val="right"/>
              <w:rPr>
                <w:rFonts w:cstheme="minorHAnsi"/>
                <w:highlight w:val="yellow"/>
              </w:rPr>
            </w:pPr>
          </w:p>
        </w:tc>
        <w:tc>
          <w:tcPr>
            <w:tcW w:w="1586" w:type="dxa"/>
            <w:tcBorders>
              <w:top w:val="single" w:sz="4" w:space="0" w:color="auto"/>
              <w:left w:val="single" w:sz="4" w:space="0" w:color="auto"/>
              <w:bottom w:val="nil"/>
              <w:right w:val="single" w:sz="4" w:space="0" w:color="auto"/>
            </w:tcBorders>
          </w:tcPr>
          <w:p w14:paraId="5CEB8779" w14:textId="77777777" w:rsidR="002B7A3C" w:rsidRPr="00185FBE" w:rsidRDefault="002B7A3C" w:rsidP="002B7A3C">
            <w:pPr>
              <w:ind w:left="720" w:hanging="557"/>
              <w:contextualSpacing/>
              <w:jc w:val="right"/>
              <w:rPr>
                <w:rFonts w:cstheme="minorHAnsi"/>
                <w:highlight w:val="yellow"/>
              </w:rPr>
            </w:pPr>
          </w:p>
        </w:tc>
      </w:tr>
      <w:tr w:rsidR="002B7A3C" w:rsidRPr="00185FBE" w14:paraId="24B05433" w14:textId="41DB68E9"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center"/>
          </w:tcPr>
          <w:p w14:paraId="7FE06F66" w14:textId="6D38FF1C" w:rsidR="002B7A3C" w:rsidRPr="000F17CE" w:rsidRDefault="002B7A3C" w:rsidP="00A86EE3">
            <w:pPr>
              <w:contextualSpacing/>
              <w:rPr>
                <w:rFonts w:cstheme="minorHAnsi"/>
                <w:color w:val="000000"/>
                <w:sz w:val="24"/>
                <w:szCs w:val="24"/>
              </w:rPr>
            </w:pPr>
            <w:r w:rsidRPr="000F17CE">
              <w:rPr>
                <w:rFonts w:eastAsia="Times New Roman" w:cstheme="minorHAnsi"/>
                <w:color w:val="000000"/>
                <w:sz w:val="24"/>
                <w:szCs w:val="24"/>
              </w:rPr>
              <w:t>Commercial</w:t>
            </w:r>
          </w:p>
        </w:tc>
        <w:tc>
          <w:tcPr>
            <w:tcW w:w="1585" w:type="dxa"/>
            <w:tcBorders>
              <w:top w:val="nil"/>
              <w:left w:val="single" w:sz="4" w:space="0" w:color="auto"/>
              <w:bottom w:val="nil"/>
              <w:right w:val="single" w:sz="4" w:space="0" w:color="auto"/>
            </w:tcBorders>
          </w:tcPr>
          <w:p w14:paraId="601EA8D8" w14:textId="2A53CCC2" w:rsidR="002B7A3C" w:rsidRPr="005E33A9" w:rsidRDefault="002B7A3C" w:rsidP="002B7A3C">
            <w:pPr>
              <w:ind w:left="720" w:hanging="557"/>
              <w:contextualSpacing/>
              <w:jc w:val="right"/>
              <w:rPr>
                <w:rFonts w:cstheme="minorHAnsi"/>
                <w:sz w:val="24"/>
                <w:szCs w:val="24"/>
                <w:highlight w:val="yellow"/>
              </w:rPr>
            </w:pPr>
            <w:r w:rsidRPr="005E33A9">
              <w:rPr>
                <w:rFonts w:cs="Times New Roman"/>
                <w:color w:val="000000"/>
                <w:sz w:val="24"/>
                <w:szCs w:val="24"/>
              </w:rPr>
              <w:t>38.9%</w:t>
            </w:r>
          </w:p>
        </w:tc>
        <w:tc>
          <w:tcPr>
            <w:tcW w:w="1586" w:type="dxa"/>
            <w:tcBorders>
              <w:top w:val="nil"/>
              <w:left w:val="single" w:sz="4" w:space="0" w:color="auto"/>
              <w:bottom w:val="nil"/>
              <w:right w:val="single" w:sz="4" w:space="0" w:color="auto"/>
            </w:tcBorders>
          </w:tcPr>
          <w:p w14:paraId="1A652FC3" w14:textId="1AE4F03F" w:rsidR="002B7A3C" w:rsidRPr="007E3E2E" w:rsidRDefault="002B7A3C" w:rsidP="002B7A3C">
            <w:pPr>
              <w:ind w:left="720" w:hanging="557"/>
              <w:contextualSpacing/>
              <w:jc w:val="right"/>
              <w:rPr>
                <w:rFonts w:cs="Times New Roman"/>
                <w:sz w:val="24"/>
                <w:szCs w:val="24"/>
              </w:rPr>
            </w:pPr>
            <w:r w:rsidRPr="007E3E2E">
              <w:rPr>
                <w:sz w:val="24"/>
                <w:szCs w:val="24"/>
              </w:rPr>
              <w:t>26.4%</w:t>
            </w:r>
          </w:p>
        </w:tc>
        <w:tc>
          <w:tcPr>
            <w:tcW w:w="1586" w:type="dxa"/>
            <w:tcBorders>
              <w:top w:val="nil"/>
              <w:left w:val="single" w:sz="4" w:space="0" w:color="auto"/>
              <w:bottom w:val="nil"/>
              <w:right w:val="single" w:sz="4" w:space="0" w:color="auto"/>
            </w:tcBorders>
          </w:tcPr>
          <w:p w14:paraId="746DB5C3" w14:textId="3901F01C" w:rsidR="002B7A3C" w:rsidRPr="007E3E2E" w:rsidRDefault="002B7A3C" w:rsidP="002B7A3C">
            <w:pPr>
              <w:ind w:left="720" w:hanging="557"/>
              <w:contextualSpacing/>
              <w:jc w:val="right"/>
              <w:rPr>
                <w:rFonts w:eastAsia="Times New Roman" w:cstheme="minorHAnsi"/>
                <w:color w:val="000000"/>
                <w:sz w:val="24"/>
                <w:szCs w:val="24"/>
                <w:highlight w:val="yellow"/>
              </w:rPr>
            </w:pPr>
            <w:r w:rsidRPr="007E3E2E">
              <w:rPr>
                <w:rFonts w:cs="Times New Roman"/>
                <w:sz w:val="24"/>
                <w:szCs w:val="24"/>
              </w:rPr>
              <w:t>57.0%</w:t>
            </w:r>
          </w:p>
        </w:tc>
        <w:tc>
          <w:tcPr>
            <w:tcW w:w="1586" w:type="dxa"/>
            <w:tcBorders>
              <w:top w:val="nil"/>
              <w:left w:val="single" w:sz="4" w:space="0" w:color="auto"/>
              <w:bottom w:val="nil"/>
              <w:right w:val="single" w:sz="4" w:space="0" w:color="auto"/>
            </w:tcBorders>
          </w:tcPr>
          <w:p w14:paraId="0ACB4E94" w14:textId="60B3F0A5" w:rsidR="002B7A3C" w:rsidRPr="007E3E2E" w:rsidRDefault="002B7A3C" w:rsidP="002B7A3C">
            <w:pPr>
              <w:ind w:left="720" w:hanging="557"/>
              <w:contextualSpacing/>
              <w:jc w:val="right"/>
              <w:rPr>
                <w:rFonts w:eastAsia="Times New Roman" w:cstheme="minorHAnsi"/>
                <w:color w:val="000000"/>
                <w:sz w:val="24"/>
                <w:szCs w:val="24"/>
                <w:highlight w:val="yellow"/>
              </w:rPr>
            </w:pPr>
            <w:r w:rsidRPr="007E3E2E">
              <w:rPr>
                <w:rFonts w:cs="Times New Roman"/>
                <w:sz w:val="24"/>
                <w:szCs w:val="24"/>
              </w:rPr>
              <w:t>50.7%</w:t>
            </w:r>
          </w:p>
        </w:tc>
        <w:tc>
          <w:tcPr>
            <w:tcW w:w="1586" w:type="dxa"/>
            <w:tcBorders>
              <w:top w:val="nil"/>
              <w:left w:val="single" w:sz="4" w:space="0" w:color="auto"/>
              <w:bottom w:val="nil"/>
              <w:right w:val="single" w:sz="4" w:space="0" w:color="auto"/>
            </w:tcBorders>
          </w:tcPr>
          <w:p w14:paraId="19548418" w14:textId="26FDE1AC" w:rsidR="002B7A3C" w:rsidRPr="007E3E2E" w:rsidRDefault="002B7A3C" w:rsidP="002B7A3C">
            <w:pPr>
              <w:ind w:left="720" w:hanging="557"/>
              <w:contextualSpacing/>
              <w:jc w:val="right"/>
              <w:rPr>
                <w:rFonts w:cstheme="minorHAnsi"/>
                <w:color w:val="000000"/>
                <w:sz w:val="24"/>
                <w:szCs w:val="24"/>
                <w:highlight w:val="yellow"/>
              </w:rPr>
            </w:pPr>
            <w:r w:rsidRPr="007E3E2E">
              <w:rPr>
                <w:rFonts w:cs="Times New Roman"/>
                <w:color w:val="000000"/>
                <w:sz w:val="24"/>
                <w:szCs w:val="24"/>
              </w:rPr>
              <w:t>42.7%</w:t>
            </w:r>
          </w:p>
        </w:tc>
      </w:tr>
      <w:tr w:rsidR="002B7A3C" w:rsidRPr="00185FBE" w14:paraId="4214478C" w14:textId="0B65C351"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center"/>
          </w:tcPr>
          <w:p w14:paraId="1B9AE4D9" w14:textId="6BABFAB8" w:rsidR="002B7A3C" w:rsidRPr="000F17CE" w:rsidRDefault="002B7A3C" w:rsidP="00A86EE3">
            <w:pPr>
              <w:contextualSpacing/>
              <w:rPr>
                <w:rFonts w:cstheme="minorHAnsi"/>
                <w:b/>
                <w:bCs/>
                <w:sz w:val="24"/>
                <w:szCs w:val="24"/>
              </w:rPr>
            </w:pPr>
            <w:r w:rsidRPr="000F17CE">
              <w:rPr>
                <w:rFonts w:eastAsia="Times New Roman" w:cstheme="minorHAnsi"/>
                <w:color w:val="000000"/>
                <w:sz w:val="24"/>
                <w:szCs w:val="24"/>
              </w:rPr>
              <w:t>Medicaid</w:t>
            </w:r>
          </w:p>
        </w:tc>
        <w:tc>
          <w:tcPr>
            <w:tcW w:w="1585" w:type="dxa"/>
            <w:tcBorders>
              <w:top w:val="nil"/>
              <w:left w:val="single" w:sz="4" w:space="0" w:color="auto"/>
              <w:bottom w:val="nil"/>
              <w:right w:val="single" w:sz="4" w:space="0" w:color="auto"/>
            </w:tcBorders>
          </w:tcPr>
          <w:p w14:paraId="204A14C7" w14:textId="5E7F819E" w:rsidR="002B7A3C" w:rsidRPr="005E33A9" w:rsidRDefault="0047533B" w:rsidP="002B7A3C">
            <w:pPr>
              <w:jc w:val="right"/>
              <w:rPr>
                <w:rFonts w:cstheme="minorHAnsi"/>
                <w:b/>
                <w:bCs/>
                <w:color w:val="000000"/>
                <w:sz w:val="24"/>
                <w:szCs w:val="24"/>
                <w:highlight w:val="yellow"/>
              </w:rPr>
            </w:pPr>
            <w:r>
              <w:rPr>
                <w:rFonts w:cs="Times New Roman"/>
                <w:color w:val="000000"/>
                <w:sz w:val="24"/>
                <w:szCs w:val="24"/>
              </w:rPr>
              <w:t>13</w:t>
            </w:r>
            <w:r w:rsidR="002B7A3C" w:rsidRPr="005E33A9">
              <w:rPr>
                <w:rFonts w:cs="Times New Roman"/>
                <w:color w:val="000000"/>
                <w:sz w:val="24"/>
                <w:szCs w:val="24"/>
              </w:rPr>
              <w:t>.9%</w:t>
            </w:r>
          </w:p>
        </w:tc>
        <w:tc>
          <w:tcPr>
            <w:tcW w:w="1586" w:type="dxa"/>
            <w:tcBorders>
              <w:top w:val="nil"/>
              <w:left w:val="single" w:sz="4" w:space="0" w:color="auto"/>
              <w:bottom w:val="nil"/>
              <w:right w:val="single" w:sz="4" w:space="0" w:color="auto"/>
            </w:tcBorders>
          </w:tcPr>
          <w:p w14:paraId="349FCD37" w14:textId="2C473D97" w:rsidR="002B7A3C" w:rsidRPr="007E3E2E" w:rsidRDefault="002B7A3C" w:rsidP="002B7A3C">
            <w:pPr>
              <w:jc w:val="right"/>
              <w:rPr>
                <w:rFonts w:cs="Times New Roman"/>
                <w:sz w:val="24"/>
                <w:szCs w:val="24"/>
              </w:rPr>
            </w:pPr>
            <w:r w:rsidRPr="007E3E2E">
              <w:rPr>
                <w:sz w:val="24"/>
                <w:szCs w:val="24"/>
              </w:rPr>
              <w:t>7.1%</w:t>
            </w:r>
          </w:p>
        </w:tc>
        <w:tc>
          <w:tcPr>
            <w:tcW w:w="1586" w:type="dxa"/>
            <w:tcBorders>
              <w:top w:val="nil"/>
              <w:left w:val="single" w:sz="4" w:space="0" w:color="auto"/>
              <w:bottom w:val="nil"/>
              <w:right w:val="single" w:sz="4" w:space="0" w:color="auto"/>
            </w:tcBorders>
          </w:tcPr>
          <w:p w14:paraId="44DE22E0" w14:textId="6C51A91C" w:rsidR="002B7A3C" w:rsidRPr="007E3E2E" w:rsidRDefault="00E63278" w:rsidP="002B7A3C">
            <w:pPr>
              <w:jc w:val="right"/>
              <w:rPr>
                <w:rFonts w:eastAsia="Times New Roman" w:cstheme="minorHAnsi"/>
                <w:color w:val="000000"/>
                <w:sz w:val="24"/>
                <w:szCs w:val="24"/>
                <w:highlight w:val="yellow"/>
              </w:rPr>
            </w:pPr>
            <w:r>
              <w:rPr>
                <w:rFonts w:cs="Times New Roman"/>
                <w:sz w:val="24"/>
                <w:szCs w:val="24"/>
              </w:rPr>
              <w:t>27</w:t>
            </w:r>
            <w:r w:rsidR="002B7A3C" w:rsidRPr="007E3E2E">
              <w:rPr>
                <w:rFonts w:cs="Times New Roman"/>
                <w:sz w:val="24"/>
                <w:szCs w:val="24"/>
              </w:rPr>
              <w:t>%</w:t>
            </w:r>
          </w:p>
        </w:tc>
        <w:tc>
          <w:tcPr>
            <w:tcW w:w="1586" w:type="dxa"/>
            <w:tcBorders>
              <w:top w:val="nil"/>
              <w:left w:val="single" w:sz="4" w:space="0" w:color="auto"/>
              <w:bottom w:val="nil"/>
              <w:right w:val="single" w:sz="4" w:space="0" w:color="auto"/>
            </w:tcBorders>
          </w:tcPr>
          <w:p w14:paraId="43D39C20" w14:textId="73B94FCA" w:rsidR="002B7A3C" w:rsidRPr="007E3E2E" w:rsidRDefault="002B7A3C" w:rsidP="002B7A3C">
            <w:pPr>
              <w:jc w:val="right"/>
              <w:rPr>
                <w:rFonts w:eastAsia="Times New Roman" w:cstheme="minorHAnsi"/>
                <w:color w:val="000000"/>
                <w:sz w:val="24"/>
                <w:szCs w:val="24"/>
                <w:highlight w:val="yellow"/>
              </w:rPr>
            </w:pPr>
            <w:r w:rsidRPr="007E3E2E">
              <w:rPr>
                <w:sz w:val="24"/>
                <w:szCs w:val="24"/>
              </w:rPr>
              <w:t>16.5%</w:t>
            </w:r>
          </w:p>
        </w:tc>
        <w:tc>
          <w:tcPr>
            <w:tcW w:w="1586" w:type="dxa"/>
            <w:tcBorders>
              <w:top w:val="nil"/>
              <w:left w:val="single" w:sz="4" w:space="0" w:color="auto"/>
              <w:bottom w:val="nil"/>
              <w:right w:val="single" w:sz="4" w:space="0" w:color="auto"/>
            </w:tcBorders>
          </w:tcPr>
          <w:p w14:paraId="5A02AA9A" w14:textId="05859369" w:rsidR="002B7A3C" w:rsidRPr="007E3E2E" w:rsidRDefault="00E63278" w:rsidP="002B7A3C">
            <w:pPr>
              <w:jc w:val="right"/>
              <w:rPr>
                <w:rFonts w:cstheme="minorHAnsi"/>
                <w:sz w:val="24"/>
                <w:szCs w:val="24"/>
                <w:highlight w:val="yellow"/>
              </w:rPr>
            </w:pPr>
            <w:r>
              <w:rPr>
                <w:rFonts w:cs="Times New Roman"/>
                <w:color w:val="000000"/>
                <w:sz w:val="24"/>
                <w:szCs w:val="24"/>
              </w:rPr>
              <w:t>14.4</w:t>
            </w:r>
            <w:r w:rsidR="002B7A3C" w:rsidRPr="007E3E2E">
              <w:rPr>
                <w:rFonts w:cs="Times New Roman"/>
                <w:color w:val="000000"/>
                <w:sz w:val="24"/>
                <w:szCs w:val="24"/>
              </w:rPr>
              <w:t>%</w:t>
            </w:r>
          </w:p>
        </w:tc>
      </w:tr>
      <w:tr w:rsidR="002B7A3C" w:rsidRPr="00185FBE" w14:paraId="2A423D6A" w14:textId="485E5031"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center"/>
          </w:tcPr>
          <w:p w14:paraId="1F09980F" w14:textId="63E6FE5A" w:rsidR="002B7A3C" w:rsidRPr="000F17CE" w:rsidRDefault="002B7A3C" w:rsidP="002B7A3C">
            <w:pPr>
              <w:contextualSpacing/>
              <w:rPr>
                <w:rFonts w:eastAsia="Calibri" w:cstheme="minorHAnsi"/>
                <w:b/>
                <w:sz w:val="24"/>
                <w:szCs w:val="24"/>
              </w:rPr>
            </w:pPr>
            <w:r w:rsidRPr="000F17CE">
              <w:rPr>
                <w:rFonts w:eastAsia="Times New Roman" w:cstheme="minorHAnsi"/>
                <w:color w:val="000000"/>
                <w:sz w:val="24"/>
                <w:szCs w:val="24"/>
              </w:rPr>
              <w:t xml:space="preserve"> Medicare</w:t>
            </w:r>
          </w:p>
        </w:tc>
        <w:tc>
          <w:tcPr>
            <w:tcW w:w="1585" w:type="dxa"/>
            <w:tcBorders>
              <w:top w:val="nil"/>
              <w:left w:val="single" w:sz="4" w:space="0" w:color="auto"/>
              <w:bottom w:val="nil"/>
              <w:right w:val="single" w:sz="4" w:space="0" w:color="auto"/>
            </w:tcBorders>
          </w:tcPr>
          <w:p w14:paraId="4E1B34E4" w14:textId="2DFCE67C" w:rsidR="002B7A3C" w:rsidRPr="005E33A9" w:rsidRDefault="0047533B" w:rsidP="002B7A3C">
            <w:pPr>
              <w:jc w:val="right"/>
              <w:rPr>
                <w:rFonts w:eastAsia="Calibri" w:cstheme="minorHAnsi"/>
                <w:bCs/>
                <w:sz w:val="24"/>
                <w:szCs w:val="24"/>
                <w:highlight w:val="yellow"/>
              </w:rPr>
            </w:pPr>
            <w:r>
              <w:rPr>
                <w:rFonts w:cs="Times New Roman"/>
                <w:color w:val="000000"/>
                <w:sz w:val="24"/>
                <w:szCs w:val="24"/>
              </w:rPr>
              <w:t>34.9</w:t>
            </w:r>
            <w:r w:rsidR="002B7A3C" w:rsidRPr="005E33A9">
              <w:rPr>
                <w:rFonts w:cs="Times New Roman"/>
                <w:color w:val="000000"/>
                <w:sz w:val="24"/>
                <w:szCs w:val="24"/>
              </w:rPr>
              <w:t>%</w:t>
            </w:r>
          </w:p>
        </w:tc>
        <w:tc>
          <w:tcPr>
            <w:tcW w:w="1586" w:type="dxa"/>
            <w:tcBorders>
              <w:top w:val="nil"/>
              <w:left w:val="single" w:sz="4" w:space="0" w:color="auto"/>
              <w:bottom w:val="nil"/>
              <w:right w:val="single" w:sz="4" w:space="0" w:color="auto"/>
            </w:tcBorders>
          </w:tcPr>
          <w:p w14:paraId="3AD2C01C" w14:textId="753C1F36" w:rsidR="002B7A3C" w:rsidRPr="007E3E2E" w:rsidRDefault="002B7A3C" w:rsidP="002B7A3C">
            <w:pPr>
              <w:jc w:val="right"/>
              <w:rPr>
                <w:rFonts w:cs="Times New Roman"/>
                <w:sz w:val="24"/>
                <w:szCs w:val="24"/>
              </w:rPr>
            </w:pPr>
            <w:r w:rsidRPr="007E3E2E">
              <w:rPr>
                <w:sz w:val="24"/>
                <w:szCs w:val="24"/>
              </w:rPr>
              <w:t>60.3%</w:t>
            </w:r>
          </w:p>
        </w:tc>
        <w:tc>
          <w:tcPr>
            <w:tcW w:w="1586" w:type="dxa"/>
            <w:tcBorders>
              <w:top w:val="nil"/>
              <w:left w:val="single" w:sz="4" w:space="0" w:color="auto"/>
              <w:bottom w:val="nil"/>
              <w:right w:val="single" w:sz="4" w:space="0" w:color="auto"/>
            </w:tcBorders>
          </w:tcPr>
          <w:p w14:paraId="1FEE3089" w14:textId="1D991F2F" w:rsidR="002B7A3C" w:rsidRPr="007E3E2E" w:rsidRDefault="00E63278" w:rsidP="002B7A3C">
            <w:pPr>
              <w:jc w:val="right"/>
              <w:rPr>
                <w:rFonts w:eastAsia="Times New Roman" w:cstheme="minorHAnsi"/>
                <w:color w:val="000000"/>
                <w:sz w:val="24"/>
                <w:szCs w:val="24"/>
                <w:highlight w:val="yellow"/>
              </w:rPr>
            </w:pPr>
            <w:r>
              <w:rPr>
                <w:rFonts w:cs="Times New Roman"/>
                <w:sz w:val="24"/>
                <w:szCs w:val="24"/>
              </w:rPr>
              <w:t>13.9</w:t>
            </w:r>
            <w:r w:rsidR="002B7A3C" w:rsidRPr="007E3E2E">
              <w:rPr>
                <w:rFonts w:cs="Times New Roman"/>
                <w:sz w:val="24"/>
                <w:szCs w:val="24"/>
              </w:rPr>
              <w:t>%</w:t>
            </w:r>
          </w:p>
        </w:tc>
        <w:tc>
          <w:tcPr>
            <w:tcW w:w="1586" w:type="dxa"/>
            <w:tcBorders>
              <w:top w:val="nil"/>
              <w:left w:val="single" w:sz="4" w:space="0" w:color="auto"/>
              <w:bottom w:val="nil"/>
              <w:right w:val="single" w:sz="4" w:space="0" w:color="auto"/>
            </w:tcBorders>
          </w:tcPr>
          <w:p w14:paraId="3B33F51A" w14:textId="318652D5" w:rsidR="002B7A3C" w:rsidRPr="007E3E2E" w:rsidRDefault="002B7A3C" w:rsidP="002B7A3C">
            <w:pPr>
              <w:jc w:val="right"/>
              <w:rPr>
                <w:rFonts w:eastAsia="Times New Roman" w:cstheme="minorHAnsi"/>
                <w:color w:val="000000"/>
                <w:sz w:val="24"/>
                <w:szCs w:val="24"/>
                <w:highlight w:val="yellow"/>
              </w:rPr>
            </w:pPr>
            <w:r w:rsidRPr="007E3E2E">
              <w:rPr>
                <w:rFonts w:cs="Times New Roman"/>
                <w:sz w:val="24"/>
                <w:szCs w:val="24"/>
              </w:rPr>
              <w:t>22.7%</w:t>
            </w:r>
          </w:p>
        </w:tc>
        <w:tc>
          <w:tcPr>
            <w:tcW w:w="1586" w:type="dxa"/>
            <w:tcBorders>
              <w:top w:val="nil"/>
              <w:left w:val="single" w:sz="4" w:space="0" w:color="auto"/>
              <w:bottom w:val="nil"/>
              <w:right w:val="single" w:sz="4" w:space="0" w:color="auto"/>
            </w:tcBorders>
          </w:tcPr>
          <w:p w14:paraId="6537350D" w14:textId="6BACC16C" w:rsidR="002B7A3C" w:rsidRPr="007E3E2E" w:rsidRDefault="00E63278" w:rsidP="002B7A3C">
            <w:pPr>
              <w:jc w:val="right"/>
              <w:rPr>
                <w:rFonts w:cstheme="minorHAnsi"/>
                <w:sz w:val="24"/>
                <w:szCs w:val="24"/>
                <w:highlight w:val="yellow"/>
              </w:rPr>
            </w:pPr>
            <w:r>
              <w:rPr>
                <w:rFonts w:cs="Times New Roman"/>
                <w:color w:val="000000"/>
                <w:sz w:val="24"/>
                <w:szCs w:val="24"/>
              </w:rPr>
              <w:t>31.9</w:t>
            </w:r>
            <w:r w:rsidR="002B7A3C" w:rsidRPr="007E3E2E">
              <w:rPr>
                <w:rFonts w:cs="Times New Roman"/>
                <w:color w:val="000000"/>
                <w:sz w:val="24"/>
                <w:szCs w:val="24"/>
              </w:rPr>
              <w:t>%</w:t>
            </w:r>
          </w:p>
        </w:tc>
      </w:tr>
      <w:tr w:rsidR="002B7A3C" w:rsidRPr="00185FBE" w14:paraId="7A439DEE" w14:textId="1BA101BE"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center"/>
          </w:tcPr>
          <w:p w14:paraId="4A3AE532" w14:textId="4F47062E" w:rsidR="002B7A3C" w:rsidRPr="000F17CE" w:rsidRDefault="002B7A3C" w:rsidP="002B7A3C">
            <w:pPr>
              <w:contextualSpacing/>
              <w:rPr>
                <w:rFonts w:eastAsia="Calibri" w:cstheme="minorHAnsi"/>
                <w:b/>
                <w:sz w:val="24"/>
                <w:szCs w:val="24"/>
              </w:rPr>
            </w:pPr>
            <w:r w:rsidRPr="000F17CE">
              <w:rPr>
                <w:rFonts w:eastAsia="Times New Roman" w:cstheme="minorHAnsi"/>
                <w:color w:val="000000"/>
                <w:sz w:val="24"/>
                <w:szCs w:val="24"/>
              </w:rPr>
              <w:t xml:space="preserve"> Other</w:t>
            </w:r>
            <w:r w:rsidRPr="000F17CE">
              <w:rPr>
                <w:rStyle w:val="FootnoteReference"/>
                <w:rFonts w:eastAsia="Times New Roman" w:cstheme="minorHAnsi"/>
                <w:color w:val="000000"/>
                <w:sz w:val="24"/>
                <w:szCs w:val="24"/>
              </w:rPr>
              <w:footnoteReference w:id="13"/>
            </w:r>
          </w:p>
        </w:tc>
        <w:tc>
          <w:tcPr>
            <w:tcW w:w="1585" w:type="dxa"/>
            <w:tcBorders>
              <w:top w:val="nil"/>
              <w:left w:val="single" w:sz="4" w:space="0" w:color="auto"/>
              <w:bottom w:val="nil"/>
              <w:right w:val="single" w:sz="4" w:space="0" w:color="auto"/>
            </w:tcBorders>
          </w:tcPr>
          <w:p w14:paraId="50779943" w14:textId="25960E3D" w:rsidR="002B7A3C" w:rsidRPr="005E33A9" w:rsidRDefault="002B7A3C" w:rsidP="002B7A3C">
            <w:pPr>
              <w:ind w:left="720" w:hanging="557"/>
              <w:contextualSpacing/>
              <w:jc w:val="right"/>
              <w:rPr>
                <w:rFonts w:cstheme="minorHAnsi"/>
                <w:sz w:val="24"/>
                <w:szCs w:val="24"/>
                <w:highlight w:val="yellow"/>
              </w:rPr>
            </w:pPr>
            <w:r w:rsidRPr="005E33A9">
              <w:rPr>
                <w:rFonts w:cs="Times New Roman"/>
                <w:color w:val="000000"/>
                <w:sz w:val="24"/>
                <w:szCs w:val="24"/>
              </w:rPr>
              <w:t>12.3%</w:t>
            </w:r>
          </w:p>
        </w:tc>
        <w:tc>
          <w:tcPr>
            <w:tcW w:w="1586" w:type="dxa"/>
            <w:tcBorders>
              <w:top w:val="nil"/>
              <w:left w:val="single" w:sz="4" w:space="0" w:color="auto"/>
              <w:bottom w:val="nil"/>
              <w:right w:val="single" w:sz="4" w:space="0" w:color="auto"/>
            </w:tcBorders>
          </w:tcPr>
          <w:p w14:paraId="689C368D" w14:textId="42B86995" w:rsidR="002B7A3C" w:rsidRPr="007E3E2E" w:rsidRDefault="002B7A3C" w:rsidP="002B7A3C">
            <w:pPr>
              <w:ind w:left="720" w:hanging="557"/>
              <w:contextualSpacing/>
              <w:jc w:val="right"/>
              <w:rPr>
                <w:rFonts w:cs="Times New Roman"/>
                <w:sz w:val="24"/>
                <w:szCs w:val="24"/>
              </w:rPr>
            </w:pPr>
            <w:r w:rsidRPr="007E3E2E">
              <w:rPr>
                <w:sz w:val="24"/>
                <w:szCs w:val="24"/>
              </w:rPr>
              <w:t>6.2%</w:t>
            </w:r>
          </w:p>
        </w:tc>
        <w:tc>
          <w:tcPr>
            <w:tcW w:w="1586" w:type="dxa"/>
            <w:tcBorders>
              <w:top w:val="nil"/>
              <w:left w:val="single" w:sz="4" w:space="0" w:color="auto"/>
              <w:bottom w:val="nil"/>
              <w:right w:val="single" w:sz="4" w:space="0" w:color="auto"/>
            </w:tcBorders>
          </w:tcPr>
          <w:p w14:paraId="28B675F8" w14:textId="43DF4D10" w:rsidR="002B7A3C" w:rsidRPr="007E3E2E" w:rsidRDefault="002B7A3C" w:rsidP="002B7A3C">
            <w:pPr>
              <w:ind w:left="720" w:hanging="557"/>
              <w:contextualSpacing/>
              <w:jc w:val="right"/>
              <w:rPr>
                <w:rFonts w:eastAsia="Times New Roman" w:cstheme="minorHAnsi"/>
                <w:color w:val="000000"/>
                <w:sz w:val="24"/>
                <w:szCs w:val="24"/>
                <w:highlight w:val="yellow"/>
              </w:rPr>
            </w:pPr>
            <w:r w:rsidRPr="007E3E2E">
              <w:rPr>
                <w:rFonts w:cs="Times New Roman"/>
                <w:sz w:val="24"/>
                <w:szCs w:val="24"/>
              </w:rPr>
              <w:t>0.0%</w:t>
            </w:r>
          </w:p>
        </w:tc>
        <w:tc>
          <w:tcPr>
            <w:tcW w:w="1586" w:type="dxa"/>
            <w:tcBorders>
              <w:top w:val="nil"/>
              <w:left w:val="single" w:sz="4" w:space="0" w:color="auto"/>
              <w:bottom w:val="nil"/>
              <w:right w:val="single" w:sz="4" w:space="0" w:color="auto"/>
            </w:tcBorders>
          </w:tcPr>
          <w:p w14:paraId="1AAB78D8" w14:textId="613DEF14" w:rsidR="002B7A3C" w:rsidRPr="00E41849" w:rsidRDefault="002B7A3C" w:rsidP="002B7A3C">
            <w:pPr>
              <w:ind w:left="720" w:hanging="557"/>
              <w:contextualSpacing/>
              <w:jc w:val="right"/>
              <w:rPr>
                <w:rFonts w:eastAsia="Times New Roman" w:cstheme="minorHAnsi"/>
                <w:color w:val="000000"/>
                <w:sz w:val="24"/>
                <w:szCs w:val="24"/>
              </w:rPr>
            </w:pPr>
            <w:r w:rsidRPr="00E41849">
              <w:rPr>
                <w:rFonts w:cstheme="minorHAnsi"/>
                <w:sz w:val="24"/>
                <w:szCs w:val="24"/>
              </w:rPr>
              <w:t>10.1%</w:t>
            </w:r>
          </w:p>
        </w:tc>
        <w:tc>
          <w:tcPr>
            <w:tcW w:w="1586" w:type="dxa"/>
            <w:tcBorders>
              <w:top w:val="nil"/>
              <w:left w:val="single" w:sz="4" w:space="0" w:color="auto"/>
              <w:bottom w:val="nil"/>
              <w:right w:val="single" w:sz="4" w:space="0" w:color="auto"/>
            </w:tcBorders>
          </w:tcPr>
          <w:p w14:paraId="0ACC8B9A" w14:textId="1A078493" w:rsidR="002B7A3C" w:rsidRPr="00C31345" w:rsidRDefault="002B7A3C" w:rsidP="002B7A3C">
            <w:pPr>
              <w:ind w:left="720" w:hanging="557"/>
              <w:contextualSpacing/>
              <w:jc w:val="right"/>
              <w:rPr>
                <w:rFonts w:cstheme="minorHAnsi"/>
                <w:sz w:val="24"/>
                <w:szCs w:val="24"/>
              </w:rPr>
            </w:pPr>
            <w:r w:rsidRPr="00C31345">
              <w:rPr>
                <w:rFonts w:cstheme="minorHAnsi"/>
                <w:sz w:val="24"/>
                <w:szCs w:val="24"/>
              </w:rPr>
              <w:t>11.0%</w:t>
            </w:r>
          </w:p>
        </w:tc>
      </w:tr>
      <w:tr w:rsidR="002B7A3C" w:rsidRPr="00185FBE" w14:paraId="633284C0" w14:textId="52767192" w:rsidTr="00762DA5">
        <w:trPr>
          <w:cantSplit/>
          <w:trHeight w:val="144"/>
          <w:jc w:val="right"/>
        </w:trPr>
        <w:tc>
          <w:tcPr>
            <w:tcW w:w="1421" w:type="dxa"/>
            <w:tcBorders>
              <w:top w:val="nil"/>
              <w:left w:val="single" w:sz="4" w:space="0" w:color="auto"/>
              <w:bottom w:val="nil"/>
              <w:right w:val="single" w:sz="4" w:space="0" w:color="auto"/>
            </w:tcBorders>
            <w:shd w:val="clear" w:color="auto" w:fill="auto"/>
            <w:vAlign w:val="center"/>
          </w:tcPr>
          <w:p w14:paraId="0F0EACA0" w14:textId="07C4EE1F" w:rsidR="002B7A3C" w:rsidRPr="000F17CE" w:rsidRDefault="002B7A3C" w:rsidP="002B7A3C">
            <w:pPr>
              <w:contextualSpacing/>
              <w:rPr>
                <w:rFonts w:eastAsia="Calibri" w:cstheme="minorHAnsi"/>
                <w:b/>
                <w:sz w:val="24"/>
                <w:szCs w:val="24"/>
              </w:rPr>
            </w:pPr>
            <w:r w:rsidRPr="000F17CE">
              <w:rPr>
                <w:rFonts w:eastAsia="Times New Roman" w:cstheme="minorHAnsi"/>
                <w:color w:val="000000"/>
                <w:sz w:val="24"/>
                <w:szCs w:val="24"/>
              </w:rPr>
              <w:t xml:space="preserve"> Unknown</w:t>
            </w:r>
          </w:p>
        </w:tc>
        <w:tc>
          <w:tcPr>
            <w:tcW w:w="1585" w:type="dxa"/>
            <w:tcBorders>
              <w:top w:val="nil"/>
              <w:left w:val="single" w:sz="4" w:space="0" w:color="auto"/>
              <w:bottom w:val="nil"/>
              <w:right w:val="single" w:sz="4" w:space="0" w:color="auto"/>
            </w:tcBorders>
          </w:tcPr>
          <w:p w14:paraId="41011EA9" w14:textId="6DA0F253" w:rsidR="002B7A3C" w:rsidRPr="005E33A9" w:rsidRDefault="002B7A3C" w:rsidP="002B7A3C">
            <w:pPr>
              <w:ind w:left="720" w:hanging="557"/>
              <w:contextualSpacing/>
              <w:jc w:val="right"/>
              <w:rPr>
                <w:rFonts w:cs="Times New Roman"/>
                <w:sz w:val="24"/>
                <w:szCs w:val="24"/>
              </w:rPr>
            </w:pPr>
            <w:r w:rsidRPr="005E33A9">
              <w:rPr>
                <w:rFonts w:cs="Times New Roman"/>
                <w:sz w:val="24"/>
                <w:szCs w:val="24"/>
              </w:rPr>
              <w:t>0.0%</w:t>
            </w:r>
          </w:p>
        </w:tc>
        <w:tc>
          <w:tcPr>
            <w:tcW w:w="1586" w:type="dxa"/>
            <w:tcBorders>
              <w:top w:val="nil"/>
              <w:left w:val="single" w:sz="4" w:space="0" w:color="auto"/>
              <w:bottom w:val="nil"/>
              <w:right w:val="single" w:sz="4" w:space="0" w:color="auto"/>
            </w:tcBorders>
          </w:tcPr>
          <w:p w14:paraId="397231B5" w14:textId="06B793D0" w:rsidR="002B7A3C" w:rsidRPr="007E3E2E" w:rsidRDefault="002B7A3C" w:rsidP="002B7A3C">
            <w:pPr>
              <w:ind w:left="720" w:hanging="557"/>
              <w:contextualSpacing/>
              <w:jc w:val="right"/>
              <w:rPr>
                <w:rFonts w:cs="Times New Roman"/>
                <w:sz w:val="24"/>
                <w:szCs w:val="24"/>
              </w:rPr>
            </w:pPr>
            <w:r w:rsidRPr="007E3E2E">
              <w:rPr>
                <w:rFonts w:cs="Times New Roman"/>
                <w:sz w:val="24"/>
                <w:szCs w:val="24"/>
              </w:rPr>
              <w:t>0.00%</w:t>
            </w:r>
          </w:p>
        </w:tc>
        <w:tc>
          <w:tcPr>
            <w:tcW w:w="1586" w:type="dxa"/>
            <w:tcBorders>
              <w:top w:val="nil"/>
              <w:left w:val="single" w:sz="4" w:space="0" w:color="auto"/>
              <w:bottom w:val="nil"/>
              <w:right w:val="single" w:sz="4" w:space="0" w:color="auto"/>
            </w:tcBorders>
          </w:tcPr>
          <w:p w14:paraId="71CE70BA" w14:textId="16C90930" w:rsidR="002B7A3C" w:rsidRPr="007E3E2E" w:rsidRDefault="002B7A3C" w:rsidP="002B7A3C">
            <w:pPr>
              <w:ind w:left="720" w:hanging="557"/>
              <w:contextualSpacing/>
              <w:jc w:val="right"/>
              <w:rPr>
                <w:rFonts w:eastAsia="Times New Roman" w:cstheme="minorHAnsi"/>
                <w:color w:val="000000"/>
                <w:sz w:val="24"/>
                <w:szCs w:val="24"/>
                <w:highlight w:val="yellow"/>
              </w:rPr>
            </w:pPr>
            <w:r w:rsidRPr="007E3E2E">
              <w:rPr>
                <w:rFonts w:cs="Times New Roman"/>
                <w:sz w:val="24"/>
                <w:szCs w:val="24"/>
              </w:rPr>
              <w:t>2.0%</w:t>
            </w:r>
          </w:p>
        </w:tc>
        <w:tc>
          <w:tcPr>
            <w:tcW w:w="1586" w:type="dxa"/>
            <w:tcBorders>
              <w:top w:val="nil"/>
              <w:left w:val="single" w:sz="4" w:space="0" w:color="auto"/>
              <w:bottom w:val="nil"/>
              <w:right w:val="single" w:sz="4" w:space="0" w:color="auto"/>
            </w:tcBorders>
          </w:tcPr>
          <w:p w14:paraId="10B99616" w14:textId="1F1C8951" w:rsidR="002B7A3C" w:rsidRPr="00E41849" w:rsidRDefault="002B7A3C" w:rsidP="002B7A3C">
            <w:pPr>
              <w:ind w:left="720" w:hanging="557"/>
              <w:contextualSpacing/>
              <w:jc w:val="right"/>
              <w:rPr>
                <w:rFonts w:eastAsia="Times New Roman" w:cstheme="minorHAnsi"/>
                <w:color w:val="000000"/>
                <w:sz w:val="24"/>
                <w:szCs w:val="24"/>
              </w:rPr>
            </w:pPr>
            <w:r w:rsidRPr="00E41849">
              <w:rPr>
                <w:rFonts w:cstheme="minorHAnsi"/>
                <w:sz w:val="24"/>
                <w:szCs w:val="24"/>
              </w:rPr>
              <w:t>0.0%</w:t>
            </w:r>
          </w:p>
        </w:tc>
        <w:tc>
          <w:tcPr>
            <w:tcW w:w="1586" w:type="dxa"/>
            <w:tcBorders>
              <w:top w:val="nil"/>
              <w:left w:val="single" w:sz="4" w:space="0" w:color="auto"/>
              <w:bottom w:val="nil"/>
              <w:right w:val="single" w:sz="4" w:space="0" w:color="auto"/>
            </w:tcBorders>
          </w:tcPr>
          <w:p w14:paraId="24EFD238" w14:textId="5A3424CE" w:rsidR="002B7A3C" w:rsidRPr="00C31345" w:rsidRDefault="002B7A3C" w:rsidP="002B7A3C">
            <w:pPr>
              <w:ind w:left="720" w:hanging="557"/>
              <w:contextualSpacing/>
              <w:jc w:val="right"/>
              <w:rPr>
                <w:rFonts w:cstheme="minorHAnsi"/>
                <w:sz w:val="24"/>
                <w:szCs w:val="24"/>
              </w:rPr>
            </w:pPr>
            <w:r w:rsidRPr="00C31345">
              <w:rPr>
                <w:rFonts w:cstheme="minorHAnsi"/>
                <w:sz w:val="24"/>
                <w:szCs w:val="24"/>
              </w:rPr>
              <w:t>0.0%</w:t>
            </w:r>
          </w:p>
        </w:tc>
      </w:tr>
      <w:tr w:rsidR="002B7A3C" w:rsidRPr="00185FBE" w14:paraId="120E1650" w14:textId="749A26F9" w:rsidTr="00762DA5">
        <w:trPr>
          <w:cantSplit/>
          <w:trHeight w:val="144"/>
          <w:jc w:val="right"/>
        </w:trPr>
        <w:tc>
          <w:tcPr>
            <w:tcW w:w="1421" w:type="dxa"/>
            <w:tcBorders>
              <w:top w:val="nil"/>
              <w:left w:val="single" w:sz="4" w:space="0" w:color="auto"/>
              <w:bottom w:val="single" w:sz="4" w:space="0" w:color="auto"/>
              <w:right w:val="single" w:sz="4" w:space="0" w:color="auto"/>
            </w:tcBorders>
            <w:shd w:val="clear" w:color="auto" w:fill="auto"/>
          </w:tcPr>
          <w:p w14:paraId="32EE7E57" w14:textId="359FF221" w:rsidR="002B7A3C" w:rsidRPr="000F17CE" w:rsidRDefault="002B7A3C" w:rsidP="002B7A3C">
            <w:pPr>
              <w:contextualSpacing/>
              <w:rPr>
                <w:rFonts w:eastAsia="Calibri" w:cstheme="minorHAnsi"/>
                <w:b/>
              </w:rPr>
            </w:pPr>
            <w:r w:rsidRPr="000F17CE">
              <w:rPr>
                <w:rFonts w:cstheme="minorHAnsi"/>
                <w:b/>
                <w:spacing w:val="-2"/>
              </w:rPr>
              <w:t xml:space="preserve">   Total</w:t>
            </w:r>
          </w:p>
        </w:tc>
        <w:tc>
          <w:tcPr>
            <w:tcW w:w="1585" w:type="dxa"/>
            <w:tcBorders>
              <w:top w:val="nil"/>
              <w:left w:val="single" w:sz="4" w:space="0" w:color="auto"/>
              <w:bottom w:val="single" w:sz="4" w:space="0" w:color="auto"/>
              <w:right w:val="single" w:sz="4" w:space="0" w:color="auto"/>
            </w:tcBorders>
          </w:tcPr>
          <w:p w14:paraId="0271AFAB" w14:textId="2A5FB081" w:rsidR="002B7A3C" w:rsidRPr="00B34747" w:rsidRDefault="002B7A3C" w:rsidP="002B7A3C">
            <w:pPr>
              <w:ind w:left="720" w:hanging="557"/>
              <w:contextualSpacing/>
              <w:jc w:val="right"/>
              <w:rPr>
                <w:rFonts w:cstheme="minorHAnsi"/>
                <w:sz w:val="24"/>
                <w:szCs w:val="24"/>
              </w:rPr>
            </w:pPr>
            <w:r w:rsidRPr="005E33A9">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49000AFC" w14:textId="2BF2E938" w:rsidR="002B7A3C" w:rsidRPr="007E3E2E" w:rsidRDefault="002B7A3C" w:rsidP="002B7A3C">
            <w:pPr>
              <w:ind w:left="720" w:hanging="557"/>
              <w:contextualSpacing/>
              <w:jc w:val="right"/>
              <w:rPr>
                <w:rFonts w:eastAsia="Calibri" w:cstheme="minorHAnsi"/>
                <w:b/>
                <w:sz w:val="24"/>
                <w:szCs w:val="24"/>
              </w:rPr>
            </w:pPr>
            <w:r>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750C58D2" w14:textId="01057256" w:rsidR="002B7A3C" w:rsidRPr="007E3E2E" w:rsidRDefault="002B7A3C" w:rsidP="002B7A3C">
            <w:pPr>
              <w:ind w:left="720" w:hanging="557"/>
              <w:contextualSpacing/>
              <w:jc w:val="right"/>
              <w:rPr>
                <w:rFonts w:eastAsia="Calibri" w:cstheme="minorHAnsi"/>
                <w:b/>
                <w:sz w:val="24"/>
                <w:szCs w:val="24"/>
              </w:rPr>
            </w:pPr>
            <w:r w:rsidRPr="007E3E2E">
              <w:rPr>
                <w:rFonts w:eastAsia="Calibri" w:cstheme="minorHAnsi"/>
                <w:b/>
                <w:sz w:val="24"/>
                <w:szCs w:val="24"/>
              </w:rPr>
              <w:t>100.0%</w:t>
            </w:r>
          </w:p>
        </w:tc>
        <w:tc>
          <w:tcPr>
            <w:tcW w:w="1586" w:type="dxa"/>
            <w:tcBorders>
              <w:top w:val="nil"/>
              <w:left w:val="single" w:sz="4" w:space="0" w:color="auto"/>
              <w:bottom w:val="single" w:sz="4" w:space="0" w:color="auto"/>
              <w:right w:val="single" w:sz="4" w:space="0" w:color="auto"/>
            </w:tcBorders>
          </w:tcPr>
          <w:p w14:paraId="0119B32A" w14:textId="1493EC6E" w:rsidR="002B7A3C" w:rsidRPr="007E3E2E" w:rsidRDefault="002B7A3C" w:rsidP="002B7A3C">
            <w:pPr>
              <w:ind w:left="720" w:hanging="557"/>
              <w:contextualSpacing/>
              <w:jc w:val="right"/>
              <w:rPr>
                <w:rFonts w:eastAsia="Calibri" w:cstheme="minorHAnsi"/>
                <w:b/>
                <w:sz w:val="24"/>
                <w:szCs w:val="24"/>
                <w:highlight w:val="yellow"/>
              </w:rPr>
            </w:pPr>
            <w:r w:rsidRPr="001458D0">
              <w:rPr>
                <w:rFonts w:ascii="Calibri" w:hAnsi="Calibri" w:cs="Calibri"/>
                <w:b/>
                <w:bCs/>
                <w:color w:val="000000"/>
                <w:sz w:val="24"/>
                <w:szCs w:val="24"/>
              </w:rPr>
              <w:t>100.0%</w:t>
            </w:r>
          </w:p>
        </w:tc>
        <w:tc>
          <w:tcPr>
            <w:tcW w:w="1586" w:type="dxa"/>
            <w:tcBorders>
              <w:top w:val="nil"/>
              <w:left w:val="single" w:sz="4" w:space="0" w:color="auto"/>
              <w:bottom w:val="single" w:sz="4" w:space="0" w:color="auto"/>
              <w:right w:val="single" w:sz="4" w:space="0" w:color="auto"/>
            </w:tcBorders>
          </w:tcPr>
          <w:p w14:paraId="58D61D4F" w14:textId="1071AC84" w:rsidR="002B7A3C" w:rsidRPr="007E3E2E" w:rsidRDefault="002B7A3C" w:rsidP="002B7A3C">
            <w:pPr>
              <w:ind w:left="720" w:hanging="557"/>
              <w:contextualSpacing/>
              <w:jc w:val="right"/>
              <w:rPr>
                <w:rFonts w:eastAsia="Calibri" w:cstheme="minorHAnsi"/>
                <w:b/>
                <w:sz w:val="24"/>
                <w:szCs w:val="24"/>
                <w:highlight w:val="yellow"/>
              </w:rPr>
            </w:pPr>
            <w:r w:rsidRPr="0099740F">
              <w:rPr>
                <w:rFonts w:ascii="Calibri" w:hAnsi="Calibri" w:cs="Calibri"/>
                <w:b/>
                <w:bCs/>
                <w:color w:val="000000"/>
                <w:sz w:val="24"/>
                <w:szCs w:val="24"/>
              </w:rPr>
              <w:t>100.0%</w:t>
            </w:r>
          </w:p>
        </w:tc>
      </w:tr>
    </w:tbl>
    <w:p w14:paraId="20C809FB" w14:textId="7C74B5D9" w:rsidR="00B30C38" w:rsidRPr="00185FBE" w:rsidRDefault="00B30C38" w:rsidP="0059582B">
      <w:pPr>
        <w:spacing w:after="0"/>
        <w:rPr>
          <w:highlight w:val="yellow"/>
        </w:rPr>
      </w:pPr>
    </w:p>
    <w:p w14:paraId="7CB25DC3" w14:textId="252294CA" w:rsidR="003E1CDA" w:rsidRPr="001B5CA1" w:rsidRDefault="003E1CDA" w:rsidP="002B05B4">
      <w:pPr>
        <w:pStyle w:val="Heading1"/>
      </w:pPr>
      <w:bookmarkStart w:id="5" w:name="_Toc196819106"/>
      <w:r w:rsidRPr="001B5CA1">
        <w:t>Factor 1: a) Patient Panel Need</w:t>
      </w:r>
      <w:bookmarkEnd w:id="5"/>
    </w:p>
    <w:p w14:paraId="7BFA4A99" w14:textId="19B44128" w:rsidR="00684D63" w:rsidRPr="001B5CA1" w:rsidRDefault="003535E8" w:rsidP="45C967FF">
      <w:pPr>
        <w:contextualSpacing/>
        <w:rPr>
          <w:rFonts w:eastAsia="Calibri"/>
        </w:rPr>
      </w:pPr>
      <w:r w:rsidRPr="45C967FF">
        <w:rPr>
          <w:sz w:val="24"/>
          <w:szCs w:val="24"/>
        </w:rPr>
        <w:t>In this section, staff assesses if the Applicant has sufficiently addressed Patient Panel need for the Proposed Project.</w:t>
      </w:r>
      <w:r w:rsidRPr="45C967FF">
        <w:rPr>
          <w:rFonts w:eastAsia="Calibri"/>
        </w:rPr>
        <w:t xml:space="preserve"> </w:t>
      </w:r>
      <w:r w:rsidR="00684D63" w:rsidRPr="45C967FF">
        <w:rPr>
          <w:sz w:val="24"/>
          <w:szCs w:val="24"/>
        </w:rPr>
        <w:t xml:space="preserve">The Applicant </w:t>
      </w:r>
      <w:r w:rsidR="00C9552B">
        <w:rPr>
          <w:sz w:val="24"/>
          <w:szCs w:val="24"/>
        </w:rPr>
        <w:t xml:space="preserve">demonstrated </w:t>
      </w:r>
      <w:r w:rsidR="003D3ABE" w:rsidRPr="45C967FF">
        <w:rPr>
          <w:sz w:val="24"/>
          <w:szCs w:val="24"/>
        </w:rPr>
        <w:t>the Patient Panel need for the Satellite</w:t>
      </w:r>
      <w:r w:rsidR="00C9552B">
        <w:rPr>
          <w:sz w:val="24"/>
          <w:szCs w:val="24"/>
        </w:rPr>
        <w:t>s as follows</w:t>
      </w:r>
      <w:r w:rsidR="00684D63" w:rsidRPr="45C967FF">
        <w:rPr>
          <w:sz w:val="24"/>
          <w:szCs w:val="24"/>
        </w:rPr>
        <w:t>:</w:t>
      </w:r>
    </w:p>
    <w:p w14:paraId="6638E698" w14:textId="77777777" w:rsidR="00575025" w:rsidRDefault="00575025" w:rsidP="00575025">
      <w:pPr>
        <w:spacing w:after="0"/>
        <w:rPr>
          <w:highlight w:val="yellow"/>
        </w:rPr>
      </w:pPr>
    </w:p>
    <w:p w14:paraId="396DF31B" w14:textId="00DCD7E0" w:rsidR="001B5CA1" w:rsidRPr="0007019F" w:rsidRDefault="00550FED" w:rsidP="00A9381D">
      <w:pPr>
        <w:spacing w:after="0" w:line="240" w:lineRule="auto"/>
        <w:jc w:val="both"/>
        <w:rPr>
          <w:rFonts w:cs="Times New Roman"/>
          <w:b/>
          <w:bCs/>
          <w:sz w:val="24"/>
          <w:szCs w:val="24"/>
        </w:rPr>
      </w:pPr>
      <w:r>
        <w:rPr>
          <w:rFonts w:cs="Times New Roman"/>
          <w:b/>
          <w:bCs/>
          <w:sz w:val="24"/>
          <w:szCs w:val="24"/>
        </w:rPr>
        <w:t xml:space="preserve">Cordage Park Satellite - </w:t>
      </w:r>
      <w:r w:rsidR="00C27E72" w:rsidRPr="0007019F">
        <w:rPr>
          <w:rFonts w:cs="Times New Roman"/>
          <w:b/>
          <w:bCs/>
          <w:sz w:val="24"/>
          <w:szCs w:val="24"/>
        </w:rPr>
        <w:t xml:space="preserve">Need for </w:t>
      </w:r>
      <w:r w:rsidR="00A9381D" w:rsidRPr="0007019F">
        <w:rPr>
          <w:rFonts w:cs="Times New Roman"/>
          <w:b/>
          <w:bCs/>
          <w:sz w:val="24"/>
          <w:szCs w:val="24"/>
        </w:rPr>
        <w:t>Hematology-Oncology and Infusion Clinic</w:t>
      </w:r>
      <w:r w:rsidR="00D30BD2">
        <w:rPr>
          <w:rFonts w:cs="Times New Roman"/>
          <w:b/>
          <w:bCs/>
          <w:sz w:val="24"/>
          <w:szCs w:val="24"/>
        </w:rPr>
        <w:t xml:space="preserve"> </w:t>
      </w:r>
    </w:p>
    <w:p w14:paraId="78BC0ECA" w14:textId="77777777" w:rsidR="005C23A3" w:rsidRPr="002369F0" w:rsidRDefault="005C23A3" w:rsidP="005C23A3">
      <w:pPr>
        <w:pStyle w:val="ListParagraph"/>
        <w:numPr>
          <w:ilvl w:val="0"/>
          <w:numId w:val="2"/>
        </w:numPr>
        <w:spacing w:after="0" w:line="240" w:lineRule="auto"/>
        <w:jc w:val="both"/>
        <w:rPr>
          <w:rFonts w:cs="Times New Roman"/>
        </w:rPr>
      </w:pPr>
      <w:r w:rsidRPr="002369F0">
        <w:rPr>
          <w:rFonts w:cs="Times New Roman"/>
        </w:rPr>
        <w:t>Impact of High Utilization on Access</w:t>
      </w:r>
    </w:p>
    <w:p w14:paraId="369B30B7" w14:textId="77777777" w:rsidR="00C86197" w:rsidRDefault="00C86197" w:rsidP="00C86197">
      <w:pPr>
        <w:pStyle w:val="ListParagraph"/>
        <w:numPr>
          <w:ilvl w:val="0"/>
          <w:numId w:val="2"/>
        </w:numPr>
        <w:spacing w:after="0" w:line="240" w:lineRule="auto"/>
        <w:jc w:val="both"/>
        <w:rPr>
          <w:rFonts w:cs="Times New Roman"/>
        </w:rPr>
      </w:pPr>
      <w:r w:rsidRPr="002369F0">
        <w:rPr>
          <w:rFonts w:cs="Times New Roman"/>
        </w:rPr>
        <w:t>Projected Growth and Future Need</w:t>
      </w:r>
    </w:p>
    <w:p w14:paraId="6CBEF336" w14:textId="77777777" w:rsidR="00BE2D33" w:rsidRPr="00BE2D33" w:rsidRDefault="00BE2D33" w:rsidP="00BE2D33">
      <w:pPr>
        <w:spacing w:after="0" w:line="240" w:lineRule="auto"/>
        <w:ind w:left="720"/>
        <w:jc w:val="both"/>
        <w:rPr>
          <w:rFonts w:cs="Times New Roman"/>
        </w:rPr>
      </w:pPr>
    </w:p>
    <w:p w14:paraId="012ECCD3" w14:textId="42543FFE" w:rsidR="00C27E72" w:rsidRPr="00311F63" w:rsidRDefault="003D3ABE" w:rsidP="00872CCA">
      <w:pPr>
        <w:pStyle w:val="ListParagraph"/>
        <w:numPr>
          <w:ilvl w:val="0"/>
          <w:numId w:val="10"/>
        </w:numPr>
        <w:spacing w:after="0"/>
        <w:rPr>
          <w:rFonts w:cstheme="minorHAnsi"/>
          <w:b/>
          <w:bCs/>
          <w:i/>
          <w:iCs/>
          <w:sz w:val="24"/>
          <w:szCs w:val="24"/>
        </w:rPr>
      </w:pPr>
      <w:r w:rsidRPr="00311F63">
        <w:rPr>
          <w:rFonts w:cstheme="minorHAnsi"/>
          <w:b/>
          <w:bCs/>
          <w:i/>
          <w:iCs/>
          <w:sz w:val="24"/>
          <w:szCs w:val="24"/>
        </w:rPr>
        <w:t>Impact</w:t>
      </w:r>
      <w:r w:rsidR="002134C6" w:rsidRPr="00311F63">
        <w:rPr>
          <w:rFonts w:cstheme="minorHAnsi"/>
          <w:b/>
          <w:bCs/>
          <w:i/>
          <w:iCs/>
          <w:sz w:val="24"/>
          <w:szCs w:val="24"/>
        </w:rPr>
        <w:t xml:space="preserve"> o</w:t>
      </w:r>
      <w:r w:rsidR="000325A3" w:rsidRPr="00311F63">
        <w:rPr>
          <w:rFonts w:cstheme="minorHAnsi"/>
          <w:b/>
          <w:bCs/>
          <w:i/>
          <w:iCs/>
          <w:sz w:val="24"/>
          <w:szCs w:val="24"/>
        </w:rPr>
        <w:t>f High Utilization on Access</w:t>
      </w:r>
    </w:p>
    <w:p w14:paraId="726C5DE7" w14:textId="2592EA09" w:rsidR="00445BB8" w:rsidRDefault="00C62850" w:rsidP="00AB40E1">
      <w:pPr>
        <w:spacing w:after="0" w:line="240" w:lineRule="auto"/>
        <w:rPr>
          <w:rFonts w:cs="Times New Roman"/>
          <w:sz w:val="24"/>
          <w:szCs w:val="24"/>
        </w:rPr>
      </w:pPr>
      <w:r w:rsidRPr="61C08B52">
        <w:rPr>
          <w:sz w:val="24"/>
          <w:szCs w:val="24"/>
        </w:rPr>
        <w:lastRenderedPageBreak/>
        <w:t xml:space="preserve">CHIA data </w:t>
      </w:r>
      <w:r w:rsidR="00C9552B" w:rsidRPr="61C08B52">
        <w:rPr>
          <w:sz w:val="24"/>
          <w:szCs w:val="24"/>
        </w:rPr>
        <w:t>cited by the Applicant indicate</w:t>
      </w:r>
      <w:r w:rsidRPr="61C08B52">
        <w:rPr>
          <w:sz w:val="24"/>
          <w:szCs w:val="24"/>
        </w:rPr>
        <w:t xml:space="preserve"> </w:t>
      </w:r>
      <w:r w:rsidRPr="00AB40E1">
        <w:rPr>
          <w:rFonts w:cs="Times New Roman"/>
          <w:sz w:val="24"/>
          <w:szCs w:val="24"/>
        </w:rPr>
        <w:t xml:space="preserve">the need for health care services in the Plymouth region has grown over 12% over the past six years, </w:t>
      </w:r>
      <w:r w:rsidR="0061194C">
        <w:rPr>
          <w:rFonts w:cs="Times New Roman"/>
          <w:sz w:val="24"/>
          <w:szCs w:val="24"/>
        </w:rPr>
        <w:t xml:space="preserve">which the Applicant </w:t>
      </w:r>
      <w:r w:rsidR="004E3000">
        <w:rPr>
          <w:rFonts w:cs="Times New Roman"/>
          <w:sz w:val="24"/>
          <w:szCs w:val="24"/>
        </w:rPr>
        <w:t>believes</w:t>
      </w:r>
      <w:r w:rsidR="0061194C">
        <w:rPr>
          <w:rFonts w:cs="Times New Roman"/>
          <w:sz w:val="24"/>
          <w:szCs w:val="24"/>
        </w:rPr>
        <w:t xml:space="preserve"> is d</w:t>
      </w:r>
      <w:r w:rsidRPr="00AB40E1">
        <w:rPr>
          <w:rFonts w:cs="Times New Roman"/>
          <w:sz w:val="24"/>
          <w:szCs w:val="24"/>
        </w:rPr>
        <w:t>riven by a combination of an increase in population and an aging community.</w:t>
      </w:r>
      <w:r w:rsidRPr="00AB40E1">
        <w:rPr>
          <w:rStyle w:val="FootnoteReference"/>
          <w:rFonts w:cs="Times New Roman"/>
          <w:sz w:val="24"/>
          <w:szCs w:val="24"/>
        </w:rPr>
        <w:footnoteReference w:id="14"/>
      </w:r>
      <w:r w:rsidR="00AB40E1" w:rsidRPr="00AB40E1">
        <w:rPr>
          <w:rFonts w:cs="Times New Roman"/>
          <w:sz w:val="24"/>
          <w:szCs w:val="24"/>
        </w:rPr>
        <w:t xml:space="preserve"> </w:t>
      </w:r>
      <w:r w:rsidR="00694613">
        <w:rPr>
          <w:rFonts w:cs="Times New Roman"/>
          <w:sz w:val="24"/>
          <w:szCs w:val="24"/>
        </w:rPr>
        <w:t xml:space="preserve">Despite the pandemic, </w:t>
      </w:r>
      <w:r w:rsidR="008B5B95">
        <w:rPr>
          <w:rFonts w:cs="Times New Roman"/>
          <w:sz w:val="24"/>
          <w:szCs w:val="24"/>
        </w:rPr>
        <w:t xml:space="preserve">Table </w:t>
      </w:r>
      <w:r w:rsidR="00DE135C">
        <w:rPr>
          <w:rFonts w:cs="Times New Roman"/>
          <w:sz w:val="24"/>
          <w:szCs w:val="24"/>
        </w:rPr>
        <w:t>4</w:t>
      </w:r>
      <w:r w:rsidR="008B5B95">
        <w:rPr>
          <w:rFonts w:cs="Times New Roman"/>
          <w:sz w:val="24"/>
          <w:szCs w:val="24"/>
        </w:rPr>
        <w:t xml:space="preserve"> </w:t>
      </w:r>
      <w:r w:rsidR="00A1287B">
        <w:rPr>
          <w:rFonts w:cs="Times New Roman"/>
          <w:sz w:val="24"/>
          <w:szCs w:val="24"/>
        </w:rPr>
        <w:t>demonstrates</w:t>
      </w:r>
      <w:r w:rsidR="00DA6CC8">
        <w:rPr>
          <w:rFonts w:cs="Times New Roman"/>
          <w:sz w:val="24"/>
          <w:szCs w:val="24"/>
        </w:rPr>
        <w:t xml:space="preserve"> </w:t>
      </w:r>
      <w:r w:rsidR="00A1287B">
        <w:rPr>
          <w:rFonts w:cs="Times New Roman"/>
          <w:sz w:val="24"/>
          <w:szCs w:val="24"/>
        </w:rPr>
        <w:t>that</w:t>
      </w:r>
      <w:r w:rsidR="00250FE5">
        <w:rPr>
          <w:rFonts w:cs="Times New Roman"/>
          <w:sz w:val="24"/>
          <w:szCs w:val="24"/>
        </w:rPr>
        <w:t xml:space="preserve"> there has been a steady increase in the number of infusion treatments</w:t>
      </w:r>
      <w:r w:rsidR="00BB074C">
        <w:rPr>
          <w:rFonts w:cs="Times New Roman"/>
          <w:sz w:val="24"/>
          <w:szCs w:val="24"/>
        </w:rPr>
        <w:t xml:space="preserve"> </w:t>
      </w:r>
      <w:r w:rsidR="00C9552B">
        <w:rPr>
          <w:rFonts w:cs="Times New Roman"/>
          <w:sz w:val="24"/>
          <w:szCs w:val="24"/>
        </w:rPr>
        <w:t>provided to the existing patient population at BID Plymouth</w:t>
      </w:r>
      <w:r w:rsidR="00F6024E">
        <w:rPr>
          <w:rFonts w:cs="Times New Roman"/>
          <w:sz w:val="24"/>
          <w:szCs w:val="24"/>
        </w:rPr>
        <w:t>,</w:t>
      </w:r>
      <w:r w:rsidR="00C9552B">
        <w:rPr>
          <w:rFonts w:cs="Times New Roman"/>
          <w:sz w:val="24"/>
          <w:szCs w:val="24"/>
        </w:rPr>
        <w:t xml:space="preserve"> </w:t>
      </w:r>
      <w:r w:rsidR="00BB074C">
        <w:rPr>
          <w:rFonts w:cs="Times New Roman"/>
          <w:sz w:val="24"/>
          <w:szCs w:val="24"/>
        </w:rPr>
        <w:t>resulting in an</w:t>
      </w:r>
      <w:r w:rsidR="00F40B28">
        <w:rPr>
          <w:rFonts w:cs="Times New Roman"/>
          <w:sz w:val="24"/>
          <w:szCs w:val="24"/>
        </w:rPr>
        <w:t xml:space="preserve"> approximately 9</w:t>
      </w:r>
      <w:r w:rsidR="00BB074C">
        <w:rPr>
          <w:rFonts w:cs="Times New Roman"/>
          <w:sz w:val="24"/>
          <w:szCs w:val="24"/>
        </w:rPr>
        <w:t>% increase from 2019 to 2023.</w:t>
      </w:r>
      <w:r w:rsidR="00A1287B">
        <w:rPr>
          <w:rFonts w:cs="Times New Roman"/>
          <w:sz w:val="24"/>
          <w:szCs w:val="24"/>
        </w:rPr>
        <w:t xml:space="preserve"> </w:t>
      </w:r>
    </w:p>
    <w:p w14:paraId="2B579DD5" w14:textId="77777777" w:rsidR="00CF5889" w:rsidRDefault="00CF5889" w:rsidP="00AB40E1">
      <w:pPr>
        <w:spacing w:after="0" w:line="240" w:lineRule="auto"/>
        <w:rPr>
          <w:rFonts w:cs="Times New Roman"/>
          <w:sz w:val="24"/>
          <w:szCs w:val="24"/>
        </w:rPr>
      </w:pPr>
    </w:p>
    <w:p w14:paraId="2140CD94" w14:textId="1D0C408C" w:rsidR="00445BB8" w:rsidRPr="00656529" w:rsidRDefault="00445BB8" w:rsidP="00656529">
      <w:pPr>
        <w:pStyle w:val="Caption"/>
        <w:spacing w:after="0"/>
        <w:contextualSpacing/>
        <w:jc w:val="center"/>
        <w:rPr>
          <w:rFonts w:cstheme="minorHAnsi"/>
          <w:color w:val="2F5496" w:themeColor="accent1" w:themeShade="BF"/>
          <w:sz w:val="24"/>
          <w:szCs w:val="24"/>
        </w:rPr>
      </w:pPr>
      <w:r w:rsidRPr="00656529">
        <w:rPr>
          <w:rFonts w:cstheme="minorHAnsi"/>
          <w:color w:val="2F5496" w:themeColor="accent1" w:themeShade="BF"/>
          <w:sz w:val="24"/>
          <w:szCs w:val="24"/>
          <w:u w:val="single"/>
        </w:rPr>
        <w:t xml:space="preserve">Table </w:t>
      </w:r>
      <w:r w:rsidR="00DE135C">
        <w:rPr>
          <w:rFonts w:cstheme="minorHAnsi"/>
          <w:color w:val="2F5496" w:themeColor="accent1" w:themeShade="BF"/>
          <w:sz w:val="24"/>
          <w:szCs w:val="24"/>
          <w:u w:val="single"/>
        </w:rPr>
        <w:t>4</w:t>
      </w:r>
      <w:r w:rsidRPr="00656529">
        <w:rPr>
          <w:rFonts w:cstheme="minorHAnsi"/>
          <w:color w:val="2F5496" w:themeColor="accent1" w:themeShade="BF"/>
          <w:sz w:val="24"/>
          <w:szCs w:val="24"/>
        </w:rPr>
        <w:t>: Utilization of Infusion Treatment at BID Plymouth</w:t>
      </w:r>
    </w:p>
    <w:tbl>
      <w:tblPr>
        <w:tblStyle w:val="TableGrid"/>
        <w:tblW w:w="4714" w:type="pct"/>
        <w:jc w:val="center"/>
        <w:tblLayout w:type="fixed"/>
        <w:tblLook w:val="04A0" w:firstRow="1" w:lastRow="0" w:firstColumn="1" w:lastColumn="0" w:noHBand="0" w:noVBand="1"/>
      </w:tblPr>
      <w:tblGrid>
        <w:gridCol w:w="3412"/>
        <w:gridCol w:w="993"/>
        <w:gridCol w:w="990"/>
        <w:gridCol w:w="1080"/>
        <w:gridCol w:w="1080"/>
        <w:gridCol w:w="1260"/>
      </w:tblGrid>
      <w:tr w:rsidR="00934D2C" w:rsidRPr="00F127C1" w14:paraId="11396C56" w14:textId="77777777" w:rsidTr="00FC3EA2">
        <w:trPr>
          <w:cantSplit/>
          <w:trHeight w:val="692"/>
          <w:tblHeader/>
          <w:jc w:val="center"/>
        </w:trPr>
        <w:tc>
          <w:tcPr>
            <w:tcW w:w="3412" w:type="dxa"/>
            <w:shd w:val="clear" w:color="auto" w:fill="D9E2F3" w:themeFill="accent1" w:themeFillTint="33"/>
          </w:tcPr>
          <w:p w14:paraId="4E1B6B79" w14:textId="77777777" w:rsidR="00C44C6A" w:rsidRPr="008C0F9E" w:rsidRDefault="00C44C6A" w:rsidP="00F15DE3">
            <w:pPr>
              <w:spacing w:after="160" w:line="259" w:lineRule="auto"/>
              <w:jc w:val="center"/>
              <w:rPr>
                <w:rFonts w:cs="Times New Roman"/>
                <w:sz w:val="24"/>
                <w:szCs w:val="24"/>
              </w:rPr>
            </w:pPr>
            <w:r w:rsidRPr="008C0F9E">
              <w:rPr>
                <w:rFonts w:cs="Times New Roman"/>
                <w:b/>
                <w:bCs/>
                <w:sz w:val="24"/>
                <w:szCs w:val="24"/>
              </w:rPr>
              <w:t>Metric</w:t>
            </w:r>
          </w:p>
        </w:tc>
        <w:tc>
          <w:tcPr>
            <w:tcW w:w="993" w:type="dxa"/>
            <w:shd w:val="clear" w:color="auto" w:fill="D9E2F3" w:themeFill="accent1" w:themeFillTint="33"/>
          </w:tcPr>
          <w:p w14:paraId="3501F4D6" w14:textId="15689DF9" w:rsidR="00C44C6A" w:rsidRPr="00F15DE3" w:rsidRDefault="00C44C6A" w:rsidP="00F15DE3">
            <w:pPr>
              <w:jc w:val="center"/>
              <w:rPr>
                <w:rFonts w:cs="Times New Roman"/>
                <w:b/>
                <w:bCs/>
                <w:sz w:val="24"/>
                <w:szCs w:val="24"/>
              </w:rPr>
            </w:pPr>
            <w:r w:rsidRPr="00F15DE3">
              <w:rPr>
                <w:rFonts w:cstheme="minorHAnsi"/>
                <w:b/>
                <w:bCs/>
                <w:sz w:val="24"/>
                <w:szCs w:val="24"/>
              </w:rPr>
              <w:t>2019 Count</w:t>
            </w:r>
          </w:p>
        </w:tc>
        <w:tc>
          <w:tcPr>
            <w:tcW w:w="990" w:type="dxa"/>
            <w:shd w:val="clear" w:color="auto" w:fill="D9E2F3" w:themeFill="accent1" w:themeFillTint="33"/>
          </w:tcPr>
          <w:p w14:paraId="682C72BF" w14:textId="69811BEB" w:rsidR="00C44C6A" w:rsidRPr="00F15DE3" w:rsidRDefault="00C44C6A" w:rsidP="00F15DE3">
            <w:pPr>
              <w:jc w:val="center"/>
              <w:rPr>
                <w:rFonts w:cs="Times New Roman"/>
                <w:b/>
                <w:bCs/>
                <w:sz w:val="24"/>
                <w:szCs w:val="24"/>
              </w:rPr>
            </w:pPr>
            <w:r w:rsidRPr="00F15DE3">
              <w:rPr>
                <w:rFonts w:cstheme="minorHAnsi"/>
                <w:b/>
                <w:bCs/>
                <w:sz w:val="24"/>
                <w:szCs w:val="24"/>
              </w:rPr>
              <w:t>2020 Count</w:t>
            </w:r>
          </w:p>
        </w:tc>
        <w:tc>
          <w:tcPr>
            <w:tcW w:w="1080" w:type="dxa"/>
            <w:shd w:val="clear" w:color="auto" w:fill="D9E2F3" w:themeFill="accent1" w:themeFillTint="33"/>
          </w:tcPr>
          <w:p w14:paraId="0CF6F074" w14:textId="0FCA8A68" w:rsidR="00C44C6A" w:rsidRPr="00F15DE3" w:rsidRDefault="00C44C6A" w:rsidP="00F15DE3">
            <w:pPr>
              <w:spacing w:line="259" w:lineRule="auto"/>
              <w:jc w:val="center"/>
              <w:rPr>
                <w:rFonts w:cs="Times New Roman"/>
                <w:b/>
                <w:bCs/>
                <w:sz w:val="24"/>
                <w:szCs w:val="24"/>
              </w:rPr>
            </w:pPr>
            <w:r w:rsidRPr="00F15DE3">
              <w:rPr>
                <w:rFonts w:cs="Times New Roman"/>
                <w:b/>
                <w:bCs/>
                <w:sz w:val="24"/>
                <w:szCs w:val="24"/>
              </w:rPr>
              <w:t>2021 Count</w:t>
            </w:r>
          </w:p>
        </w:tc>
        <w:tc>
          <w:tcPr>
            <w:tcW w:w="1080" w:type="dxa"/>
            <w:shd w:val="clear" w:color="auto" w:fill="D9E2F3" w:themeFill="accent1" w:themeFillTint="33"/>
          </w:tcPr>
          <w:p w14:paraId="78735067" w14:textId="77777777" w:rsidR="00C44C6A" w:rsidRPr="00F15DE3" w:rsidRDefault="00C44C6A" w:rsidP="00F15DE3">
            <w:pPr>
              <w:spacing w:line="259" w:lineRule="auto"/>
              <w:jc w:val="center"/>
              <w:rPr>
                <w:rFonts w:cs="Times New Roman"/>
                <w:b/>
                <w:bCs/>
                <w:sz w:val="24"/>
                <w:szCs w:val="24"/>
              </w:rPr>
            </w:pPr>
            <w:r w:rsidRPr="00F15DE3">
              <w:rPr>
                <w:rFonts w:cs="Times New Roman"/>
                <w:b/>
                <w:bCs/>
                <w:sz w:val="24"/>
                <w:szCs w:val="24"/>
              </w:rPr>
              <w:t>2022 Count</w:t>
            </w:r>
          </w:p>
        </w:tc>
        <w:tc>
          <w:tcPr>
            <w:tcW w:w="1260" w:type="dxa"/>
            <w:shd w:val="clear" w:color="auto" w:fill="D9E2F3" w:themeFill="accent1" w:themeFillTint="33"/>
          </w:tcPr>
          <w:p w14:paraId="7AE07D72" w14:textId="77777777" w:rsidR="00C44C6A" w:rsidRPr="00F15DE3" w:rsidRDefault="00C44C6A" w:rsidP="00F15DE3">
            <w:pPr>
              <w:spacing w:line="259" w:lineRule="auto"/>
              <w:jc w:val="center"/>
              <w:rPr>
                <w:rFonts w:cs="Times New Roman"/>
                <w:b/>
                <w:bCs/>
                <w:sz w:val="24"/>
                <w:szCs w:val="24"/>
              </w:rPr>
            </w:pPr>
            <w:r w:rsidRPr="00F15DE3">
              <w:rPr>
                <w:rFonts w:cs="Times New Roman"/>
                <w:b/>
                <w:bCs/>
                <w:sz w:val="24"/>
                <w:szCs w:val="24"/>
              </w:rPr>
              <w:t>2023 Count</w:t>
            </w:r>
          </w:p>
        </w:tc>
      </w:tr>
      <w:tr w:rsidR="004A7838" w:rsidRPr="00F127C1" w14:paraId="3B1F477A" w14:textId="77777777" w:rsidTr="00FC3EA2">
        <w:trPr>
          <w:cantSplit/>
          <w:trHeight w:val="440"/>
          <w:jc w:val="center"/>
        </w:trPr>
        <w:tc>
          <w:tcPr>
            <w:tcW w:w="3412" w:type="dxa"/>
          </w:tcPr>
          <w:p w14:paraId="62FDE4B3" w14:textId="77777777" w:rsidR="00C44C6A" w:rsidRPr="00934D2C" w:rsidRDefault="7F1AB76F" w:rsidP="00F15DE3">
            <w:pPr>
              <w:spacing w:line="259" w:lineRule="auto"/>
              <w:rPr>
                <w:rFonts w:cs="Times New Roman"/>
              </w:rPr>
            </w:pPr>
            <w:r w:rsidRPr="0C788ED3">
              <w:rPr>
                <w:rFonts w:cs="Times New Roman"/>
              </w:rPr>
              <w:t>Patient Visits for Chemotherapy by Infusion Treatment</w:t>
            </w:r>
          </w:p>
        </w:tc>
        <w:tc>
          <w:tcPr>
            <w:tcW w:w="993" w:type="dxa"/>
          </w:tcPr>
          <w:p w14:paraId="503F74AE" w14:textId="6B07E1A8" w:rsidR="00C44C6A" w:rsidRPr="00934D2C" w:rsidRDefault="00C44C6A" w:rsidP="00F15DE3">
            <w:pPr>
              <w:jc w:val="center"/>
              <w:rPr>
                <w:rFonts w:cs="Times New Roman"/>
              </w:rPr>
            </w:pPr>
            <w:r w:rsidRPr="00934D2C">
              <w:rPr>
                <w:rFonts w:cstheme="minorHAnsi"/>
              </w:rPr>
              <w:t>12,890</w:t>
            </w:r>
          </w:p>
        </w:tc>
        <w:tc>
          <w:tcPr>
            <w:tcW w:w="990" w:type="dxa"/>
          </w:tcPr>
          <w:p w14:paraId="5BD38E7B" w14:textId="2868DCD3" w:rsidR="00C44C6A" w:rsidRPr="00934D2C" w:rsidRDefault="00C44C6A" w:rsidP="00F15DE3">
            <w:pPr>
              <w:jc w:val="center"/>
              <w:rPr>
                <w:rFonts w:cs="Times New Roman"/>
              </w:rPr>
            </w:pPr>
            <w:r w:rsidRPr="00934D2C">
              <w:rPr>
                <w:rFonts w:cstheme="minorHAnsi"/>
              </w:rPr>
              <w:t>12,532</w:t>
            </w:r>
          </w:p>
        </w:tc>
        <w:tc>
          <w:tcPr>
            <w:tcW w:w="1080" w:type="dxa"/>
          </w:tcPr>
          <w:p w14:paraId="413B8F7A" w14:textId="5C0C382A" w:rsidR="00C44C6A" w:rsidRPr="00934D2C" w:rsidRDefault="00C44C6A" w:rsidP="00F15DE3">
            <w:pPr>
              <w:spacing w:line="259" w:lineRule="auto"/>
              <w:jc w:val="center"/>
              <w:rPr>
                <w:rFonts w:cs="Times New Roman"/>
              </w:rPr>
            </w:pPr>
            <w:r w:rsidRPr="00934D2C">
              <w:rPr>
                <w:rFonts w:cs="Times New Roman"/>
              </w:rPr>
              <w:t>12,865</w:t>
            </w:r>
          </w:p>
        </w:tc>
        <w:tc>
          <w:tcPr>
            <w:tcW w:w="1080" w:type="dxa"/>
          </w:tcPr>
          <w:p w14:paraId="24FC1D1B" w14:textId="77777777" w:rsidR="00C44C6A" w:rsidRPr="00934D2C" w:rsidRDefault="00C44C6A" w:rsidP="00F15DE3">
            <w:pPr>
              <w:spacing w:line="259" w:lineRule="auto"/>
              <w:jc w:val="center"/>
              <w:rPr>
                <w:rFonts w:cs="Times New Roman"/>
              </w:rPr>
            </w:pPr>
            <w:r w:rsidRPr="00934D2C">
              <w:rPr>
                <w:rFonts w:cs="Times New Roman"/>
              </w:rPr>
              <w:t>14,322</w:t>
            </w:r>
          </w:p>
        </w:tc>
        <w:tc>
          <w:tcPr>
            <w:tcW w:w="1260" w:type="dxa"/>
            <w:shd w:val="clear" w:color="auto" w:fill="auto"/>
          </w:tcPr>
          <w:p w14:paraId="76F549DB" w14:textId="77777777" w:rsidR="00C44C6A" w:rsidRPr="00934D2C" w:rsidRDefault="7F1AB76F" w:rsidP="00F15DE3">
            <w:pPr>
              <w:spacing w:line="259" w:lineRule="auto"/>
              <w:jc w:val="center"/>
              <w:rPr>
                <w:rFonts w:cs="Times New Roman"/>
              </w:rPr>
            </w:pPr>
            <w:r w:rsidRPr="0C788ED3">
              <w:rPr>
                <w:rFonts w:cs="Times New Roman"/>
              </w:rPr>
              <w:t>14,360</w:t>
            </w:r>
          </w:p>
        </w:tc>
      </w:tr>
      <w:tr w:rsidR="004A7838" w:rsidRPr="00F127C1" w14:paraId="6DC401FC" w14:textId="77777777" w:rsidTr="00FC3EA2">
        <w:trPr>
          <w:cantSplit/>
          <w:trHeight w:val="440"/>
          <w:jc w:val="center"/>
        </w:trPr>
        <w:tc>
          <w:tcPr>
            <w:tcW w:w="3412" w:type="dxa"/>
          </w:tcPr>
          <w:p w14:paraId="3A05E2F8" w14:textId="77777777" w:rsidR="00C44C6A" w:rsidRPr="00934D2C" w:rsidRDefault="00C44C6A" w:rsidP="00F15DE3">
            <w:pPr>
              <w:spacing w:line="259" w:lineRule="auto"/>
              <w:rPr>
                <w:rFonts w:cs="Times New Roman"/>
              </w:rPr>
            </w:pPr>
            <w:r w:rsidRPr="00934D2C">
              <w:rPr>
                <w:rFonts w:cs="Times New Roman"/>
              </w:rPr>
              <w:t>Patients Visits for Non-Chemotherapy Infusion Treatments</w:t>
            </w:r>
          </w:p>
        </w:tc>
        <w:tc>
          <w:tcPr>
            <w:tcW w:w="993" w:type="dxa"/>
          </w:tcPr>
          <w:p w14:paraId="728E4AB2" w14:textId="58AAB78E" w:rsidR="00C44C6A" w:rsidRPr="00934D2C" w:rsidRDefault="00C44C6A" w:rsidP="00F15DE3">
            <w:pPr>
              <w:jc w:val="center"/>
              <w:rPr>
                <w:rFonts w:cs="Times New Roman"/>
              </w:rPr>
            </w:pPr>
            <w:r w:rsidRPr="00934D2C">
              <w:rPr>
                <w:rFonts w:cstheme="minorHAnsi"/>
              </w:rPr>
              <w:t>6,719</w:t>
            </w:r>
          </w:p>
        </w:tc>
        <w:tc>
          <w:tcPr>
            <w:tcW w:w="990" w:type="dxa"/>
          </w:tcPr>
          <w:p w14:paraId="38B5ACB7" w14:textId="28509A7B" w:rsidR="00C44C6A" w:rsidRPr="00934D2C" w:rsidRDefault="00C44C6A" w:rsidP="00F15DE3">
            <w:pPr>
              <w:jc w:val="center"/>
              <w:rPr>
                <w:rFonts w:cs="Times New Roman"/>
              </w:rPr>
            </w:pPr>
            <w:r w:rsidRPr="00934D2C">
              <w:rPr>
                <w:rFonts w:cstheme="minorHAnsi"/>
              </w:rPr>
              <w:t>6,097</w:t>
            </w:r>
          </w:p>
        </w:tc>
        <w:tc>
          <w:tcPr>
            <w:tcW w:w="1080" w:type="dxa"/>
          </w:tcPr>
          <w:p w14:paraId="0EE12128" w14:textId="1FCDE422" w:rsidR="00C44C6A" w:rsidRPr="00934D2C" w:rsidRDefault="00C44C6A" w:rsidP="00F15DE3">
            <w:pPr>
              <w:spacing w:line="259" w:lineRule="auto"/>
              <w:jc w:val="center"/>
              <w:rPr>
                <w:rFonts w:cs="Times New Roman"/>
              </w:rPr>
            </w:pPr>
            <w:r w:rsidRPr="00934D2C">
              <w:rPr>
                <w:rFonts w:cs="Times New Roman"/>
              </w:rPr>
              <w:t>6,340</w:t>
            </w:r>
          </w:p>
        </w:tc>
        <w:tc>
          <w:tcPr>
            <w:tcW w:w="1080" w:type="dxa"/>
          </w:tcPr>
          <w:p w14:paraId="6DC1C5EF" w14:textId="77777777" w:rsidR="00C44C6A" w:rsidRPr="00934D2C" w:rsidRDefault="00C44C6A" w:rsidP="00F15DE3">
            <w:pPr>
              <w:spacing w:line="259" w:lineRule="auto"/>
              <w:jc w:val="center"/>
              <w:rPr>
                <w:rFonts w:cs="Times New Roman"/>
              </w:rPr>
            </w:pPr>
            <w:r w:rsidRPr="00934D2C">
              <w:rPr>
                <w:rFonts w:cs="Times New Roman"/>
              </w:rPr>
              <w:t>6,263</w:t>
            </w:r>
          </w:p>
        </w:tc>
        <w:tc>
          <w:tcPr>
            <w:tcW w:w="1260" w:type="dxa"/>
            <w:shd w:val="clear" w:color="auto" w:fill="auto"/>
          </w:tcPr>
          <w:p w14:paraId="3DD349D3" w14:textId="77777777" w:rsidR="00C44C6A" w:rsidRPr="00934D2C" w:rsidRDefault="00C44C6A" w:rsidP="00F15DE3">
            <w:pPr>
              <w:spacing w:line="259" w:lineRule="auto"/>
              <w:jc w:val="center"/>
              <w:rPr>
                <w:rFonts w:cs="Times New Roman"/>
              </w:rPr>
            </w:pPr>
            <w:r w:rsidRPr="00934D2C">
              <w:rPr>
                <w:rFonts w:cs="Times New Roman"/>
              </w:rPr>
              <w:t>6,997</w:t>
            </w:r>
          </w:p>
        </w:tc>
      </w:tr>
      <w:tr w:rsidR="004A7838" w:rsidRPr="00F127C1" w14:paraId="322A7972" w14:textId="77777777" w:rsidTr="00FC3EA2">
        <w:trPr>
          <w:cantSplit/>
          <w:trHeight w:val="440"/>
          <w:jc w:val="center"/>
        </w:trPr>
        <w:tc>
          <w:tcPr>
            <w:tcW w:w="3412" w:type="dxa"/>
          </w:tcPr>
          <w:p w14:paraId="138D14B0" w14:textId="77777777" w:rsidR="00C44C6A" w:rsidRPr="00934D2C" w:rsidRDefault="00C44C6A" w:rsidP="00F15DE3">
            <w:pPr>
              <w:spacing w:line="259" w:lineRule="auto"/>
              <w:rPr>
                <w:rFonts w:cs="Times New Roman"/>
                <w:b/>
                <w:bCs/>
              </w:rPr>
            </w:pPr>
            <w:r w:rsidRPr="00934D2C">
              <w:rPr>
                <w:rFonts w:cs="Times New Roman"/>
                <w:b/>
                <w:bCs/>
              </w:rPr>
              <w:t>TOTAL</w:t>
            </w:r>
          </w:p>
        </w:tc>
        <w:tc>
          <w:tcPr>
            <w:tcW w:w="993" w:type="dxa"/>
          </w:tcPr>
          <w:p w14:paraId="443A7199" w14:textId="23C8164D" w:rsidR="00C44C6A" w:rsidRPr="00934D2C" w:rsidRDefault="00C44C6A" w:rsidP="00F15DE3">
            <w:pPr>
              <w:jc w:val="center"/>
              <w:rPr>
                <w:rFonts w:cs="Times New Roman"/>
                <w:b/>
                <w:bCs/>
              </w:rPr>
            </w:pPr>
            <w:r w:rsidRPr="00934D2C">
              <w:rPr>
                <w:rFonts w:cstheme="minorHAnsi"/>
                <w:b/>
                <w:bCs/>
              </w:rPr>
              <w:t>19,609</w:t>
            </w:r>
          </w:p>
        </w:tc>
        <w:tc>
          <w:tcPr>
            <w:tcW w:w="990" w:type="dxa"/>
          </w:tcPr>
          <w:p w14:paraId="387ACA3E" w14:textId="4E0C4C75" w:rsidR="00C44C6A" w:rsidRPr="00934D2C" w:rsidRDefault="00C44C6A" w:rsidP="00F15DE3">
            <w:pPr>
              <w:jc w:val="center"/>
              <w:rPr>
                <w:rFonts w:cs="Times New Roman"/>
                <w:b/>
                <w:bCs/>
              </w:rPr>
            </w:pPr>
            <w:r w:rsidRPr="00934D2C">
              <w:rPr>
                <w:rFonts w:cstheme="minorHAnsi"/>
                <w:b/>
                <w:bCs/>
              </w:rPr>
              <w:t>18,629</w:t>
            </w:r>
          </w:p>
        </w:tc>
        <w:tc>
          <w:tcPr>
            <w:tcW w:w="1080" w:type="dxa"/>
          </w:tcPr>
          <w:p w14:paraId="265F6C65" w14:textId="3998DD9E" w:rsidR="00C44C6A" w:rsidRPr="00934D2C" w:rsidRDefault="00C44C6A" w:rsidP="00F15DE3">
            <w:pPr>
              <w:spacing w:line="259" w:lineRule="auto"/>
              <w:jc w:val="center"/>
              <w:rPr>
                <w:rFonts w:cs="Times New Roman"/>
              </w:rPr>
            </w:pPr>
            <w:r w:rsidRPr="00934D2C">
              <w:rPr>
                <w:rFonts w:cs="Times New Roman"/>
                <w:b/>
                <w:bCs/>
              </w:rPr>
              <w:t>19,205</w:t>
            </w:r>
          </w:p>
        </w:tc>
        <w:tc>
          <w:tcPr>
            <w:tcW w:w="1080" w:type="dxa"/>
          </w:tcPr>
          <w:p w14:paraId="35CE2AF8" w14:textId="77777777" w:rsidR="00C44C6A" w:rsidRPr="00934D2C" w:rsidRDefault="00C44C6A" w:rsidP="00F15DE3">
            <w:pPr>
              <w:spacing w:line="259" w:lineRule="auto"/>
              <w:jc w:val="center"/>
              <w:rPr>
                <w:rFonts w:cs="Times New Roman"/>
              </w:rPr>
            </w:pPr>
            <w:r w:rsidRPr="00934D2C">
              <w:rPr>
                <w:rFonts w:cs="Times New Roman"/>
                <w:b/>
                <w:bCs/>
              </w:rPr>
              <w:t>20,585</w:t>
            </w:r>
          </w:p>
        </w:tc>
        <w:tc>
          <w:tcPr>
            <w:tcW w:w="1260" w:type="dxa"/>
            <w:shd w:val="clear" w:color="auto" w:fill="auto"/>
          </w:tcPr>
          <w:p w14:paraId="4153427C" w14:textId="77777777" w:rsidR="00C44C6A" w:rsidRPr="00934D2C" w:rsidRDefault="00C44C6A" w:rsidP="00F15DE3">
            <w:pPr>
              <w:spacing w:line="259" w:lineRule="auto"/>
              <w:jc w:val="center"/>
              <w:rPr>
                <w:rFonts w:cs="Times New Roman"/>
              </w:rPr>
            </w:pPr>
            <w:r w:rsidRPr="00934D2C">
              <w:rPr>
                <w:rFonts w:cs="Times New Roman"/>
                <w:b/>
                <w:bCs/>
              </w:rPr>
              <w:t>21,357</w:t>
            </w:r>
          </w:p>
        </w:tc>
      </w:tr>
    </w:tbl>
    <w:p w14:paraId="67A7BC19" w14:textId="77777777" w:rsidR="00850E25" w:rsidRDefault="00850E25" w:rsidP="00AB40E1">
      <w:pPr>
        <w:spacing w:after="0" w:line="240" w:lineRule="auto"/>
        <w:rPr>
          <w:rFonts w:cs="Times New Roman"/>
          <w:sz w:val="24"/>
          <w:szCs w:val="24"/>
        </w:rPr>
      </w:pPr>
    </w:p>
    <w:p w14:paraId="6E99B2CB" w14:textId="1763E724" w:rsidR="008307F3" w:rsidRDefault="00F40B28" w:rsidP="008C0F9E">
      <w:pPr>
        <w:spacing w:after="0" w:line="240" w:lineRule="auto"/>
        <w:rPr>
          <w:rFonts w:cs="Times New Roman"/>
          <w:sz w:val="24"/>
          <w:szCs w:val="24"/>
        </w:rPr>
      </w:pPr>
      <w:r>
        <w:rPr>
          <w:rFonts w:cs="Times New Roman"/>
          <w:sz w:val="24"/>
          <w:szCs w:val="24"/>
        </w:rPr>
        <w:t>As a result of this increase,</w:t>
      </w:r>
      <w:r w:rsidR="00686693">
        <w:rPr>
          <w:rFonts w:cs="Times New Roman"/>
          <w:sz w:val="24"/>
          <w:szCs w:val="24"/>
        </w:rPr>
        <w:t xml:space="preserve"> s</w:t>
      </w:r>
      <w:r w:rsidR="00AB40E1" w:rsidRPr="00AB40E1">
        <w:rPr>
          <w:rFonts w:cs="Times New Roman"/>
          <w:sz w:val="24"/>
          <w:szCs w:val="24"/>
        </w:rPr>
        <w:t xml:space="preserve">chedules </w:t>
      </w:r>
      <w:r>
        <w:rPr>
          <w:rFonts w:cs="Times New Roman"/>
          <w:sz w:val="24"/>
          <w:szCs w:val="24"/>
        </w:rPr>
        <w:t>for</w:t>
      </w:r>
      <w:r w:rsidR="00C9552B">
        <w:rPr>
          <w:rFonts w:cs="Times New Roman"/>
          <w:sz w:val="24"/>
          <w:szCs w:val="24"/>
        </w:rPr>
        <w:t xml:space="preserve"> infusion</w:t>
      </w:r>
      <w:r>
        <w:rPr>
          <w:rFonts w:cs="Times New Roman"/>
          <w:sz w:val="24"/>
          <w:szCs w:val="24"/>
        </w:rPr>
        <w:t xml:space="preserve"> treatment</w:t>
      </w:r>
      <w:r w:rsidR="00C9552B">
        <w:rPr>
          <w:rFonts w:cs="Times New Roman"/>
          <w:sz w:val="24"/>
          <w:szCs w:val="24"/>
        </w:rPr>
        <w:t>s</w:t>
      </w:r>
      <w:r w:rsidR="00C1587B">
        <w:rPr>
          <w:rFonts w:cs="Times New Roman"/>
          <w:sz w:val="24"/>
          <w:szCs w:val="24"/>
        </w:rPr>
        <w:t xml:space="preserve"> at </w:t>
      </w:r>
      <w:r w:rsidR="00901BFC">
        <w:rPr>
          <w:rFonts w:cs="Times New Roman"/>
          <w:sz w:val="24"/>
          <w:szCs w:val="24"/>
        </w:rPr>
        <w:t xml:space="preserve">the fully staffed </w:t>
      </w:r>
      <w:r w:rsidR="00C1587B">
        <w:rPr>
          <w:rFonts w:cs="Times New Roman"/>
          <w:sz w:val="24"/>
          <w:szCs w:val="24"/>
        </w:rPr>
        <w:t>BID</w:t>
      </w:r>
      <w:r w:rsidR="00031E19">
        <w:rPr>
          <w:rFonts w:cs="Times New Roman"/>
          <w:sz w:val="24"/>
          <w:szCs w:val="24"/>
        </w:rPr>
        <w:t xml:space="preserve"> </w:t>
      </w:r>
      <w:r w:rsidR="00C1587B">
        <w:rPr>
          <w:rFonts w:cs="Times New Roman"/>
          <w:sz w:val="24"/>
          <w:szCs w:val="24"/>
        </w:rPr>
        <w:t>Pl</w:t>
      </w:r>
      <w:r w:rsidR="003B4CA2">
        <w:rPr>
          <w:rFonts w:cs="Times New Roman"/>
          <w:sz w:val="24"/>
          <w:szCs w:val="24"/>
        </w:rPr>
        <w:t xml:space="preserve">ymouth </w:t>
      </w:r>
      <w:r w:rsidR="00317DBD">
        <w:rPr>
          <w:rFonts w:cs="Times New Roman"/>
          <w:sz w:val="24"/>
          <w:szCs w:val="24"/>
        </w:rPr>
        <w:t xml:space="preserve">Cancer Clinic </w:t>
      </w:r>
      <w:r w:rsidR="00AB40E1" w:rsidRPr="00AB40E1">
        <w:rPr>
          <w:rFonts w:cs="Times New Roman"/>
          <w:sz w:val="24"/>
          <w:szCs w:val="24"/>
        </w:rPr>
        <w:t xml:space="preserve">are consistently fully booked. </w:t>
      </w:r>
      <w:r w:rsidR="00694613">
        <w:rPr>
          <w:rFonts w:cs="Times New Roman"/>
          <w:sz w:val="24"/>
          <w:szCs w:val="24"/>
        </w:rPr>
        <w:t xml:space="preserve">Currently, </w:t>
      </w:r>
      <w:r w:rsidR="00AB40E1" w:rsidRPr="00AB40E1">
        <w:rPr>
          <w:rFonts w:cs="Times New Roman"/>
          <w:sz w:val="24"/>
          <w:szCs w:val="24"/>
        </w:rPr>
        <w:t xml:space="preserve">physicians </w:t>
      </w:r>
      <w:r w:rsidR="00312D6A">
        <w:rPr>
          <w:rFonts w:cs="Times New Roman"/>
          <w:sz w:val="24"/>
          <w:szCs w:val="24"/>
        </w:rPr>
        <w:t xml:space="preserve">prioritize </w:t>
      </w:r>
      <w:r w:rsidR="00AB40E1" w:rsidRPr="00AB40E1">
        <w:rPr>
          <w:rFonts w:cs="Times New Roman"/>
          <w:sz w:val="24"/>
          <w:szCs w:val="24"/>
        </w:rPr>
        <w:t xml:space="preserve">hematology-oncology referrals </w:t>
      </w:r>
      <w:r w:rsidR="00312D6A">
        <w:rPr>
          <w:rFonts w:cs="Times New Roman"/>
          <w:sz w:val="24"/>
          <w:szCs w:val="24"/>
        </w:rPr>
        <w:t>based on</w:t>
      </w:r>
      <w:r w:rsidR="00AB40E1" w:rsidRPr="00AB40E1">
        <w:rPr>
          <w:rFonts w:cs="Times New Roman"/>
          <w:sz w:val="24"/>
          <w:szCs w:val="24"/>
        </w:rPr>
        <w:t xml:space="preserve"> </w:t>
      </w:r>
      <w:r w:rsidR="003B4CA2">
        <w:rPr>
          <w:rFonts w:cs="Times New Roman"/>
          <w:sz w:val="24"/>
          <w:szCs w:val="24"/>
        </w:rPr>
        <w:t>acuit</w:t>
      </w:r>
      <w:r w:rsidR="00AB40E1" w:rsidRPr="00AB40E1">
        <w:rPr>
          <w:rFonts w:cs="Times New Roman"/>
          <w:sz w:val="24"/>
          <w:szCs w:val="24"/>
        </w:rPr>
        <w:t xml:space="preserve">y, and </w:t>
      </w:r>
      <w:r w:rsidR="008C0F9E">
        <w:rPr>
          <w:rFonts w:cs="Times New Roman"/>
          <w:sz w:val="24"/>
          <w:szCs w:val="24"/>
        </w:rPr>
        <w:t>an</w:t>
      </w:r>
      <w:r w:rsidR="00AB40E1" w:rsidRPr="00AB40E1">
        <w:rPr>
          <w:rFonts w:cs="Times New Roman"/>
          <w:sz w:val="24"/>
          <w:szCs w:val="24"/>
        </w:rPr>
        <w:t xml:space="preserve"> appointment may not be available fo</w:t>
      </w:r>
      <w:r w:rsidR="00EE213B">
        <w:rPr>
          <w:rFonts w:cs="Times New Roman"/>
          <w:sz w:val="24"/>
          <w:szCs w:val="24"/>
        </w:rPr>
        <w:t>r up</w:t>
      </w:r>
      <w:r w:rsidR="00AB40E1" w:rsidRPr="00AB40E1">
        <w:rPr>
          <w:rFonts w:cs="Times New Roman"/>
          <w:sz w:val="24"/>
          <w:szCs w:val="24"/>
        </w:rPr>
        <w:t xml:space="preserve"> to 9 weeks. </w:t>
      </w:r>
      <w:bookmarkStart w:id="6" w:name="_cp_change_3"/>
      <w:bookmarkStart w:id="7" w:name="_cp_change_4"/>
      <w:bookmarkEnd w:id="6"/>
      <w:bookmarkEnd w:id="7"/>
      <w:r w:rsidR="00AB40E1" w:rsidRPr="00AB40E1">
        <w:rPr>
          <w:rFonts w:cs="Times New Roman"/>
          <w:sz w:val="24"/>
          <w:szCs w:val="24"/>
        </w:rPr>
        <w:t>The average new patient appointment wait time to the hematology-oncology clinic</w:t>
      </w:r>
      <w:r w:rsidR="00182C9B">
        <w:rPr>
          <w:rFonts w:cs="Times New Roman"/>
          <w:sz w:val="24"/>
          <w:szCs w:val="24"/>
        </w:rPr>
        <w:t xml:space="preserve"> in FY2023 was 50 days, which is greater than the national average of 26 days</w:t>
      </w:r>
      <w:r w:rsidR="00F75BD2">
        <w:rPr>
          <w:rFonts w:cs="Times New Roman"/>
          <w:sz w:val="24"/>
          <w:szCs w:val="24"/>
        </w:rPr>
        <w:t>.</w:t>
      </w:r>
      <w:r w:rsidR="00F75BD2">
        <w:rPr>
          <w:rStyle w:val="EndnoteReference"/>
          <w:rFonts w:cs="Times New Roman"/>
          <w:sz w:val="24"/>
          <w:szCs w:val="24"/>
        </w:rPr>
        <w:endnoteReference w:id="4"/>
      </w:r>
      <w:r w:rsidR="00F75BD2">
        <w:rPr>
          <w:rFonts w:cs="Times New Roman"/>
          <w:sz w:val="24"/>
          <w:szCs w:val="24"/>
        </w:rPr>
        <w:t xml:space="preserve"> Table </w:t>
      </w:r>
      <w:r w:rsidR="00DE135C">
        <w:rPr>
          <w:rFonts w:cs="Times New Roman"/>
          <w:sz w:val="24"/>
          <w:szCs w:val="24"/>
        </w:rPr>
        <w:t>5</w:t>
      </w:r>
      <w:r w:rsidR="00F75BD2">
        <w:rPr>
          <w:rFonts w:cs="Times New Roman"/>
          <w:sz w:val="24"/>
          <w:szCs w:val="24"/>
        </w:rPr>
        <w:t xml:space="preserve"> illustrates that the wait time</w:t>
      </w:r>
      <w:r w:rsidR="00AB40E1" w:rsidRPr="00AB40E1">
        <w:rPr>
          <w:rFonts w:cs="Times New Roman"/>
          <w:sz w:val="24"/>
          <w:szCs w:val="24"/>
        </w:rPr>
        <w:t xml:space="preserve"> </w:t>
      </w:r>
      <w:r w:rsidR="00CB5163">
        <w:rPr>
          <w:rFonts w:cs="Times New Roman"/>
          <w:sz w:val="24"/>
          <w:szCs w:val="24"/>
        </w:rPr>
        <w:t>has nearly doubled from 2019 to 2023.</w:t>
      </w:r>
      <w:r w:rsidR="00AB40E1" w:rsidRPr="00AB40E1">
        <w:rPr>
          <w:rFonts w:cs="Times New Roman"/>
          <w:sz w:val="24"/>
          <w:szCs w:val="24"/>
        </w:rPr>
        <w:t xml:space="preserve"> </w:t>
      </w:r>
    </w:p>
    <w:p w14:paraId="09BBF3EC" w14:textId="77777777" w:rsidR="008307F3" w:rsidRDefault="008307F3" w:rsidP="008C0F9E">
      <w:pPr>
        <w:spacing w:after="0" w:line="240" w:lineRule="auto"/>
        <w:rPr>
          <w:rFonts w:cs="Times New Roman"/>
          <w:sz w:val="24"/>
          <w:szCs w:val="24"/>
        </w:rPr>
      </w:pPr>
    </w:p>
    <w:p w14:paraId="50749386" w14:textId="3B21286F" w:rsidR="008307F3" w:rsidRPr="000D6C8D" w:rsidRDefault="000D6C8D" w:rsidP="000D6C8D">
      <w:pPr>
        <w:spacing w:after="0" w:line="240" w:lineRule="auto"/>
        <w:jc w:val="center"/>
        <w:rPr>
          <w:rFonts w:cstheme="minorHAnsi"/>
          <w:b/>
          <w:bCs/>
          <w:color w:val="2F5496" w:themeColor="accent1" w:themeShade="BF"/>
          <w:sz w:val="24"/>
          <w:szCs w:val="24"/>
        </w:rPr>
      </w:pPr>
      <w:r w:rsidRPr="00DE135C">
        <w:rPr>
          <w:rFonts w:cstheme="minorHAnsi"/>
          <w:b/>
          <w:bCs/>
          <w:color w:val="2F5496" w:themeColor="accent1" w:themeShade="BF"/>
          <w:sz w:val="24"/>
          <w:szCs w:val="24"/>
          <w:u w:val="single"/>
        </w:rPr>
        <w:t xml:space="preserve">Table </w:t>
      </w:r>
      <w:r w:rsidR="00DE135C" w:rsidRPr="00DE135C">
        <w:rPr>
          <w:rFonts w:cstheme="minorHAnsi"/>
          <w:b/>
          <w:bCs/>
          <w:color w:val="2F5496" w:themeColor="accent1" w:themeShade="BF"/>
          <w:sz w:val="24"/>
          <w:szCs w:val="24"/>
          <w:u w:val="single"/>
        </w:rPr>
        <w:t>5</w:t>
      </w:r>
      <w:r w:rsidRPr="00DE135C">
        <w:rPr>
          <w:rFonts w:cstheme="minorHAnsi"/>
          <w:b/>
          <w:bCs/>
          <w:color w:val="2F5496" w:themeColor="accent1" w:themeShade="BF"/>
          <w:sz w:val="24"/>
          <w:szCs w:val="24"/>
          <w:u w:val="single"/>
        </w:rPr>
        <w:t>:</w:t>
      </w:r>
      <w:r>
        <w:rPr>
          <w:rFonts w:cstheme="minorHAnsi"/>
          <w:b/>
          <w:bCs/>
          <w:color w:val="2F5496" w:themeColor="accent1" w:themeShade="BF"/>
          <w:sz w:val="24"/>
          <w:szCs w:val="24"/>
        </w:rPr>
        <w:t xml:space="preserve"> </w:t>
      </w:r>
      <w:r w:rsidR="008307F3" w:rsidRPr="000D6C8D">
        <w:rPr>
          <w:rFonts w:cstheme="minorHAnsi"/>
          <w:b/>
          <w:bCs/>
          <w:color w:val="2F5496" w:themeColor="accent1" w:themeShade="BF"/>
          <w:sz w:val="24"/>
          <w:szCs w:val="24"/>
        </w:rPr>
        <w:t xml:space="preserve">Average New Patient Appointment Wait Time </w:t>
      </w:r>
      <w:r w:rsidR="007D033C" w:rsidRPr="000D6C8D">
        <w:rPr>
          <w:rFonts w:cstheme="minorHAnsi"/>
          <w:b/>
          <w:bCs/>
          <w:color w:val="2F5496" w:themeColor="accent1" w:themeShade="BF"/>
          <w:sz w:val="24"/>
          <w:szCs w:val="24"/>
        </w:rPr>
        <w:t>for BID-P</w:t>
      </w:r>
      <w:r w:rsidR="00880D64" w:rsidRPr="000D6C8D">
        <w:rPr>
          <w:rFonts w:cstheme="minorHAnsi"/>
          <w:b/>
          <w:bCs/>
          <w:color w:val="2F5496" w:themeColor="accent1" w:themeShade="BF"/>
          <w:sz w:val="24"/>
          <w:szCs w:val="24"/>
        </w:rPr>
        <w:t xml:space="preserve"> </w:t>
      </w:r>
      <w:r w:rsidR="007D033C" w:rsidRPr="000D6C8D">
        <w:rPr>
          <w:rFonts w:cstheme="minorHAnsi"/>
          <w:b/>
          <w:bCs/>
          <w:color w:val="2F5496" w:themeColor="accent1" w:themeShade="BF"/>
          <w:sz w:val="24"/>
          <w:szCs w:val="24"/>
        </w:rPr>
        <w:t>Hematology-Oncology Clinic</w:t>
      </w:r>
    </w:p>
    <w:tbl>
      <w:tblPr>
        <w:tblStyle w:val="TableGrid"/>
        <w:tblW w:w="0" w:type="auto"/>
        <w:jc w:val="center"/>
        <w:tblLook w:val="04A0" w:firstRow="1" w:lastRow="0" w:firstColumn="1" w:lastColumn="0" w:noHBand="0" w:noVBand="1"/>
      </w:tblPr>
      <w:tblGrid>
        <w:gridCol w:w="1335"/>
        <w:gridCol w:w="1336"/>
        <w:gridCol w:w="1336"/>
        <w:gridCol w:w="1336"/>
        <w:gridCol w:w="1336"/>
        <w:gridCol w:w="1336"/>
      </w:tblGrid>
      <w:tr w:rsidR="00EC325F" w14:paraId="3E1CDB99" w14:textId="77777777" w:rsidTr="00A2413E">
        <w:trPr>
          <w:jc w:val="center"/>
        </w:trPr>
        <w:tc>
          <w:tcPr>
            <w:tcW w:w="1335" w:type="dxa"/>
            <w:shd w:val="clear" w:color="auto" w:fill="D9E2F3" w:themeFill="accent1" w:themeFillTint="33"/>
          </w:tcPr>
          <w:p w14:paraId="01E2DE56" w14:textId="77777777" w:rsidR="00EC325F" w:rsidRDefault="00EC325F" w:rsidP="008C0F9E">
            <w:pPr>
              <w:rPr>
                <w:rFonts w:cs="Times New Roman"/>
                <w:sz w:val="24"/>
                <w:szCs w:val="24"/>
              </w:rPr>
            </w:pPr>
          </w:p>
        </w:tc>
        <w:tc>
          <w:tcPr>
            <w:tcW w:w="1336" w:type="dxa"/>
            <w:shd w:val="clear" w:color="auto" w:fill="D9E2F3" w:themeFill="accent1" w:themeFillTint="33"/>
          </w:tcPr>
          <w:p w14:paraId="5859EC10" w14:textId="2BE391BC" w:rsidR="00EC325F" w:rsidRPr="000D6C8D" w:rsidRDefault="00EC325F" w:rsidP="000C1D00">
            <w:pPr>
              <w:jc w:val="center"/>
              <w:rPr>
                <w:rFonts w:cs="Times New Roman"/>
                <w:b/>
                <w:bCs/>
                <w:sz w:val="24"/>
                <w:szCs w:val="24"/>
              </w:rPr>
            </w:pPr>
            <w:r w:rsidRPr="000D6C8D">
              <w:rPr>
                <w:rFonts w:cs="Times New Roman"/>
                <w:b/>
                <w:bCs/>
                <w:sz w:val="24"/>
                <w:szCs w:val="24"/>
              </w:rPr>
              <w:t>FY2019</w:t>
            </w:r>
          </w:p>
        </w:tc>
        <w:tc>
          <w:tcPr>
            <w:tcW w:w="1336" w:type="dxa"/>
            <w:shd w:val="clear" w:color="auto" w:fill="D9E2F3" w:themeFill="accent1" w:themeFillTint="33"/>
          </w:tcPr>
          <w:p w14:paraId="0CC20DA3" w14:textId="53B4837D" w:rsidR="00EC325F" w:rsidRPr="000D6C8D" w:rsidRDefault="00EC325F" w:rsidP="000C1D00">
            <w:pPr>
              <w:jc w:val="center"/>
              <w:rPr>
                <w:rFonts w:cs="Times New Roman"/>
                <w:b/>
                <w:bCs/>
                <w:sz w:val="24"/>
                <w:szCs w:val="24"/>
              </w:rPr>
            </w:pPr>
            <w:r w:rsidRPr="000D6C8D">
              <w:rPr>
                <w:rFonts w:cs="Times New Roman"/>
                <w:b/>
                <w:bCs/>
                <w:sz w:val="24"/>
                <w:szCs w:val="24"/>
              </w:rPr>
              <w:t>FY2020</w:t>
            </w:r>
          </w:p>
        </w:tc>
        <w:tc>
          <w:tcPr>
            <w:tcW w:w="1336" w:type="dxa"/>
            <w:shd w:val="clear" w:color="auto" w:fill="D9E2F3" w:themeFill="accent1" w:themeFillTint="33"/>
          </w:tcPr>
          <w:p w14:paraId="0B91E84E" w14:textId="2CC43ACA" w:rsidR="00EC325F" w:rsidRPr="000D6C8D" w:rsidRDefault="00EC325F" w:rsidP="000C1D00">
            <w:pPr>
              <w:jc w:val="center"/>
              <w:rPr>
                <w:rFonts w:cs="Times New Roman"/>
                <w:b/>
                <w:bCs/>
                <w:sz w:val="24"/>
                <w:szCs w:val="24"/>
              </w:rPr>
            </w:pPr>
            <w:r w:rsidRPr="000D6C8D">
              <w:rPr>
                <w:rFonts w:cs="Times New Roman"/>
                <w:b/>
                <w:bCs/>
                <w:sz w:val="24"/>
                <w:szCs w:val="24"/>
              </w:rPr>
              <w:t>FY2021</w:t>
            </w:r>
          </w:p>
        </w:tc>
        <w:tc>
          <w:tcPr>
            <w:tcW w:w="1336" w:type="dxa"/>
            <w:shd w:val="clear" w:color="auto" w:fill="D9E2F3" w:themeFill="accent1" w:themeFillTint="33"/>
          </w:tcPr>
          <w:p w14:paraId="7789B3C0" w14:textId="4331B293" w:rsidR="00EC325F" w:rsidRPr="000D6C8D" w:rsidRDefault="00EC325F" w:rsidP="000C1D00">
            <w:pPr>
              <w:jc w:val="center"/>
              <w:rPr>
                <w:rFonts w:cs="Times New Roman"/>
                <w:b/>
                <w:bCs/>
                <w:sz w:val="24"/>
                <w:szCs w:val="24"/>
              </w:rPr>
            </w:pPr>
            <w:r w:rsidRPr="000D6C8D">
              <w:rPr>
                <w:rFonts w:cs="Times New Roman"/>
                <w:b/>
                <w:bCs/>
                <w:sz w:val="24"/>
                <w:szCs w:val="24"/>
              </w:rPr>
              <w:t>FY2022</w:t>
            </w:r>
          </w:p>
        </w:tc>
        <w:tc>
          <w:tcPr>
            <w:tcW w:w="1336" w:type="dxa"/>
            <w:shd w:val="clear" w:color="auto" w:fill="D9E2F3" w:themeFill="accent1" w:themeFillTint="33"/>
          </w:tcPr>
          <w:p w14:paraId="78C1CE86" w14:textId="075C637F" w:rsidR="00EC325F" w:rsidRPr="000D6C8D" w:rsidRDefault="00EC325F" w:rsidP="000C1D00">
            <w:pPr>
              <w:jc w:val="center"/>
              <w:rPr>
                <w:rFonts w:cs="Times New Roman"/>
                <w:b/>
                <w:bCs/>
                <w:sz w:val="24"/>
                <w:szCs w:val="24"/>
              </w:rPr>
            </w:pPr>
            <w:r w:rsidRPr="000D6C8D">
              <w:rPr>
                <w:rFonts w:cs="Times New Roman"/>
                <w:b/>
                <w:bCs/>
                <w:sz w:val="24"/>
                <w:szCs w:val="24"/>
              </w:rPr>
              <w:t>FY2023</w:t>
            </w:r>
          </w:p>
        </w:tc>
      </w:tr>
      <w:tr w:rsidR="00EC325F" w14:paraId="5D4981CE" w14:textId="77777777">
        <w:trPr>
          <w:jc w:val="center"/>
        </w:trPr>
        <w:tc>
          <w:tcPr>
            <w:tcW w:w="1335" w:type="dxa"/>
          </w:tcPr>
          <w:p w14:paraId="0DCD9400" w14:textId="0B1C1EAC" w:rsidR="00EC325F" w:rsidRPr="000D6C8D" w:rsidRDefault="00EC325F" w:rsidP="00EC325F">
            <w:pPr>
              <w:rPr>
                <w:rFonts w:cs="Times New Roman"/>
                <w:b/>
                <w:bCs/>
                <w:sz w:val="24"/>
                <w:szCs w:val="24"/>
              </w:rPr>
            </w:pPr>
            <w:r w:rsidRPr="000D6C8D">
              <w:rPr>
                <w:rFonts w:cs="Times New Roman"/>
                <w:b/>
                <w:bCs/>
                <w:sz w:val="24"/>
                <w:szCs w:val="24"/>
              </w:rPr>
              <w:t>Wait time (In days)</w:t>
            </w:r>
          </w:p>
        </w:tc>
        <w:tc>
          <w:tcPr>
            <w:tcW w:w="1336" w:type="dxa"/>
            <w:vAlign w:val="center"/>
          </w:tcPr>
          <w:p w14:paraId="5D5F6DEF" w14:textId="27FB1F83" w:rsidR="00EC325F" w:rsidRDefault="00EC325F" w:rsidP="000C1D00">
            <w:pPr>
              <w:jc w:val="center"/>
              <w:rPr>
                <w:rFonts w:cs="Times New Roman"/>
                <w:sz w:val="24"/>
                <w:szCs w:val="24"/>
              </w:rPr>
            </w:pPr>
            <w:r w:rsidRPr="00BB09C5">
              <w:rPr>
                <w:rFonts w:cstheme="minorHAnsi"/>
                <w:iCs/>
              </w:rPr>
              <w:t>26</w:t>
            </w:r>
          </w:p>
        </w:tc>
        <w:tc>
          <w:tcPr>
            <w:tcW w:w="1336" w:type="dxa"/>
            <w:vAlign w:val="center"/>
          </w:tcPr>
          <w:p w14:paraId="310958A5" w14:textId="67F4B8CF" w:rsidR="00EC325F" w:rsidRDefault="00EC325F" w:rsidP="000C1D00">
            <w:pPr>
              <w:jc w:val="center"/>
              <w:rPr>
                <w:rFonts w:cs="Times New Roman"/>
                <w:sz w:val="24"/>
                <w:szCs w:val="24"/>
              </w:rPr>
            </w:pPr>
            <w:r w:rsidRPr="00BB09C5">
              <w:rPr>
                <w:rFonts w:cstheme="minorHAnsi"/>
                <w:iCs/>
              </w:rPr>
              <w:t>25</w:t>
            </w:r>
          </w:p>
        </w:tc>
        <w:tc>
          <w:tcPr>
            <w:tcW w:w="1336" w:type="dxa"/>
            <w:vAlign w:val="center"/>
          </w:tcPr>
          <w:p w14:paraId="4E9A7E38" w14:textId="11064172" w:rsidR="00EC325F" w:rsidRDefault="00EC325F" w:rsidP="000C1D00">
            <w:pPr>
              <w:jc w:val="center"/>
              <w:rPr>
                <w:rFonts w:cs="Times New Roman"/>
                <w:sz w:val="24"/>
                <w:szCs w:val="24"/>
              </w:rPr>
            </w:pPr>
            <w:r w:rsidRPr="00BB09C5">
              <w:rPr>
                <w:rFonts w:cstheme="minorHAnsi"/>
                <w:iCs/>
              </w:rPr>
              <w:t>18</w:t>
            </w:r>
          </w:p>
        </w:tc>
        <w:tc>
          <w:tcPr>
            <w:tcW w:w="1336" w:type="dxa"/>
            <w:vAlign w:val="center"/>
          </w:tcPr>
          <w:p w14:paraId="17E900BD" w14:textId="3809648B" w:rsidR="00EC325F" w:rsidRDefault="00EC325F" w:rsidP="000C1D00">
            <w:pPr>
              <w:jc w:val="center"/>
              <w:rPr>
                <w:rFonts w:cs="Times New Roman"/>
                <w:sz w:val="24"/>
                <w:szCs w:val="24"/>
              </w:rPr>
            </w:pPr>
            <w:r w:rsidRPr="00BB09C5">
              <w:rPr>
                <w:rFonts w:cstheme="minorHAnsi"/>
                <w:iCs/>
              </w:rPr>
              <w:t>27</w:t>
            </w:r>
          </w:p>
        </w:tc>
        <w:tc>
          <w:tcPr>
            <w:tcW w:w="1336" w:type="dxa"/>
            <w:vAlign w:val="center"/>
          </w:tcPr>
          <w:p w14:paraId="60CE16B2" w14:textId="7D976EDB" w:rsidR="00EC325F" w:rsidRDefault="00EC325F" w:rsidP="000C1D00">
            <w:pPr>
              <w:jc w:val="center"/>
              <w:rPr>
                <w:rFonts w:cs="Times New Roman"/>
                <w:sz w:val="24"/>
                <w:szCs w:val="24"/>
              </w:rPr>
            </w:pPr>
            <w:r w:rsidRPr="00BB09C5">
              <w:rPr>
                <w:rFonts w:cstheme="minorHAnsi"/>
                <w:iCs/>
              </w:rPr>
              <w:t>50</w:t>
            </w:r>
          </w:p>
        </w:tc>
      </w:tr>
    </w:tbl>
    <w:p w14:paraId="3B1C6BE6" w14:textId="77777777" w:rsidR="00C27E72" w:rsidRDefault="00C27E72" w:rsidP="00C27E72">
      <w:pPr>
        <w:spacing w:after="0"/>
        <w:rPr>
          <w:rFonts w:cstheme="minorHAnsi"/>
          <w:sz w:val="24"/>
          <w:szCs w:val="24"/>
          <w:highlight w:val="yellow"/>
        </w:rPr>
      </w:pPr>
    </w:p>
    <w:p w14:paraId="6CEED41A" w14:textId="77777777" w:rsidR="00DD29B6" w:rsidRDefault="00DD29B6" w:rsidP="00C27E72">
      <w:pPr>
        <w:spacing w:after="0"/>
        <w:rPr>
          <w:rFonts w:cstheme="minorHAnsi"/>
          <w:sz w:val="24"/>
          <w:szCs w:val="24"/>
          <w:highlight w:val="yellow"/>
        </w:rPr>
      </w:pPr>
    </w:p>
    <w:p w14:paraId="1DCFF9B9" w14:textId="77777777" w:rsidR="005D2393" w:rsidRDefault="005D2393" w:rsidP="00872CCA">
      <w:pPr>
        <w:pStyle w:val="ListParagraph"/>
        <w:numPr>
          <w:ilvl w:val="0"/>
          <w:numId w:val="10"/>
        </w:numPr>
        <w:spacing w:after="0"/>
        <w:rPr>
          <w:rFonts w:cs="Times New Roman"/>
        </w:rPr>
      </w:pPr>
      <w:r w:rsidRPr="005D2393">
        <w:rPr>
          <w:rFonts w:cstheme="minorHAnsi"/>
          <w:b/>
          <w:bCs/>
          <w:i/>
          <w:iCs/>
          <w:sz w:val="24"/>
          <w:szCs w:val="24"/>
        </w:rPr>
        <w:t>Projected Growth and Future Need</w:t>
      </w:r>
    </w:p>
    <w:p w14:paraId="499D202F" w14:textId="7B0DCDEC" w:rsidR="002D443C" w:rsidRPr="002D443C" w:rsidRDefault="002D443C" w:rsidP="002D443C">
      <w:pPr>
        <w:spacing w:after="0" w:line="240" w:lineRule="auto"/>
        <w:rPr>
          <w:rFonts w:cs="Times New Roman"/>
          <w:sz w:val="24"/>
          <w:szCs w:val="24"/>
        </w:rPr>
      </w:pPr>
      <w:r w:rsidRPr="002D443C">
        <w:rPr>
          <w:rFonts w:cs="Times New Roman"/>
          <w:sz w:val="24"/>
          <w:szCs w:val="24"/>
        </w:rPr>
        <w:t xml:space="preserve">As shown in </w:t>
      </w:r>
      <w:r>
        <w:rPr>
          <w:rFonts w:cs="Times New Roman"/>
          <w:sz w:val="24"/>
          <w:szCs w:val="24"/>
        </w:rPr>
        <w:t xml:space="preserve">Table </w:t>
      </w:r>
      <w:r w:rsidR="005753A7">
        <w:rPr>
          <w:rFonts w:cs="Times New Roman"/>
          <w:sz w:val="24"/>
          <w:szCs w:val="24"/>
        </w:rPr>
        <w:t>4</w:t>
      </w:r>
      <w:r w:rsidRPr="002D443C">
        <w:rPr>
          <w:rFonts w:cs="Times New Roman"/>
          <w:sz w:val="24"/>
          <w:szCs w:val="24"/>
        </w:rPr>
        <w:t>, utilization of infusion treatment has increased</w:t>
      </w:r>
      <w:r w:rsidR="00031E19">
        <w:rPr>
          <w:rFonts w:cs="Times New Roman"/>
          <w:sz w:val="24"/>
          <w:szCs w:val="24"/>
        </w:rPr>
        <w:t>.</w:t>
      </w:r>
      <w:r w:rsidRPr="002D443C">
        <w:rPr>
          <w:rFonts w:cs="Times New Roman"/>
          <w:sz w:val="24"/>
          <w:szCs w:val="24"/>
        </w:rPr>
        <w:t xml:space="preserve"> </w:t>
      </w:r>
      <w:r w:rsidR="00031E19">
        <w:rPr>
          <w:rFonts w:cs="Times New Roman"/>
          <w:sz w:val="24"/>
          <w:szCs w:val="24"/>
        </w:rPr>
        <w:t>H</w:t>
      </w:r>
      <w:r w:rsidR="00002ED5">
        <w:rPr>
          <w:rFonts w:cs="Times New Roman"/>
          <w:sz w:val="24"/>
          <w:szCs w:val="24"/>
        </w:rPr>
        <w:t xml:space="preserve">owever, the Applicant asserts that the physical layout of the current </w:t>
      </w:r>
      <w:r w:rsidRPr="002D443C">
        <w:rPr>
          <w:rFonts w:cs="Times New Roman"/>
          <w:sz w:val="24"/>
          <w:szCs w:val="24"/>
        </w:rPr>
        <w:t>BID</w:t>
      </w:r>
      <w:r w:rsidR="00C60CBC">
        <w:rPr>
          <w:rFonts w:cs="Times New Roman"/>
          <w:sz w:val="24"/>
          <w:szCs w:val="24"/>
        </w:rPr>
        <w:t xml:space="preserve"> </w:t>
      </w:r>
      <w:r w:rsidRPr="002D443C">
        <w:rPr>
          <w:rFonts w:cs="Times New Roman"/>
          <w:sz w:val="24"/>
          <w:szCs w:val="24"/>
        </w:rPr>
        <w:t>Plymouth</w:t>
      </w:r>
      <w:r w:rsidR="00002ED5">
        <w:rPr>
          <w:rFonts w:cs="Times New Roman"/>
          <w:sz w:val="24"/>
          <w:szCs w:val="24"/>
        </w:rPr>
        <w:t xml:space="preserve"> prevents </w:t>
      </w:r>
      <w:r w:rsidRPr="002D443C">
        <w:rPr>
          <w:rFonts w:cs="Times New Roman"/>
          <w:sz w:val="24"/>
          <w:szCs w:val="24"/>
        </w:rPr>
        <w:t>expan</w:t>
      </w:r>
      <w:r w:rsidR="00002ED5">
        <w:rPr>
          <w:rFonts w:cs="Times New Roman"/>
          <w:sz w:val="24"/>
          <w:szCs w:val="24"/>
        </w:rPr>
        <w:t xml:space="preserve">sion </w:t>
      </w:r>
      <w:r w:rsidRPr="002D443C">
        <w:rPr>
          <w:rFonts w:cs="Times New Roman"/>
          <w:sz w:val="24"/>
          <w:szCs w:val="24"/>
        </w:rPr>
        <w:t xml:space="preserve">to meet the growing demand. The Applicant analyzed scheduling data to determine the proposed volume for the </w:t>
      </w:r>
      <w:r w:rsidR="00CB5902">
        <w:rPr>
          <w:rFonts w:cs="Times New Roman"/>
          <w:sz w:val="24"/>
          <w:szCs w:val="24"/>
        </w:rPr>
        <w:t xml:space="preserve">relocated and expanded </w:t>
      </w:r>
      <w:r w:rsidRPr="002D443C">
        <w:rPr>
          <w:rFonts w:cs="Times New Roman"/>
          <w:sz w:val="24"/>
          <w:szCs w:val="24"/>
        </w:rPr>
        <w:t xml:space="preserve">hematology-oncology clinic </w:t>
      </w:r>
      <w:r w:rsidR="00CB5902">
        <w:rPr>
          <w:rFonts w:cs="Times New Roman"/>
          <w:sz w:val="24"/>
          <w:szCs w:val="24"/>
        </w:rPr>
        <w:t xml:space="preserve">at the Cordage Park Satellite. </w:t>
      </w:r>
      <w:r w:rsidR="00E77D66">
        <w:rPr>
          <w:rFonts w:cs="Times New Roman"/>
          <w:sz w:val="24"/>
          <w:szCs w:val="24"/>
        </w:rPr>
        <w:t xml:space="preserve">The data included </w:t>
      </w:r>
      <w:r w:rsidRPr="002D443C">
        <w:rPr>
          <w:rFonts w:cs="Times New Roman"/>
          <w:sz w:val="24"/>
          <w:szCs w:val="24"/>
        </w:rPr>
        <w:t xml:space="preserve">a growth rate that assumes that additional hematology-oncology physicians and advanced practice providers would be hired to provide care at the new Cordage Park Satellite, </w:t>
      </w:r>
      <w:r w:rsidR="00C70BB3">
        <w:rPr>
          <w:rFonts w:cs="Times New Roman"/>
          <w:sz w:val="24"/>
          <w:szCs w:val="24"/>
        </w:rPr>
        <w:t xml:space="preserve">resulting in projections </w:t>
      </w:r>
      <w:r w:rsidRPr="002D443C">
        <w:rPr>
          <w:rFonts w:cs="Times New Roman"/>
          <w:sz w:val="24"/>
          <w:szCs w:val="24"/>
        </w:rPr>
        <w:t xml:space="preserve">demonstrated in Table </w:t>
      </w:r>
      <w:r w:rsidR="00D30BD2">
        <w:rPr>
          <w:rFonts w:cs="Times New Roman"/>
          <w:sz w:val="24"/>
          <w:szCs w:val="24"/>
        </w:rPr>
        <w:t>6</w:t>
      </w:r>
      <w:r w:rsidRPr="002D443C">
        <w:rPr>
          <w:rFonts w:cs="Times New Roman"/>
          <w:sz w:val="24"/>
          <w:szCs w:val="24"/>
        </w:rPr>
        <w:t xml:space="preserve">. </w:t>
      </w:r>
      <w:r w:rsidR="004E5379" w:rsidRPr="004E5379">
        <w:rPr>
          <w:rFonts w:cs="Times New Roman"/>
          <w:sz w:val="24"/>
          <w:szCs w:val="24"/>
        </w:rPr>
        <w:t xml:space="preserve">Growth projections were derived based on incremental provider and exam room capacity, at current-state provider and exam room productivity. </w:t>
      </w:r>
    </w:p>
    <w:p w14:paraId="65912CE6" w14:textId="77777777" w:rsidR="005D2393" w:rsidRPr="00185FBE" w:rsidRDefault="005D2393" w:rsidP="00C27E72">
      <w:pPr>
        <w:spacing w:after="0"/>
        <w:rPr>
          <w:rFonts w:cstheme="minorHAnsi"/>
          <w:sz w:val="24"/>
          <w:szCs w:val="24"/>
          <w:highlight w:val="yellow"/>
        </w:rPr>
      </w:pPr>
    </w:p>
    <w:p w14:paraId="4C641AD0" w14:textId="0BAD2180" w:rsidR="00C27E72" w:rsidRPr="002A5FD9" w:rsidRDefault="00C27E72" w:rsidP="002A5FD9">
      <w:pPr>
        <w:spacing w:after="0" w:line="240" w:lineRule="auto"/>
        <w:jc w:val="center"/>
        <w:rPr>
          <w:rFonts w:cstheme="minorHAnsi"/>
          <w:b/>
          <w:bCs/>
          <w:color w:val="2F5496" w:themeColor="accent1" w:themeShade="BF"/>
          <w:sz w:val="24"/>
          <w:szCs w:val="24"/>
          <w:vertAlign w:val="superscript"/>
        </w:rPr>
      </w:pPr>
      <w:r w:rsidRPr="00B40150">
        <w:rPr>
          <w:rFonts w:cstheme="minorHAnsi"/>
          <w:b/>
          <w:bCs/>
          <w:color w:val="2F5496" w:themeColor="accent1" w:themeShade="BF"/>
          <w:sz w:val="24"/>
          <w:szCs w:val="24"/>
          <w:u w:val="single"/>
        </w:rPr>
        <w:lastRenderedPageBreak/>
        <w:t xml:space="preserve">Table </w:t>
      </w:r>
      <w:r w:rsidR="00D30BD2">
        <w:rPr>
          <w:rFonts w:cstheme="minorHAnsi"/>
          <w:b/>
          <w:bCs/>
          <w:color w:val="2F5496" w:themeColor="accent1" w:themeShade="BF"/>
          <w:sz w:val="24"/>
          <w:szCs w:val="24"/>
          <w:u w:val="single"/>
        </w:rPr>
        <w:t>6</w:t>
      </w:r>
      <w:r w:rsidRPr="00B40150">
        <w:rPr>
          <w:rFonts w:cstheme="minorHAnsi"/>
          <w:b/>
          <w:bCs/>
          <w:color w:val="2F5496" w:themeColor="accent1" w:themeShade="BF"/>
          <w:sz w:val="24"/>
          <w:szCs w:val="24"/>
        </w:rPr>
        <w:t xml:space="preserve"> –</w:t>
      </w:r>
      <w:r w:rsidRPr="00B40150">
        <w:rPr>
          <w:rFonts w:cstheme="minorHAnsi"/>
          <w:color w:val="2F5496" w:themeColor="accent1" w:themeShade="BF"/>
          <w:sz w:val="24"/>
          <w:szCs w:val="24"/>
        </w:rPr>
        <w:t xml:space="preserve"> </w:t>
      </w:r>
      <w:r w:rsidR="003476CD" w:rsidRPr="00B40150">
        <w:rPr>
          <w:rFonts w:cstheme="minorHAnsi"/>
          <w:b/>
          <w:bCs/>
          <w:color w:val="2F5496" w:themeColor="accent1" w:themeShade="BF"/>
          <w:sz w:val="24"/>
          <w:szCs w:val="24"/>
        </w:rPr>
        <w:t>Volume Projections for Cordage Park Satellite</w:t>
      </w:r>
    </w:p>
    <w:tbl>
      <w:tblPr>
        <w:tblStyle w:val="TableGrid"/>
        <w:tblW w:w="9350" w:type="dxa"/>
        <w:tblLook w:val="04A0" w:firstRow="1" w:lastRow="0" w:firstColumn="1" w:lastColumn="0" w:noHBand="0" w:noVBand="1"/>
      </w:tblPr>
      <w:tblGrid>
        <w:gridCol w:w="2335"/>
        <w:gridCol w:w="1260"/>
        <w:gridCol w:w="1350"/>
        <w:gridCol w:w="1440"/>
        <w:gridCol w:w="1406"/>
        <w:gridCol w:w="1559"/>
      </w:tblGrid>
      <w:tr w:rsidR="003D7E29" w:rsidRPr="00F127C1" w14:paraId="6D5E552B" w14:textId="77777777" w:rsidTr="00360AB2">
        <w:trPr>
          <w:cantSplit/>
          <w:trHeight w:val="771"/>
          <w:tblHeader/>
        </w:trPr>
        <w:tc>
          <w:tcPr>
            <w:tcW w:w="2335" w:type="dxa"/>
            <w:hideMark/>
          </w:tcPr>
          <w:p w14:paraId="7F357856" w14:textId="77777777" w:rsidR="003D7E29" w:rsidRPr="00F127C1" w:rsidRDefault="003D7E29">
            <w:pPr>
              <w:jc w:val="center"/>
              <w:rPr>
                <w:rFonts w:cs="Times New Roman"/>
                <w:b/>
                <w:bCs/>
              </w:rPr>
            </w:pPr>
            <w:r w:rsidRPr="00F127C1">
              <w:rPr>
                <w:rFonts w:cs="Times New Roman"/>
                <w:b/>
                <w:bCs/>
              </w:rPr>
              <w:t>Volume Projections</w:t>
            </w:r>
          </w:p>
          <w:p w14:paraId="41566B56" w14:textId="77777777" w:rsidR="003D7E29" w:rsidRPr="00F127C1" w:rsidRDefault="003D7E29">
            <w:pPr>
              <w:jc w:val="center"/>
              <w:rPr>
                <w:rFonts w:cs="Times New Roman"/>
                <w:b/>
                <w:bCs/>
              </w:rPr>
            </w:pPr>
            <w:r w:rsidRPr="00F127C1">
              <w:rPr>
                <w:rFonts w:cs="Times New Roman"/>
                <w:b/>
                <w:bCs/>
              </w:rPr>
              <w:t>(Outpatient)</w:t>
            </w:r>
          </w:p>
        </w:tc>
        <w:tc>
          <w:tcPr>
            <w:tcW w:w="1260" w:type="dxa"/>
            <w:hideMark/>
          </w:tcPr>
          <w:p w14:paraId="2B6091E4" w14:textId="37D73154" w:rsidR="003D7E29" w:rsidRPr="00F127C1" w:rsidRDefault="00F335FB">
            <w:pPr>
              <w:jc w:val="center"/>
              <w:rPr>
                <w:rFonts w:cs="Times New Roman"/>
                <w:b/>
                <w:bCs/>
              </w:rPr>
            </w:pPr>
            <w:r>
              <w:rPr>
                <w:rFonts w:cs="Times New Roman"/>
                <w:b/>
                <w:bCs/>
              </w:rPr>
              <w:t>2027</w:t>
            </w:r>
          </w:p>
        </w:tc>
        <w:tc>
          <w:tcPr>
            <w:tcW w:w="1350" w:type="dxa"/>
            <w:hideMark/>
          </w:tcPr>
          <w:p w14:paraId="32C9B4E4" w14:textId="168B5402" w:rsidR="003D7E29" w:rsidRPr="00F127C1" w:rsidRDefault="00F335FB">
            <w:pPr>
              <w:jc w:val="center"/>
              <w:rPr>
                <w:rFonts w:cs="Times New Roman"/>
                <w:b/>
                <w:bCs/>
              </w:rPr>
            </w:pPr>
            <w:r>
              <w:rPr>
                <w:rFonts w:cs="Times New Roman"/>
                <w:b/>
                <w:bCs/>
              </w:rPr>
              <w:t>2028</w:t>
            </w:r>
          </w:p>
        </w:tc>
        <w:tc>
          <w:tcPr>
            <w:tcW w:w="1440" w:type="dxa"/>
            <w:hideMark/>
          </w:tcPr>
          <w:p w14:paraId="7F2D593A" w14:textId="07606736" w:rsidR="003D7E29" w:rsidRPr="00F127C1" w:rsidRDefault="00F335FB">
            <w:pPr>
              <w:jc w:val="center"/>
              <w:rPr>
                <w:rFonts w:cs="Times New Roman"/>
                <w:b/>
                <w:bCs/>
              </w:rPr>
            </w:pPr>
            <w:r>
              <w:rPr>
                <w:rFonts w:cs="Times New Roman"/>
                <w:b/>
                <w:bCs/>
              </w:rPr>
              <w:t>2029</w:t>
            </w:r>
          </w:p>
        </w:tc>
        <w:tc>
          <w:tcPr>
            <w:tcW w:w="1406" w:type="dxa"/>
            <w:hideMark/>
          </w:tcPr>
          <w:p w14:paraId="09C51470" w14:textId="52769E1E" w:rsidR="003D7E29" w:rsidRPr="00F127C1" w:rsidRDefault="00F335FB">
            <w:pPr>
              <w:jc w:val="center"/>
              <w:rPr>
                <w:rFonts w:cs="Times New Roman"/>
                <w:b/>
                <w:bCs/>
              </w:rPr>
            </w:pPr>
            <w:r>
              <w:rPr>
                <w:rFonts w:cs="Times New Roman"/>
                <w:b/>
                <w:bCs/>
              </w:rPr>
              <w:t>2030</w:t>
            </w:r>
          </w:p>
        </w:tc>
        <w:tc>
          <w:tcPr>
            <w:tcW w:w="1559" w:type="dxa"/>
            <w:hideMark/>
          </w:tcPr>
          <w:p w14:paraId="68ADC4A8" w14:textId="67D253CC" w:rsidR="003D7E29" w:rsidRPr="00F127C1" w:rsidRDefault="00F335FB">
            <w:pPr>
              <w:jc w:val="center"/>
              <w:rPr>
                <w:rFonts w:cs="Times New Roman"/>
                <w:b/>
                <w:bCs/>
              </w:rPr>
            </w:pPr>
            <w:r>
              <w:rPr>
                <w:rFonts w:cs="Times New Roman"/>
                <w:b/>
                <w:bCs/>
              </w:rPr>
              <w:t>2031</w:t>
            </w:r>
          </w:p>
        </w:tc>
      </w:tr>
      <w:tr w:rsidR="003D7E29" w:rsidRPr="00F127C1" w14:paraId="403A2D9D" w14:textId="77777777" w:rsidTr="003D7E29">
        <w:tc>
          <w:tcPr>
            <w:tcW w:w="2335" w:type="dxa"/>
          </w:tcPr>
          <w:p w14:paraId="56F6414A" w14:textId="77777777" w:rsidR="003D7E29" w:rsidRPr="00F127C1" w:rsidRDefault="003D7E29">
            <w:pPr>
              <w:jc w:val="both"/>
              <w:rPr>
                <w:rFonts w:cs="Times New Roman"/>
              </w:rPr>
            </w:pPr>
            <w:r w:rsidRPr="00F127C1">
              <w:rPr>
                <w:rFonts w:cs="Times New Roman"/>
                <w:b/>
                <w:bCs/>
              </w:rPr>
              <w:t>Hem/Oncology Clinic</w:t>
            </w:r>
            <w:r w:rsidRPr="00F127C1">
              <w:rPr>
                <w:rStyle w:val="FootnoteReference"/>
                <w:rFonts w:cs="Times New Roman"/>
                <w:b/>
                <w:bCs/>
              </w:rPr>
              <w:footnoteReference w:id="15"/>
            </w:r>
          </w:p>
        </w:tc>
        <w:tc>
          <w:tcPr>
            <w:tcW w:w="1260" w:type="dxa"/>
            <w:vAlign w:val="center"/>
          </w:tcPr>
          <w:p w14:paraId="403398A9" w14:textId="77777777" w:rsidR="003D7E29" w:rsidRPr="00F127C1" w:rsidRDefault="003D7E29" w:rsidP="00FE54B0">
            <w:pPr>
              <w:jc w:val="right"/>
              <w:rPr>
                <w:rFonts w:cs="Times New Roman"/>
              </w:rPr>
            </w:pPr>
            <w:r w:rsidRPr="00F127C1">
              <w:rPr>
                <w:rFonts w:cs="Times New Roman"/>
              </w:rPr>
              <w:t>15,208 </w:t>
            </w:r>
          </w:p>
        </w:tc>
        <w:tc>
          <w:tcPr>
            <w:tcW w:w="1350" w:type="dxa"/>
            <w:vAlign w:val="center"/>
          </w:tcPr>
          <w:p w14:paraId="16747100" w14:textId="77777777" w:rsidR="003D7E29" w:rsidRPr="00F127C1" w:rsidRDefault="003D7E29" w:rsidP="00FE54B0">
            <w:pPr>
              <w:jc w:val="right"/>
              <w:rPr>
                <w:rFonts w:cs="Times New Roman"/>
              </w:rPr>
            </w:pPr>
            <w:r w:rsidRPr="00F127C1">
              <w:rPr>
                <w:rFonts w:cs="Times New Roman"/>
              </w:rPr>
              <w:t>17,189 </w:t>
            </w:r>
          </w:p>
        </w:tc>
        <w:tc>
          <w:tcPr>
            <w:tcW w:w="1440" w:type="dxa"/>
            <w:vAlign w:val="center"/>
          </w:tcPr>
          <w:p w14:paraId="0C1FCC2B" w14:textId="77777777" w:rsidR="003D7E29" w:rsidRPr="00F127C1" w:rsidRDefault="003D7E29" w:rsidP="00FE54B0">
            <w:pPr>
              <w:jc w:val="right"/>
              <w:rPr>
                <w:rFonts w:cs="Times New Roman"/>
              </w:rPr>
            </w:pPr>
            <w:r w:rsidRPr="00F127C1">
              <w:rPr>
                <w:rFonts w:cs="Times New Roman"/>
              </w:rPr>
              <w:t>19,032 </w:t>
            </w:r>
          </w:p>
        </w:tc>
        <w:tc>
          <w:tcPr>
            <w:tcW w:w="1406" w:type="dxa"/>
            <w:vAlign w:val="center"/>
          </w:tcPr>
          <w:p w14:paraId="3AE845D1" w14:textId="77777777" w:rsidR="003D7E29" w:rsidRPr="00F127C1" w:rsidRDefault="003D7E29" w:rsidP="00FE54B0">
            <w:pPr>
              <w:jc w:val="right"/>
              <w:rPr>
                <w:rFonts w:cs="Times New Roman"/>
              </w:rPr>
            </w:pPr>
            <w:r w:rsidRPr="00F127C1">
              <w:rPr>
                <w:rFonts w:cs="Times New Roman"/>
              </w:rPr>
              <w:t>19,032 </w:t>
            </w:r>
          </w:p>
        </w:tc>
        <w:tc>
          <w:tcPr>
            <w:tcW w:w="1559" w:type="dxa"/>
            <w:vAlign w:val="center"/>
          </w:tcPr>
          <w:p w14:paraId="7BCB459A" w14:textId="77777777" w:rsidR="003D7E29" w:rsidRPr="00F127C1" w:rsidRDefault="003D7E29" w:rsidP="00FE54B0">
            <w:pPr>
              <w:jc w:val="right"/>
              <w:rPr>
                <w:rFonts w:cs="Times New Roman"/>
              </w:rPr>
            </w:pPr>
            <w:r w:rsidRPr="00F127C1">
              <w:rPr>
                <w:rFonts w:cs="Times New Roman"/>
              </w:rPr>
              <w:t>20,875 </w:t>
            </w:r>
          </w:p>
        </w:tc>
      </w:tr>
      <w:tr w:rsidR="003D7E29" w:rsidRPr="00F127C1" w14:paraId="5B1747D5" w14:textId="77777777" w:rsidTr="003D7E29">
        <w:tc>
          <w:tcPr>
            <w:tcW w:w="2335" w:type="dxa"/>
          </w:tcPr>
          <w:p w14:paraId="12F4C5DE" w14:textId="77777777" w:rsidR="003D7E29" w:rsidRPr="00F127C1" w:rsidRDefault="003D7E29">
            <w:pPr>
              <w:jc w:val="both"/>
              <w:rPr>
                <w:rFonts w:cs="Times New Roman"/>
              </w:rPr>
            </w:pPr>
            <w:r w:rsidRPr="00F127C1">
              <w:rPr>
                <w:rFonts w:cs="Times New Roman"/>
                <w:b/>
                <w:bCs/>
              </w:rPr>
              <w:t>Infusion Clinic</w:t>
            </w:r>
            <w:r w:rsidRPr="00F127C1">
              <w:rPr>
                <w:rStyle w:val="FootnoteReference"/>
                <w:rFonts w:cs="Times New Roman"/>
                <w:b/>
                <w:bCs/>
              </w:rPr>
              <w:footnoteReference w:id="16"/>
            </w:r>
          </w:p>
        </w:tc>
        <w:tc>
          <w:tcPr>
            <w:tcW w:w="1260" w:type="dxa"/>
            <w:vAlign w:val="center"/>
          </w:tcPr>
          <w:p w14:paraId="5357835B" w14:textId="77777777" w:rsidR="003D7E29" w:rsidRPr="00F127C1" w:rsidRDefault="003D7E29" w:rsidP="00FE54B0">
            <w:pPr>
              <w:jc w:val="right"/>
              <w:rPr>
                <w:rFonts w:cs="Times New Roman"/>
              </w:rPr>
            </w:pPr>
            <w:r w:rsidRPr="00F127C1">
              <w:rPr>
                <w:rFonts w:cs="Times New Roman"/>
              </w:rPr>
              <w:t>17,784 </w:t>
            </w:r>
          </w:p>
        </w:tc>
        <w:tc>
          <w:tcPr>
            <w:tcW w:w="1350" w:type="dxa"/>
            <w:vAlign w:val="center"/>
          </w:tcPr>
          <w:p w14:paraId="5F570C41" w14:textId="77777777" w:rsidR="003D7E29" w:rsidRPr="00F127C1" w:rsidRDefault="003D7E29" w:rsidP="00FE54B0">
            <w:pPr>
              <w:jc w:val="right"/>
              <w:rPr>
                <w:rFonts w:cs="Times New Roman"/>
              </w:rPr>
            </w:pPr>
            <w:r w:rsidRPr="00F127C1">
              <w:rPr>
                <w:rFonts w:cs="Times New Roman"/>
              </w:rPr>
              <w:t>20,452 </w:t>
            </w:r>
          </w:p>
        </w:tc>
        <w:tc>
          <w:tcPr>
            <w:tcW w:w="1440" w:type="dxa"/>
            <w:vAlign w:val="center"/>
          </w:tcPr>
          <w:p w14:paraId="297DFD6B" w14:textId="77777777" w:rsidR="003D7E29" w:rsidRPr="00F127C1" w:rsidRDefault="003D7E29" w:rsidP="00FE54B0">
            <w:pPr>
              <w:jc w:val="right"/>
              <w:rPr>
                <w:rFonts w:cs="Times New Roman"/>
              </w:rPr>
            </w:pPr>
            <w:r w:rsidRPr="00F127C1">
              <w:rPr>
                <w:rFonts w:cs="Times New Roman"/>
              </w:rPr>
              <w:t>23,119 </w:t>
            </w:r>
          </w:p>
        </w:tc>
        <w:tc>
          <w:tcPr>
            <w:tcW w:w="1406" w:type="dxa"/>
            <w:vAlign w:val="center"/>
          </w:tcPr>
          <w:p w14:paraId="616FC99C" w14:textId="77777777" w:rsidR="003D7E29" w:rsidRPr="00F127C1" w:rsidRDefault="003D7E29" w:rsidP="00FE54B0">
            <w:pPr>
              <w:jc w:val="right"/>
              <w:rPr>
                <w:rFonts w:cs="Times New Roman"/>
              </w:rPr>
            </w:pPr>
            <w:r w:rsidRPr="00F127C1">
              <w:rPr>
                <w:rFonts w:cs="Times New Roman"/>
              </w:rPr>
              <w:t>26,676 </w:t>
            </w:r>
          </w:p>
        </w:tc>
        <w:tc>
          <w:tcPr>
            <w:tcW w:w="1559" w:type="dxa"/>
            <w:vAlign w:val="center"/>
          </w:tcPr>
          <w:p w14:paraId="18965A6A" w14:textId="77777777" w:rsidR="003D7E29" w:rsidRPr="00F127C1" w:rsidRDefault="003D7E29" w:rsidP="00FE54B0">
            <w:pPr>
              <w:jc w:val="right"/>
              <w:rPr>
                <w:rFonts w:cs="Times New Roman"/>
              </w:rPr>
            </w:pPr>
            <w:r w:rsidRPr="00F127C1">
              <w:rPr>
                <w:rFonts w:cs="Times New Roman"/>
              </w:rPr>
              <w:t>27,000 </w:t>
            </w:r>
          </w:p>
        </w:tc>
      </w:tr>
    </w:tbl>
    <w:p w14:paraId="3F275EAC" w14:textId="77777777" w:rsidR="00C27E72" w:rsidRPr="00185FBE" w:rsidRDefault="00C27E72" w:rsidP="00C27E72">
      <w:pPr>
        <w:spacing w:after="0"/>
        <w:rPr>
          <w:rFonts w:cstheme="minorHAnsi"/>
          <w:sz w:val="24"/>
          <w:szCs w:val="24"/>
          <w:highlight w:val="yellow"/>
        </w:rPr>
      </w:pPr>
    </w:p>
    <w:p w14:paraId="13A301F8" w14:textId="492FB294" w:rsidR="00341175" w:rsidRDefault="00476BCC" w:rsidP="001E23C9">
      <w:pPr>
        <w:spacing w:after="0" w:line="240" w:lineRule="auto"/>
        <w:rPr>
          <w:rFonts w:cs="Times New Roman"/>
          <w:sz w:val="24"/>
          <w:szCs w:val="24"/>
        </w:rPr>
      </w:pPr>
      <w:r w:rsidRPr="00476BCC">
        <w:rPr>
          <w:rFonts w:cs="Times New Roman"/>
          <w:sz w:val="24"/>
          <w:szCs w:val="24"/>
        </w:rPr>
        <w:t>The Applicant notes that The Advisory Board Cancer Incidence Estimator expects that cancer incidence in Plymouth and surrounding counties will increase by nearly 17% between 2020 and 2030.</w:t>
      </w:r>
      <w:r w:rsidR="00341175" w:rsidRPr="00476BCC">
        <w:rPr>
          <w:rStyle w:val="EndnoteReference"/>
          <w:rFonts w:cs="Times New Roman"/>
          <w:sz w:val="24"/>
          <w:szCs w:val="24"/>
        </w:rPr>
        <w:endnoteReference w:id="5"/>
      </w:r>
      <w:r w:rsidR="00341175" w:rsidRPr="00476BCC">
        <w:rPr>
          <w:rFonts w:cs="Times New Roman"/>
          <w:sz w:val="24"/>
          <w:szCs w:val="24"/>
        </w:rPr>
        <w:t xml:space="preserve"> Certain types of cancer</w:t>
      </w:r>
      <w:r w:rsidR="00E77D66">
        <w:rPr>
          <w:rFonts w:cs="Times New Roman"/>
          <w:sz w:val="24"/>
          <w:szCs w:val="24"/>
        </w:rPr>
        <w:t xml:space="preserve"> </w:t>
      </w:r>
      <w:r w:rsidR="00341175" w:rsidRPr="00476BCC">
        <w:rPr>
          <w:rFonts w:cs="Times New Roman"/>
          <w:sz w:val="24"/>
          <w:szCs w:val="24"/>
        </w:rPr>
        <w:t>already prevalent among BID Plymouth patients, such as hematologic cancers</w:t>
      </w:r>
      <w:r w:rsidR="00E77D66">
        <w:rPr>
          <w:rFonts w:cs="Times New Roman"/>
          <w:sz w:val="24"/>
          <w:szCs w:val="24"/>
        </w:rPr>
        <w:t xml:space="preserve"> as well as</w:t>
      </w:r>
      <w:r w:rsidR="00341175" w:rsidRPr="00476BCC">
        <w:rPr>
          <w:rFonts w:cs="Times New Roman"/>
          <w:sz w:val="24"/>
          <w:szCs w:val="24"/>
        </w:rPr>
        <w:t xml:space="preserve"> lung and bronchus cancers, are expected to increase by more than 10% during this period.</w:t>
      </w:r>
    </w:p>
    <w:p w14:paraId="12DF3035" w14:textId="77777777" w:rsidR="002C0E22" w:rsidRDefault="002C0E22" w:rsidP="00476BCC">
      <w:pPr>
        <w:spacing w:after="0" w:line="240" w:lineRule="auto"/>
        <w:jc w:val="both"/>
        <w:rPr>
          <w:rFonts w:cs="Times New Roman"/>
          <w:sz w:val="24"/>
          <w:szCs w:val="24"/>
        </w:rPr>
      </w:pPr>
    </w:p>
    <w:p w14:paraId="3CDA7B13" w14:textId="58200383" w:rsidR="002C0E22" w:rsidRDefault="002C0E22" w:rsidP="002C0E22">
      <w:pPr>
        <w:spacing w:after="0" w:line="240" w:lineRule="auto"/>
        <w:rPr>
          <w:rFonts w:cs="Times New Roman"/>
          <w:sz w:val="24"/>
          <w:szCs w:val="24"/>
        </w:rPr>
      </w:pPr>
      <w:r w:rsidRPr="003621DD">
        <w:rPr>
          <w:rFonts w:cs="Times New Roman"/>
          <w:sz w:val="24"/>
          <w:szCs w:val="24"/>
        </w:rPr>
        <w:t xml:space="preserve">The Applicant </w:t>
      </w:r>
      <w:r w:rsidR="00577A39">
        <w:rPr>
          <w:rFonts w:cs="Times New Roman"/>
          <w:sz w:val="24"/>
          <w:szCs w:val="24"/>
        </w:rPr>
        <w:t>asserted</w:t>
      </w:r>
      <w:r w:rsidRPr="003621DD">
        <w:rPr>
          <w:rFonts w:cs="Times New Roman"/>
          <w:sz w:val="24"/>
          <w:szCs w:val="24"/>
        </w:rPr>
        <w:t xml:space="preserve"> the </w:t>
      </w:r>
      <w:r w:rsidR="009B1A3F">
        <w:rPr>
          <w:rFonts w:cs="Times New Roman"/>
          <w:sz w:val="24"/>
          <w:szCs w:val="24"/>
        </w:rPr>
        <w:t xml:space="preserve">current </w:t>
      </w:r>
      <w:r w:rsidRPr="003621DD">
        <w:rPr>
          <w:rFonts w:cs="Times New Roman"/>
          <w:sz w:val="24"/>
          <w:szCs w:val="24"/>
        </w:rPr>
        <w:t xml:space="preserve">need for hematology-oncology physicians in the Plymouth area exceeds the </w:t>
      </w:r>
      <w:r w:rsidR="00BC6949">
        <w:rPr>
          <w:rFonts w:cs="Times New Roman"/>
          <w:sz w:val="24"/>
          <w:szCs w:val="24"/>
        </w:rPr>
        <w:t>availability</w:t>
      </w:r>
      <w:r w:rsidRPr="003621DD">
        <w:rPr>
          <w:rFonts w:cs="Times New Roman"/>
          <w:sz w:val="24"/>
          <w:szCs w:val="24"/>
        </w:rPr>
        <w:t xml:space="preserve">. To </w:t>
      </w:r>
      <w:r w:rsidR="00577A39">
        <w:rPr>
          <w:rFonts w:cs="Times New Roman"/>
          <w:sz w:val="24"/>
          <w:szCs w:val="24"/>
        </w:rPr>
        <w:t>support</w:t>
      </w:r>
      <w:r w:rsidRPr="003621DD">
        <w:rPr>
          <w:rFonts w:cs="Times New Roman"/>
          <w:sz w:val="24"/>
          <w:szCs w:val="24"/>
        </w:rPr>
        <w:t xml:space="preserve"> </w:t>
      </w:r>
      <w:r w:rsidR="00577A39">
        <w:rPr>
          <w:rFonts w:cs="Times New Roman"/>
          <w:sz w:val="24"/>
          <w:szCs w:val="24"/>
        </w:rPr>
        <w:t xml:space="preserve">this assertion, </w:t>
      </w:r>
      <w:r w:rsidRPr="003621DD">
        <w:rPr>
          <w:rFonts w:cs="Times New Roman"/>
          <w:sz w:val="24"/>
          <w:szCs w:val="24"/>
        </w:rPr>
        <w:t>the Applicant used the STRATUS ambulatory planning tool through its contract with Real Estate Strategies</w:t>
      </w:r>
      <w:r w:rsidR="00CC18BF">
        <w:rPr>
          <w:rFonts w:cs="Times New Roman"/>
          <w:sz w:val="24"/>
          <w:szCs w:val="24"/>
        </w:rPr>
        <w:t xml:space="preserve"> (RES)</w:t>
      </w:r>
      <w:r w:rsidRPr="003621DD">
        <w:rPr>
          <w:rFonts w:cs="Times New Roman"/>
          <w:sz w:val="24"/>
          <w:szCs w:val="24"/>
        </w:rPr>
        <w:t xml:space="preserve">. The tool applies predictive analytics to a combined dataset of market demographics from Environmental Systems Research Institute, Inc and healthcare claims from IBM Watson to project patient demand and physician need for ambulatory services. Table </w:t>
      </w:r>
      <w:r w:rsidR="00D30BD2">
        <w:rPr>
          <w:rFonts w:cs="Times New Roman"/>
          <w:sz w:val="24"/>
          <w:szCs w:val="24"/>
        </w:rPr>
        <w:t>7</w:t>
      </w:r>
      <w:r w:rsidRPr="003621DD">
        <w:rPr>
          <w:rFonts w:cs="Times New Roman"/>
          <w:sz w:val="24"/>
          <w:szCs w:val="24"/>
        </w:rPr>
        <w:t xml:space="preserve"> captures the results for the </w:t>
      </w:r>
      <w:r w:rsidR="00564494">
        <w:rPr>
          <w:rFonts w:cs="Times New Roman"/>
          <w:sz w:val="24"/>
          <w:szCs w:val="24"/>
        </w:rPr>
        <w:t xml:space="preserve">entire </w:t>
      </w:r>
      <w:r w:rsidRPr="003621DD">
        <w:rPr>
          <w:rFonts w:cs="Times New Roman"/>
          <w:sz w:val="24"/>
          <w:szCs w:val="24"/>
        </w:rPr>
        <w:t>Plymouth region</w:t>
      </w:r>
      <w:r>
        <w:rPr>
          <w:rFonts w:cs="Times New Roman"/>
          <w:sz w:val="24"/>
          <w:szCs w:val="24"/>
        </w:rPr>
        <w:t>, showing that the supply of hematology-oncology physicians is only about one third of the projected need</w:t>
      </w:r>
      <w:r w:rsidRPr="003621DD">
        <w:rPr>
          <w:rFonts w:cs="Times New Roman"/>
          <w:sz w:val="24"/>
          <w:szCs w:val="24"/>
        </w:rPr>
        <w:t>.</w:t>
      </w:r>
    </w:p>
    <w:p w14:paraId="24B0638B" w14:textId="77777777" w:rsidR="002C0E22" w:rsidRDefault="002C0E22" w:rsidP="002C0E22">
      <w:pPr>
        <w:spacing w:after="0" w:line="240" w:lineRule="auto"/>
        <w:rPr>
          <w:rFonts w:cs="Times New Roman"/>
          <w:sz w:val="24"/>
          <w:szCs w:val="24"/>
        </w:rPr>
      </w:pPr>
    </w:p>
    <w:p w14:paraId="1DE78498" w14:textId="1427E6CC" w:rsidR="002C0E22" w:rsidRPr="0089323D" w:rsidRDefault="002C0E22" w:rsidP="002C0E22">
      <w:pPr>
        <w:spacing w:after="0" w:line="240" w:lineRule="auto"/>
        <w:jc w:val="center"/>
        <w:rPr>
          <w:rFonts w:cstheme="minorHAnsi"/>
          <w:b/>
          <w:bCs/>
          <w:color w:val="2F5496" w:themeColor="accent1" w:themeShade="BF"/>
          <w:sz w:val="24"/>
          <w:szCs w:val="24"/>
        </w:rPr>
      </w:pPr>
      <w:r w:rsidRPr="00DE135C">
        <w:rPr>
          <w:rFonts w:cstheme="minorHAnsi"/>
          <w:b/>
          <w:bCs/>
          <w:color w:val="2F5496" w:themeColor="accent1" w:themeShade="BF"/>
          <w:sz w:val="24"/>
          <w:szCs w:val="24"/>
          <w:u w:val="single"/>
        </w:rPr>
        <w:t xml:space="preserve">Table </w:t>
      </w:r>
      <w:r w:rsidR="00D30BD2">
        <w:rPr>
          <w:rFonts w:cstheme="minorHAnsi"/>
          <w:b/>
          <w:bCs/>
          <w:color w:val="2F5496" w:themeColor="accent1" w:themeShade="BF"/>
          <w:sz w:val="24"/>
          <w:szCs w:val="24"/>
          <w:u w:val="single"/>
        </w:rPr>
        <w:t>7</w:t>
      </w:r>
      <w:r w:rsidRPr="00DE135C">
        <w:rPr>
          <w:rFonts w:cstheme="minorHAnsi"/>
          <w:b/>
          <w:bCs/>
          <w:color w:val="2F5496" w:themeColor="accent1" w:themeShade="BF"/>
          <w:sz w:val="24"/>
          <w:szCs w:val="24"/>
          <w:u w:val="single"/>
        </w:rPr>
        <w:t>:</w:t>
      </w:r>
      <w:r>
        <w:rPr>
          <w:rFonts w:cstheme="minorHAnsi"/>
          <w:b/>
          <w:bCs/>
          <w:color w:val="2F5496" w:themeColor="accent1" w:themeShade="BF"/>
          <w:sz w:val="24"/>
          <w:szCs w:val="24"/>
        </w:rPr>
        <w:t xml:space="preserve"> </w:t>
      </w:r>
      <w:r w:rsidRPr="00E02646">
        <w:rPr>
          <w:rFonts w:cstheme="minorHAnsi"/>
          <w:b/>
          <w:bCs/>
          <w:color w:val="2F5496" w:themeColor="accent1" w:themeShade="BF"/>
        </w:rPr>
        <w:t xml:space="preserve">Demand </w:t>
      </w:r>
      <w:r>
        <w:rPr>
          <w:rFonts w:cstheme="minorHAnsi"/>
          <w:b/>
          <w:bCs/>
          <w:color w:val="2F5496" w:themeColor="accent1" w:themeShade="BF"/>
        </w:rPr>
        <w:t>V</w:t>
      </w:r>
      <w:r w:rsidRPr="00E02646">
        <w:rPr>
          <w:rFonts w:cstheme="minorHAnsi"/>
          <w:b/>
          <w:bCs/>
          <w:color w:val="2F5496" w:themeColor="accent1" w:themeShade="BF"/>
        </w:rPr>
        <w:t>ersus Supply of Hem</w:t>
      </w:r>
      <w:r>
        <w:rPr>
          <w:rFonts w:cstheme="minorHAnsi"/>
          <w:b/>
          <w:bCs/>
          <w:color w:val="2F5496" w:themeColor="accent1" w:themeShade="BF"/>
        </w:rPr>
        <w:t>a</w:t>
      </w:r>
      <w:r w:rsidRPr="00E02646">
        <w:rPr>
          <w:rFonts w:cstheme="minorHAnsi"/>
          <w:b/>
          <w:bCs/>
          <w:color w:val="2F5496" w:themeColor="accent1" w:themeShade="BF"/>
        </w:rPr>
        <w:t xml:space="preserve">tology-Oncology Physicians in Plymouth </w:t>
      </w:r>
      <w:r w:rsidR="006C7C1B">
        <w:rPr>
          <w:rFonts w:cstheme="minorHAnsi"/>
          <w:b/>
          <w:bCs/>
          <w:color w:val="2F5496" w:themeColor="accent1" w:themeShade="BF"/>
        </w:rPr>
        <w:t>Region</w:t>
      </w:r>
    </w:p>
    <w:tbl>
      <w:tblPr>
        <w:tblStyle w:val="TableGrid"/>
        <w:tblW w:w="0" w:type="auto"/>
        <w:tblInd w:w="720" w:type="dxa"/>
        <w:tblLook w:val="04A0" w:firstRow="1" w:lastRow="0" w:firstColumn="1" w:lastColumn="0" w:noHBand="0" w:noVBand="1"/>
      </w:tblPr>
      <w:tblGrid>
        <w:gridCol w:w="1655"/>
        <w:gridCol w:w="1445"/>
        <w:gridCol w:w="1459"/>
        <w:gridCol w:w="1459"/>
        <w:gridCol w:w="1406"/>
        <w:gridCol w:w="1206"/>
      </w:tblGrid>
      <w:tr w:rsidR="002C0E22" w:rsidRPr="00BB09C5" w14:paraId="19341811" w14:textId="77777777">
        <w:tc>
          <w:tcPr>
            <w:tcW w:w="1655" w:type="dxa"/>
            <w:shd w:val="clear" w:color="auto" w:fill="D9E2F3" w:themeFill="accent1" w:themeFillTint="33"/>
            <w:vAlign w:val="center"/>
          </w:tcPr>
          <w:p w14:paraId="55D67E6E"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Specialty</w:t>
            </w:r>
          </w:p>
        </w:tc>
        <w:tc>
          <w:tcPr>
            <w:tcW w:w="1445" w:type="dxa"/>
            <w:shd w:val="clear" w:color="auto" w:fill="D9E2F3" w:themeFill="accent1" w:themeFillTint="33"/>
            <w:vAlign w:val="center"/>
          </w:tcPr>
          <w:p w14:paraId="20BD192E"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Market Demand</w:t>
            </w:r>
            <w:r>
              <w:rPr>
                <w:rStyle w:val="FootnoteReference"/>
                <w:rFonts w:cstheme="minorHAnsi"/>
                <w:b/>
                <w:iCs/>
              </w:rPr>
              <w:footnoteReference w:id="17"/>
            </w:r>
          </w:p>
        </w:tc>
        <w:tc>
          <w:tcPr>
            <w:tcW w:w="1459" w:type="dxa"/>
            <w:shd w:val="clear" w:color="auto" w:fill="D9E2F3" w:themeFill="accent1" w:themeFillTint="33"/>
            <w:vAlign w:val="center"/>
          </w:tcPr>
          <w:p w14:paraId="117BBDAD"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Market Physician Need</w:t>
            </w:r>
            <w:r>
              <w:rPr>
                <w:rStyle w:val="FootnoteReference"/>
                <w:rFonts w:cstheme="minorHAnsi"/>
                <w:b/>
                <w:iCs/>
              </w:rPr>
              <w:footnoteReference w:id="18"/>
            </w:r>
          </w:p>
        </w:tc>
        <w:tc>
          <w:tcPr>
            <w:tcW w:w="1459" w:type="dxa"/>
            <w:shd w:val="clear" w:color="auto" w:fill="D9E2F3" w:themeFill="accent1" w:themeFillTint="33"/>
            <w:vAlign w:val="center"/>
          </w:tcPr>
          <w:p w14:paraId="53283FA8"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Physician FTE Supply</w:t>
            </w:r>
          </w:p>
        </w:tc>
        <w:tc>
          <w:tcPr>
            <w:tcW w:w="1406" w:type="dxa"/>
            <w:shd w:val="clear" w:color="auto" w:fill="D9E2F3" w:themeFill="accent1" w:themeFillTint="33"/>
            <w:vAlign w:val="center"/>
          </w:tcPr>
          <w:p w14:paraId="4A1EF782"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Market Unmet Demand (FTE)</w:t>
            </w:r>
          </w:p>
        </w:tc>
        <w:tc>
          <w:tcPr>
            <w:tcW w:w="1206" w:type="dxa"/>
            <w:shd w:val="clear" w:color="auto" w:fill="D9E2F3" w:themeFill="accent1" w:themeFillTint="33"/>
            <w:vAlign w:val="center"/>
          </w:tcPr>
          <w:p w14:paraId="210A0A26" w14:textId="77777777" w:rsidR="002C0E22" w:rsidRPr="00BB09C5" w:rsidRDefault="002C0E22">
            <w:pPr>
              <w:pStyle w:val="ListParagraph"/>
              <w:spacing w:before="240" w:line="229" w:lineRule="exact"/>
              <w:ind w:left="0"/>
              <w:jc w:val="center"/>
              <w:rPr>
                <w:rFonts w:cstheme="minorHAnsi"/>
                <w:b/>
                <w:iCs/>
              </w:rPr>
            </w:pPr>
            <w:r w:rsidRPr="00BB09C5">
              <w:rPr>
                <w:rFonts w:cstheme="minorHAnsi"/>
                <w:b/>
                <w:iCs/>
              </w:rPr>
              <w:t>BILH Physician FTE Supply</w:t>
            </w:r>
          </w:p>
        </w:tc>
      </w:tr>
      <w:tr w:rsidR="002C0E22" w:rsidRPr="00BB09C5" w14:paraId="59CC2474" w14:textId="77777777">
        <w:trPr>
          <w:trHeight w:val="413"/>
        </w:trPr>
        <w:tc>
          <w:tcPr>
            <w:tcW w:w="1655" w:type="dxa"/>
            <w:vAlign w:val="center"/>
          </w:tcPr>
          <w:p w14:paraId="7E8C09DB" w14:textId="77777777" w:rsidR="002C0E22" w:rsidRPr="00BB09C5" w:rsidRDefault="002C0E22">
            <w:pPr>
              <w:pStyle w:val="ListParagraph"/>
              <w:spacing w:line="229" w:lineRule="exact"/>
              <w:ind w:left="0"/>
              <w:jc w:val="center"/>
              <w:rPr>
                <w:rFonts w:cstheme="minorHAnsi"/>
                <w:iCs/>
              </w:rPr>
            </w:pPr>
            <w:r w:rsidRPr="00BB09C5">
              <w:rPr>
                <w:rFonts w:cstheme="minorHAnsi"/>
                <w:iCs/>
              </w:rPr>
              <w:t>Hematology-Oncology</w:t>
            </w:r>
          </w:p>
        </w:tc>
        <w:tc>
          <w:tcPr>
            <w:tcW w:w="1445" w:type="dxa"/>
            <w:vAlign w:val="center"/>
          </w:tcPr>
          <w:p w14:paraId="5D6313EA" w14:textId="77777777" w:rsidR="002C0E22" w:rsidRPr="00BB09C5" w:rsidRDefault="002C0E22">
            <w:pPr>
              <w:pStyle w:val="ListParagraph"/>
              <w:spacing w:before="240" w:line="229" w:lineRule="exact"/>
              <w:ind w:left="0"/>
              <w:jc w:val="center"/>
              <w:rPr>
                <w:rFonts w:cstheme="minorHAnsi"/>
                <w:iCs/>
              </w:rPr>
            </w:pPr>
            <w:r w:rsidRPr="00BB09C5">
              <w:rPr>
                <w:rFonts w:cstheme="minorHAnsi"/>
                <w:iCs/>
              </w:rPr>
              <w:t>42,195</w:t>
            </w:r>
          </w:p>
        </w:tc>
        <w:tc>
          <w:tcPr>
            <w:tcW w:w="1459" w:type="dxa"/>
            <w:vAlign w:val="center"/>
          </w:tcPr>
          <w:p w14:paraId="3CFFCD80" w14:textId="77777777" w:rsidR="002C0E22" w:rsidRPr="00BB09C5" w:rsidRDefault="002C0E22">
            <w:pPr>
              <w:pStyle w:val="ListParagraph"/>
              <w:spacing w:before="240" w:line="229" w:lineRule="exact"/>
              <w:ind w:left="0"/>
              <w:jc w:val="center"/>
              <w:rPr>
                <w:rFonts w:cstheme="minorHAnsi"/>
                <w:iCs/>
              </w:rPr>
            </w:pPr>
            <w:r w:rsidRPr="00BB09C5">
              <w:rPr>
                <w:rFonts w:cstheme="minorHAnsi"/>
                <w:iCs/>
              </w:rPr>
              <w:t>22.5</w:t>
            </w:r>
          </w:p>
        </w:tc>
        <w:tc>
          <w:tcPr>
            <w:tcW w:w="1459" w:type="dxa"/>
            <w:vAlign w:val="center"/>
          </w:tcPr>
          <w:p w14:paraId="3C7B8B01" w14:textId="77777777" w:rsidR="002C0E22" w:rsidRPr="00BB09C5" w:rsidRDefault="002C0E22">
            <w:pPr>
              <w:pStyle w:val="ListParagraph"/>
              <w:spacing w:before="240" w:line="229" w:lineRule="exact"/>
              <w:ind w:left="0"/>
              <w:jc w:val="center"/>
              <w:rPr>
                <w:rFonts w:cstheme="minorHAnsi"/>
                <w:iCs/>
              </w:rPr>
            </w:pPr>
            <w:r w:rsidRPr="00BB09C5">
              <w:rPr>
                <w:rFonts w:cstheme="minorHAnsi"/>
                <w:iCs/>
              </w:rPr>
              <w:t>8.2</w:t>
            </w:r>
          </w:p>
        </w:tc>
        <w:tc>
          <w:tcPr>
            <w:tcW w:w="1406" w:type="dxa"/>
            <w:vAlign w:val="center"/>
          </w:tcPr>
          <w:p w14:paraId="6A908798" w14:textId="77777777" w:rsidR="002C0E22" w:rsidRPr="00BB09C5" w:rsidRDefault="002C0E22">
            <w:pPr>
              <w:pStyle w:val="ListParagraph"/>
              <w:spacing w:before="240" w:line="229" w:lineRule="exact"/>
              <w:ind w:left="0"/>
              <w:jc w:val="center"/>
              <w:rPr>
                <w:rFonts w:cstheme="minorHAnsi"/>
                <w:iCs/>
              </w:rPr>
            </w:pPr>
            <w:r w:rsidRPr="00BB09C5">
              <w:rPr>
                <w:rFonts w:cstheme="minorHAnsi"/>
                <w:iCs/>
              </w:rPr>
              <w:t>14.3</w:t>
            </w:r>
          </w:p>
        </w:tc>
        <w:tc>
          <w:tcPr>
            <w:tcW w:w="1206" w:type="dxa"/>
            <w:vAlign w:val="center"/>
          </w:tcPr>
          <w:p w14:paraId="45AEB114" w14:textId="77777777" w:rsidR="002C0E22" w:rsidRPr="00BB09C5" w:rsidRDefault="002C0E22">
            <w:pPr>
              <w:pStyle w:val="ListParagraph"/>
              <w:spacing w:before="240" w:line="229" w:lineRule="exact"/>
              <w:ind w:left="0"/>
              <w:jc w:val="center"/>
              <w:rPr>
                <w:rFonts w:cstheme="minorHAnsi"/>
                <w:iCs/>
              </w:rPr>
            </w:pPr>
            <w:r w:rsidRPr="00BB09C5">
              <w:rPr>
                <w:rFonts w:cstheme="minorHAnsi"/>
                <w:iCs/>
              </w:rPr>
              <w:t>8.2</w:t>
            </w:r>
          </w:p>
        </w:tc>
      </w:tr>
    </w:tbl>
    <w:p w14:paraId="079F6E54" w14:textId="77777777" w:rsidR="002C0E22" w:rsidRDefault="002C0E22" w:rsidP="008444DB">
      <w:pPr>
        <w:spacing w:after="0" w:line="240" w:lineRule="auto"/>
        <w:rPr>
          <w:rFonts w:cs="Times New Roman"/>
          <w:sz w:val="24"/>
          <w:szCs w:val="24"/>
        </w:rPr>
      </w:pPr>
    </w:p>
    <w:p w14:paraId="0A584D7B" w14:textId="7F58C475" w:rsidR="002C0E22" w:rsidRPr="008444DB" w:rsidRDefault="00CC18BF" w:rsidP="008444DB">
      <w:pPr>
        <w:spacing w:after="0" w:line="240" w:lineRule="auto"/>
        <w:rPr>
          <w:rFonts w:cs="Times New Roman"/>
          <w:sz w:val="24"/>
          <w:szCs w:val="24"/>
        </w:rPr>
      </w:pPr>
      <w:r>
        <w:rPr>
          <w:rFonts w:cs="Times New Roman"/>
          <w:sz w:val="24"/>
          <w:szCs w:val="24"/>
        </w:rPr>
        <w:t xml:space="preserve">In </w:t>
      </w:r>
      <w:r w:rsidRPr="00630C10">
        <w:rPr>
          <w:rFonts w:cs="Times New Roman"/>
          <w:sz w:val="24"/>
          <w:szCs w:val="24"/>
        </w:rPr>
        <w:t>order to better meet the needs of the community, t</w:t>
      </w:r>
      <w:r w:rsidR="002C0E22" w:rsidRPr="00630C10">
        <w:rPr>
          <w:rFonts w:cs="Times New Roman"/>
          <w:sz w:val="24"/>
          <w:szCs w:val="24"/>
        </w:rPr>
        <w:t xml:space="preserve">he </w:t>
      </w:r>
      <w:r w:rsidR="00C001F8" w:rsidRPr="00630C10">
        <w:rPr>
          <w:rFonts w:cs="Times New Roman"/>
          <w:sz w:val="24"/>
          <w:szCs w:val="24"/>
        </w:rPr>
        <w:t>p</w:t>
      </w:r>
      <w:r w:rsidR="002C0E22" w:rsidRPr="00630C10">
        <w:rPr>
          <w:rFonts w:cs="Times New Roman"/>
          <w:sz w:val="24"/>
          <w:szCs w:val="24"/>
        </w:rPr>
        <w:t xml:space="preserve">roposed Cordage Park Satellite will </w:t>
      </w:r>
      <w:r w:rsidR="00B21CB2">
        <w:rPr>
          <w:rFonts w:cs="Times New Roman"/>
          <w:sz w:val="24"/>
          <w:szCs w:val="24"/>
        </w:rPr>
        <w:t xml:space="preserve">expand the services available through the addition of </w:t>
      </w:r>
      <w:r w:rsidR="002C0E22" w:rsidRPr="002D1EF1">
        <w:rPr>
          <w:rFonts w:cs="Times New Roman"/>
          <w:sz w:val="24"/>
          <w:szCs w:val="24"/>
        </w:rPr>
        <w:t xml:space="preserve">three new physicians, one new advanced practice provider, and </w:t>
      </w:r>
      <w:r w:rsidR="00B21CB2">
        <w:rPr>
          <w:rFonts w:cs="Times New Roman"/>
          <w:sz w:val="24"/>
          <w:szCs w:val="24"/>
        </w:rPr>
        <w:t xml:space="preserve">five additional exam rooms (increasing from </w:t>
      </w:r>
      <w:r w:rsidR="002C0E22" w:rsidRPr="002D1EF1">
        <w:rPr>
          <w:rFonts w:cs="Times New Roman"/>
          <w:sz w:val="24"/>
          <w:szCs w:val="24"/>
        </w:rPr>
        <w:t>12 to 17</w:t>
      </w:r>
      <w:r w:rsidR="00B21CB2">
        <w:rPr>
          <w:rFonts w:cs="Times New Roman"/>
          <w:sz w:val="24"/>
          <w:szCs w:val="24"/>
        </w:rPr>
        <w:t>)</w:t>
      </w:r>
      <w:r w:rsidR="002C0E22" w:rsidRPr="002D1EF1">
        <w:rPr>
          <w:rFonts w:cs="Times New Roman"/>
          <w:sz w:val="24"/>
          <w:szCs w:val="24"/>
        </w:rPr>
        <w:t>.</w:t>
      </w:r>
      <w:r w:rsidR="0097622C" w:rsidRPr="002D1EF1">
        <w:rPr>
          <w:rFonts w:cs="Times New Roman"/>
          <w:sz w:val="24"/>
          <w:szCs w:val="24"/>
        </w:rPr>
        <w:t xml:space="preserve"> </w:t>
      </w:r>
      <w:r w:rsidR="00B21CB2">
        <w:rPr>
          <w:rFonts w:cs="Times New Roman"/>
          <w:sz w:val="24"/>
          <w:szCs w:val="24"/>
        </w:rPr>
        <w:t xml:space="preserve">Additionally, </w:t>
      </w:r>
      <w:r w:rsidR="00550FED">
        <w:rPr>
          <w:rFonts w:cs="Times New Roman"/>
          <w:sz w:val="24"/>
          <w:szCs w:val="24"/>
        </w:rPr>
        <w:t>t</w:t>
      </w:r>
      <w:r w:rsidR="00550FED" w:rsidRPr="002D1EF1">
        <w:rPr>
          <w:rFonts w:cs="Times New Roman"/>
          <w:sz w:val="24"/>
          <w:szCs w:val="24"/>
        </w:rPr>
        <w:t xml:space="preserve">he </w:t>
      </w:r>
      <w:r w:rsidR="00550FED">
        <w:rPr>
          <w:rFonts w:cs="Times New Roman"/>
          <w:sz w:val="24"/>
          <w:szCs w:val="24"/>
        </w:rPr>
        <w:t>existing</w:t>
      </w:r>
      <w:r w:rsidR="00550FED" w:rsidRPr="002D1EF1">
        <w:rPr>
          <w:rFonts w:cs="Times New Roman"/>
          <w:sz w:val="24"/>
          <w:szCs w:val="24"/>
        </w:rPr>
        <w:t xml:space="preserve"> clinic is expected to transfer in totality over to the new satellite.</w:t>
      </w:r>
      <w:r w:rsidR="00550FED">
        <w:rPr>
          <w:rFonts w:cs="Times New Roman"/>
          <w:sz w:val="24"/>
          <w:szCs w:val="24"/>
        </w:rPr>
        <w:t xml:space="preserve"> T</w:t>
      </w:r>
      <w:r w:rsidR="00630C10" w:rsidRPr="008444DB">
        <w:rPr>
          <w:rFonts w:cs="Times New Roman"/>
          <w:sz w:val="24"/>
          <w:szCs w:val="24"/>
        </w:rPr>
        <w:t xml:space="preserve">he Applicant </w:t>
      </w:r>
      <w:r w:rsidR="00B21CB2">
        <w:rPr>
          <w:rFonts w:cs="Times New Roman"/>
          <w:sz w:val="24"/>
          <w:szCs w:val="24"/>
        </w:rPr>
        <w:t>anticipates transitioning</w:t>
      </w:r>
      <w:r w:rsidR="00B21CB2" w:rsidRPr="008444DB">
        <w:rPr>
          <w:rFonts w:cs="Times New Roman"/>
          <w:sz w:val="24"/>
          <w:szCs w:val="24"/>
        </w:rPr>
        <w:t xml:space="preserve"> </w:t>
      </w:r>
      <w:r w:rsidR="00630C10" w:rsidRPr="008444DB">
        <w:rPr>
          <w:rFonts w:cs="Times New Roman"/>
          <w:sz w:val="24"/>
          <w:szCs w:val="24"/>
        </w:rPr>
        <w:t xml:space="preserve">seven physicians, two advanced practice providers, and 44 staff currently </w:t>
      </w:r>
      <w:r w:rsidR="003C3E34" w:rsidRPr="002D1EF1">
        <w:rPr>
          <w:rFonts w:cs="Times New Roman"/>
          <w:sz w:val="24"/>
          <w:szCs w:val="24"/>
        </w:rPr>
        <w:t>working at the BID-Plymouth Hematology and Oncology</w:t>
      </w:r>
      <w:r w:rsidR="006A1BC6" w:rsidRPr="002D1EF1">
        <w:rPr>
          <w:rFonts w:cs="Times New Roman"/>
          <w:sz w:val="24"/>
          <w:szCs w:val="24"/>
        </w:rPr>
        <w:t xml:space="preserve"> </w:t>
      </w:r>
      <w:r w:rsidR="00FE7A66" w:rsidRPr="002D1EF1">
        <w:rPr>
          <w:rFonts w:cs="Times New Roman"/>
          <w:sz w:val="24"/>
          <w:szCs w:val="24"/>
        </w:rPr>
        <w:t>Clinic to</w:t>
      </w:r>
      <w:r w:rsidR="006A1BC6" w:rsidRPr="002D1EF1">
        <w:rPr>
          <w:rFonts w:cs="Times New Roman"/>
          <w:sz w:val="24"/>
          <w:szCs w:val="24"/>
        </w:rPr>
        <w:t xml:space="preserve"> the new </w:t>
      </w:r>
      <w:r w:rsidR="00630C10" w:rsidRPr="002D1EF1">
        <w:rPr>
          <w:rFonts w:cs="Times New Roman"/>
          <w:sz w:val="24"/>
          <w:szCs w:val="24"/>
        </w:rPr>
        <w:t>Cordage Park Satellite</w:t>
      </w:r>
      <w:r w:rsidR="006A1BC6" w:rsidRPr="002D1EF1">
        <w:rPr>
          <w:rFonts w:cs="Times New Roman"/>
          <w:sz w:val="24"/>
          <w:szCs w:val="24"/>
        </w:rPr>
        <w:t>.</w:t>
      </w:r>
      <w:r w:rsidR="00630C10" w:rsidRPr="002D1EF1">
        <w:rPr>
          <w:rFonts w:cs="Times New Roman"/>
          <w:sz w:val="24"/>
          <w:szCs w:val="24"/>
        </w:rPr>
        <w:t xml:space="preserve"> </w:t>
      </w:r>
    </w:p>
    <w:p w14:paraId="179D1B58" w14:textId="77777777" w:rsidR="00341175" w:rsidRPr="00C27E72" w:rsidRDefault="00341175" w:rsidP="00C27E72">
      <w:pPr>
        <w:spacing w:after="0" w:line="240" w:lineRule="auto"/>
        <w:jc w:val="both"/>
        <w:rPr>
          <w:rFonts w:cs="Times New Roman"/>
        </w:rPr>
      </w:pPr>
    </w:p>
    <w:p w14:paraId="03AF3D1E" w14:textId="61B346AF" w:rsidR="00341175" w:rsidRPr="0007019F" w:rsidRDefault="00550FED" w:rsidP="0007019F">
      <w:pPr>
        <w:spacing w:after="0" w:line="240" w:lineRule="auto"/>
        <w:jc w:val="both"/>
        <w:rPr>
          <w:rFonts w:cs="Times New Roman"/>
          <w:b/>
          <w:bCs/>
          <w:sz w:val="24"/>
          <w:szCs w:val="24"/>
        </w:rPr>
      </w:pPr>
      <w:r>
        <w:rPr>
          <w:rFonts w:cs="Times New Roman"/>
          <w:b/>
          <w:bCs/>
          <w:sz w:val="24"/>
          <w:szCs w:val="24"/>
        </w:rPr>
        <w:lastRenderedPageBreak/>
        <w:t xml:space="preserve">Quincy Satellite - </w:t>
      </w:r>
      <w:r w:rsidR="00341175" w:rsidRPr="0007019F">
        <w:rPr>
          <w:rFonts w:cs="Times New Roman"/>
          <w:b/>
          <w:bCs/>
          <w:sz w:val="24"/>
          <w:szCs w:val="24"/>
        </w:rPr>
        <w:t>Need for the Primary Care, Specialty, and Diagnostic Imaging Services</w:t>
      </w:r>
      <w:r w:rsidR="00D30BD2">
        <w:rPr>
          <w:rFonts w:cs="Times New Roman"/>
          <w:b/>
          <w:bCs/>
          <w:sz w:val="24"/>
          <w:szCs w:val="24"/>
        </w:rPr>
        <w:t xml:space="preserve"> </w:t>
      </w:r>
    </w:p>
    <w:p w14:paraId="5F9F8DCD" w14:textId="6341EF57" w:rsidR="00341175" w:rsidRPr="00C4567C" w:rsidRDefault="00341175" w:rsidP="00872CCA">
      <w:pPr>
        <w:pStyle w:val="ListParagraph"/>
        <w:numPr>
          <w:ilvl w:val="0"/>
          <w:numId w:val="5"/>
        </w:numPr>
        <w:spacing w:after="0"/>
        <w:rPr>
          <w:rFonts w:cstheme="minorHAnsi"/>
          <w:sz w:val="24"/>
          <w:szCs w:val="24"/>
        </w:rPr>
      </w:pPr>
      <w:r w:rsidRPr="00C4567C">
        <w:rPr>
          <w:rFonts w:cstheme="minorHAnsi"/>
          <w:sz w:val="24"/>
          <w:szCs w:val="24"/>
        </w:rPr>
        <w:t>Underserved region</w:t>
      </w:r>
    </w:p>
    <w:p w14:paraId="389603B5" w14:textId="640F8C3A" w:rsidR="00341175" w:rsidRPr="00C4567C" w:rsidRDefault="00341175" w:rsidP="00872CCA">
      <w:pPr>
        <w:pStyle w:val="ListParagraph"/>
        <w:numPr>
          <w:ilvl w:val="0"/>
          <w:numId w:val="5"/>
        </w:numPr>
        <w:spacing w:after="0" w:line="240" w:lineRule="auto"/>
        <w:jc w:val="both"/>
        <w:rPr>
          <w:rFonts w:cstheme="minorHAnsi"/>
          <w:i/>
          <w:iCs/>
          <w:sz w:val="24"/>
          <w:szCs w:val="24"/>
        </w:rPr>
      </w:pPr>
      <w:r>
        <w:rPr>
          <w:rFonts w:cs="Times New Roman"/>
          <w:sz w:val="24"/>
          <w:szCs w:val="24"/>
        </w:rPr>
        <w:t xml:space="preserve">Benefit of </w:t>
      </w:r>
      <w:r w:rsidRPr="00C4567C">
        <w:rPr>
          <w:rFonts w:cs="Times New Roman"/>
          <w:sz w:val="24"/>
          <w:szCs w:val="24"/>
        </w:rPr>
        <w:t>On</w:t>
      </w:r>
      <w:r>
        <w:rPr>
          <w:rFonts w:cs="Times New Roman"/>
          <w:sz w:val="24"/>
          <w:szCs w:val="24"/>
        </w:rPr>
        <w:t>-</w:t>
      </w:r>
      <w:r w:rsidRPr="00C4567C">
        <w:rPr>
          <w:rFonts w:cs="Times New Roman"/>
          <w:sz w:val="24"/>
          <w:szCs w:val="24"/>
        </w:rPr>
        <w:t xml:space="preserve">Site </w:t>
      </w:r>
      <w:r>
        <w:rPr>
          <w:rFonts w:cs="Times New Roman"/>
          <w:sz w:val="24"/>
          <w:szCs w:val="24"/>
        </w:rPr>
        <w:t xml:space="preserve">Diagnostic </w:t>
      </w:r>
      <w:r w:rsidRPr="00C4567C">
        <w:rPr>
          <w:rFonts w:cs="Times New Roman"/>
          <w:sz w:val="24"/>
          <w:szCs w:val="24"/>
        </w:rPr>
        <w:t xml:space="preserve">Imaging Equipment </w:t>
      </w:r>
    </w:p>
    <w:p w14:paraId="6AD73BA7" w14:textId="77777777" w:rsidR="00341175" w:rsidRPr="00185FBE" w:rsidRDefault="00341175" w:rsidP="00267A96">
      <w:pPr>
        <w:spacing w:after="0"/>
        <w:ind w:left="360"/>
        <w:rPr>
          <w:rFonts w:cstheme="minorHAnsi"/>
          <w:b/>
          <w:bCs/>
          <w:i/>
          <w:iCs/>
          <w:sz w:val="24"/>
          <w:szCs w:val="24"/>
          <w:highlight w:val="yellow"/>
        </w:rPr>
      </w:pPr>
    </w:p>
    <w:p w14:paraId="3AA4B38B" w14:textId="6AC47730" w:rsidR="00341175" w:rsidRPr="0007019F" w:rsidRDefault="00341175" w:rsidP="00872CCA">
      <w:pPr>
        <w:pStyle w:val="ListParagraph"/>
        <w:numPr>
          <w:ilvl w:val="0"/>
          <w:numId w:val="11"/>
        </w:numPr>
        <w:spacing w:after="0"/>
        <w:rPr>
          <w:rFonts w:cstheme="minorHAnsi"/>
          <w:b/>
          <w:bCs/>
          <w:i/>
          <w:iCs/>
          <w:sz w:val="24"/>
          <w:szCs w:val="24"/>
        </w:rPr>
      </w:pPr>
      <w:r w:rsidRPr="0007019F">
        <w:rPr>
          <w:rFonts w:cstheme="minorHAnsi"/>
          <w:b/>
          <w:bCs/>
          <w:i/>
          <w:iCs/>
          <w:sz w:val="24"/>
          <w:szCs w:val="24"/>
        </w:rPr>
        <w:t>Underserved Region</w:t>
      </w:r>
    </w:p>
    <w:p w14:paraId="0A347651" w14:textId="552BB2C8" w:rsidR="004178BB" w:rsidRDefault="00341175" w:rsidP="00ED499C">
      <w:pPr>
        <w:spacing w:after="0" w:line="240" w:lineRule="auto"/>
        <w:rPr>
          <w:rFonts w:cs="Times New Roman"/>
          <w:sz w:val="24"/>
          <w:szCs w:val="24"/>
        </w:rPr>
      </w:pPr>
      <w:r w:rsidRPr="009D39FB">
        <w:rPr>
          <w:rFonts w:cs="Times New Roman"/>
          <w:sz w:val="24"/>
          <w:szCs w:val="24"/>
        </w:rPr>
        <w:t xml:space="preserve">The Applicant’s primary care providers have reported challenges with local specialty referral access to hematology-oncology, OBGYN, endocrinology, gastroenterology, pulmonology, and rheumatology. As such, </w:t>
      </w:r>
      <w:r w:rsidR="00933B46">
        <w:rPr>
          <w:rFonts w:cs="Times New Roman"/>
          <w:sz w:val="24"/>
          <w:szCs w:val="24"/>
        </w:rPr>
        <w:t xml:space="preserve">current </w:t>
      </w:r>
      <w:r w:rsidRPr="009D39FB">
        <w:rPr>
          <w:rFonts w:cs="Times New Roman"/>
          <w:sz w:val="24"/>
          <w:szCs w:val="24"/>
        </w:rPr>
        <w:t xml:space="preserve">patients from the Quincy region must travel into BIDMC’s Boston campus to receive these services. </w:t>
      </w:r>
      <w:r w:rsidR="007C5D87">
        <w:rPr>
          <w:rFonts w:cs="Times New Roman"/>
          <w:sz w:val="24"/>
          <w:szCs w:val="24"/>
        </w:rPr>
        <w:t>Additionally, t</w:t>
      </w:r>
      <w:r w:rsidR="007C5D87" w:rsidRPr="009D39FB">
        <w:rPr>
          <w:rFonts w:cs="Times New Roman"/>
          <w:sz w:val="24"/>
          <w:szCs w:val="24"/>
        </w:rPr>
        <w:t xml:space="preserve">he Applicant met with leaders from local community health centers (South Cove Community Health Center and Manet Community Health Center) and these centers note a need for cardiology, gastroenterology, hematology-oncology, </w:t>
      </w:r>
      <w:r w:rsidR="00787A98">
        <w:rPr>
          <w:rFonts w:cs="Times New Roman"/>
          <w:sz w:val="24"/>
          <w:szCs w:val="24"/>
        </w:rPr>
        <w:t xml:space="preserve">and </w:t>
      </w:r>
      <w:r w:rsidR="007C5D87" w:rsidRPr="009D39FB">
        <w:rPr>
          <w:rFonts w:cs="Times New Roman"/>
          <w:sz w:val="24"/>
          <w:szCs w:val="24"/>
        </w:rPr>
        <w:t xml:space="preserve">neurology among their patient base. </w:t>
      </w:r>
      <w:r w:rsidRPr="009D39FB">
        <w:rPr>
          <w:rFonts w:cs="Times New Roman"/>
          <w:sz w:val="24"/>
          <w:szCs w:val="24"/>
        </w:rPr>
        <w:t xml:space="preserve">The Applicant conducted a survey of market need and determined that, despite there being some baseline of physicians practicing in the region, there remains an under-supply in several specialties, including hematology-oncology, </w:t>
      </w:r>
      <w:r w:rsidR="00A80DF6">
        <w:rPr>
          <w:rFonts w:cs="Times New Roman"/>
          <w:sz w:val="24"/>
          <w:szCs w:val="24"/>
        </w:rPr>
        <w:t>and</w:t>
      </w:r>
      <w:r w:rsidRPr="009D39FB">
        <w:rPr>
          <w:rFonts w:cs="Times New Roman"/>
          <w:sz w:val="24"/>
          <w:szCs w:val="24"/>
        </w:rPr>
        <w:t xml:space="preserve"> OBGYN.</w:t>
      </w:r>
      <w:r w:rsidRPr="009D39FB">
        <w:rPr>
          <w:rStyle w:val="EndnoteReference"/>
          <w:rFonts w:cs="Times New Roman"/>
          <w:sz w:val="24"/>
          <w:szCs w:val="24"/>
        </w:rPr>
        <w:endnoteReference w:id="6"/>
      </w:r>
      <w:r w:rsidRPr="009D39FB">
        <w:rPr>
          <w:rFonts w:cs="Times New Roman"/>
          <w:sz w:val="24"/>
          <w:szCs w:val="24"/>
        </w:rPr>
        <w:t xml:space="preserve"> </w:t>
      </w:r>
      <w:r w:rsidR="00D6441F" w:rsidRPr="009D39FB">
        <w:rPr>
          <w:rFonts w:cs="Times New Roman"/>
          <w:sz w:val="24"/>
          <w:szCs w:val="24"/>
        </w:rPr>
        <w:t xml:space="preserve">The Applicant plans to offer </w:t>
      </w:r>
      <w:r w:rsidR="005024EC">
        <w:rPr>
          <w:rFonts w:cs="Times New Roman"/>
          <w:sz w:val="24"/>
          <w:szCs w:val="24"/>
        </w:rPr>
        <w:t xml:space="preserve">all </w:t>
      </w:r>
      <w:r w:rsidR="00D6441F" w:rsidRPr="009D39FB">
        <w:rPr>
          <w:rFonts w:cs="Times New Roman"/>
          <w:sz w:val="24"/>
          <w:szCs w:val="24"/>
        </w:rPr>
        <w:t xml:space="preserve">these services in the new Quincy Satellite to ensure local availability, support unmet market demand, and to coordinate care within the community and keep care local. </w:t>
      </w:r>
      <w:r w:rsidR="00F436AD">
        <w:rPr>
          <w:rFonts w:cs="Times New Roman"/>
          <w:sz w:val="24"/>
          <w:szCs w:val="24"/>
        </w:rPr>
        <w:t xml:space="preserve">Table 8 details the </w:t>
      </w:r>
      <w:r w:rsidR="00ED499C">
        <w:rPr>
          <w:rFonts w:cs="Times New Roman"/>
          <w:sz w:val="24"/>
          <w:szCs w:val="24"/>
        </w:rPr>
        <w:t xml:space="preserve">supply and demand for </w:t>
      </w:r>
      <w:r w:rsidR="00C275F7">
        <w:rPr>
          <w:rFonts w:cs="Times New Roman"/>
          <w:sz w:val="24"/>
          <w:szCs w:val="24"/>
        </w:rPr>
        <w:t xml:space="preserve">these </w:t>
      </w:r>
      <w:r w:rsidR="00ED499C">
        <w:rPr>
          <w:rFonts w:cs="Times New Roman"/>
          <w:sz w:val="24"/>
          <w:szCs w:val="24"/>
        </w:rPr>
        <w:t>specialties in the Quincy region</w:t>
      </w:r>
      <w:r w:rsidR="000F1931">
        <w:rPr>
          <w:rFonts w:cs="Times New Roman"/>
          <w:sz w:val="24"/>
          <w:szCs w:val="24"/>
        </w:rPr>
        <w:t>, which was also derived using the STRATUS tool</w:t>
      </w:r>
      <w:r w:rsidR="00ED499C">
        <w:rPr>
          <w:rFonts w:cs="Times New Roman"/>
          <w:sz w:val="24"/>
          <w:szCs w:val="24"/>
        </w:rPr>
        <w:t xml:space="preserve">. </w:t>
      </w:r>
    </w:p>
    <w:p w14:paraId="12978A54" w14:textId="77777777" w:rsidR="00D30BD2" w:rsidRPr="00ED499C" w:rsidRDefault="00D30BD2" w:rsidP="00ED499C">
      <w:pPr>
        <w:spacing w:after="0" w:line="240" w:lineRule="auto"/>
        <w:rPr>
          <w:rFonts w:cs="Times New Roman"/>
          <w:sz w:val="24"/>
          <w:szCs w:val="24"/>
        </w:rPr>
      </w:pPr>
    </w:p>
    <w:p w14:paraId="19ABA4B8" w14:textId="4C591635" w:rsidR="004178BB" w:rsidRPr="00EB7172" w:rsidRDefault="004178BB" w:rsidP="004178BB">
      <w:pPr>
        <w:spacing w:after="0" w:line="240" w:lineRule="auto"/>
        <w:jc w:val="center"/>
        <w:rPr>
          <w:rFonts w:cstheme="minorHAnsi"/>
          <w:b/>
          <w:bCs/>
          <w:color w:val="2F5496" w:themeColor="accent1" w:themeShade="BF"/>
          <w:sz w:val="24"/>
          <w:szCs w:val="24"/>
        </w:rPr>
      </w:pPr>
      <w:r w:rsidRPr="00EB7172">
        <w:rPr>
          <w:rFonts w:cstheme="minorHAnsi"/>
          <w:b/>
          <w:bCs/>
          <w:color w:val="2F5496" w:themeColor="accent1" w:themeShade="BF"/>
          <w:sz w:val="24"/>
          <w:szCs w:val="24"/>
          <w:u w:val="single"/>
        </w:rPr>
        <w:t xml:space="preserve">Table </w:t>
      </w:r>
      <w:r w:rsidR="00DE135C">
        <w:rPr>
          <w:rFonts w:cstheme="minorHAnsi"/>
          <w:b/>
          <w:bCs/>
          <w:color w:val="2F5496" w:themeColor="accent1" w:themeShade="BF"/>
          <w:sz w:val="24"/>
          <w:szCs w:val="24"/>
          <w:u w:val="single"/>
        </w:rPr>
        <w:t>8</w:t>
      </w:r>
      <w:r w:rsidRPr="00EB7172">
        <w:rPr>
          <w:rFonts w:cstheme="minorHAnsi"/>
          <w:b/>
          <w:bCs/>
          <w:color w:val="2F5496" w:themeColor="accent1" w:themeShade="BF"/>
          <w:sz w:val="24"/>
          <w:szCs w:val="24"/>
          <w:u w:val="single"/>
        </w:rPr>
        <w:t>:</w:t>
      </w:r>
      <w:r w:rsidRPr="00EB7172">
        <w:rPr>
          <w:rFonts w:cstheme="minorHAnsi"/>
          <w:b/>
          <w:bCs/>
          <w:color w:val="2F5496" w:themeColor="accent1" w:themeShade="BF"/>
          <w:sz w:val="24"/>
          <w:szCs w:val="24"/>
        </w:rPr>
        <w:t xml:space="preserve"> Demand Versus Supply of </w:t>
      </w:r>
      <w:r w:rsidR="00C275F7">
        <w:rPr>
          <w:rFonts w:cstheme="minorHAnsi"/>
          <w:b/>
          <w:bCs/>
          <w:color w:val="2F5496" w:themeColor="accent1" w:themeShade="BF"/>
          <w:sz w:val="24"/>
          <w:szCs w:val="24"/>
        </w:rPr>
        <w:t xml:space="preserve">Specialty </w:t>
      </w:r>
      <w:r w:rsidRPr="00EB7172">
        <w:rPr>
          <w:rFonts w:cstheme="minorHAnsi"/>
          <w:b/>
          <w:bCs/>
          <w:color w:val="2F5496" w:themeColor="accent1" w:themeShade="BF"/>
          <w:sz w:val="24"/>
          <w:szCs w:val="24"/>
        </w:rPr>
        <w:t>Services in Quincy Region</w:t>
      </w:r>
    </w:p>
    <w:tbl>
      <w:tblPr>
        <w:tblStyle w:val="TableGrid"/>
        <w:tblW w:w="0" w:type="auto"/>
        <w:tblInd w:w="720" w:type="dxa"/>
        <w:tblLook w:val="04A0" w:firstRow="1" w:lastRow="0" w:firstColumn="1" w:lastColumn="0" w:noHBand="0" w:noVBand="1"/>
      </w:tblPr>
      <w:tblGrid>
        <w:gridCol w:w="1882"/>
        <w:gridCol w:w="1001"/>
        <w:gridCol w:w="1114"/>
        <w:gridCol w:w="1082"/>
        <w:gridCol w:w="2480"/>
        <w:gridCol w:w="1071"/>
      </w:tblGrid>
      <w:tr w:rsidR="004178BB" w:rsidRPr="00BB09C5" w14:paraId="0F1F65F8" w14:textId="77777777" w:rsidTr="00AE24DE">
        <w:tc>
          <w:tcPr>
            <w:tcW w:w="1882" w:type="dxa"/>
            <w:shd w:val="clear" w:color="auto" w:fill="BDD6EE" w:themeFill="accent5" w:themeFillTint="66"/>
            <w:vAlign w:val="center"/>
          </w:tcPr>
          <w:p w14:paraId="68DAEF86"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Specialty</w:t>
            </w:r>
          </w:p>
        </w:tc>
        <w:tc>
          <w:tcPr>
            <w:tcW w:w="1001" w:type="dxa"/>
            <w:shd w:val="clear" w:color="auto" w:fill="BDD6EE" w:themeFill="accent5" w:themeFillTint="66"/>
            <w:vAlign w:val="center"/>
          </w:tcPr>
          <w:p w14:paraId="3223C8DD"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Market Demand</w:t>
            </w:r>
          </w:p>
        </w:tc>
        <w:tc>
          <w:tcPr>
            <w:tcW w:w="1114" w:type="dxa"/>
            <w:shd w:val="clear" w:color="auto" w:fill="BDD6EE" w:themeFill="accent5" w:themeFillTint="66"/>
            <w:vAlign w:val="center"/>
          </w:tcPr>
          <w:p w14:paraId="21DD9051"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Market Physician Need</w:t>
            </w:r>
          </w:p>
        </w:tc>
        <w:tc>
          <w:tcPr>
            <w:tcW w:w="1082" w:type="dxa"/>
            <w:shd w:val="clear" w:color="auto" w:fill="BDD6EE" w:themeFill="accent5" w:themeFillTint="66"/>
            <w:vAlign w:val="center"/>
          </w:tcPr>
          <w:p w14:paraId="4BF63896"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Physician FTE Supply</w:t>
            </w:r>
          </w:p>
        </w:tc>
        <w:tc>
          <w:tcPr>
            <w:tcW w:w="2480" w:type="dxa"/>
            <w:shd w:val="clear" w:color="auto" w:fill="BDD6EE" w:themeFill="accent5" w:themeFillTint="66"/>
            <w:vAlign w:val="center"/>
          </w:tcPr>
          <w:p w14:paraId="3FE59F12"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Market Unmet Demand (FTE)</w:t>
            </w:r>
          </w:p>
        </w:tc>
        <w:tc>
          <w:tcPr>
            <w:tcW w:w="1071" w:type="dxa"/>
            <w:shd w:val="clear" w:color="auto" w:fill="BDD6EE" w:themeFill="accent5" w:themeFillTint="66"/>
            <w:vAlign w:val="center"/>
          </w:tcPr>
          <w:p w14:paraId="67144170" w14:textId="77777777" w:rsidR="004178BB" w:rsidRPr="00BB09C5" w:rsidRDefault="004178BB">
            <w:pPr>
              <w:pStyle w:val="ListParagraph"/>
              <w:spacing w:before="240" w:line="229" w:lineRule="exact"/>
              <w:ind w:left="0"/>
              <w:jc w:val="center"/>
              <w:rPr>
                <w:rFonts w:cstheme="minorHAnsi"/>
                <w:b/>
                <w:iCs/>
              </w:rPr>
            </w:pPr>
            <w:r w:rsidRPr="00BB09C5">
              <w:rPr>
                <w:rFonts w:cstheme="minorHAnsi"/>
                <w:b/>
                <w:iCs/>
              </w:rPr>
              <w:t>BILH Physician FTE Supply</w:t>
            </w:r>
          </w:p>
        </w:tc>
      </w:tr>
      <w:tr w:rsidR="004178BB" w:rsidRPr="00BB09C5" w14:paraId="79849DDF" w14:textId="77777777" w:rsidTr="00AE24DE">
        <w:tc>
          <w:tcPr>
            <w:tcW w:w="1882" w:type="dxa"/>
          </w:tcPr>
          <w:p w14:paraId="103DD728"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Hematology-Oncology</w:t>
            </w:r>
          </w:p>
        </w:tc>
        <w:tc>
          <w:tcPr>
            <w:tcW w:w="1001" w:type="dxa"/>
            <w:vAlign w:val="center"/>
          </w:tcPr>
          <w:p w14:paraId="2F73C764"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64,935</w:t>
            </w:r>
          </w:p>
        </w:tc>
        <w:tc>
          <w:tcPr>
            <w:tcW w:w="1114" w:type="dxa"/>
            <w:vAlign w:val="center"/>
          </w:tcPr>
          <w:p w14:paraId="07B5011A"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34.7</w:t>
            </w:r>
          </w:p>
        </w:tc>
        <w:tc>
          <w:tcPr>
            <w:tcW w:w="1082" w:type="dxa"/>
            <w:vAlign w:val="center"/>
          </w:tcPr>
          <w:p w14:paraId="45F7F7A5"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21.8</w:t>
            </w:r>
          </w:p>
        </w:tc>
        <w:tc>
          <w:tcPr>
            <w:tcW w:w="2480" w:type="dxa"/>
            <w:vAlign w:val="center"/>
          </w:tcPr>
          <w:p w14:paraId="54E44D6E"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12.9</w:t>
            </w:r>
          </w:p>
        </w:tc>
        <w:tc>
          <w:tcPr>
            <w:tcW w:w="1071" w:type="dxa"/>
            <w:vAlign w:val="center"/>
          </w:tcPr>
          <w:p w14:paraId="557B62A8"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0.1</w:t>
            </w:r>
          </w:p>
        </w:tc>
      </w:tr>
      <w:tr w:rsidR="004178BB" w:rsidRPr="00BB09C5" w14:paraId="42F368D4" w14:textId="77777777" w:rsidTr="00AE24DE">
        <w:tc>
          <w:tcPr>
            <w:tcW w:w="1882" w:type="dxa"/>
          </w:tcPr>
          <w:p w14:paraId="6FA961DB"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OBGYN</w:t>
            </w:r>
          </w:p>
        </w:tc>
        <w:tc>
          <w:tcPr>
            <w:tcW w:w="1001" w:type="dxa"/>
            <w:vAlign w:val="center"/>
          </w:tcPr>
          <w:p w14:paraId="501BF37D"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76,523</w:t>
            </w:r>
          </w:p>
        </w:tc>
        <w:tc>
          <w:tcPr>
            <w:tcW w:w="1114" w:type="dxa"/>
            <w:vAlign w:val="center"/>
          </w:tcPr>
          <w:p w14:paraId="5B58CFA9"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48.6</w:t>
            </w:r>
          </w:p>
        </w:tc>
        <w:tc>
          <w:tcPr>
            <w:tcW w:w="1082" w:type="dxa"/>
            <w:vAlign w:val="center"/>
          </w:tcPr>
          <w:p w14:paraId="79236AA5"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37.9</w:t>
            </w:r>
          </w:p>
        </w:tc>
        <w:tc>
          <w:tcPr>
            <w:tcW w:w="2480" w:type="dxa"/>
            <w:vAlign w:val="center"/>
          </w:tcPr>
          <w:p w14:paraId="5EBF3D7E"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10.7</w:t>
            </w:r>
          </w:p>
        </w:tc>
        <w:tc>
          <w:tcPr>
            <w:tcW w:w="1071" w:type="dxa"/>
            <w:vAlign w:val="center"/>
          </w:tcPr>
          <w:p w14:paraId="69A6E6DC" w14:textId="77777777" w:rsidR="004178BB" w:rsidRPr="00BB09C5" w:rsidRDefault="004178BB">
            <w:pPr>
              <w:pStyle w:val="ListParagraph"/>
              <w:spacing w:before="240" w:line="229" w:lineRule="exact"/>
              <w:ind w:left="0"/>
              <w:jc w:val="center"/>
              <w:rPr>
                <w:rFonts w:cstheme="minorHAnsi"/>
                <w:iCs/>
              </w:rPr>
            </w:pPr>
            <w:r w:rsidRPr="00BB09C5">
              <w:rPr>
                <w:rFonts w:cstheme="minorHAnsi"/>
                <w:iCs/>
              </w:rPr>
              <w:t>6.7</w:t>
            </w:r>
          </w:p>
        </w:tc>
      </w:tr>
    </w:tbl>
    <w:p w14:paraId="7D7D03C0" w14:textId="77777777" w:rsidR="005404C0" w:rsidRPr="009D39FB" w:rsidRDefault="005404C0" w:rsidP="009D39FB">
      <w:pPr>
        <w:spacing w:after="0" w:line="240" w:lineRule="auto"/>
        <w:rPr>
          <w:rFonts w:cs="Times New Roman"/>
          <w:sz w:val="24"/>
          <w:szCs w:val="24"/>
        </w:rPr>
      </w:pPr>
    </w:p>
    <w:p w14:paraId="474D5E67" w14:textId="00B0D86A" w:rsidR="009D39FB" w:rsidRDefault="00CF7C47" w:rsidP="009D39FB">
      <w:pPr>
        <w:spacing w:after="0" w:line="240" w:lineRule="auto"/>
        <w:rPr>
          <w:rFonts w:cs="Times New Roman"/>
          <w:sz w:val="24"/>
          <w:szCs w:val="24"/>
        </w:rPr>
      </w:pPr>
      <w:r>
        <w:rPr>
          <w:rFonts w:cs="Times New Roman"/>
          <w:sz w:val="24"/>
          <w:szCs w:val="24"/>
        </w:rPr>
        <w:t xml:space="preserve">The Applicant asserts that </w:t>
      </w:r>
      <w:r w:rsidR="005404C0" w:rsidRPr="009D39FB">
        <w:rPr>
          <w:rFonts w:cs="Times New Roman"/>
          <w:sz w:val="24"/>
          <w:szCs w:val="24"/>
        </w:rPr>
        <w:t xml:space="preserve">Quincy is the largest city in Massachusetts without a hospital </w:t>
      </w:r>
      <w:r w:rsidR="10F6076C" w:rsidRPr="009D39FB">
        <w:rPr>
          <w:rFonts w:cs="Times New Roman"/>
          <w:sz w:val="24"/>
          <w:szCs w:val="24"/>
        </w:rPr>
        <w:t>within its city limits</w:t>
      </w:r>
      <w:r w:rsidR="005404C0" w:rsidRPr="009D39FB">
        <w:rPr>
          <w:rFonts w:cs="Times New Roman"/>
          <w:sz w:val="24"/>
          <w:szCs w:val="24"/>
        </w:rPr>
        <w:t xml:space="preserve"> to serve the healthcare needs of its population</w:t>
      </w:r>
      <w:r w:rsidR="00717101">
        <w:rPr>
          <w:rStyle w:val="FootnoteReference"/>
          <w:rFonts w:cs="Times New Roman"/>
          <w:sz w:val="24"/>
          <w:szCs w:val="24"/>
        </w:rPr>
        <w:footnoteReference w:id="19"/>
      </w:r>
      <w:r w:rsidR="00FB672D" w:rsidRPr="009D39FB">
        <w:rPr>
          <w:rFonts w:cs="Times New Roman"/>
          <w:sz w:val="24"/>
          <w:szCs w:val="24"/>
        </w:rPr>
        <w:t xml:space="preserve">. The Quincy region has a population of 340,000 that is projected to grow 3.3%, a rate that is significantly higher than </w:t>
      </w:r>
      <w:r>
        <w:rPr>
          <w:rFonts w:cs="Times New Roman"/>
          <w:sz w:val="24"/>
          <w:szCs w:val="24"/>
        </w:rPr>
        <w:t xml:space="preserve">the rest of </w:t>
      </w:r>
      <w:r w:rsidR="00FB672D" w:rsidRPr="009D39FB">
        <w:rPr>
          <w:rFonts w:cs="Times New Roman"/>
          <w:sz w:val="24"/>
          <w:szCs w:val="24"/>
        </w:rPr>
        <w:t>Eastern Massachusetts at 2.5%.</w:t>
      </w:r>
      <w:r w:rsidR="00FB672D" w:rsidRPr="009D39FB">
        <w:rPr>
          <w:rStyle w:val="FootnoteReference"/>
          <w:rFonts w:cs="Times New Roman"/>
          <w:sz w:val="24"/>
          <w:szCs w:val="24"/>
        </w:rPr>
        <w:footnoteReference w:id="20"/>
      </w:r>
      <w:r w:rsidR="009D39FB" w:rsidRPr="009D39FB">
        <w:rPr>
          <w:rFonts w:cs="Times New Roman"/>
          <w:sz w:val="24"/>
          <w:szCs w:val="24"/>
        </w:rPr>
        <w:t xml:space="preserve"> Given the current needs and projected growth, </w:t>
      </w:r>
      <w:r w:rsidR="007C5D87">
        <w:rPr>
          <w:rFonts w:cs="Times New Roman"/>
          <w:sz w:val="24"/>
          <w:szCs w:val="24"/>
        </w:rPr>
        <w:t xml:space="preserve">the Quincy Satellite is anticipated to provide </w:t>
      </w:r>
      <w:r w:rsidR="009D39FB" w:rsidRPr="009D39FB">
        <w:rPr>
          <w:rFonts w:cs="Times New Roman"/>
          <w:sz w:val="24"/>
          <w:szCs w:val="24"/>
        </w:rPr>
        <w:t xml:space="preserve">greater access </w:t>
      </w:r>
      <w:r w:rsidR="5158E1CD" w:rsidRPr="009D39FB">
        <w:rPr>
          <w:rFonts w:cs="Times New Roman"/>
          <w:sz w:val="24"/>
          <w:szCs w:val="24"/>
        </w:rPr>
        <w:t xml:space="preserve">to </w:t>
      </w:r>
      <w:r w:rsidR="009D39FB" w:rsidRPr="009D39FB">
        <w:rPr>
          <w:rFonts w:cs="Times New Roman"/>
          <w:sz w:val="24"/>
          <w:szCs w:val="24"/>
        </w:rPr>
        <w:t>these services</w:t>
      </w:r>
      <w:r w:rsidR="007C5D87">
        <w:rPr>
          <w:rFonts w:cs="Times New Roman"/>
          <w:sz w:val="24"/>
          <w:szCs w:val="24"/>
        </w:rPr>
        <w:t xml:space="preserve"> as well as </w:t>
      </w:r>
      <w:r w:rsidR="009D39FB" w:rsidRPr="009D39FB">
        <w:rPr>
          <w:rFonts w:cs="Times New Roman"/>
          <w:sz w:val="24"/>
          <w:szCs w:val="24"/>
        </w:rPr>
        <w:t xml:space="preserve">ensure local availability. </w:t>
      </w:r>
      <w:r w:rsidR="00CB107F">
        <w:rPr>
          <w:rFonts w:cs="Times New Roman"/>
          <w:sz w:val="24"/>
          <w:szCs w:val="24"/>
        </w:rPr>
        <w:t xml:space="preserve">The </w:t>
      </w:r>
      <w:r w:rsidR="006A1FB5">
        <w:rPr>
          <w:rFonts w:cs="Times New Roman"/>
          <w:sz w:val="24"/>
          <w:szCs w:val="24"/>
        </w:rPr>
        <w:t>Applicant anticipates</w:t>
      </w:r>
      <w:r w:rsidR="009D220F">
        <w:rPr>
          <w:rFonts w:cs="Times New Roman"/>
          <w:sz w:val="24"/>
          <w:szCs w:val="24"/>
        </w:rPr>
        <w:t xml:space="preserve"> hiring </w:t>
      </w:r>
      <w:r w:rsidR="002D1EF1">
        <w:rPr>
          <w:rFonts w:cs="Times New Roman"/>
          <w:sz w:val="24"/>
          <w:szCs w:val="24"/>
        </w:rPr>
        <w:t>17</w:t>
      </w:r>
      <w:r w:rsidR="009D220F">
        <w:rPr>
          <w:rFonts w:cs="Times New Roman"/>
          <w:sz w:val="24"/>
          <w:szCs w:val="24"/>
        </w:rPr>
        <w:t xml:space="preserve"> </w:t>
      </w:r>
      <w:r w:rsidR="002D1EF1">
        <w:rPr>
          <w:rFonts w:cs="Times New Roman"/>
          <w:sz w:val="24"/>
          <w:szCs w:val="24"/>
        </w:rPr>
        <w:t>new providers, and 153 new staff</w:t>
      </w:r>
      <w:r w:rsidR="009D220F">
        <w:rPr>
          <w:rFonts w:cs="Times New Roman"/>
          <w:sz w:val="24"/>
          <w:szCs w:val="24"/>
        </w:rPr>
        <w:t xml:space="preserve"> </w:t>
      </w:r>
      <w:r w:rsidR="002D1EF1">
        <w:rPr>
          <w:rFonts w:cs="Times New Roman"/>
          <w:sz w:val="24"/>
          <w:szCs w:val="24"/>
        </w:rPr>
        <w:t>to add to the 13 current providers and 34 staff expected to transition to</w:t>
      </w:r>
      <w:r w:rsidR="00A85B39">
        <w:rPr>
          <w:rFonts w:cs="Times New Roman"/>
          <w:sz w:val="24"/>
          <w:szCs w:val="24"/>
        </w:rPr>
        <w:t xml:space="preserve"> the Quincy Satellite.</w:t>
      </w:r>
      <w:r w:rsidR="002D1EF1">
        <w:rPr>
          <w:rStyle w:val="FootnoteReference"/>
          <w:rFonts w:cs="Times New Roman"/>
          <w:sz w:val="24"/>
          <w:szCs w:val="24"/>
        </w:rPr>
        <w:footnoteReference w:id="21"/>
      </w:r>
      <w:r w:rsidR="002D1EF1" w:rsidRPr="002D1EF1">
        <w:rPr>
          <w:rFonts w:cs="Times New Roman"/>
          <w:sz w:val="24"/>
          <w:szCs w:val="24"/>
        </w:rPr>
        <w:t xml:space="preserve"> </w:t>
      </w:r>
    </w:p>
    <w:p w14:paraId="7F9FEB06" w14:textId="77777777" w:rsidR="009D39FB" w:rsidRDefault="009D39FB" w:rsidP="009D39FB">
      <w:pPr>
        <w:spacing w:after="0" w:line="240" w:lineRule="auto"/>
        <w:rPr>
          <w:rFonts w:cs="Times New Roman"/>
          <w:sz w:val="24"/>
          <w:szCs w:val="24"/>
        </w:rPr>
      </w:pPr>
    </w:p>
    <w:p w14:paraId="17DC43A0" w14:textId="634EBB2C" w:rsidR="009D39FB" w:rsidRPr="00C4567C" w:rsidRDefault="007B2174" w:rsidP="00872CCA">
      <w:pPr>
        <w:pStyle w:val="ListParagraph"/>
        <w:numPr>
          <w:ilvl w:val="0"/>
          <w:numId w:val="11"/>
        </w:numPr>
        <w:spacing w:after="0" w:line="240" w:lineRule="auto"/>
        <w:rPr>
          <w:rFonts w:cs="Times New Roman"/>
          <w:b/>
          <w:bCs/>
          <w:i/>
          <w:iCs/>
          <w:sz w:val="24"/>
          <w:szCs w:val="24"/>
        </w:rPr>
      </w:pPr>
      <w:r>
        <w:rPr>
          <w:rFonts w:cs="Times New Roman"/>
          <w:b/>
          <w:bCs/>
          <w:i/>
          <w:iCs/>
          <w:sz w:val="24"/>
          <w:szCs w:val="24"/>
        </w:rPr>
        <w:t xml:space="preserve">Benefit of </w:t>
      </w:r>
      <w:r w:rsidR="00B53B80" w:rsidRPr="00C4567C">
        <w:rPr>
          <w:rFonts w:cs="Times New Roman"/>
          <w:b/>
          <w:bCs/>
          <w:i/>
          <w:iCs/>
          <w:sz w:val="24"/>
          <w:szCs w:val="24"/>
        </w:rPr>
        <w:t>On</w:t>
      </w:r>
      <w:r>
        <w:rPr>
          <w:rFonts w:cs="Times New Roman"/>
          <w:b/>
          <w:bCs/>
          <w:i/>
          <w:iCs/>
          <w:sz w:val="24"/>
          <w:szCs w:val="24"/>
        </w:rPr>
        <w:t>-</w:t>
      </w:r>
      <w:r w:rsidR="00B53B80" w:rsidRPr="00C4567C">
        <w:rPr>
          <w:rFonts w:cs="Times New Roman"/>
          <w:b/>
          <w:bCs/>
          <w:i/>
          <w:iCs/>
          <w:sz w:val="24"/>
          <w:szCs w:val="24"/>
        </w:rPr>
        <w:t xml:space="preserve">Site </w:t>
      </w:r>
      <w:r>
        <w:rPr>
          <w:rFonts w:cs="Times New Roman"/>
          <w:b/>
          <w:bCs/>
          <w:i/>
          <w:iCs/>
          <w:sz w:val="24"/>
          <w:szCs w:val="24"/>
        </w:rPr>
        <w:t xml:space="preserve">Diagnostic </w:t>
      </w:r>
      <w:r w:rsidR="00B53B80" w:rsidRPr="00C4567C">
        <w:rPr>
          <w:rFonts w:cs="Times New Roman"/>
          <w:b/>
          <w:bCs/>
          <w:i/>
          <w:iCs/>
          <w:sz w:val="24"/>
          <w:szCs w:val="24"/>
        </w:rPr>
        <w:t xml:space="preserve">Imaging </w:t>
      </w:r>
      <w:r w:rsidR="001432F9">
        <w:rPr>
          <w:rFonts w:cs="Times New Roman"/>
          <w:b/>
          <w:bCs/>
          <w:i/>
          <w:iCs/>
          <w:sz w:val="24"/>
          <w:szCs w:val="24"/>
        </w:rPr>
        <w:t>Equipment</w:t>
      </w:r>
    </w:p>
    <w:p w14:paraId="7F031D2B" w14:textId="1EC7D186" w:rsidR="00FF1718" w:rsidRDefault="00B53B80" w:rsidP="00B53B80">
      <w:pPr>
        <w:spacing w:after="0" w:line="240" w:lineRule="auto"/>
        <w:rPr>
          <w:rFonts w:cs="Times New Roman"/>
          <w:sz w:val="24"/>
          <w:szCs w:val="24"/>
        </w:rPr>
      </w:pPr>
      <w:r w:rsidRPr="00C4567C">
        <w:rPr>
          <w:rFonts w:cs="Times New Roman"/>
          <w:sz w:val="24"/>
          <w:szCs w:val="24"/>
        </w:rPr>
        <w:t xml:space="preserve">The Applicant </w:t>
      </w:r>
      <w:r w:rsidR="007C5D87">
        <w:rPr>
          <w:rFonts w:cs="Times New Roman"/>
          <w:sz w:val="24"/>
          <w:szCs w:val="24"/>
        </w:rPr>
        <w:t xml:space="preserve">demonstrated </w:t>
      </w:r>
      <w:r w:rsidRPr="00C4567C">
        <w:rPr>
          <w:rFonts w:cs="Times New Roman"/>
          <w:sz w:val="24"/>
          <w:szCs w:val="24"/>
        </w:rPr>
        <w:t>the need for imaging in the Quincy Satellite</w:t>
      </w:r>
      <w:r w:rsidR="009672ED">
        <w:rPr>
          <w:rFonts w:cs="Times New Roman"/>
          <w:sz w:val="24"/>
          <w:szCs w:val="24"/>
        </w:rPr>
        <w:t xml:space="preserve"> to support</w:t>
      </w:r>
      <w:r w:rsidRPr="00C4567C">
        <w:rPr>
          <w:rFonts w:cs="Times New Roman"/>
          <w:sz w:val="24"/>
          <w:szCs w:val="24"/>
        </w:rPr>
        <w:t xml:space="preserve"> services and specialties that will be delivered. </w:t>
      </w:r>
      <w:r w:rsidR="00337F40">
        <w:rPr>
          <w:rFonts w:cs="Times New Roman"/>
          <w:sz w:val="24"/>
          <w:szCs w:val="24"/>
        </w:rPr>
        <w:t xml:space="preserve">As mentioned above, the Applicant solicited feedback from local community health centers. </w:t>
      </w:r>
      <w:r w:rsidR="00E95176" w:rsidRPr="00C4567C">
        <w:rPr>
          <w:rFonts w:cs="Times New Roman"/>
          <w:sz w:val="24"/>
          <w:szCs w:val="24"/>
        </w:rPr>
        <w:t>South Cove Community Health Center</w:t>
      </w:r>
      <w:r w:rsidR="008C1B47">
        <w:rPr>
          <w:rFonts w:cs="Times New Roman"/>
          <w:sz w:val="24"/>
          <w:szCs w:val="24"/>
        </w:rPr>
        <w:t xml:space="preserve">, a non-affiliated </w:t>
      </w:r>
      <w:r w:rsidR="00D71D76">
        <w:rPr>
          <w:rFonts w:cs="Times New Roman"/>
          <w:sz w:val="24"/>
          <w:szCs w:val="24"/>
        </w:rPr>
        <w:t>provider</w:t>
      </w:r>
      <w:r w:rsidR="008C1B47">
        <w:rPr>
          <w:rFonts w:cs="Times New Roman"/>
          <w:sz w:val="24"/>
          <w:szCs w:val="24"/>
        </w:rPr>
        <w:t xml:space="preserve"> also located</w:t>
      </w:r>
      <w:r w:rsidR="00E95176" w:rsidRPr="00C4567C">
        <w:rPr>
          <w:rFonts w:cs="Times New Roman"/>
          <w:sz w:val="24"/>
          <w:szCs w:val="24"/>
        </w:rPr>
        <w:t xml:space="preserve"> in Quincy</w:t>
      </w:r>
      <w:r w:rsidR="00D71D76">
        <w:rPr>
          <w:rFonts w:cs="Times New Roman"/>
          <w:sz w:val="24"/>
          <w:szCs w:val="24"/>
        </w:rPr>
        <w:t xml:space="preserve">, </w:t>
      </w:r>
      <w:r w:rsidR="00337F40">
        <w:rPr>
          <w:rFonts w:cs="Times New Roman"/>
          <w:sz w:val="24"/>
          <w:szCs w:val="24"/>
        </w:rPr>
        <w:t>underscored</w:t>
      </w:r>
      <w:r w:rsidR="00D71D76" w:rsidRPr="00C4567C">
        <w:rPr>
          <w:rFonts w:cs="Times New Roman"/>
          <w:sz w:val="24"/>
          <w:szCs w:val="24"/>
        </w:rPr>
        <w:t xml:space="preserve"> </w:t>
      </w:r>
      <w:r w:rsidR="00E95176" w:rsidRPr="00C4567C">
        <w:rPr>
          <w:rFonts w:cs="Times New Roman"/>
          <w:sz w:val="24"/>
          <w:szCs w:val="24"/>
        </w:rPr>
        <w:t>the high demand for ultrasound services for their patients.</w:t>
      </w:r>
      <w:r w:rsidR="00E95176">
        <w:rPr>
          <w:rFonts w:cs="Times New Roman"/>
          <w:sz w:val="24"/>
          <w:szCs w:val="24"/>
        </w:rPr>
        <w:t xml:space="preserve"> </w:t>
      </w:r>
      <w:r w:rsidRPr="00C4567C">
        <w:rPr>
          <w:rFonts w:cs="Times New Roman"/>
          <w:sz w:val="24"/>
          <w:szCs w:val="24"/>
        </w:rPr>
        <w:t xml:space="preserve">The Applicant </w:t>
      </w:r>
      <w:r w:rsidR="00E95176">
        <w:rPr>
          <w:rFonts w:cs="Times New Roman"/>
          <w:sz w:val="24"/>
          <w:szCs w:val="24"/>
        </w:rPr>
        <w:t xml:space="preserve">also </w:t>
      </w:r>
      <w:r w:rsidRPr="00C4567C">
        <w:rPr>
          <w:rFonts w:cs="Times New Roman"/>
          <w:sz w:val="24"/>
          <w:szCs w:val="24"/>
        </w:rPr>
        <w:t>used referral ratios for imaging exams at their other ambulatory sites to project utilization of imaging services in the Quincy Satellite</w:t>
      </w:r>
      <w:r w:rsidR="00FB4C71">
        <w:rPr>
          <w:rFonts w:cs="Times New Roman"/>
          <w:sz w:val="24"/>
          <w:szCs w:val="24"/>
        </w:rPr>
        <w:t xml:space="preserve">, as detailed in Table </w:t>
      </w:r>
      <w:r w:rsidR="00DE135C">
        <w:rPr>
          <w:rFonts w:cs="Times New Roman"/>
          <w:sz w:val="24"/>
          <w:szCs w:val="24"/>
        </w:rPr>
        <w:t>9</w:t>
      </w:r>
      <w:r w:rsidR="00FB4C71">
        <w:rPr>
          <w:rFonts w:cs="Times New Roman"/>
          <w:sz w:val="24"/>
          <w:szCs w:val="24"/>
        </w:rPr>
        <w:t xml:space="preserve">. </w:t>
      </w:r>
    </w:p>
    <w:p w14:paraId="34C4FB08" w14:textId="77777777" w:rsidR="00CF7C47" w:rsidRDefault="00CF7C47" w:rsidP="00B53B80">
      <w:pPr>
        <w:spacing w:after="0" w:line="240" w:lineRule="auto"/>
        <w:rPr>
          <w:rFonts w:cs="Times New Roman"/>
          <w:sz w:val="24"/>
          <w:szCs w:val="24"/>
        </w:rPr>
      </w:pPr>
    </w:p>
    <w:p w14:paraId="40EF8641" w14:textId="675C37EF" w:rsidR="00AE331A" w:rsidRDefault="00AE331A" w:rsidP="00AE331A">
      <w:pPr>
        <w:spacing w:after="0" w:line="240" w:lineRule="auto"/>
        <w:jc w:val="center"/>
        <w:rPr>
          <w:rFonts w:cstheme="minorHAnsi"/>
          <w:b/>
          <w:bCs/>
          <w:color w:val="2F5496" w:themeColor="accent1" w:themeShade="BF"/>
          <w:sz w:val="24"/>
          <w:szCs w:val="24"/>
        </w:rPr>
      </w:pPr>
      <w:r w:rsidRPr="00AE331A">
        <w:rPr>
          <w:rFonts w:cstheme="minorHAnsi"/>
          <w:b/>
          <w:bCs/>
          <w:color w:val="2F5496" w:themeColor="accent1" w:themeShade="BF"/>
          <w:sz w:val="24"/>
          <w:szCs w:val="24"/>
          <w:u w:val="single"/>
        </w:rPr>
        <w:t xml:space="preserve">Table </w:t>
      </w:r>
      <w:r w:rsidR="00DE135C">
        <w:rPr>
          <w:rFonts w:cstheme="minorHAnsi"/>
          <w:b/>
          <w:bCs/>
          <w:color w:val="2F5496" w:themeColor="accent1" w:themeShade="BF"/>
          <w:sz w:val="24"/>
          <w:szCs w:val="24"/>
          <w:u w:val="single"/>
        </w:rPr>
        <w:t>9</w:t>
      </w:r>
      <w:r w:rsidRPr="00AE331A">
        <w:rPr>
          <w:rFonts w:cstheme="minorHAnsi"/>
          <w:b/>
          <w:bCs/>
          <w:color w:val="2F5496" w:themeColor="accent1" w:themeShade="BF"/>
          <w:sz w:val="24"/>
          <w:szCs w:val="24"/>
          <w:u w:val="single"/>
        </w:rPr>
        <w:t>:</w:t>
      </w:r>
      <w:r w:rsidRPr="00AE331A">
        <w:rPr>
          <w:rFonts w:cstheme="minorHAnsi"/>
          <w:b/>
          <w:bCs/>
          <w:color w:val="2F5496" w:themeColor="accent1" w:themeShade="BF"/>
          <w:sz w:val="24"/>
          <w:szCs w:val="24"/>
        </w:rPr>
        <w:t xml:space="preserve"> Radiology Referral Ratios by Service and Modality</w:t>
      </w:r>
    </w:p>
    <w:p w14:paraId="2606EDD6" w14:textId="4F79F3FF" w:rsidR="00C86C82" w:rsidRPr="00AE331A" w:rsidRDefault="00B840E9" w:rsidP="00B840E9">
      <w:pPr>
        <w:shd w:val="clear" w:color="auto" w:fill="8EAADB" w:themeFill="accent1" w:themeFillTint="99"/>
        <w:spacing w:after="0" w:line="240" w:lineRule="auto"/>
        <w:jc w:val="center"/>
        <w:rPr>
          <w:rFonts w:cstheme="minorHAnsi"/>
          <w:b/>
          <w:bCs/>
          <w:color w:val="2F5496" w:themeColor="accent1" w:themeShade="BF"/>
          <w:sz w:val="24"/>
          <w:szCs w:val="24"/>
        </w:rPr>
      </w:pPr>
      <w:r w:rsidRPr="00BB09C5">
        <w:rPr>
          <w:rFonts w:eastAsia="Times New Roman" w:cstheme="minorHAnsi"/>
          <w:b/>
          <w:bCs/>
          <w:color w:val="000000"/>
        </w:rPr>
        <w:t>Radiology Assumptions</w:t>
      </w:r>
    </w:p>
    <w:tbl>
      <w:tblPr>
        <w:tblW w:w="8914" w:type="dxa"/>
        <w:tblInd w:w="-5" w:type="dxa"/>
        <w:tblLook w:val="04A0" w:firstRow="1" w:lastRow="0" w:firstColumn="1" w:lastColumn="0" w:noHBand="0" w:noVBand="1"/>
      </w:tblPr>
      <w:tblGrid>
        <w:gridCol w:w="2280"/>
        <w:gridCol w:w="1950"/>
        <w:gridCol w:w="652"/>
        <w:gridCol w:w="1562"/>
        <w:gridCol w:w="845"/>
        <w:gridCol w:w="1625"/>
      </w:tblGrid>
      <w:tr w:rsidR="003A144B" w:rsidRPr="00BB09C5" w14:paraId="58ABD19C" w14:textId="77777777" w:rsidTr="00B840E9">
        <w:trPr>
          <w:cantSplit/>
          <w:trHeight w:val="590"/>
          <w:tblHeader/>
        </w:trPr>
        <w:tc>
          <w:tcPr>
            <w:tcW w:w="2280" w:type="dxa"/>
            <w:tcBorders>
              <w:top w:val="single" w:sz="4" w:space="0" w:color="auto"/>
              <w:left w:val="single" w:sz="4" w:space="0" w:color="auto"/>
              <w:bottom w:val="single" w:sz="4" w:space="0" w:color="auto"/>
              <w:right w:val="nil"/>
            </w:tcBorders>
            <w:shd w:val="clear" w:color="000000" w:fill="BDD7EE"/>
            <w:vAlign w:val="center"/>
            <w:hideMark/>
          </w:tcPr>
          <w:p w14:paraId="38CD53EE" w14:textId="77777777"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Specialty</w:t>
            </w:r>
          </w:p>
        </w:tc>
        <w:tc>
          <w:tcPr>
            <w:tcW w:w="195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819A981" w14:textId="7DC28BFB"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Diagnostic X-Ray</w:t>
            </w:r>
          </w:p>
        </w:tc>
        <w:tc>
          <w:tcPr>
            <w:tcW w:w="652" w:type="dxa"/>
            <w:tcBorders>
              <w:top w:val="single" w:sz="4" w:space="0" w:color="auto"/>
              <w:left w:val="nil"/>
              <w:bottom w:val="single" w:sz="4" w:space="0" w:color="auto"/>
              <w:right w:val="single" w:sz="4" w:space="0" w:color="auto"/>
            </w:tcBorders>
            <w:shd w:val="clear" w:color="000000" w:fill="BDD7EE"/>
            <w:noWrap/>
            <w:vAlign w:val="center"/>
            <w:hideMark/>
          </w:tcPr>
          <w:p w14:paraId="4B887DBF" w14:textId="77777777"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CT</w:t>
            </w:r>
          </w:p>
        </w:tc>
        <w:tc>
          <w:tcPr>
            <w:tcW w:w="1562" w:type="dxa"/>
            <w:tcBorders>
              <w:top w:val="single" w:sz="4" w:space="0" w:color="auto"/>
              <w:left w:val="nil"/>
              <w:bottom w:val="single" w:sz="4" w:space="0" w:color="auto"/>
              <w:right w:val="single" w:sz="4" w:space="0" w:color="auto"/>
            </w:tcBorders>
            <w:shd w:val="clear" w:color="000000" w:fill="BDD7EE"/>
            <w:noWrap/>
            <w:vAlign w:val="center"/>
            <w:hideMark/>
          </w:tcPr>
          <w:p w14:paraId="4E4CF7F4" w14:textId="77777777"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Ultrasound</w:t>
            </w:r>
          </w:p>
        </w:tc>
        <w:tc>
          <w:tcPr>
            <w:tcW w:w="845" w:type="dxa"/>
            <w:tcBorders>
              <w:top w:val="single" w:sz="4" w:space="0" w:color="auto"/>
              <w:left w:val="nil"/>
              <w:bottom w:val="single" w:sz="4" w:space="0" w:color="auto"/>
              <w:right w:val="single" w:sz="4" w:space="0" w:color="auto"/>
            </w:tcBorders>
            <w:shd w:val="clear" w:color="000000" w:fill="BDD7EE"/>
            <w:noWrap/>
            <w:vAlign w:val="center"/>
            <w:hideMark/>
          </w:tcPr>
          <w:p w14:paraId="79D1373C" w14:textId="77777777"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MRI</w:t>
            </w:r>
          </w:p>
        </w:tc>
        <w:tc>
          <w:tcPr>
            <w:tcW w:w="1625" w:type="dxa"/>
            <w:tcBorders>
              <w:top w:val="single" w:sz="4" w:space="0" w:color="auto"/>
              <w:left w:val="nil"/>
              <w:bottom w:val="single" w:sz="4" w:space="0" w:color="auto"/>
              <w:right w:val="single" w:sz="4" w:space="0" w:color="auto"/>
            </w:tcBorders>
            <w:shd w:val="clear" w:color="000000" w:fill="BDD7EE"/>
            <w:noWrap/>
            <w:vAlign w:val="center"/>
            <w:hideMark/>
          </w:tcPr>
          <w:p w14:paraId="6A40F2B4" w14:textId="77777777" w:rsidR="003A144B" w:rsidRPr="00BB09C5" w:rsidRDefault="003A144B">
            <w:pPr>
              <w:spacing w:after="0" w:line="240" w:lineRule="auto"/>
              <w:jc w:val="center"/>
              <w:rPr>
                <w:rFonts w:eastAsia="Times New Roman" w:cstheme="minorHAnsi"/>
                <w:b/>
                <w:bCs/>
                <w:color w:val="000000"/>
              </w:rPr>
            </w:pPr>
            <w:r w:rsidRPr="00BB09C5">
              <w:rPr>
                <w:rFonts w:eastAsia="Times New Roman" w:cstheme="minorHAnsi"/>
                <w:b/>
                <w:bCs/>
                <w:color w:val="000000"/>
              </w:rPr>
              <w:t>Mammography</w:t>
            </w:r>
          </w:p>
        </w:tc>
      </w:tr>
      <w:tr w:rsidR="003A144B" w:rsidRPr="00BB09C5" w14:paraId="5EDCED17"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52952EEE" w14:textId="77777777" w:rsidR="003A144B" w:rsidRPr="00BB09C5" w:rsidRDefault="003A144B">
            <w:pPr>
              <w:spacing w:after="0" w:line="240" w:lineRule="auto"/>
              <w:rPr>
                <w:rFonts w:eastAsia="Times New Roman" w:cstheme="minorHAnsi"/>
                <w:iCs/>
              </w:rPr>
            </w:pPr>
            <w:r w:rsidRPr="00BB09C5">
              <w:rPr>
                <w:rFonts w:eastAsia="Times New Roman" w:cstheme="minorHAnsi"/>
                <w:iCs/>
              </w:rPr>
              <w:t>Urgent Care</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4036317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29.9%</w:t>
            </w:r>
          </w:p>
        </w:tc>
        <w:tc>
          <w:tcPr>
            <w:tcW w:w="652" w:type="dxa"/>
            <w:tcBorders>
              <w:top w:val="nil"/>
              <w:left w:val="nil"/>
              <w:bottom w:val="single" w:sz="4" w:space="0" w:color="auto"/>
              <w:right w:val="single" w:sz="4" w:space="0" w:color="auto"/>
            </w:tcBorders>
            <w:shd w:val="clear" w:color="auto" w:fill="auto"/>
            <w:noWrap/>
            <w:vAlign w:val="bottom"/>
            <w:hideMark/>
          </w:tcPr>
          <w:p w14:paraId="7A143CE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9.5%</w:t>
            </w:r>
          </w:p>
        </w:tc>
        <w:tc>
          <w:tcPr>
            <w:tcW w:w="1562" w:type="dxa"/>
            <w:tcBorders>
              <w:top w:val="nil"/>
              <w:left w:val="nil"/>
              <w:bottom w:val="single" w:sz="4" w:space="0" w:color="auto"/>
              <w:right w:val="single" w:sz="4" w:space="0" w:color="auto"/>
            </w:tcBorders>
            <w:shd w:val="clear" w:color="auto" w:fill="auto"/>
            <w:noWrap/>
            <w:vAlign w:val="bottom"/>
            <w:hideMark/>
          </w:tcPr>
          <w:p w14:paraId="75715D3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6.4%</w:t>
            </w:r>
          </w:p>
        </w:tc>
        <w:tc>
          <w:tcPr>
            <w:tcW w:w="845" w:type="dxa"/>
            <w:tcBorders>
              <w:top w:val="nil"/>
              <w:left w:val="nil"/>
              <w:bottom w:val="single" w:sz="4" w:space="0" w:color="auto"/>
              <w:right w:val="single" w:sz="4" w:space="0" w:color="auto"/>
            </w:tcBorders>
            <w:shd w:val="clear" w:color="auto" w:fill="auto"/>
            <w:noWrap/>
            <w:vAlign w:val="bottom"/>
            <w:hideMark/>
          </w:tcPr>
          <w:p w14:paraId="19128F41"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c>
          <w:tcPr>
            <w:tcW w:w="1625" w:type="dxa"/>
            <w:tcBorders>
              <w:top w:val="nil"/>
              <w:left w:val="nil"/>
              <w:bottom w:val="single" w:sz="4" w:space="0" w:color="auto"/>
              <w:right w:val="single" w:sz="4" w:space="0" w:color="auto"/>
            </w:tcBorders>
            <w:shd w:val="clear" w:color="auto" w:fill="auto"/>
            <w:noWrap/>
            <w:vAlign w:val="bottom"/>
            <w:hideMark/>
          </w:tcPr>
          <w:p w14:paraId="780E7CF6"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372DA414"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5C8071C8" w14:textId="77777777" w:rsidR="003A144B" w:rsidRPr="00BB09C5" w:rsidRDefault="003A144B">
            <w:pPr>
              <w:spacing w:after="0" w:line="240" w:lineRule="auto"/>
              <w:rPr>
                <w:rFonts w:eastAsia="Times New Roman" w:cstheme="minorHAnsi"/>
                <w:iCs/>
              </w:rPr>
            </w:pPr>
            <w:r w:rsidRPr="00BB09C5">
              <w:rPr>
                <w:rFonts w:eastAsia="Times New Roman" w:cstheme="minorHAnsi"/>
                <w:iCs/>
              </w:rPr>
              <w:t>Primary Care</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4699EB1C"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5.2%</w:t>
            </w:r>
          </w:p>
        </w:tc>
        <w:tc>
          <w:tcPr>
            <w:tcW w:w="652" w:type="dxa"/>
            <w:tcBorders>
              <w:top w:val="nil"/>
              <w:left w:val="nil"/>
              <w:bottom w:val="single" w:sz="4" w:space="0" w:color="auto"/>
              <w:right w:val="single" w:sz="4" w:space="0" w:color="auto"/>
            </w:tcBorders>
            <w:shd w:val="clear" w:color="auto" w:fill="auto"/>
            <w:noWrap/>
            <w:vAlign w:val="bottom"/>
            <w:hideMark/>
          </w:tcPr>
          <w:p w14:paraId="19DD68C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1562" w:type="dxa"/>
            <w:tcBorders>
              <w:top w:val="nil"/>
              <w:left w:val="nil"/>
              <w:bottom w:val="single" w:sz="4" w:space="0" w:color="auto"/>
              <w:right w:val="single" w:sz="4" w:space="0" w:color="auto"/>
            </w:tcBorders>
            <w:shd w:val="clear" w:color="auto" w:fill="auto"/>
            <w:noWrap/>
            <w:vAlign w:val="bottom"/>
            <w:hideMark/>
          </w:tcPr>
          <w:p w14:paraId="5E08E7A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3.6%</w:t>
            </w:r>
          </w:p>
        </w:tc>
        <w:tc>
          <w:tcPr>
            <w:tcW w:w="845" w:type="dxa"/>
            <w:tcBorders>
              <w:top w:val="nil"/>
              <w:left w:val="nil"/>
              <w:bottom w:val="single" w:sz="4" w:space="0" w:color="auto"/>
              <w:right w:val="single" w:sz="4" w:space="0" w:color="auto"/>
            </w:tcBorders>
            <w:shd w:val="clear" w:color="auto" w:fill="auto"/>
            <w:noWrap/>
            <w:vAlign w:val="bottom"/>
            <w:hideMark/>
          </w:tcPr>
          <w:p w14:paraId="16AB608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47A2449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14.8%</w:t>
            </w:r>
          </w:p>
        </w:tc>
      </w:tr>
      <w:tr w:rsidR="003A144B" w:rsidRPr="00BB09C5" w14:paraId="7008F76A"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6CFC6396" w14:textId="77777777" w:rsidR="003A144B" w:rsidRPr="00BB09C5" w:rsidRDefault="003A144B">
            <w:pPr>
              <w:spacing w:after="0" w:line="240" w:lineRule="auto"/>
              <w:rPr>
                <w:rFonts w:eastAsia="Times New Roman" w:cstheme="minorHAnsi"/>
                <w:iCs/>
              </w:rPr>
            </w:pPr>
            <w:r w:rsidRPr="00BB09C5">
              <w:rPr>
                <w:rFonts w:eastAsia="Times New Roman" w:cstheme="minorHAnsi"/>
                <w:iCs/>
              </w:rPr>
              <w:t>Cardiology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298566E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7DC99E0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3AC08B3F"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07AAD0EC"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3F1DA9D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2733F236"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23088FB3" w14:textId="77777777" w:rsidR="003A144B" w:rsidRPr="00BB09C5" w:rsidRDefault="003A144B">
            <w:pPr>
              <w:spacing w:after="0" w:line="240" w:lineRule="auto"/>
              <w:rPr>
                <w:rFonts w:eastAsia="Times New Roman" w:cstheme="minorHAnsi"/>
                <w:iCs/>
              </w:rPr>
            </w:pPr>
            <w:r w:rsidRPr="00BB09C5">
              <w:rPr>
                <w:rFonts w:eastAsia="Times New Roman" w:cstheme="minorHAnsi"/>
                <w:iCs/>
              </w:rPr>
              <w:t>Neurology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1A7D98F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5F62653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5CD1EA3C"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7C13F84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2528BEFF"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0182BCA3"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0EDFD697" w14:textId="77777777" w:rsidR="003A144B" w:rsidRPr="00BB09C5" w:rsidRDefault="003A144B">
            <w:pPr>
              <w:spacing w:after="0" w:line="240" w:lineRule="auto"/>
              <w:rPr>
                <w:rFonts w:eastAsia="Times New Roman" w:cstheme="minorHAnsi"/>
                <w:iCs/>
              </w:rPr>
            </w:pPr>
            <w:r w:rsidRPr="00BB09C5">
              <w:rPr>
                <w:rFonts w:eastAsia="Times New Roman" w:cstheme="minorHAnsi"/>
                <w:iCs/>
              </w:rPr>
              <w:t>Ob/Gyn</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3C38119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c>
          <w:tcPr>
            <w:tcW w:w="652" w:type="dxa"/>
            <w:tcBorders>
              <w:top w:val="nil"/>
              <w:left w:val="nil"/>
              <w:bottom w:val="single" w:sz="4" w:space="0" w:color="auto"/>
              <w:right w:val="single" w:sz="4" w:space="0" w:color="auto"/>
            </w:tcBorders>
            <w:shd w:val="clear" w:color="auto" w:fill="auto"/>
            <w:noWrap/>
            <w:vAlign w:val="bottom"/>
            <w:hideMark/>
          </w:tcPr>
          <w:p w14:paraId="4E0759D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c>
          <w:tcPr>
            <w:tcW w:w="1562" w:type="dxa"/>
            <w:tcBorders>
              <w:top w:val="nil"/>
              <w:left w:val="nil"/>
              <w:bottom w:val="single" w:sz="4" w:space="0" w:color="auto"/>
              <w:right w:val="single" w:sz="4" w:space="0" w:color="auto"/>
            </w:tcBorders>
            <w:shd w:val="clear" w:color="auto" w:fill="auto"/>
            <w:noWrap/>
            <w:vAlign w:val="bottom"/>
            <w:hideMark/>
          </w:tcPr>
          <w:p w14:paraId="0B0E8FB6"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12.0%</w:t>
            </w:r>
          </w:p>
        </w:tc>
        <w:tc>
          <w:tcPr>
            <w:tcW w:w="845" w:type="dxa"/>
            <w:tcBorders>
              <w:top w:val="nil"/>
              <w:left w:val="nil"/>
              <w:bottom w:val="single" w:sz="4" w:space="0" w:color="auto"/>
              <w:right w:val="single" w:sz="4" w:space="0" w:color="auto"/>
            </w:tcBorders>
            <w:shd w:val="clear" w:color="auto" w:fill="auto"/>
            <w:noWrap/>
            <w:vAlign w:val="bottom"/>
            <w:hideMark/>
          </w:tcPr>
          <w:p w14:paraId="48ABDD3C"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c>
          <w:tcPr>
            <w:tcW w:w="1625" w:type="dxa"/>
            <w:tcBorders>
              <w:top w:val="nil"/>
              <w:left w:val="nil"/>
              <w:bottom w:val="single" w:sz="4" w:space="0" w:color="auto"/>
              <w:right w:val="single" w:sz="4" w:space="0" w:color="auto"/>
            </w:tcBorders>
            <w:shd w:val="clear" w:color="auto" w:fill="auto"/>
            <w:noWrap/>
            <w:vAlign w:val="bottom"/>
            <w:hideMark/>
          </w:tcPr>
          <w:p w14:paraId="04530F6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3A73F8E2"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0F8B6101" w14:textId="77777777" w:rsidR="003A144B" w:rsidRPr="00BB09C5" w:rsidRDefault="003A144B">
            <w:pPr>
              <w:spacing w:after="0" w:line="240" w:lineRule="auto"/>
              <w:rPr>
                <w:rFonts w:eastAsia="Times New Roman" w:cstheme="minorHAnsi"/>
                <w:iCs/>
              </w:rPr>
            </w:pPr>
            <w:r w:rsidRPr="00BB09C5">
              <w:rPr>
                <w:rFonts w:eastAsia="Times New Roman" w:cstheme="minorHAnsi"/>
                <w:iCs/>
              </w:rPr>
              <w:t>Orthopedics</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7115282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35.0%</w:t>
            </w:r>
          </w:p>
        </w:tc>
        <w:tc>
          <w:tcPr>
            <w:tcW w:w="652" w:type="dxa"/>
            <w:tcBorders>
              <w:top w:val="nil"/>
              <w:left w:val="nil"/>
              <w:bottom w:val="single" w:sz="4" w:space="0" w:color="auto"/>
              <w:right w:val="single" w:sz="4" w:space="0" w:color="auto"/>
            </w:tcBorders>
            <w:shd w:val="clear" w:color="auto" w:fill="auto"/>
            <w:noWrap/>
            <w:vAlign w:val="bottom"/>
            <w:hideMark/>
          </w:tcPr>
          <w:p w14:paraId="53B2156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c>
          <w:tcPr>
            <w:tcW w:w="1562" w:type="dxa"/>
            <w:tcBorders>
              <w:top w:val="nil"/>
              <w:left w:val="nil"/>
              <w:bottom w:val="single" w:sz="4" w:space="0" w:color="auto"/>
              <w:right w:val="single" w:sz="4" w:space="0" w:color="auto"/>
            </w:tcBorders>
            <w:shd w:val="clear" w:color="auto" w:fill="auto"/>
            <w:noWrap/>
            <w:vAlign w:val="bottom"/>
            <w:hideMark/>
          </w:tcPr>
          <w:p w14:paraId="71EBFFAF"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2.0%</w:t>
            </w:r>
          </w:p>
        </w:tc>
        <w:tc>
          <w:tcPr>
            <w:tcW w:w="845" w:type="dxa"/>
            <w:tcBorders>
              <w:top w:val="nil"/>
              <w:left w:val="nil"/>
              <w:bottom w:val="single" w:sz="4" w:space="0" w:color="auto"/>
              <w:right w:val="single" w:sz="4" w:space="0" w:color="auto"/>
            </w:tcBorders>
            <w:shd w:val="clear" w:color="auto" w:fill="auto"/>
            <w:noWrap/>
            <w:vAlign w:val="bottom"/>
            <w:hideMark/>
          </w:tcPr>
          <w:p w14:paraId="05BCD2A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17.0%</w:t>
            </w:r>
          </w:p>
        </w:tc>
        <w:tc>
          <w:tcPr>
            <w:tcW w:w="1625" w:type="dxa"/>
            <w:tcBorders>
              <w:top w:val="nil"/>
              <w:left w:val="nil"/>
              <w:bottom w:val="single" w:sz="4" w:space="0" w:color="auto"/>
              <w:right w:val="single" w:sz="4" w:space="0" w:color="auto"/>
            </w:tcBorders>
            <w:shd w:val="clear" w:color="auto" w:fill="auto"/>
            <w:noWrap/>
            <w:vAlign w:val="bottom"/>
            <w:hideMark/>
          </w:tcPr>
          <w:p w14:paraId="37EA816D"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199CC5DE"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0E1FB81E" w14:textId="77777777" w:rsidR="003A144B" w:rsidRPr="00BB09C5" w:rsidRDefault="003A144B">
            <w:pPr>
              <w:spacing w:after="0" w:line="240" w:lineRule="auto"/>
              <w:rPr>
                <w:rFonts w:eastAsia="Times New Roman" w:cstheme="minorHAnsi"/>
                <w:iCs/>
              </w:rPr>
            </w:pPr>
            <w:r w:rsidRPr="00BB09C5">
              <w:rPr>
                <w:rFonts w:eastAsia="Times New Roman" w:cstheme="minorHAnsi"/>
                <w:iCs/>
              </w:rPr>
              <w:t>Endocrine Surgery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71E70B5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47AB34DE"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0E17F2E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47CE61F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5391C0C2"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6A58A5D4"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2E5FA500" w14:textId="77777777" w:rsidR="003A144B" w:rsidRPr="00BB09C5" w:rsidRDefault="003A144B">
            <w:pPr>
              <w:spacing w:after="0" w:line="240" w:lineRule="auto"/>
              <w:rPr>
                <w:rFonts w:eastAsia="Times New Roman" w:cstheme="minorHAnsi"/>
                <w:iCs/>
              </w:rPr>
            </w:pPr>
            <w:r w:rsidRPr="00BB09C5">
              <w:rPr>
                <w:rFonts w:eastAsia="Times New Roman" w:cstheme="minorHAnsi"/>
                <w:iCs/>
              </w:rPr>
              <w:t>ENT</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2649B231"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7445B65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317074A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4238171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7CDAA0D2"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5FCB61FD"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65DE9480" w14:textId="77777777" w:rsidR="003A144B" w:rsidRPr="00BB09C5" w:rsidRDefault="003A144B">
            <w:pPr>
              <w:spacing w:after="0" w:line="240" w:lineRule="auto"/>
              <w:rPr>
                <w:rFonts w:eastAsia="Times New Roman" w:cstheme="minorHAnsi"/>
                <w:iCs/>
              </w:rPr>
            </w:pPr>
            <w:r w:rsidRPr="00BB09C5">
              <w:rPr>
                <w:rFonts w:eastAsia="Times New Roman" w:cstheme="minorHAnsi"/>
                <w:iCs/>
              </w:rPr>
              <w:t>Gerontology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26F3CE37"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723AD40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55E58F7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62BD068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08AFEAB2"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38C8FC83"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187B1103" w14:textId="77777777" w:rsidR="003A144B" w:rsidRPr="00BB09C5" w:rsidRDefault="003A144B">
            <w:pPr>
              <w:spacing w:after="0" w:line="240" w:lineRule="auto"/>
              <w:rPr>
                <w:rFonts w:eastAsia="Times New Roman" w:cstheme="minorHAnsi"/>
                <w:iCs/>
              </w:rPr>
            </w:pPr>
            <w:r w:rsidRPr="00BB09C5">
              <w:rPr>
                <w:rFonts w:eastAsia="Times New Roman" w:cstheme="minorHAnsi"/>
                <w:iCs/>
              </w:rPr>
              <w:t>GI</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44485B5C"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26E5A5E6"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531A3B5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3063BA8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7CF75D7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0FB536FF"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118C119F" w14:textId="77777777" w:rsidR="003A144B" w:rsidRPr="00BB09C5" w:rsidRDefault="003A144B">
            <w:pPr>
              <w:spacing w:after="0" w:line="240" w:lineRule="auto"/>
              <w:rPr>
                <w:rFonts w:eastAsia="Times New Roman" w:cstheme="minorHAnsi"/>
                <w:iCs/>
              </w:rPr>
            </w:pPr>
            <w:r w:rsidRPr="00BB09C5">
              <w:rPr>
                <w:rFonts w:eastAsia="Times New Roman" w:cstheme="minorHAnsi"/>
                <w:iCs/>
              </w:rPr>
              <w:t>Hematology/Oncology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458CC70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44BCD95F"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1BEBEC5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44D60BB0"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628B291D"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5871663C"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360B98F9" w14:textId="77777777" w:rsidR="003A144B" w:rsidRPr="00BB09C5" w:rsidRDefault="003A144B">
            <w:pPr>
              <w:spacing w:after="0" w:line="240" w:lineRule="auto"/>
              <w:rPr>
                <w:rFonts w:eastAsia="Times New Roman" w:cstheme="minorHAnsi"/>
                <w:iCs/>
              </w:rPr>
            </w:pPr>
            <w:r w:rsidRPr="00BB09C5">
              <w:rPr>
                <w:rFonts w:eastAsia="Times New Roman" w:cstheme="minorHAnsi"/>
                <w:iCs/>
              </w:rPr>
              <w:t>Infectious Disease</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75F8551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52E5E60B"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58B709F0"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0105232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3D21E59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527B7D54"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116C00B0" w14:textId="77777777" w:rsidR="003A144B" w:rsidRPr="00BB09C5" w:rsidRDefault="003A144B">
            <w:pPr>
              <w:spacing w:after="0" w:line="240" w:lineRule="auto"/>
              <w:rPr>
                <w:rFonts w:eastAsia="Times New Roman" w:cstheme="minorHAnsi"/>
                <w:iCs/>
              </w:rPr>
            </w:pPr>
            <w:r w:rsidRPr="00BB09C5">
              <w:rPr>
                <w:rFonts w:eastAsia="Times New Roman" w:cstheme="minorHAnsi"/>
                <w:iCs/>
              </w:rPr>
              <w:t>Pulmonary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77632132"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30FD836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08A6292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6984D1B8"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276E6DE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6A3A8119"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6683D8C1" w14:textId="77777777" w:rsidR="003A144B" w:rsidRPr="00BB09C5" w:rsidRDefault="003A144B">
            <w:pPr>
              <w:spacing w:after="0" w:line="240" w:lineRule="auto"/>
              <w:rPr>
                <w:rFonts w:eastAsia="Times New Roman" w:cstheme="minorHAnsi"/>
                <w:iCs/>
              </w:rPr>
            </w:pPr>
            <w:r w:rsidRPr="00BB09C5">
              <w:rPr>
                <w:rFonts w:eastAsia="Times New Roman" w:cstheme="minorHAnsi"/>
                <w:iCs/>
              </w:rPr>
              <w:t>Nephrology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6B1F4AC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2A84153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282E10D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0A4883E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1AF954E4"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18C7C322" w14:textId="77777777" w:rsidTr="00B840E9">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617786DA" w14:textId="77777777" w:rsidR="003A144B" w:rsidRPr="00BB09C5" w:rsidRDefault="003A144B">
            <w:pPr>
              <w:spacing w:after="0" w:line="240" w:lineRule="auto"/>
              <w:rPr>
                <w:rFonts w:eastAsia="Times New Roman" w:cstheme="minorHAnsi"/>
                <w:iCs/>
              </w:rPr>
            </w:pPr>
            <w:r w:rsidRPr="00BB09C5">
              <w:rPr>
                <w:rFonts w:eastAsia="Times New Roman" w:cstheme="minorHAnsi"/>
                <w:iCs/>
              </w:rPr>
              <w:t>Podiatry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417D532E"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7FECDA75"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3C85B709"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70CBA9E9"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50424116"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r w:rsidR="003A144B" w:rsidRPr="00BB09C5" w14:paraId="3CEAD3B8" w14:textId="77777777" w:rsidTr="00B840E9">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4295B689" w14:textId="77777777" w:rsidR="003A144B" w:rsidRPr="00BB09C5" w:rsidRDefault="003A144B">
            <w:pPr>
              <w:spacing w:after="0" w:line="240" w:lineRule="auto"/>
              <w:rPr>
                <w:rFonts w:eastAsia="Times New Roman" w:cstheme="minorHAnsi"/>
                <w:iCs/>
              </w:rPr>
            </w:pPr>
            <w:r w:rsidRPr="00BB09C5">
              <w:rPr>
                <w:rFonts w:eastAsia="Times New Roman" w:cstheme="minorHAnsi"/>
                <w:iCs/>
              </w:rPr>
              <w:t>Rheumatology</w:t>
            </w:r>
          </w:p>
        </w:tc>
        <w:tc>
          <w:tcPr>
            <w:tcW w:w="1950" w:type="dxa"/>
            <w:tcBorders>
              <w:top w:val="nil"/>
              <w:left w:val="single" w:sz="4" w:space="0" w:color="auto"/>
              <w:bottom w:val="single" w:sz="4" w:space="0" w:color="auto"/>
              <w:right w:val="single" w:sz="4" w:space="0" w:color="auto"/>
            </w:tcBorders>
            <w:shd w:val="clear" w:color="auto" w:fill="auto"/>
            <w:noWrap/>
            <w:vAlign w:val="bottom"/>
            <w:hideMark/>
          </w:tcPr>
          <w:p w14:paraId="04886EAE"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010AB29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7.4%</w:t>
            </w:r>
          </w:p>
        </w:tc>
        <w:tc>
          <w:tcPr>
            <w:tcW w:w="1562" w:type="dxa"/>
            <w:tcBorders>
              <w:top w:val="nil"/>
              <w:left w:val="nil"/>
              <w:bottom w:val="single" w:sz="4" w:space="0" w:color="auto"/>
              <w:right w:val="single" w:sz="4" w:space="0" w:color="auto"/>
            </w:tcBorders>
            <w:shd w:val="clear" w:color="auto" w:fill="auto"/>
            <w:noWrap/>
            <w:vAlign w:val="bottom"/>
            <w:hideMark/>
          </w:tcPr>
          <w:p w14:paraId="12716F12"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24BECBD3"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1.5%</w:t>
            </w:r>
          </w:p>
        </w:tc>
        <w:tc>
          <w:tcPr>
            <w:tcW w:w="1625" w:type="dxa"/>
            <w:tcBorders>
              <w:top w:val="nil"/>
              <w:left w:val="nil"/>
              <w:bottom w:val="single" w:sz="4" w:space="0" w:color="auto"/>
              <w:right w:val="single" w:sz="4" w:space="0" w:color="auto"/>
            </w:tcBorders>
            <w:shd w:val="clear" w:color="auto" w:fill="auto"/>
            <w:noWrap/>
            <w:vAlign w:val="bottom"/>
            <w:hideMark/>
          </w:tcPr>
          <w:p w14:paraId="469E2B2A" w14:textId="77777777" w:rsidR="003A144B" w:rsidRPr="00BB09C5" w:rsidRDefault="003A144B">
            <w:pPr>
              <w:spacing w:after="0" w:line="240" w:lineRule="auto"/>
              <w:jc w:val="center"/>
              <w:rPr>
                <w:rFonts w:eastAsia="Times New Roman" w:cstheme="minorHAnsi"/>
                <w:iCs/>
              </w:rPr>
            </w:pPr>
            <w:r w:rsidRPr="00BB09C5">
              <w:rPr>
                <w:rFonts w:eastAsia="Times New Roman" w:cstheme="minorHAnsi"/>
                <w:iCs/>
              </w:rPr>
              <w:t>0.0%</w:t>
            </w:r>
          </w:p>
        </w:tc>
      </w:tr>
    </w:tbl>
    <w:p w14:paraId="71A9C3BA" w14:textId="77777777" w:rsidR="003A144B" w:rsidRDefault="003A144B" w:rsidP="00B53B80">
      <w:pPr>
        <w:spacing w:after="0" w:line="240" w:lineRule="auto"/>
        <w:rPr>
          <w:rFonts w:cs="Times New Roman"/>
          <w:sz w:val="24"/>
          <w:szCs w:val="24"/>
        </w:rPr>
      </w:pPr>
    </w:p>
    <w:p w14:paraId="534E9A04" w14:textId="40CB0505" w:rsidR="00B53B80" w:rsidRPr="00C4567C" w:rsidRDefault="00C115A5" w:rsidP="00B53B80">
      <w:pPr>
        <w:spacing w:after="0" w:line="240" w:lineRule="auto"/>
        <w:rPr>
          <w:rFonts w:cs="Times New Roman"/>
          <w:sz w:val="24"/>
          <w:szCs w:val="24"/>
        </w:rPr>
      </w:pPr>
      <w:r>
        <w:rPr>
          <w:rFonts w:cs="Times New Roman"/>
          <w:sz w:val="24"/>
          <w:szCs w:val="24"/>
        </w:rPr>
        <w:t>The referral ratios suggest t</w:t>
      </w:r>
      <w:r w:rsidR="00447074">
        <w:rPr>
          <w:rFonts w:cs="Times New Roman"/>
          <w:sz w:val="24"/>
          <w:szCs w:val="24"/>
        </w:rPr>
        <w:t>hat having on-site diagnostic imaging equipment</w:t>
      </w:r>
      <w:r w:rsidR="00E84935">
        <w:rPr>
          <w:rFonts w:cs="Times New Roman"/>
          <w:sz w:val="24"/>
          <w:szCs w:val="24"/>
        </w:rPr>
        <w:t>, such as the</w:t>
      </w:r>
      <w:r w:rsidR="00B81946">
        <w:rPr>
          <w:rFonts w:cs="Times New Roman"/>
          <w:sz w:val="24"/>
          <w:szCs w:val="24"/>
        </w:rPr>
        <w:t xml:space="preserve"> equipment</w:t>
      </w:r>
      <w:r w:rsidR="006E4E85">
        <w:rPr>
          <w:rFonts w:cs="Times New Roman"/>
          <w:sz w:val="24"/>
          <w:szCs w:val="24"/>
        </w:rPr>
        <w:t xml:space="preserve"> requested in the Proposed Project</w:t>
      </w:r>
      <w:r w:rsidR="00B81946">
        <w:rPr>
          <w:rFonts w:cs="Times New Roman"/>
          <w:sz w:val="24"/>
          <w:szCs w:val="24"/>
        </w:rPr>
        <w:t>,</w:t>
      </w:r>
      <w:r w:rsidR="006E4E85">
        <w:rPr>
          <w:rFonts w:cs="Times New Roman"/>
          <w:sz w:val="24"/>
          <w:szCs w:val="24"/>
        </w:rPr>
        <w:t xml:space="preserve"> would </w:t>
      </w:r>
      <w:r w:rsidR="0053608E">
        <w:rPr>
          <w:rFonts w:cs="Times New Roman"/>
          <w:sz w:val="24"/>
          <w:szCs w:val="24"/>
        </w:rPr>
        <w:t>complement</w:t>
      </w:r>
      <w:r w:rsidR="00721B0C">
        <w:rPr>
          <w:rFonts w:cs="Times New Roman"/>
          <w:sz w:val="24"/>
          <w:szCs w:val="24"/>
        </w:rPr>
        <w:t xml:space="preserve"> the </w:t>
      </w:r>
      <w:r w:rsidR="000F2617">
        <w:rPr>
          <w:rFonts w:cs="Times New Roman"/>
          <w:sz w:val="24"/>
          <w:szCs w:val="24"/>
        </w:rPr>
        <w:t xml:space="preserve">services anticipated </w:t>
      </w:r>
      <w:r w:rsidR="00721B0C">
        <w:rPr>
          <w:rFonts w:cs="Times New Roman"/>
          <w:sz w:val="24"/>
          <w:szCs w:val="24"/>
        </w:rPr>
        <w:t xml:space="preserve">at the Quincy Satellite. </w:t>
      </w:r>
      <w:r w:rsidR="00B81946">
        <w:rPr>
          <w:rFonts w:cs="Times New Roman"/>
          <w:sz w:val="24"/>
          <w:szCs w:val="24"/>
        </w:rPr>
        <w:t>The Applicant states that c</w:t>
      </w:r>
      <w:r w:rsidR="00B53B80" w:rsidRPr="00C4567C">
        <w:rPr>
          <w:rFonts w:cs="Times New Roman"/>
          <w:sz w:val="24"/>
          <w:szCs w:val="24"/>
        </w:rPr>
        <w:t xml:space="preserve">o-locating imaging with primary and specialty care in a community setting </w:t>
      </w:r>
      <w:r w:rsidR="009D3A76">
        <w:rPr>
          <w:rFonts w:cs="Times New Roman"/>
          <w:sz w:val="24"/>
          <w:szCs w:val="24"/>
        </w:rPr>
        <w:t>provides patien</w:t>
      </w:r>
      <w:r w:rsidR="00721B0C">
        <w:rPr>
          <w:rFonts w:cs="Times New Roman"/>
          <w:sz w:val="24"/>
          <w:szCs w:val="24"/>
        </w:rPr>
        <w:t xml:space="preserve">ts </w:t>
      </w:r>
      <w:r w:rsidR="009D3A76">
        <w:rPr>
          <w:rFonts w:cs="Times New Roman"/>
          <w:sz w:val="24"/>
          <w:szCs w:val="24"/>
        </w:rPr>
        <w:t xml:space="preserve">with convenience </w:t>
      </w:r>
      <w:r w:rsidR="000F2617">
        <w:rPr>
          <w:rFonts w:cs="Times New Roman"/>
          <w:sz w:val="24"/>
          <w:szCs w:val="24"/>
        </w:rPr>
        <w:t>targeted to</w:t>
      </w:r>
      <w:r w:rsidR="009D3A76">
        <w:rPr>
          <w:rFonts w:cs="Times New Roman"/>
          <w:sz w:val="24"/>
          <w:szCs w:val="24"/>
        </w:rPr>
        <w:t xml:space="preserve"> improve the</w:t>
      </w:r>
      <w:r w:rsidR="000F2617">
        <w:rPr>
          <w:rFonts w:cs="Times New Roman"/>
          <w:sz w:val="24"/>
          <w:szCs w:val="24"/>
        </w:rPr>
        <w:t xml:space="preserve"> overall</w:t>
      </w:r>
      <w:r w:rsidR="009D3A76">
        <w:rPr>
          <w:rFonts w:cs="Times New Roman"/>
          <w:sz w:val="24"/>
          <w:szCs w:val="24"/>
        </w:rPr>
        <w:t xml:space="preserve"> patient experience</w:t>
      </w:r>
      <w:r w:rsidR="00B53B80" w:rsidRPr="00C4567C">
        <w:rPr>
          <w:rFonts w:cs="Times New Roman"/>
          <w:sz w:val="24"/>
          <w:szCs w:val="24"/>
        </w:rPr>
        <w:t xml:space="preserve">. </w:t>
      </w:r>
    </w:p>
    <w:p w14:paraId="28E8D26F" w14:textId="77777777" w:rsidR="00D276EB" w:rsidRPr="00185FBE" w:rsidRDefault="00D276EB" w:rsidP="00D276EB">
      <w:pPr>
        <w:spacing w:after="0" w:line="240" w:lineRule="auto"/>
        <w:rPr>
          <w:sz w:val="24"/>
          <w:szCs w:val="24"/>
          <w:highlight w:val="yellow"/>
        </w:rPr>
      </w:pPr>
    </w:p>
    <w:p w14:paraId="7616FFA7" w14:textId="77777777" w:rsidR="00D276EB" w:rsidRPr="00BF15FE" w:rsidRDefault="00D276EB" w:rsidP="00D276EB">
      <w:pPr>
        <w:spacing w:after="0" w:line="240" w:lineRule="auto"/>
        <w:rPr>
          <w:b/>
          <w:bCs/>
          <w:i/>
          <w:iCs/>
          <w:sz w:val="24"/>
          <w:szCs w:val="24"/>
        </w:rPr>
      </w:pPr>
      <w:r w:rsidRPr="00BF15FE">
        <w:rPr>
          <w:b/>
          <w:bCs/>
          <w:i/>
          <w:iCs/>
          <w:sz w:val="24"/>
          <w:szCs w:val="24"/>
        </w:rPr>
        <w:t>Analysis</w:t>
      </w:r>
    </w:p>
    <w:p w14:paraId="726F8F0D" w14:textId="28FE00BB" w:rsidR="006E2A42" w:rsidRDefault="006C52C8" w:rsidP="005E2209">
      <w:pPr>
        <w:rPr>
          <w:rFonts w:eastAsia="Calibri"/>
          <w:sz w:val="24"/>
          <w:szCs w:val="24"/>
        </w:rPr>
      </w:pPr>
      <w:r w:rsidRPr="351EA6FC">
        <w:rPr>
          <w:rFonts w:eastAsia="Calibri"/>
          <w:sz w:val="24"/>
          <w:szCs w:val="24"/>
        </w:rPr>
        <w:t xml:space="preserve">Staff finds that the Applicant has demonstrated sufficient need for </w:t>
      </w:r>
      <w:r w:rsidR="000F2617" w:rsidRPr="351EA6FC">
        <w:rPr>
          <w:rFonts w:eastAsia="Calibri"/>
          <w:sz w:val="24"/>
          <w:szCs w:val="24"/>
        </w:rPr>
        <w:t>e</w:t>
      </w:r>
      <w:r w:rsidR="00B31B6F" w:rsidRPr="351EA6FC">
        <w:rPr>
          <w:rFonts w:eastAsia="Calibri"/>
          <w:sz w:val="24"/>
          <w:szCs w:val="24"/>
        </w:rPr>
        <w:t>stablishing</w:t>
      </w:r>
      <w:r w:rsidR="00CA47D9" w:rsidRPr="351EA6FC">
        <w:rPr>
          <w:rFonts w:eastAsia="Calibri"/>
          <w:sz w:val="24"/>
          <w:szCs w:val="24"/>
        </w:rPr>
        <w:t xml:space="preserve"> both</w:t>
      </w:r>
      <w:r w:rsidR="00B31B6F" w:rsidRPr="351EA6FC">
        <w:rPr>
          <w:rFonts w:eastAsia="Calibri"/>
          <w:sz w:val="24"/>
          <w:szCs w:val="24"/>
        </w:rPr>
        <w:t xml:space="preserve"> </w:t>
      </w:r>
      <w:r w:rsidR="00CA47D9" w:rsidRPr="351EA6FC">
        <w:rPr>
          <w:rFonts w:eastAsia="Calibri"/>
          <w:sz w:val="24"/>
          <w:szCs w:val="24"/>
        </w:rPr>
        <w:t xml:space="preserve">the Cordage Park and Quincy Satellites. Each Satellite will provide services to </w:t>
      </w:r>
      <w:r w:rsidRPr="351EA6FC">
        <w:rPr>
          <w:rFonts w:eastAsia="Calibri"/>
          <w:sz w:val="24"/>
          <w:szCs w:val="24"/>
        </w:rPr>
        <w:t xml:space="preserve">address </w:t>
      </w:r>
      <w:r w:rsidR="00BC2630" w:rsidRPr="351EA6FC">
        <w:rPr>
          <w:rFonts w:eastAsia="Calibri"/>
          <w:sz w:val="24"/>
          <w:szCs w:val="24"/>
        </w:rPr>
        <w:t>current</w:t>
      </w:r>
      <w:r w:rsidRPr="351EA6FC">
        <w:rPr>
          <w:rFonts w:eastAsia="Calibri"/>
          <w:sz w:val="24"/>
          <w:szCs w:val="24"/>
        </w:rPr>
        <w:t xml:space="preserve"> </w:t>
      </w:r>
      <w:r w:rsidR="00F0361C" w:rsidRPr="351EA6FC">
        <w:rPr>
          <w:rFonts w:eastAsia="Calibri"/>
          <w:sz w:val="24"/>
          <w:szCs w:val="24"/>
        </w:rPr>
        <w:t>unmet need for sp</w:t>
      </w:r>
      <w:r w:rsidR="007A5D42" w:rsidRPr="351EA6FC">
        <w:rPr>
          <w:rFonts w:eastAsia="Calibri"/>
          <w:sz w:val="24"/>
          <w:szCs w:val="24"/>
        </w:rPr>
        <w:t>ecialty treatments</w:t>
      </w:r>
      <w:r w:rsidR="00BC2630" w:rsidRPr="351EA6FC">
        <w:rPr>
          <w:rFonts w:eastAsia="Calibri"/>
          <w:sz w:val="24"/>
          <w:szCs w:val="24"/>
        </w:rPr>
        <w:t xml:space="preserve"> among anticipated patient populations</w:t>
      </w:r>
      <w:r w:rsidR="00BF15FE" w:rsidRPr="351EA6FC">
        <w:rPr>
          <w:rFonts w:eastAsia="Calibri"/>
          <w:sz w:val="24"/>
          <w:szCs w:val="24"/>
        </w:rPr>
        <w:t>, a</w:t>
      </w:r>
      <w:r w:rsidR="00BC2630" w:rsidRPr="351EA6FC">
        <w:rPr>
          <w:rFonts w:eastAsia="Calibri"/>
          <w:sz w:val="24"/>
          <w:szCs w:val="24"/>
        </w:rPr>
        <w:t>s well as anticipate</w:t>
      </w:r>
      <w:r w:rsidR="00BF15FE" w:rsidRPr="351EA6FC">
        <w:rPr>
          <w:rFonts w:eastAsia="Calibri"/>
          <w:sz w:val="24"/>
          <w:szCs w:val="24"/>
        </w:rPr>
        <w:t xml:space="preserve"> the predicted growth in volume in the area.</w:t>
      </w:r>
      <w:r w:rsidR="00473AEB" w:rsidRPr="351EA6FC">
        <w:rPr>
          <w:rFonts w:eastAsia="Calibri"/>
          <w:sz w:val="24"/>
          <w:szCs w:val="24"/>
        </w:rPr>
        <w:t xml:space="preserve"> </w:t>
      </w:r>
      <w:r w:rsidR="00616E16" w:rsidRPr="351EA6FC">
        <w:rPr>
          <w:rFonts w:eastAsia="Calibri"/>
          <w:sz w:val="24"/>
          <w:szCs w:val="24"/>
        </w:rPr>
        <w:t xml:space="preserve">The Cordage Park Satellite would </w:t>
      </w:r>
      <w:r w:rsidR="00AB6D0A" w:rsidRPr="351EA6FC">
        <w:rPr>
          <w:rFonts w:eastAsia="Calibri"/>
          <w:sz w:val="24"/>
          <w:szCs w:val="24"/>
        </w:rPr>
        <w:t>support access to needed</w:t>
      </w:r>
      <w:r w:rsidR="000F1931">
        <w:rPr>
          <w:rFonts w:eastAsia="Calibri"/>
          <w:sz w:val="24"/>
          <w:szCs w:val="24"/>
        </w:rPr>
        <w:t xml:space="preserve"> </w:t>
      </w:r>
      <w:r w:rsidR="000F1931" w:rsidRPr="003621DD">
        <w:rPr>
          <w:rFonts w:cs="Times New Roman"/>
          <w:sz w:val="24"/>
          <w:szCs w:val="24"/>
        </w:rPr>
        <w:t>hematology-oncology</w:t>
      </w:r>
      <w:r w:rsidR="0080500C">
        <w:rPr>
          <w:rFonts w:cs="Times New Roman"/>
          <w:sz w:val="24"/>
          <w:szCs w:val="24"/>
        </w:rPr>
        <w:t xml:space="preserve"> and infusion services</w:t>
      </w:r>
      <w:r w:rsidR="00097B1F" w:rsidRPr="351EA6FC">
        <w:rPr>
          <w:rFonts w:eastAsia="Calibri"/>
          <w:sz w:val="24"/>
          <w:szCs w:val="24"/>
        </w:rPr>
        <w:t xml:space="preserve"> in the Plymouth Region. </w:t>
      </w:r>
      <w:r w:rsidR="00741714" w:rsidRPr="351EA6FC">
        <w:rPr>
          <w:rFonts w:eastAsia="Calibri"/>
          <w:sz w:val="24"/>
          <w:szCs w:val="24"/>
        </w:rPr>
        <w:t>The Quincy Satellite</w:t>
      </w:r>
      <w:r w:rsidR="00097B1F" w:rsidRPr="351EA6FC">
        <w:rPr>
          <w:rFonts w:eastAsia="Calibri"/>
          <w:sz w:val="24"/>
          <w:szCs w:val="24"/>
        </w:rPr>
        <w:t xml:space="preserve"> </w:t>
      </w:r>
      <w:r w:rsidR="00F31194" w:rsidRPr="351EA6FC">
        <w:rPr>
          <w:rFonts w:eastAsia="Calibri"/>
          <w:sz w:val="24"/>
          <w:szCs w:val="24"/>
        </w:rPr>
        <w:t xml:space="preserve">would </w:t>
      </w:r>
      <w:r w:rsidR="00171382" w:rsidRPr="351EA6FC">
        <w:rPr>
          <w:rFonts w:eastAsia="Calibri"/>
          <w:sz w:val="24"/>
          <w:szCs w:val="24"/>
        </w:rPr>
        <w:t xml:space="preserve">support </w:t>
      </w:r>
      <w:r w:rsidR="007A5D42" w:rsidRPr="007A5D42">
        <w:rPr>
          <w:rFonts w:cs="Times New Roman"/>
          <w:sz w:val="24"/>
          <w:szCs w:val="24"/>
        </w:rPr>
        <w:t xml:space="preserve">access to </w:t>
      </w:r>
      <w:r w:rsidR="00171382">
        <w:rPr>
          <w:rFonts w:cs="Times New Roman"/>
          <w:sz w:val="24"/>
          <w:szCs w:val="24"/>
        </w:rPr>
        <w:t xml:space="preserve">needed </w:t>
      </w:r>
      <w:r w:rsidR="007A5D42" w:rsidRPr="007A5D42">
        <w:rPr>
          <w:rFonts w:cs="Times New Roman"/>
          <w:sz w:val="24"/>
          <w:szCs w:val="24"/>
        </w:rPr>
        <w:t xml:space="preserve">hematology-oncology, OBGYN, </w:t>
      </w:r>
      <w:r w:rsidR="007A5D42" w:rsidRPr="007A5D42">
        <w:rPr>
          <w:rFonts w:cs="Times New Roman"/>
          <w:sz w:val="24"/>
          <w:szCs w:val="24"/>
        </w:rPr>
        <w:lastRenderedPageBreak/>
        <w:t>endocrinology, gastroenterology, pulmonology, and rheumatology in the Quincy regions</w:t>
      </w:r>
      <w:r w:rsidR="00171382">
        <w:rPr>
          <w:rFonts w:cs="Times New Roman"/>
          <w:sz w:val="24"/>
          <w:szCs w:val="24"/>
        </w:rPr>
        <w:t xml:space="preserve">, as well as </w:t>
      </w:r>
      <w:r w:rsidR="00AB6D0A">
        <w:rPr>
          <w:rFonts w:cs="Times New Roman"/>
          <w:sz w:val="24"/>
          <w:szCs w:val="24"/>
        </w:rPr>
        <w:t>provide on-site diagnostic imagin</w:t>
      </w:r>
      <w:r w:rsidR="0062371C">
        <w:rPr>
          <w:rFonts w:cs="Times New Roman"/>
          <w:sz w:val="24"/>
          <w:szCs w:val="24"/>
        </w:rPr>
        <w:t>ing</w:t>
      </w:r>
      <w:r w:rsidR="00AB6D0A">
        <w:rPr>
          <w:rFonts w:cs="Times New Roman"/>
          <w:sz w:val="24"/>
          <w:szCs w:val="24"/>
        </w:rPr>
        <w:t xml:space="preserve"> to complement those services</w:t>
      </w:r>
      <w:r w:rsidR="006E2A42" w:rsidRPr="351EA6FC">
        <w:rPr>
          <w:rFonts w:eastAsia="Calibri"/>
          <w:sz w:val="24"/>
          <w:szCs w:val="24"/>
        </w:rPr>
        <w:t>.</w:t>
      </w:r>
      <w:r w:rsidR="007C5B2D" w:rsidRPr="351EA6FC">
        <w:rPr>
          <w:rFonts w:eastAsia="Calibri"/>
          <w:sz w:val="24"/>
          <w:szCs w:val="24"/>
        </w:rPr>
        <w:t xml:space="preserve"> </w:t>
      </w:r>
      <w:r w:rsidR="0096085D" w:rsidRPr="351EA6FC">
        <w:rPr>
          <w:rFonts w:eastAsia="Calibri"/>
          <w:sz w:val="24"/>
          <w:szCs w:val="24"/>
        </w:rPr>
        <w:t xml:space="preserve">As </w:t>
      </w:r>
      <w:r w:rsidR="005E2209" w:rsidRPr="351EA6FC">
        <w:rPr>
          <w:rFonts w:eastAsia="Calibri"/>
          <w:sz w:val="24"/>
          <w:szCs w:val="24"/>
        </w:rPr>
        <w:t>a result, Staff finds that the Proposed Project meets the requirements of Factor 1a.</w:t>
      </w:r>
    </w:p>
    <w:p w14:paraId="32F1FC64" w14:textId="77777777" w:rsidR="00C83E03" w:rsidRPr="00185FBE" w:rsidRDefault="00C83E03" w:rsidP="005E2209">
      <w:pPr>
        <w:rPr>
          <w:rFonts w:eastAsia="Calibri" w:cstheme="minorHAnsi"/>
          <w:sz w:val="24"/>
          <w:szCs w:val="24"/>
          <w:highlight w:val="yellow"/>
        </w:rPr>
      </w:pPr>
    </w:p>
    <w:p w14:paraId="55B52D9C" w14:textId="76D37FEB" w:rsidR="003E1CDA" w:rsidRPr="000E27D5" w:rsidRDefault="007D6615" w:rsidP="002B05B4">
      <w:pPr>
        <w:pStyle w:val="Heading1"/>
      </w:pPr>
      <w:bookmarkStart w:id="8" w:name="_Toc196819107"/>
      <w:r w:rsidRPr="000E27D5">
        <w:t>F</w:t>
      </w:r>
      <w:r w:rsidR="003E1CDA" w:rsidRPr="000E27D5">
        <w:t>actor 1: b) Public Health Value</w:t>
      </w:r>
      <w:r w:rsidR="006F12E9" w:rsidRPr="000E27D5">
        <w:t xml:space="preserve"> through</w:t>
      </w:r>
      <w:r w:rsidR="003E1CDA" w:rsidRPr="000E27D5">
        <w:t xml:space="preserve"> Improved Health Outcomes </w:t>
      </w:r>
      <w:r w:rsidR="007D602B" w:rsidRPr="000E27D5">
        <w:t>and</w:t>
      </w:r>
      <w:r w:rsidR="003E1CDA" w:rsidRPr="000E27D5">
        <w:t xml:space="preserve"> Quality Of Life; Assurances Of Health Equity</w:t>
      </w:r>
      <w:bookmarkEnd w:id="8"/>
    </w:p>
    <w:p w14:paraId="2128ACF9" w14:textId="1A9D9AA2" w:rsidR="003568F4" w:rsidRPr="000E27D5" w:rsidRDefault="00477A2E" w:rsidP="00477A2E">
      <w:pPr>
        <w:autoSpaceDE w:val="0"/>
        <w:autoSpaceDN w:val="0"/>
        <w:adjustRightInd w:val="0"/>
        <w:rPr>
          <w:color w:val="000000"/>
          <w:sz w:val="24"/>
          <w:szCs w:val="24"/>
        </w:rPr>
      </w:pPr>
      <w:r w:rsidRPr="142449DA">
        <w:rPr>
          <w:color w:val="000000" w:themeColor="text1"/>
          <w:sz w:val="24"/>
          <w:szCs w:val="24"/>
        </w:rPr>
        <w:t>In</w:t>
      </w:r>
      <w:r w:rsidRPr="142449DA">
        <w:rPr>
          <w:sz w:val="24"/>
          <w:szCs w:val="24"/>
        </w:rPr>
        <w:t xml:space="preserve"> this section</w:t>
      </w:r>
      <w:r w:rsidR="006B437E" w:rsidRPr="142449DA">
        <w:rPr>
          <w:sz w:val="24"/>
          <w:szCs w:val="24"/>
        </w:rPr>
        <w:t>,</w:t>
      </w:r>
      <w:r w:rsidRPr="142449DA">
        <w:rPr>
          <w:sz w:val="24"/>
          <w:szCs w:val="24"/>
        </w:rPr>
        <w:t xml:space="preserve"> staff will assess if the Proposed Project </w:t>
      </w:r>
      <w:r w:rsidRPr="142449DA">
        <w:rPr>
          <w:color w:val="000000" w:themeColor="text1"/>
          <w:sz w:val="24"/>
          <w:szCs w:val="24"/>
        </w:rPr>
        <w:t xml:space="preserve">adds measurable public health value in terms of improved health outcomes and quality of life for the Applicant’s existing Patient Panel, while providing reasonable assurances of health equity. </w:t>
      </w:r>
    </w:p>
    <w:p w14:paraId="4A8C41CF" w14:textId="2CB20374" w:rsidR="005259F8" w:rsidRPr="009D71D6" w:rsidRDefault="004B6352" w:rsidP="0002054A">
      <w:pPr>
        <w:spacing w:before="240" w:after="0"/>
        <w:rPr>
          <w:sz w:val="24"/>
          <w:szCs w:val="24"/>
        </w:rPr>
      </w:pPr>
      <w:r w:rsidRPr="009D71D6">
        <w:rPr>
          <w:b/>
          <w:bCs/>
          <w:sz w:val="24"/>
          <w:szCs w:val="24"/>
        </w:rPr>
        <w:t>Health</w:t>
      </w:r>
      <w:r w:rsidR="005259F8" w:rsidRPr="009D71D6">
        <w:rPr>
          <w:b/>
          <w:bCs/>
          <w:sz w:val="24"/>
          <w:szCs w:val="24"/>
        </w:rPr>
        <w:t xml:space="preserve"> outcomes and quality of life</w:t>
      </w:r>
    </w:p>
    <w:p w14:paraId="48EB6A6F" w14:textId="16AF56F1" w:rsidR="003568F4" w:rsidRPr="009D71D6" w:rsidRDefault="006E42B6" w:rsidP="0002054A">
      <w:pPr>
        <w:pStyle w:val="BodyText"/>
        <w:widowControl/>
        <w:spacing w:before="0"/>
        <w:ind w:left="14"/>
        <w:rPr>
          <w:rFonts w:asciiTheme="minorHAnsi" w:hAnsiTheme="minorHAnsi" w:cstheme="minorHAnsi"/>
          <w:bCs/>
          <w:kern w:val="2"/>
          <w:sz w:val="24"/>
          <w:szCs w:val="24"/>
        </w:rPr>
      </w:pPr>
      <w:r w:rsidRPr="009D71D6">
        <w:rPr>
          <w:rFonts w:asciiTheme="minorHAnsi" w:hAnsiTheme="minorHAnsi" w:cstheme="minorHAnsi"/>
          <w:bCs/>
          <w:kern w:val="2"/>
          <w:sz w:val="24"/>
          <w:szCs w:val="24"/>
        </w:rPr>
        <w:t xml:space="preserve">By </w:t>
      </w:r>
      <w:r w:rsidR="00DA7A6D" w:rsidRPr="009D71D6">
        <w:rPr>
          <w:rFonts w:asciiTheme="minorHAnsi" w:hAnsiTheme="minorHAnsi" w:cstheme="minorHAnsi"/>
          <w:bCs/>
          <w:kern w:val="2"/>
          <w:sz w:val="24"/>
          <w:szCs w:val="24"/>
        </w:rPr>
        <w:t xml:space="preserve">establishing the two Satellites, the Applicant </w:t>
      </w:r>
      <w:r w:rsidR="002D1EF1">
        <w:rPr>
          <w:rFonts w:asciiTheme="minorHAnsi" w:hAnsiTheme="minorHAnsi" w:cstheme="minorHAnsi"/>
          <w:bCs/>
          <w:kern w:val="2"/>
          <w:sz w:val="24"/>
          <w:szCs w:val="24"/>
        </w:rPr>
        <w:t>expects</w:t>
      </w:r>
      <w:r w:rsidR="00DA7A6D" w:rsidRPr="009D71D6">
        <w:rPr>
          <w:rFonts w:asciiTheme="minorHAnsi" w:hAnsiTheme="minorHAnsi" w:cstheme="minorHAnsi"/>
          <w:bCs/>
          <w:kern w:val="2"/>
          <w:sz w:val="24"/>
          <w:szCs w:val="24"/>
        </w:rPr>
        <w:t xml:space="preserve"> that </w:t>
      </w:r>
      <w:r w:rsidR="00FB11B2" w:rsidRPr="009D71D6">
        <w:rPr>
          <w:rFonts w:asciiTheme="minorHAnsi" w:hAnsiTheme="minorHAnsi" w:cstheme="minorHAnsi"/>
          <w:bCs/>
          <w:kern w:val="2"/>
          <w:sz w:val="24"/>
          <w:szCs w:val="24"/>
        </w:rPr>
        <w:t xml:space="preserve">the </w:t>
      </w:r>
      <w:r w:rsidR="0052439F">
        <w:rPr>
          <w:rFonts w:asciiTheme="minorHAnsi" w:hAnsiTheme="minorHAnsi" w:cstheme="minorHAnsi"/>
          <w:bCs/>
          <w:kern w:val="2"/>
          <w:sz w:val="24"/>
          <w:szCs w:val="24"/>
        </w:rPr>
        <w:t>P</w:t>
      </w:r>
      <w:r w:rsidR="00A34F17" w:rsidRPr="009D71D6">
        <w:rPr>
          <w:rFonts w:asciiTheme="minorHAnsi" w:hAnsiTheme="minorHAnsi" w:cstheme="minorHAnsi"/>
          <w:bCs/>
          <w:kern w:val="2"/>
          <w:sz w:val="24"/>
          <w:szCs w:val="24"/>
        </w:rPr>
        <w:t xml:space="preserve">rimary </w:t>
      </w:r>
      <w:r w:rsidR="0052439F">
        <w:rPr>
          <w:rFonts w:asciiTheme="minorHAnsi" w:hAnsiTheme="minorHAnsi" w:cstheme="minorHAnsi"/>
          <w:bCs/>
          <w:kern w:val="2"/>
          <w:sz w:val="24"/>
          <w:szCs w:val="24"/>
        </w:rPr>
        <w:t>S</w:t>
      </w:r>
      <w:r w:rsidR="00A34F17" w:rsidRPr="009D71D6">
        <w:rPr>
          <w:rFonts w:asciiTheme="minorHAnsi" w:hAnsiTheme="minorHAnsi" w:cstheme="minorHAnsi"/>
          <w:bCs/>
          <w:kern w:val="2"/>
          <w:sz w:val="24"/>
          <w:szCs w:val="24"/>
        </w:rPr>
        <w:t xml:space="preserve">ervice </w:t>
      </w:r>
      <w:r w:rsidR="0052439F">
        <w:rPr>
          <w:rFonts w:asciiTheme="minorHAnsi" w:hAnsiTheme="minorHAnsi" w:cstheme="minorHAnsi"/>
          <w:bCs/>
          <w:kern w:val="2"/>
          <w:sz w:val="24"/>
          <w:szCs w:val="24"/>
        </w:rPr>
        <w:t>A</w:t>
      </w:r>
      <w:r w:rsidR="00A34F17" w:rsidRPr="009D71D6">
        <w:rPr>
          <w:rFonts w:asciiTheme="minorHAnsi" w:hAnsiTheme="minorHAnsi" w:cstheme="minorHAnsi"/>
          <w:bCs/>
          <w:kern w:val="2"/>
          <w:sz w:val="24"/>
          <w:szCs w:val="24"/>
        </w:rPr>
        <w:t xml:space="preserve">rea </w:t>
      </w:r>
      <w:r w:rsidR="00996F71">
        <w:rPr>
          <w:rFonts w:asciiTheme="minorHAnsi" w:hAnsiTheme="minorHAnsi" w:cstheme="minorHAnsi"/>
          <w:bCs/>
          <w:kern w:val="2"/>
          <w:sz w:val="24"/>
          <w:szCs w:val="24"/>
        </w:rPr>
        <w:t xml:space="preserve">(PSA) </w:t>
      </w:r>
      <w:r w:rsidR="00A34F17" w:rsidRPr="009D71D6">
        <w:rPr>
          <w:rFonts w:asciiTheme="minorHAnsi" w:hAnsiTheme="minorHAnsi" w:cstheme="minorHAnsi"/>
          <w:bCs/>
          <w:kern w:val="2"/>
          <w:sz w:val="24"/>
          <w:szCs w:val="24"/>
        </w:rPr>
        <w:t xml:space="preserve">will gain </w:t>
      </w:r>
      <w:r w:rsidR="006823E2" w:rsidRPr="009D71D6">
        <w:rPr>
          <w:rFonts w:asciiTheme="minorHAnsi" w:hAnsiTheme="minorHAnsi" w:cstheme="minorHAnsi"/>
          <w:bCs/>
          <w:kern w:val="2"/>
          <w:sz w:val="24"/>
          <w:szCs w:val="24"/>
        </w:rPr>
        <w:t>greater</w:t>
      </w:r>
      <w:r w:rsidR="00A34F17" w:rsidRPr="009D71D6">
        <w:rPr>
          <w:rFonts w:asciiTheme="minorHAnsi" w:hAnsiTheme="minorHAnsi" w:cstheme="minorHAnsi"/>
          <w:bCs/>
          <w:kern w:val="2"/>
          <w:sz w:val="24"/>
          <w:szCs w:val="24"/>
        </w:rPr>
        <w:t xml:space="preserve"> access to </w:t>
      </w:r>
      <w:r w:rsidR="006823E2" w:rsidRPr="009D71D6">
        <w:rPr>
          <w:rFonts w:asciiTheme="minorHAnsi" w:hAnsiTheme="minorHAnsi" w:cstheme="minorHAnsi"/>
          <w:bCs/>
          <w:kern w:val="2"/>
          <w:sz w:val="24"/>
          <w:szCs w:val="24"/>
        </w:rPr>
        <w:t xml:space="preserve">the variety of </w:t>
      </w:r>
      <w:r w:rsidR="00A34F17" w:rsidRPr="009D71D6">
        <w:rPr>
          <w:rFonts w:asciiTheme="minorHAnsi" w:hAnsiTheme="minorHAnsi" w:cstheme="minorHAnsi"/>
          <w:bCs/>
          <w:kern w:val="2"/>
          <w:sz w:val="24"/>
          <w:szCs w:val="24"/>
        </w:rPr>
        <w:t>services</w:t>
      </w:r>
      <w:r w:rsidR="00E506BE" w:rsidRPr="009D71D6">
        <w:rPr>
          <w:rFonts w:asciiTheme="minorHAnsi" w:hAnsiTheme="minorHAnsi" w:cstheme="minorHAnsi"/>
          <w:bCs/>
          <w:kern w:val="2"/>
          <w:sz w:val="24"/>
          <w:szCs w:val="24"/>
        </w:rPr>
        <w:t xml:space="preserve">, </w:t>
      </w:r>
      <w:r w:rsidR="009900AB">
        <w:rPr>
          <w:rFonts w:asciiTheme="minorHAnsi" w:hAnsiTheme="minorHAnsi" w:cstheme="minorHAnsi"/>
          <w:bCs/>
          <w:kern w:val="2"/>
          <w:sz w:val="24"/>
          <w:szCs w:val="24"/>
        </w:rPr>
        <w:t>including</w:t>
      </w:r>
      <w:r w:rsidR="009D71D6" w:rsidRPr="009D71D6">
        <w:rPr>
          <w:rFonts w:asciiTheme="minorHAnsi" w:hAnsiTheme="minorHAnsi" w:cstheme="minorHAnsi"/>
          <w:bCs/>
          <w:kern w:val="2"/>
          <w:sz w:val="24"/>
          <w:szCs w:val="24"/>
        </w:rPr>
        <w:t xml:space="preserve"> reduction in travel time </w:t>
      </w:r>
      <w:r w:rsidR="00FF04BC">
        <w:rPr>
          <w:rFonts w:asciiTheme="minorHAnsi" w:hAnsiTheme="minorHAnsi" w:cstheme="minorHAnsi"/>
          <w:bCs/>
          <w:kern w:val="2"/>
          <w:sz w:val="24"/>
          <w:szCs w:val="24"/>
        </w:rPr>
        <w:t>to</w:t>
      </w:r>
      <w:r w:rsidR="009D71D6" w:rsidRPr="009D71D6">
        <w:rPr>
          <w:rFonts w:asciiTheme="minorHAnsi" w:hAnsiTheme="minorHAnsi" w:cstheme="minorHAnsi"/>
          <w:bCs/>
          <w:kern w:val="2"/>
          <w:sz w:val="24"/>
          <w:szCs w:val="24"/>
        </w:rPr>
        <w:t xml:space="preserve"> these services </w:t>
      </w:r>
      <w:r w:rsidR="00FF04BC">
        <w:rPr>
          <w:rFonts w:asciiTheme="minorHAnsi" w:hAnsiTheme="minorHAnsi" w:cstheme="minorHAnsi"/>
          <w:bCs/>
          <w:kern w:val="2"/>
          <w:sz w:val="24"/>
          <w:szCs w:val="24"/>
        </w:rPr>
        <w:t>to support improved access</w:t>
      </w:r>
      <w:r w:rsidR="009D71D6" w:rsidRPr="009D71D6">
        <w:rPr>
          <w:rFonts w:asciiTheme="minorHAnsi" w:hAnsiTheme="minorHAnsi" w:cstheme="minorHAnsi"/>
          <w:bCs/>
          <w:kern w:val="2"/>
          <w:sz w:val="24"/>
          <w:szCs w:val="24"/>
        </w:rPr>
        <w:t xml:space="preserve">. </w:t>
      </w:r>
      <w:r w:rsidR="00A34F17" w:rsidRPr="009D71D6">
        <w:rPr>
          <w:rFonts w:asciiTheme="minorHAnsi" w:hAnsiTheme="minorHAnsi" w:cstheme="minorHAnsi"/>
          <w:bCs/>
          <w:kern w:val="2"/>
          <w:sz w:val="24"/>
          <w:szCs w:val="24"/>
        </w:rPr>
        <w:t xml:space="preserve"> </w:t>
      </w:r>
      <w:r w:rsidR="00F3687E" w:rsidRPr="009D71D6">
        <w:rPr>
          <w:rFonts w:asciiTheme="minorHAnsi" w:hAnsiTheme="minorHAnsi" w:cstheme="minorHAnsi"/>
          <w:bCs/>
          <w:kern w:val="2"/>
          <w:sz w:val="24"/>
          <w:szCs w:val="24"/>
        </w:rPr>
        <w:t xml:space="preserve"> </w:t>
      </w:r>
    </w:p>
    <w:p w14:paraId="75AFB8B1" w14:textId="77777777" w:rsidR="00931426" w:rsidRPr="00185FBE" w:rsidRDefault="00931426" w:rsidP="0002054A">
      <w:pPr>
        <w:pStyle w:val="BodyText"/>
        <w:widowControl/>
        <w:spacing w:before="0"/>
        <w:ind w:left="14"/>
        <w:rPr>
          <w:rFonts w:asciiTheme="minorHAnsi" w:hAnsiTheme="minorHAnsi" w:cstheme="minorHAnsi"/>
          <w:bCs/>
          <w:kern w:val="2"/>
          <w:sz w:val="24"/>
          <w:szCs w:val="24"/>
          <w:highlight w:val="yellow"/>
        </w:rPr>
      </w:pPr>
    </w:p>
    <w:p w14:paraId="08B47149" w14:textId="1FFA8DBD" w:rsidR="00431C8E" w:rsidRPr="000B0995" w:rsidRDefault="009D71D6" w:rsidP="000B0995">
      <w:pPr>
        <w:pStyle w:val="ListParagraph"/>
        <w:widowControl w:val="0"/>
        <w:numPr>
          <w:ilvl w:val="0"/>
          <w:numId w:val="4"/>
        </w:numPr>
        <w:spacing w:after="0" w:line="240" w:lineRule="auto"/>
        <w:rPr>
          <w:rFonts w:cstheme="minorHAnsi"/>
          <w:b/>
          <w:i/>
          <w:iCs/>
          <w:kern w:val="2"/>
          <w:sz w:val="24"/>
          <w:szCs w:val="24"/>
        </w:rPr>
      </w:pPr>
      <w:r w:rsidRPr="00337CAE">
        <w:rPr>
          <w:rFonts w:cstheme="minorHAnsi"/>
          <w:b/>
          <w:i/>
          <w:iCs/>
          <w:kern w:val="2"/>
          <w:sz w:val="24"/>
          <w:szCs w:val="24"/>
        </w:rPr>
        <w:t>Greater Access to</w:t>
      </w:r>
      <w:r w:rsidR="00335172" w:rsidRPr="00337CAE">
        <w:rPr>
          <w:rFonts w:cstheme="minorHAnsi"/>
          <w:b/>
          <w:i/>
          <w:iCs/>
          <w:kern w:val="2"/>
          <w:sz w:val="24"/>
          <w:szCs w:val="24"/>
        </w:rPr>
        <w:t xml:space="preserve"> </w:t>
      </w:r>
      <w:r w:rsidR="00BE5184" w:rsidRPr="00337CAE">
        <w:rPr>
          <w:rFonts w:cstheme="minorHAnsi"/>
          <w:b/>
          <w:i/>
          <w:iCs/>
          <w:kern w:val="2"/>
          <w:sz w:val="24"/>
          <w:szCs w:val="24"/>
        </w:rPr>
        <w:t>Specialty Services</w:t>
      </w:r>
    </w:p>
    <w:p w14:paraId="7C9E0EE2" w14:textId="2D36360A" w:rsidR="00C135F7" w:rsidRPr="004061B3" w:rsidRDefault="009C7D3F" w:rsidP="008F2DB9">
      <w:pPr>
        <w:autoSpaceDE w:val="0"/>
        <w:autoSpaceDN w:val="0"/>
        <w:adjustRightInd w:val="0"/>
        <w:spacing w:before="120" w:after="0" w:line="240" w:lineRule="auto"/>
        <w:ind w:left="360"/>
        <w:rPr>
          <w:rFonts w:cs="Times New Roman"/>
          <w:kern w:val="2"/>
          <w:sz w:val="24"/>
          <w:szCs w:val="24"/>
        </w:rPr>
      </w:pPr>
      <w:r>
        <w:rPr>
          <w:rFonts w:eastAsia="Times New Roman"/>
          <w:sz w:val="24"/>
          <w:szCs w:val="24"/>
        </w:rPr>
        <w:t xml:space="preserve">The Applicant </w:t>
      </w:r>
      <w:r w:rsidR="003A1FB6">
        <w:rPr>
          <w:rFonts w:eastAsia="Times New Roman"/>
          <w:sz w:val="24"/>
          <w:szCs w:val="24"/>
        </w:rPr>
        <w:t>asserts that b</w:t>
      </w:r>
      <w:r w:rsidR="008F2DB9" w:rsidRPr="0165A4D9">
        <w:rPr>
          <w:rFonts w:eastAsia="Times New Roman"/>
          <w:sz w:val="24"/>
          <w:szCs w:val="24"/>
        </w:rPr>
        <w:t xml:space="preserve">oth Satellites </w:t>
      </w:r>
      <w:r w:rsidR="00B03E8F" w:rsidRPr="0165A4D9">
        <w:rPr>
          <w:rFonts w:eastAsia="Times New Roman"/>
          <w:sz w:val="24"/>
          <w:szCs w:val="24"/>
        </w:rPr>
        <w:t>will add to public health value by providin</w:t>
      </w:r>
      <w:r w:rsidR="008708E1">
        <w:rPr>
          <w:rFonts w:eastAsia="Times New Roman"/>
          <w:sz w:val="24"/>
          <w:szCs w:val="24"/>
        </w:rPr>
        <w:t xml:space="preserve">g </w:t>
      </w:r>
      <w:r w:rsidR="00880E54">
        <w:rPr>
          <w:rFonts w:eastAsia="Times New Roman"/>
          <w:sz w:val="24"/>
          <w:szCs w:val="24"/>
        </w:rPr>
        <w:t>expanded</w:t>
      </w:r>
      <w:r w:rsidR="008708E1">
        <w:rPr>
          <w:rFonts w:eastAsia="Times New Roman"/>
          <w:sz w:val="24"/>
          <w:szCs w:val="24"/>
        </w:rPr>
        <w:t xml:space="preserve"> access</w:t>
      </w:r>
      <w:r w:rsidR="0007558A">
        <w:rPr>
          <w:rFonts w:eastAsia="Times New Roman"/>
          <w:sz w:val="24"/>
          <w:szCs w:val="24"/>
        </w:rPr>
        <w:t xml:space="preserve"> to specialty services</w:t>
      </w:r>
      <w:r w:rsidR="008C4870">
        <w:rPr>
          <w:rFonts w:eastAsia="Times New Roman"/>
          <w:sz w:val="24"/>
          <w:szCs w:val="24"/>
        </w:rPr>
        <w:t xml:space="preserve">, </w:t>
      </w:r>
      <w:r w:rsidR="008708E1">
        <w:rPr>
          <w:rFonts w:eastAsia="Times New Roman"/>
          <w:sz w:val="24"/>
          <w:szCs w:val="24"/>
        </w:rPr>
        <w:t xml:space="preserve">in a location more geographically </w:t>
      </w:r>
      <w:r w:rsidR="0007558A">
        <w:rPr>
          <w:rFonts w:eastAsia="Times New Roman"/>
          <w:sz w:val="24"/>
          <w:szCs w:val="24"/>
        </w:rPr>
        <w:t>accessible to the region,</w:t>
      </w:r>
      <w:r w:rsidR="00B03E8F" w:rsidRPr="0165A4D9">
        <w:rPr>
          <w:rFonts w:eastAsia="Times New Roman"/>
          <w:sz w:val="24"/>
          <w:szCs w:val="24"/>
        </w:rPr>
        <w:t xml:space="preserve"> </w:t>
      </w:r>
      <w:r w:rsidR="00C83E03" w:rsidRPr="0165A4D9">
        <w:rPr>
          <w:rFonts w:eastAsia="Times New Roman"/>
          <w:sz w:val="24"/>
          <w:szCs w:val="24"/>
        </w:rPr>
        <w:t>within</w:t>
      </w:r>
      <w:r w:rsidR="009362B6" w:rsidRPr="0165A4D9">
        <w:rPr>
          <w:rFonts w:eastAsia="Times New Roman"/>
          <w:sz w:val="24"/>
          <w:szCs w:val="24"/>
        </w:rPr>
        <w:t xml:space="preserve"> the BILH network. </w:t>
      </w:r>
      <w:r w:rsidR="00431C8E" w:rsidRPr="0165A4D9">
        <w:rPr>
          <w:rFonts w:eastAsia="Times New Roman"/>
          <w:sz w:val="24"/>
          <w:szCs w:val="24"/>
        </w:rPr>
        <w:t xml:space="preserve">The </w:t>
      </w:r>
      <w:r w:rsidR="003D6C62" w:rsidRPr="0165A4D9">
        <w:rPr>
          <w:rFonts w:eastAsia="Times New Roman"/>
          <w:sz w:val="24"/>
          <w:szCs w:val="24"/>
        </w:rPr>
        <w:t xml:space="preserve">proposed </w:t>
      </w:r>
      <w:r w:rsidR="00431C8E" w:rsidRPr="0165A4D9">
        <w:rPr>
          <w:rFonts w:eastAsia="Times New Roman"/>
          <w:sz w:val="24"/>
          <w:szCs w:val="24"/>
        </w:rPr>
        <w:t xml:space="preserve">Cordage Park Satellite will </w:t>
      </w:r>
      <w:r w:rsidR="009362B6" w:rsidRPr="0165A4D9">
        <w:rPr>
          <w:rFonts w:eastAsia="Times New Roman"/>
          <w:sz w:val="24"/>
          <w:szCs w:val="24"/>
        </w:rPr>
        <w:t>provide</w:t>
      </w:r>
      <w:r w:rsidR="003D6C62" w:rsidRPr="0165A4D9">
        <w:rPr>
          <w:rFonts w:eastAsia="Times New Roman"/>
          <w:sz w:val="24"/>
          <w:szCs w:val="24"/>
        </w:rPr>
        <w:t xml:space="preserve"> the </w:t>
      </w:r>
      <w:r w:rsidR="009362B6" w:rsidRPr="0165A4D9">
        <w:rPr>
          <w:rFonts w:eastAsia="Times New Roman"/>
          <w:sz w:val="24"/>
          <w:szCs w:val="24"/>
        </w:rPr>
        <w:t xml:space="preserve">Plymouth </w:t>
      </w:r>
      <w:r w:rsidR="003D6C62" w:rsidRPr="0165A4D9">
        <w:rPr>
          <w:rFonts w:eastAsia="Times New Roman"/>
          <w:sz w:val="24"/>
          <w:szCs w:val="24"/>
        </w:rPr>
        <w:t xml:space="preserve">area with </w:t>
      </w:r>
      <w:r w:rsidR="00265C34" w:rsidRPr="0165A4D9">
        <w:rPr>
          <w:rFonts w:eastAsia="Times New Roman"/>
          <w:sz w:val="24"/>
          <w:szCs w:val="24"/>
        </w:rPr>
        <w:t xml:space="preserve">a greater capacity </w:t>
      </w:r>
      <w:r w:rsidR="00CB1BBC" w:rsidRPr="0165A4D9">
        <w:rPr>
          <w:rFonts w:eastAsia="Times New Roman"/>
          <w:sz w:val="24"/>
          <w:szCs w:val="24"/>
        </w:rPr>
        <w:t xml:space="preserve">for </w:t>
      </w:r>
      <w:r w:rsidR="002D1B3C" w:rsidRPr="0165A4D9">
        <w:rPr>
          <w:rFonts w:eastAsia="Times New Roman"/>
          <w:sz w:val="24"/>
          <w:szCs w:val="24"/>
        </w:rPr>
        <w:t>infusion and hematology-oncology treatments.</w:t>
      </w:r>
      <w:r w:rsidR="00E628D4" w:rsidRPr="0165A4D9">
        <w:rPr>
          <w:rFonts w:eastAsia="Times New Roman"/>
          <w:sz w:val="24"/>
          <w:szCs w:val="24"/>
        </w:rPr>
        <w:t xml:space="preserve"> </w:t>
      </w:r>
      <w:r w:rsidR="00CB1BBC" w:rsidRPr="0165A4D9">
        <w:rPr>
          <w:rFonts w:eastAsia="Times New Roman"/>
          <w:sz w:val="24"/>
          <w:szCs w:val="24"/>
        </w:rPr>
        <w:t>Research supports that i</w:t>
      </w:r>
      <w:r w:rsidR="00E628D4" w:rsidRPr="15DCD483">
        <w:rPr>
          <w:rFonts w:cs="Times New Roman"/>
          <w:kern w:val="2"/>
          <w:sz w:val="24"/>
          <w:szCs w:val="24"/>
        </w:rPr>
        <w:t>nfusion clinics help patients better manage and control their disease and associated symptoms by providing a continuity of care throughout their medical need, enhancing continuity of care and improving compliance.</w:t>
      </w:r>
      <w:r w:rsidR="000D1BB8" w:rsidRPr="15DCD483">
        <w:rPr>
          <w:rStyle w:val="EndnoteReference"/>
          <w:rFonts w:cs="Times New Roman"/>
          <w:kern w:val="2"/>
          <w:sz w:val="24"/>
          <w:szCs w:val="24"/>
        </w:rPr>
        <w:endnoteReference w:id="7"/>
      </w:r>
      <w:r w:rsidR="000D1BB8" w:rsidRPr="15DCD483">
        <w:rPr>
          <w:rFonts w:cs="Times New Roman"/>
          <w:kern w:val="2"/>
          <w:sz w:val="24"/>
          <w:szCs w:val="24"/>
        </w:rPr>
        <w:t xml:space="preserve"> </w:t>
      </w:r>
      <w:r w:rsidR="00C135F7" w:rsidRPr="15DCD483">
        <w:rPr>
          <w:rFonts w:cs="Times New Roman"/>
          <w:kern w:val="2"/>
          <w:sz w:val="24"/>
          <w:szCs w:val="24"/>
        </w:rPr>
        <w:t xml:space="preserve">The Applicant </w:t>
      </w:r>
      <w:r w:rsidR="00B56D11" w:rsidRPr="15DCD483">
        <w:rPr>
          <w:rFonts w:cs="Times New Roman"/>
          <w:kern w:val="2"/>
          <w:sz w:val="24"/>
          <w:szCs w:val="24"/>
        </w:rPr>
        <w:t xml:space="preserve">states that the Quincy Satellite will provide the area </w:t>
      </w:r>
      <w:r w:rsidR="00EC2148" w:rsidRPr="15DCD483">
        <w:rPr>
          <w:rFonts w:cs="Times New Roman"/>
          <w:kern w:val="2"/>
          <w:sz w:val="24"/>
          <w:szCs w:val="24"/>
        </w:rPr>
        <w:t xml:space="preserve">with </w:t>
      </w:r>
      <w:r w:rsidR="00B420A8" w:rsidRPr="15DCD483">
        <w:rPr>
          <w:rFonts w:cs="Times New Roman"/>
          <w:kern w:val="2"/>
          <w:sz w:val="24"/>
          <w:szCs w:val="24"/>
        </w:rPr>
        <w:t xml:space="preserve">more </w:t>
      </w:r>
      <w:r w:rsidR="00EC2148" w:rsidRPr="15DCD483">
        <w:rPr>
          <w:rFonts w:cs="Times New Roman"/>
          <w:kern w:val="2"/>
          <w:sz w:val="24"/>
          <w:szCs w:val="24"/>
        </w:rPr>
        <w:t xml:space="preserve">access to </w:t>
      </w:r>
      <w:r w:rsidR="00B420A8" w:rsidRPr="15DCD483">
        <w:rPr>
          <w:rFonts w:cs="Times New Roman"/>
          <w:kern w:val="2"/>
          <w:sz w:val="24"/>
          <w:szCs w:val="24"/>
        </w:rPr>
        <w:t xml:space="preserve">needed specialty services. </w:t>
      </w:r>
      <w:r w:rsidR="0023685A" w:rsidRPr="15DCD483">
        <w:rPr>
          <w:rFonts w:cs="Times New Roman"/>
          <w:kern w:val="2"/>
          <w:sz w:val="24"/>
          <w:szCs w:val="24"/>
        </w:rPr>
        <w:t xml:space="preserve">The Applicant cites several studies suggesting that </w:t>
      </w:r>
      <w:r w:rsidR="00281C27" w:rsidRPr="15DCD483">
        <w:rPr>
          <w:rFonts w:cs="Times New Roman"/>
          <w:kern w:val="2"/>
          <w:sz w:val="24"/>
          <w:szCs w:val="24"/>
        </w:rPr>
        <w:t>access to specialty services</w:t>
      </w:r>
      <w:r w:rsidR="00BA6704" w:rsidRPr="15DCD483">
        <w:rPr>
          <w:rFonts w:cs="Times New Roman"/>
          <w:kern w:val="2"/>
          <w:sz w:val="24"/>
          <w:szCs w:val="24"/>
        </w:rPr>
        <w:t>,</w:t>
      </w:r>
      <w:r w:rsidR="003949F1" w:rsidRPr="15DCD483">
        <w:rPr>
          <w:rFonts w:cs="Times New Roman"/>
          <w:kern w:val="2"/>
          <w:sz w:val="24"/>
          <w:szCs w:val="24"/>
        </w:rPr>
        <w:t xml:space="preserve"> </w:t>
      </w:r>
      <w:r w:rsidR="00281C27" w:rsidRPr="15DCD483">
        <w:rPr>
          <w:rFonts w:cs="Times New Roman"/>
          <w:kern w:val="2"/>
          <w:sz w:val="24"/>
          <w:szCs w:val="24"/>
        </w:rPr>
        <w:t xml:space="preserve">such as </w:t>
      </w:r>
      <w:r w:rsidR="00042FE3" w:rsidRPr="15DCD483">
        <w:rPr>
          <w:rFonts w:cs="Times New Roman"/>
          <w:kern w:val="2"/>
          <w:sz w:val="24"/>
          <w:szCs w:val="24"/>
        </w:rPr>
        <w:t>those in</w:t>
      </w:r>
      <w:r w:rsidR="003949F1" w:rsidRPr="15DCD483">
        <w:rPr>
          <w:rFonts w:cs="Times New Roman"/>
          <w:kern w:val="2"/>
          <w:sz w:val="24"/>
          <w:szCs w:val="24"/>
        </w:rPr>
        <w:t xml:space="preserve"> the Proposed Project, have the potential to improve </w:t>
      </w:r>
      <w:r w:rsidR="005B702B" w:rsidRPr="15DCD483">
        <w:rPr>
          <w:rFonts w:cs="Times New Roman"/>
          <w:kern w:val="2"/>
          <w:sz w:val="24"/>
          <w:szCs w:val="24"/>
        </w:rPr>
        <w:t xml:space="preserve">timeliness of diagnoses, </w:t>
      </w:r>
      <w:r w:rsidR="009204A0" w:rsidRPr="15DCD483">
        <w:rPr>
          <w:rFonts w:cs="Times New Roman"/>
          <w:kern w:val="2"/>
          <w:sz w:val="24"/>
          <w:szCs w:val="24"/>
        </w:rPr>
        <w:t>and improve overall prognosis and treatment outcomes.</w:t>
      </w:r>
      <w:r w:rsidR="009204A0" w:rsidRPr="00656860">
        <w:rPr>
          <w:rStyle w:val="EndnoteReference"/>
          <w:rFonts w:cs="Times New Roman"/>
          <w:kern w:val="2"/>
          <w:sz w:val="24"/>
          <w:szCs w:val="24"/>
        </w:rPr>
        <w:endnoteReference w:id="8"/>
      </w:r>
      <w:r w:rsidR="00602A6F" w:rsidRPr="00656860">
        <w:rPr>
          <w:rFonts w:cs="Times New Roman"/>
          <w:kern w:val="2"/>
          <w:sz w:val="24"/>
          <w:szCs w:val="24"/>
          <w:vertAlign w:val="superscript"/>
        </w:rPr>
        <w:t>,</w:t>
      </w:r>
      <w:r w:rsidR="00602A6F" w:rsidRPr="00656860">
        <w:rPr>
          <w:rStyle w:val="EndnoteReference"/>
          <w:rFonts w:cs="Times New Roman"/>
          <w:kern w:val="2"/>
          <w:sz w:val="24"/>
          <w:szCs w:val="24"/>
        </w:rPr>
        <w:endnoteReference w:id="9"/>
      </w:r>
      <w:r w:rsidR="00E541E8" w:rsidRPr="15DCD483">
        <w:rPr>
          <w:rFonts w:cs="Times New Roman"/>
          <w:kern w:val="2"/>
          <w:sz w:val="24"/>
          <w:szCs w:val="24"/>
        </w:rPr>
        <w:t xml:space="preserve"> As previously stated, the Satellites will operate as an HOPD, which research suggests provides closer monitoring of patients receiving infusions, </w:t>
      </w:r>
      <w:r w:rsidR="00A52A13" w:rsidRPr="15DCD483">
        <w:rPr>
          <w:rFonts w:cs="Times New Roman"/>
          <w:kern w:val="2"/>
          <w:sz w:val="24"/>
          <w:szCs w:val="24"/>
        </w:rPr>
        <w:t>promote</w:t>
      </w:r>
      <w:r w:rsidR="00E541E8" w:rsidRPr="15DCD483">
        <w:rPr>
          <w:rFonts w:cs="Times New Roman"/>
          <w:kern w:val="2"/>
          <w:sz w:val="24"/>
          <w:szCs w:val="24"/>
        </w:rPr>
        <w:t xml:space="preserve"> the coordination of care between a patient’s primary care physician</w:t>
      </w:r>
      <w:r w:rsidR="00DB536C" w:rsidRPr="15DCD483">
        <w:rPr>
          <w:rFonts w:cs="Times New Roman"/>
          <w:kern w:val="2"/>
          <w:sz w:val="24"/>
          <w:szCs w:val="24"/>
        </w:rPr>
        <w:t xml:space="preserve"> </w:t>
      </w:r>
      <w:r w:rsidR="00627AA7" w:rsidRPr="15DCD483">
        <w:rPr>
          <w:rFonts w:cs="Times New Roman"/>
          <w:kern w:val="2"/>
          <w:sz w:val="24"/>
          <w:szCs w:val="24"/>
        </w:rPr>
        <w:t xml:space="preserve">and </w:t>
      </w:r>
      <w:r w:rsidR="00E541E8" w:rsidRPr="15DCD483">
        <w:rPr>
          <w:rFonts w:cs="Times New Roman"/>
          <w:kern w:val="2"/>
          <w:sz w:val="24"/>
          <w:szCs w:val="24"/>
        </w:rPr>
        <w:t>specialists</w:t>
      </w:r>
      <w:r w:rsidR="00DB536C" w:rsidRPr="15DCD483">
        <w:rPr>
          <w:rFonts w:cs="Times New Roman"/>
          <w:kern w:val="2"/>
          <w:sz w:val="24"/>
          <w:szCs w:val="24"/>
        </w:rPr>
        <w:t>,</w:t>
      </w:r>
      <w:r w:rsidR="00E541E8" w:rsidRPr="15DCD483">
        <w:rPr>
          <w:rFonts w:cs="Times New Roman"/>
          <w:kern w:val="2"/>
          <w:sz w:val="24"/>
          <w:szCs w:val="24"/>
        </w:rPr>
        <w:t xml:space="preserve"> </w:t>
      </w:r>
      <w:r w:rsidR="00A52A13" w:rsidRPr="15DCD483">
        <w:rPr>
          <w:rFonts w:cs="Times New Roman"/>
          <w:kern w:val="2"/>
          <w:sz w:val="24"/>
          <w:szCs w:val="24"/>
        </w:rPr>
        <w:t xml:space="preserve">and </w:t>
      </w:r>
      <w:r w:rsidR="00627AA7" w:rsidRPr="15DCD483">
        <w:rPr>
          <w:rFonts w:cs="Times New Roman"/>
          <w:kern w:val="2"/>
          <w:sz w:val="24"/>
          <w:szCs w:val="24"/>
        </w:rPr>
        <w:t xml:space="preserve">allow for </w:t>
      </w:r>
      <w:r w:rsidR="00E541E8" w:rsidRPr="15DCD483">
        <w:rPr>
          <w:rFonts w:cs="Times New Roman"/>
          <w:kern w:val="2"/>
          <w:sz w:val="24"/>
          <w:szCs w:val="24"/>
        </w:rPr>
        <w:t xml:space="preserve">care </w:t>
      </w:r>
      <w:r w:rsidR="00AE2149" w:rsidRPr="15DCD483">
        <w:rPr>
          <w:rFonts w:cs="Times New Roman"/>
          <w:kern w:val="2"/>
          <w:sz w:val="24"/>
          <w:szCs w:val="24"/>
        </w:rPr>
        <w:t xml:space="preserve">to </w:t>
      </w:r>
      <w:r w:rsidR="00E541E8" w:rsidRPr="15DCD483">
        <w:rPr>
          <w:rFonts w:cs="Times New Roman"/>
          <w:kern w:val="2"/>
          <w:sz w:val="24"/>
          <w:szCs w:val="24"/>
        </w:rPr>
        <w:t xml:space="preserve">be </w:t>
      </w:r>
      <w:r w:rsidR="00AE2149" w:rsidRPr="15DCD483">
        <w:rPr>
          <w:rFonts w:cs="Times New Roman"/>
          <w:kern w:val="2"/>
          <w:sz w:val="24"/>
          <w:szCs w:val="24"/>
        </w:rPr>
        <w:t xml:space="preserve">easily </w:t>
      </w:r>
      <w:r w:rsidR="00E541E8" w:rsidRPr="15DCD483">
        <w:rPr>
          <w:rFonts w:cs="Times New Roman"/>
          <w:kern w:val="2"/>
          <w:sz w:val="24"/>
          <w:szCs w:val="24"/>
        </w:rPr>
        <w:t>escalated to a hospital when appropriate.</w:t>
      </w:r>
      <w:r w:rsidR="00E541E8" w:rsidRPr="15DCD483">
        <w:rPr>
          <w:rStyle w:val="EndnoteReference"/>
          <w:rFonts w:cs="Times New Roman"/>
          <w:kern w:val="2"/>
          <w:sz w:val="24"/>
          <w:szCs w:val="24"/>
        </w:rPr>
        <w:endnoteReference w:id="10"/>
      </w:r>
      <w:r w:rsidR="00E541E8" w:rsidRPr="15DCD483">
        <w:rPr>
          <w:rFonts w:cs="Times New Roman"/>
          <w:kern w:val="2"/>
          <w:sz w:val="24"/>
          <w:szCs w:val="24"/>
        </w:rPr>
        <w:t xml:space="preserve">  </w:t>
      </w:r>
    </w:p>
    <w:p w14:paraId="7B3A3A59" w14:textId="77777777" w:rsidR="00BF5452" w:rsidRPr="009A2EB5" w:rsidRDefault="00BF5452" w:rsidP="00F5611F">
      <w:pPr>
        <w:widowControl w:val="0"/>
        <w:spacing w:after="0" w:line="240" w:lineRule="auto"/>
        <w:rPr>
          <w:rFonts w:eastAsia="Times New Roman" w:cstheme="minorHAnsi"/>
          <w:bCs/>
          <w:sz w:val="24"/>
          <w:szCs w:val="24"/>
        </w:rPr>
      </w:pPr>
    </w:p>
    <w:p w14:paraId="3DE67ACB" w14:textId="6AD5A2A8" w:rsidR="008E20CD" w:rsidRPr="009A2EB5" w:rsidRDefault="2A9806DE" w:rsidP="0C788ED3">
      <w:pPr>
        <w:pStyle w:val="ListParagraph"/>
        <w:widowControl w:val="0"/>
        <w:numPr>
          <w:ilvl w:val="0"/>
          <w:numId w:val="4"/>
        </w:numPr>
        <w:spacing w:after="0" w:line="240" w:lineRule="auto"/>
        <w:rPr>
          <w:rFonts w:eastAsia="Times New Roman"/>
          <w:b/>
          <w:bCs/>
          <w:i/>
          <w:iCs/>
          <w:sz w:val="24"/>
          <w:szCs w:val="24"/>
        </w:rPr>
      </w:pPr>
      <w:r w:rsidRPr="0C788ED3">
        <w:rPr>
          <w:rFonts w:eastAsia="Times New Roman"/>
          <w:b/>
          <w:bCs/>
          <w:i/>
          <w:iCs/>
          <w:sz w:val="24"/>
          <w:szCs w:val="24"/>
        </w:rPr>
        <w:t>Reduction in Travel Time to Access Services</w:t>
      </w:r>
    </w:p>
    <w:p w14:paraId="39A7E8E7" w14:textId="5EC2BF83" w:rsidR="00C911FE" w:rsidRPr="0014644E" w:rsidRDefault="009536F1" w:rsidP="0014644E">
      <w:pPr>
        <w:autoSpaceDE w:val="0"/>
        <w:autoSpaceDN w:val="0"/>
        <w:adjustRightInd w:val="0"/>
        <w:spacing w:before="120" w:after="0" w:line="240" w:lineRule="auto"/>
        <w:ind w:left="360"/>
        <w:rPr>
          <w:rFonts w:cs="Times New Roman"/>
          <w:kern w:val="2"/>
          <w:sz w:val="24"/>
          <w:szCs w:val="24"/>
        </w:rPr>
      </w:pPr>
      <w:r w:rsidRPr="45C967FF">
        <w:rPr>
          <w:rFonts w:cs="Times New Roman"/>
          <w:kern w:val="2"/>
          <w:sz w:val="24"/>
          <w:szCs w:val="24"/>
        </w:rPr>
        <w:t>Travel burden, or the travel time or distance that a patient must travel, can result in delays in diagnosis and can negatively influence treatment choice for certain common cancers.</w:t>
      </w:r>
      <w:r w:rsidR="000D1BB8" w:rsidRPr="00EF167A">
        <w:rPr>
          <w:rFonts w:cs="Times New Roman"/>
          <w:vertAlign w:val="superscript"/>
        </w:rPr>
        <w:endnoteReference w:id="11"/>
      </w:r>
      <w:r w:rsidR="000D1BB8" w:rsidRPr="45C967FF">
        <w:rPr>
          <w:rFonts w:cs="Times New Roman"/>
          <w:kern w:val="2"/>
          <w:sz w:val="24"/>
          <w:szCs w:val="24"/>
        </w:rPr>
        <w:t xml:space="preserve"> An increase in travel distance is also associated with more advanced disease at diagnosis, inappropriate treatment, a worse prognosis, and a worse quality of life.</w:t>
      </w:r>
      <w:r w:rsidR="000D1BB8" w:rsidRPr="00EF167A">
        <w:rPr>
          <w:rFonts w:cs="Times New Roman"/>
          <w:vertAlign w:val="superscript"/>
        </w:rPr>
        <w:endnoteReference w:id="12"/>
      </w:r>
      <w:r w:rsidR="000D1BB8" w:rsidRPr="45C967FF">
        <w:rPr>
          <w:rFonts w:cs="Times New Roman"/>
          <w:kern w:val="2"/>
          <w:sz w:val="24"/>
          <w:szCs w:val="24"/>
          <w:vertAlign w:val="superscript"/>
        </w:rPr>
        <w:t xml:space="preserve"> </w:t>
      </w:r>
      <w:r w:rsidR="000D1BB8" w:rsidRPr="45C967FF">
        <w:rPr>
          <w:rFonts w:cs="Times New Roman"/>
          <w:kern w:val="2"/>
          <w:sz w:val="24"/>
          <w:szCs w:val="24"/>
        </w:rPr>
        <w:t>Further, long delays or complete inaccessibility to primary and specialty care are common across the United States. Geographic access to health care is associated with increased use of preventative health and improved health outcomes for patients.</w:t>
      </w:r>
      <w:r w:rsidR="000D1BB8" w:rsidRPr="45C967FF">
        <w:rPr>
          <w:rFonts w:cs="Times New Roman"/>
          <w:kern w:val="2"/>
          <w:sz w:val="24"/>
          <w:szCs w:val="24"/>
          <w:vertAlign w:val="superscript"/>
        </w:rPr>
        <w:endnoteReference w:id="13"/>
      </w:r>
      <w:r w:rsidR="000D1BB8" w:rsidRPr="45C967FF">
        <w:rPr>
          <w:rFonts w:cs="Times New Roman"/>
          <w:kern w:val="2"/>
          <w:sz w:val="24"/>
          <w:szCs w:val="24"/>
        </w:rPr>
        <w:t xml:space="preserve"> </w:t>
      </w:r>
      <w:r w:rsidR="00A70396" w:rsidRPr="45C967FF">
        <w:rPr>
          <w:rFonts w:cs="Times New Roman"/>
          <w:kern w:val="2"/>
          <w:sz w:val="24"/>
          <w:szCs w:val="24"/>
        </w:rPr>
        <w:t xml:space="preserve">The Applicant states that </w:t>
      </w:r>
      <w:r w:rsidR="00084DE8" w:rsidRPr="45C967FF">
        <w:rPr>
          <w:rFonts w:cs="Times New Roman"/>
          <w:kern w:val="2"/>
          <w:sz w:val="24"/>
          <w:szCs w:val="24"/>
        </w:rPr>
        <w:t>t</w:t>
      </w:r>
      <w:r w:rsidRPr="45C967FF">
        <w:rPr>
          <w:rFonts w:cs="Times New Roman"/>
          <w:kern w:val="2"/>
          <w:sz w:val="24"/>
          <w:szCs w:val="24"/>
        </w:rPr>
        <w:t xml:space="preserve">he </w:t>
      </w:r>
      <w:r w:rsidR="00A35C16" w:rsidRPr="45C967FF">
        <w:rPr>
          <w:rFonts w:cs="Times New Roman"/>
          <w:kern w:val="2"/>
          <w:sz w:val="24"/>
          <w:szCs w:val="24"/>
        </w:rPr>
        <w:t>Quincy Satellite</w:t>
      </w:r>
      <w:r w:rsidR="003203D0" w:rsidRPr="0165A4D9">
        <w:rPr>
          <w:rFonts w:cs="Times New Roman"/>
          <w:sz w:val="24"/>
          <w:szCs w:val="24"/>
        </w:rPr>
        <w:t>,</w:t>
      </w:r>
      <w:r w:rsidR="005F73C7" w:rsidRPr="45C967FF">
        <w:rPr>
          <w:rFonts w:cs="Times New Roman"/>
          <w:kern w:val="2"/>
          <w:sz w:val="24"/>
          <w:szCs w:val="24"/>
        </w:rPr>
        <w:t xml:space="preserve"> </w:t>
      </w:r>
      <w:r w:rsidR="00084DE8" w:rsidRPr="45C967FF">
        <w:rPr>
          <w:rFonts w:cs="Times New Roman"/>
          <w:kern w:val="2"/>
          <w:sz w:val="24"/>
          <w:szCs w:val="24"/>
        </w:rPr>
        <w:t>in particular</w:t>
      </w:r>
      <w:r w:rsidR="003203D0" w:rsidRPr="0165A4D9">
        <w:rPr>
          <w:rFonts w:cs="Times New Roman"/>
          <w:sz w:val="24"/>
          <w:szCs w:val="24"/>
        </w:rPr>
        <w:t>,</w:t>
      </w:r>
      <w:r w:rsidR="00084DE8" w:rsidRPr="45C967FF">
        <w:rPr>
          <w:rFonts w:cs="Times New Roman"/>
          <w:kern w:val="2"/>
          <w:sz w:val="24"/>
          <w:szCs w:val="24"/>
        </w:rPr>
        <w:t xml:space="preserve"> </w:t>
      </w:r>
      <w:r w:rsidR="00A35C16" w:rsidRPr="45C967FF">
        <w:rPr>
          <w:rFonts w:cs="Times New Roman"/>
          <w:kern w:val="2"/>
          <w:sz w:val="24"/>
          <w:szCs w:val="24"/>
        </w:rPr>
        <w:t>will</w:t>
      </w:r>
      <w:r w:rsidR="00A67AB0" w:rsidRPr="45C967FF">
        <w:rPr>
          <w:rFonts w:cs="Times New Roman"/>
          <w:kern w:val="2"/>
          <w:sz w:val="24"/>
          <w:szCs w:val="24"/>
        </w:rPr>
        <w:t xml:space="preserve"> provide a centralized location for </w:t>
      </w:r>
      <w:r w:rsidR="00A35C16" w:rsidRPr="45C967FF">
        <w:rPr>
          <w:rFonts w:cs="Times New Roman"/>
          <w:kern w:val="2"/>
          <w:sz w:val="24"/>
          <w:szCs w:val="24"/>
        </w:rPr>
        <w:t>specialized services</w:t>
      </w:r>
      <w:r w:rsidR="00CC20D0" w:rsidRPr="45C967FF">
        <w:rPr>
          <w:rFonts w:cs="Times New Roman"/>
          <w:kern w:val="2"/>
          <w:sz w:val="24"/>
          <w:szCs w:val="24"/>
        </w:rPr>
        <w:t xml:space="preserve">, which </w:t>
      </w:r>
      <w:r w:rsidR="003203D0" w:rsidRPr="0165A4D9">
        <w:rPr>
          <w:rFonts w:cs="Times New Roman"/>
          <w:sz w:val="24"/>
          <w:szCs w:val="24"/>
        </w:rPr>
        <w:t xml:space="preserve">supports </w:t>
      </w:r>
      <w:r w:rsidR="00CC20D0" w:rsidRPr="45C967FF">
        <w:rPr>
          <w:rFonts w:cs="Times New Roman"/>
          <w:kern w:val="2"/>
          <w:sz w:val="24"/>
          <w:szCs w:val="24"/>
        </w:rPr>
        <w:t>reduce</w:t>
      </w:r>
      <w:r w:rsidR="003203D0" w:rsidRPr="0165A4D9">
        <w:rPr>
          <w:rFonts w:cs="Times New Roman"/>
          <w:sz w:val="24"/>
          <w:szCs w:val="24"/>
        </w:rPr>
        <w:t>d</w:t>
      </w:r>
      <w:r w:rsidR="00CC20D0" w:rsidRPr="45C967FF">
        <w:rPr>
          <w:rFonts w:cs="Times New Roman"/>
          <w:kern w:val="2"/>
          <w:sz w:val="24"/>
          <w:szCs w:val="24"/>
        </w:rPr>
        <w:t xml:space="preserve"> travel time for patients</w:t>
      </w:r>
      <w:r w:rsidR="003E0B29" w:rsidRPr="45C967FF">
        <w:rPr>
          <w:rFonts w:cs="Times New Roman"/>
          <w:kern w:val="2"/>
          <w:sz w:val="24"/>
          <w:szCs w:val="24"/>
        </w:rPr>
        <w:t>.</w:t>
      </w:r>
      <w:r w:rsidR="00C911FE" w:rsidRPr="45C967FF">
        <w:rPr>
          <w:rFonts w:cs="Times New Roman"/>
          <w:kern w:val="2"/>
          <w:sz w:val="24"/>
          <w:szCs w:val="24"/>
        </w:rPr>
        <w:t xml:space="preserve"> Currently, patients living in the Quincy region are </w:t>
      </w:r>
      <w:r w:rsidR="00C911FE" w:rsidRPr="45C967FF">
        <w:rPr>
          <w:rFonts w:cs="Times New Roman"/>
          <w:kern w:val="2"/>
          <w:sz w:val="24"/>
          <w:szCs w:val="24"/>
        </w:rPr>
        <w:lastRenderedPageBreak/>
        <w:t xml:space="preserve">traveling between 9 miles </w:t>
      </w:r>
      <w:r w:rsidR="00591B13" w:rsidRPr="45C967FF">
        <w:rPr>
          <w:rFonts w:cs="Times New Roman"/>
          <w:kern w:val="2"/>
          <w:sz w:val="24"/>
          <w:szCs w:val="24"/>
        </w:rPr>
        <w:t>(</w:t>
      </w:r>
      <w:r w:rsidR="00C911FE" w:rsidRPr="45C967FF">
        <w:rPr>
          <w:rFonts w:cs="Times New Roman"/>
          <w:kern w:val="2"/>
          <w:sz w:val="24"/>
          <w:szCs w:val="24"/>
        </w:rPr>
        <w:t>28 minutes</w:t>
      </w:r>
      <w:r w:rsidR="00591B13" w:rsidRPr="45C967FF">
        <w:rPr>
          <w:rFonts w:cs="Times New Roman"/>
          <w:kern w:val="2"/>
          <w:sz w:val="24"/>
          <w:szCs w:val="24"/>
        </w:rPr>
        <w:t>)</w:t>
      </w:r>
      <w:r w:rsidR="00C911FE" w:rsidRPr="45C967FF">
        <w:rPr>
          <w:rFonts w:cs="Times New Roman"/>
          <w:kern w:val="2"/>
          <w:sz w:val="24"/>
          <w:szCs w:val="24"/>
        </w:rPr>
        <w:t xml:space="preserve"> from Quincy and 30 miles </w:t>
      </w:r>
      <w:r w:rsidR="00591B13" w:rsidRPr="45C967FF">
        <w:rPr>
          <w:rFonts w:cs="Times New Roman"/>
          <w:kern w:val="2"/>
          <w:sz w:val="24"/>
          <w:szCs w:val="24"/>
        </w:rPr>
        <w:t>(</w:t>
      </w:r>
      <w:r w:rsidR="00C911FE" w:rsidRPr="45C967FF">
        <w:rPr>
          <w:rFonts w:cs="Times New Roman"/>
          <w:kern w:val="2"/>
          <w:sz w:val="24"/>
          <w:szCs w:val="24"/>
        </w:rPr>
        <w:t>55 minutes</w:t>
      </w:r>
      <w:r w:rsidR="00591B13" w:rsidRPr="45C967FF">
        <w:rPr>
          <w:rFonts w:cs="Times New Roman"/>
          <w:kern w:val="2"/>
          <w:sz w:val="24"/>
          <w:szCs w:val="24"/>
        </w:rPr>
        <w:t>)</w:t>
      </w:r>
      <w:r w:rsidR="00C911FE" w:rsidRPr="45C967FF">
        <w:rPr>
          <w:rFonts w:cs="Times New Roman"/>
          <w:kern w:val="2"/>
          <w:sz w:val="24"/>
          <w:szCs w:val="24"/>
        </w:rPr>
        <w:t xml:space="preserve"> from Marshfield to BIDMC in Boston for a number of the services that will be </w:t>
      </w:r>
      <w:r w:rsidR="003203D0" w:rsidRPr="0165A4D9">
        <w:rPr>
          <w:rFonts w:cs="Times New Roman"/>
          <w:sz w:val="24"/>
          <w:szCs w:val="24"/>
        </w:rPr>
        <w:t>offered in the Quincy Satellite</w:t>
      </w:r>
      <w:r w:rsidR="001963E3" w:rsidRPr="45C967FF">
        <w:rPr>
          <w:rFonts w:cs="Times New Roman"/>
          <w:kern w:val="2"/>
          <w:sz w:val="24"/>
          <w:szCs w:val="24"/>
        </w:rPr>
        <w:t xml:space="preserve">, </w:t>
      </w:r>
      <w:r w:rsidR="00C911FE" w:rsidRPr="45C967FF">
        <w:rPr>
          <w:rFonts w:cs="Times New Roman"/>
          <w:kern w:val="2"/>
          <w:sz w:val="24"/>
          <w:szCs w:val="24"/>
        </w:rPr>
        <w:t>such as hematology/oncology, cardiology, neurology and obstetrics gynecology.</w:t>
      </w:r>
      <w:r w:rsidR="00054DE4" w:rsidRPr="45C967FF">
        <w:rPr>
          <w:rFonts w:cs="Times New Roman"/>
          <w:kern w:val="2"/>
          <w:sz w:val="24"/>
          <w:szCs w:val="24"/>
        </w:rPr>
        <w:t xml:space="preserve"> Patients with cancer</w:t>
      </w:r>
      <w:r w:rsidR="00575C2E">
        <w:rPr>
          <w:rFonts w:cs="Times New Roman"/>
          <w:kern w:val="2"/>
          <w:sz w:val="24"/>
          <w:szCs w:val="24"/>
        </w:rPr>
        <w:t>,</w:t>
      </w:r>
      <w:r w:rsidR="00054DE4" w:rsidRPr="45C967FF">
        <w:rPr>
          <w:rFonts w:cs="Times New Roman"/>
          <w:kern w:val="2"/>
          <w:sz w:val="24"/>
          <w:szCs w:val="24"/>
        </w:rPr>
        <w:t xml:space="preserve"> who </w:t>
      </w:r>
      <w:r w:rsidR="0007558A">
        <w:rPr>
          <w:rFonts w:cs="Times New Roman"/>
          <w:kern w:val="2"/>
          <w:sz w:val="24"/>
          <w:szCs w:val="24"/>
        </w:rPr>
        <w:t xml:space="preserve">currently receive </w:t>
      </w:r>
      <w:r w:rsidR="00575C2E">
        <w:rPr>
          <w:rFonts w:cs="Times New Roman"/>
          <w:kern w:val="2"/>
          <w:sz w:val="24"/>
          <w:szCs w:val="24"/>
        </w:rPr>
        <w:t>hematology-oncology services from BID</w:t>
      </w:r>
      <w:r w:rsidR="00F8690B">
        <w:rPr>
          <w:rFonts w:cs="Times New Roman"/>
          <w:kern w:val="2"/>
          <w:sz w:val="24"/>
          <w:szCs w:val="24"/>
        </w:rPr>
        <w:t xml:space="preserve"> </w:t>
      </w:r>
      <w:r w:rsidR="00575C2E">
        <w:rPr>
          <w:rFonts w:cs="Times New Roman"/>
          <w:kern w:val="2"/>
          <w:sz w:val="24"/>
          <w:szCs w:val="24"/>
        </w:rPr>
        <w:t xml:space="preserve">Plymouth and </w:t>
      </w:r>
      <w:r w:rsidR="00054DE4" w:rsidRPr="45C967FF">
        <w:rPr>
          <w:rFonts w:cs="Times New Roman"/>
          <w:kern w:val="2"/>
          <w:sz w:val="24"/>
          <w:szCs w:val="24"/>
        </w:rPr>
        <w:t>reside in Plymouth</w:t>
      </w:r>
      <w:r w:rsidR="00575C2E">
        <w:rPr>
          <w:rFonts w:cs="Times New Roman"/>
          <w:kern w:val="2"/>
          <w:sz w:val="24"/>
          <w:szCs w:val="24"/>
        </w:rPr>
        <w:t>,</w:t>
      </w:r>
      <w:r w:rsidR="00054DE4" w:rsidRPr="45C967FF">
        <w:rPr>
          <w:rFonts w:cs="Times New Roman"/>
          <w:kern w:val="2"/>
          <w:sz w:val="24"/>
          <w:szCs w:val="24"/>
        </w:rPr>
        <w:t xml:space="preserve"> are traveling 25 miles </w:t>
      </w:r>
      <w:r w:rsidR="00591B13" w:rsidRPr="45C967FF">
        <w:rPr>
          <w:rFonts w:cs="Times New Roman"/>
          <w:kern w:val="2"/>
          <w:sz w:val="24"/>
          <w:szCs w:val="24"/>
        </w:rPr>
        <w:t>(</w:t>
      </w:r>
      <w:r w:rsidR="00054DE4" w:rsidRPr="45C967FF">
        <w:rPr>
          <w:rFonts w:cs="Times New Roman"/>
          <w:kern w:val="2"/>
          <w:sz w:val="24"/>
          <w:szCs w:val="24"/>
        </w:rPr>
        <w:t>30 minutes</w:t>
      </w:r>
      <w:r w:rsidR="00591B13" w:rsidRPr="45C967FF">
        <w:rPr>
          <w:rFonts w:cs="Times New Roman"/>
          <w:kern w:val="2"/>
          <w:sz w:val="24"/>
          <w:szCs w:val="24"/>
        </w:rPr>
        <w:t>)</w:t>
      </w:r>
      <w:r w:rsidR="00054DE4" w:rsidRPr="45C967FF">
        <w:rPr>
          <w:rFonts w:cs="Times New Roman"/>
          <w:kern w:val="2"/>
          <w:sz w:val="24"/>
          <w:szCs w:val="24"/>
        </w:rPr>
        <w:t xml:space="preserve"> to South Shore Hospital in South Weymouth, 40 miles </w:t>
      </w:r>
      <w:r w:rsidR="00591B13" w:rsidRPr="45C967FF">
        <w:rPr>
          <w:rFonts w:cs="Times New Roman"/>
          <w:kern w:val="2"/>
          <w:sz w:val="24"/>
          <w:szCs w:val="24"/>
        </w:rPr>
        <w:t>(</w:t>
      </w:r>
      <w:r w:rsidR="00054DE4" w:rsidRPr="45C967FF">
        <w:rPr>
          <w:rFonts w:cs="Times New Roman"/>
          <w:kern w:val="2"/>
          <w:sz w:val="24"/>
          <w:szCs w:val="24"/>
        </w:rPr>
        <w:t>1 h</w:t>
      </w:r>
      <w:r w:rsidR="00140D01" w:rsidRPr="45C967FF">
        <w:rPr>
          <w:rFonts w:cs="Times New Roman"/>
          <w:kern w:val="2"/>
          <w:sz w:val="24"/>
          <w:szCs w:val="24"/>
        </w:rPr>
        <w:t>our</w:t>
      </w:r>
      <w:r w:rsidR="00054DE4" w:rsidRPr="45C967FF">
        <w:rPr>
          <w:rFonts w:cs="Times New Roman"/>
          <w:kern w:val="2"/>
          <w:sz w:val="24"/>
          <w:szCs w:val="24"/>
        </w:rPr>
        <w:t xml:space="preserve"> 10 mins</w:t>
      </w:r>
      <w:r w:rsidR="00591B13" w:rsidRPr="45C967FF">
        <w:rPr>
          <w:rFonts w:cs="Times New Roman"/>
          <w:kern w:val="2"/>
          <w:sz w:val="24"/>
          <w:szCs w:val="24"/>
        </w:rPr>
        <w:t>)</w:t>
      </w:r>
      <w:r w:rsidR="00054DE4" w:rsidRPr="45C967FF">
        <w:rPr>
          <w:rFonts w:cs="Times New Roman"/>
          <w:kern w:val="2"/>
          <w:sz w:val="24"/>
          <w:szCs w:val="24"/>
        </w:rPr>
        <w:t xml:space="preserve"> to BIDMC in Boston, 40 miles</w:t>
      </w:r>
      <w:r w:rsidR="00591B13" w:rsidRPr="45C967FF">
        <w:rPr>
          <w:rFonts w:cs="Times New Roman"/>
          <w:kern w:val="2"/>
          <w:sz w:val="24"/>
          <w:szCs w:val="24"/>
        </w:rPr>
        <w:t xml:space="preserve"> (</w:t>
      </w:r>
      <w:r w:rsidR="00054DE4" w:rsidRPr="45C967FF">
        <w:rPr>
          <w:rFonts w:cs="Times New Roman"/>
          <w:kern w:val="2"/>
          <w:sz w:val="24"/>
          <w:szCs w:val="24"/>
        </w:rPr>
        <w:t>1 h</w:t>
      </w:r>
      <w:r w:rsidR="00591B13" w:rsidRPr="45C967FF">
        <w:rPr>
          <w:rFonts w:cs="Times New Roman"/>
          <w:kern w:val="2"/>
          <w:sz w:val="24"/>
          <w:szCs w:val="24"/>
        </w:rPr>
        <w:t>our</w:t>
      </w:r>
      <w:r w:rsidR="00054DE4" w:rsidRPr="45C967FF">
        <w:rPr>
          <w:rFonts w:cs="Times New Roman"/>
          <w:kern w:val="2"/>
          <w:sz w:val="24"/>
          <w:szCs w:val="24"/>
        </w:rPr>
        <w:t xml:space="preserve"> 11 mins</w:t>
      </w:r>
      <w:r w:rsidR="00591B13" w:rsidRPr="45C967FF">
        <w:rPr>
          <w:rFonts w:cs="Times New Roman"/>
          <w:kern w:val="2"/>
          <w:sz w:val="24"/>
          <w:szCs w:val="24"/>
        </w:rPr>
        <w:t>)</w:t>
      </w:r>
      <w:r w:rsidR="00054DE4" w:rsidRPr="45C967FF">
        <w:rPr>
          <w:rFonts w:cs="Times New Roman"/>
          <w:kern w:val="2"/>
          <w:sz w:val="24"/>
          <w:szCs w:val="24"/>
        </w:rPr>
        <w:t xml:space="preserve"> to Brigham &amp; Women’s Hospital in Boston, and 41 miles </w:t>
      </w:r>
      <w:r w:rsidR="00591B13" w:rsidRPr="45C967FF">
        <w:rPr>
          <w:rFonts w:cs="Times New Roman"/>
          <w:kern w:val="2"/>
          <w:sz w:val="24"/>
          <w:szCs w:val="24"/>
        </w:rPr>
        <w:t>(</w:t>
      </w:r>
      <w:r w:rsidR="00054DE4" w:rsidRPr="45C967FF">
        <w:rPr>
          <w:rFonts w:cs="Times New Roman"/>
          <w:kern w:val="2"/>
          <w:sz w:val="24"/>
          <w:szCs w:val="24"/>
        </w:rPr>
        <w:t>1 h</w:t>
      </w:r>
      <w:r w:rsidR="00591B13" w:rsidRPr="45C967FF">
        <w:rPr>
          <w:rFonts w:cs="Times New Roman"/>
          <w:kern w:val="2"/>
          <w:sz w:val="24"/>
          <w:szCs w:val="24"/>
        </w:rPr>
        <w:t>our</w:t>
      </w:r>
      <w:r w:rsidR="00054DE4" w:rsidRPr="45C967FF">
        <w:rPr>
          <w:rFonts w:cs="Times New Roman"/>
          <w:kern w:val="2"/>
          <w:sz w:val="24"/>
          <w:szCs w:val="24"/>
        </w:rPr>
        <w:t xml:space="preserve"> 6 mins</w:t>
      </w:r>
      <w:r w:rsidR="00591B13" w:rsidRPr="45C967FF">
        <w:rPr>
          <w:rFonts w:cs="Times New Roman"/>
          <w:kern w:val="2"/>
          <w:sz w:val="24"/>
          <w:szCs w:val="24"/>
        </w:rPr>
        <w:t xml:space="preserve">) </w:t>
      </w:r>
      <w:r w:rsidR="00054DE4" w:rsidRPr="45C967FF">
        <w:rPr>
          <w:rFonts w:cs="Times New Roman"/>
          <w:kern w:val="2"/>
          <w:sz w:val="24"/>
          <w:szCs w:val="24"/>
        </w:rPr>
        <w:t>to Massachusetts General Hospital in Boston.</w:t>
      </w:r>
      <w:r w:rsidR="00054DE4" w:rsidRPr="45C967FF">
        <w:rPr>
          <w:rFonts w:cs="Times New Roman"/>
          <w:kern w:val="2"/>
          <w:sz w:val="24"/>
          <w:szCs w:val="24"/>
          <w:vertAlign w:val="superscript"/>
        </w:rPr>
        <w:footnoteReference w:id="22"/>
      </w:r>
      <w:r w:rsidR="00710227" w:rsidRPr="45C967FF">
        <w:rPr>
          <w:rFonts w:cs="Times New Roman"/>
          <w:kern w:val="2"/>
          <w:sz w:val="24"/>
          <w:szCs w:val="24"/>
        </w:rPr>
        <w:t xml:space="preserve"> Establishing the Satellites</w:t>
      </w:r>
      <w:r w:rsidR="002C1CF3" w:rsidRPr="0165A4D9">
        <w:rPr>
          <w:rFonts w:cs="Times New Roman"/>
          <w:sz w:val="24"/>
          <w:szCs w:val="24"/>
        </w:rPr>
        <w:t xml:space="preserve"> supports</w:t>
      </w:r>
      <w:r w:rsidR="00710227" w:rsidRPr="45C967FF">
        <w:rPr>
          <w:rFonts w:cs="Times New Roman"/>
          <w:kern w:val="2"/>
          <w:sz w:val="24"/>
          <w:szCs w:val="24"/>
        </w:rPr>
        <w:t xml:space="preserve"> reduce</w:t>
      </w:r>
      <w:r w:rsidR="002C1CF3" w:rsidRPr="0165A4D9">
        <w:rPr>
          <w:rFonts w:cs="Times New Roman"/>
          <w:sz w:val="24"/>
          <w:szCs w:val="24"/>
        </w:rPr>
        <w:t>d</w:t>
      </w:r>
      <w:r w:rsidR="00710227" w:rsidRPr="45C967FF">
        <w:rPr>
          <w:rFonts w:cs="Times New Roman"/>
          <w:kern w:val="2"/>
          <w:sz w:val="24"/>
          <w:szCs w:val="24"/>
        </w:rPr>
        <w:t xml:space="preserve"> </w:t>
      </w:r>
      <w:r w:rsidR="004D29C7" w:rsidRPr="45C967FF">
        <w:rPr>
          <w:rFonts w:cs="Times New Roman"/>
          <w:kern w:val="2"/>
          <w:sz w:val="24"/>
          <w:szCs w:val="24"/>
        </w:rPr>
        <w:t>travel</w:t>
      </w:r>
      <w:r w:rsidR="002C1CF3" w:rsidRPr="0165A4D9">
        <w:rPr>
          <w:rFonts w:cs="Times New Roman"/>
          <w:sz w:val="24"/>
          <w:szCs w:val="24"/>
        </w:rPr>
        <w:t xml:space="preserve"> </w:t>
      </w:r>
      <w:r w:rsidR="008F4594" w:rsidRPr="45C967FF">
        <w:rPr>
          <w:rFonts w:cs="Times New Roman"/>
          <w:kern w:val="2"/>
          <w:sz w:val="24"/>
          <w:szCs w:val="24"/>
        </w:rPr>
        <w:t>for many patients in th</w:t>
      </w:r>
      <w:r w:rsidR="002C1CF3" w:rsidRPr="0165A4D9">
        <w:rPr>
          <w:rFonts w:cs="Times New Roman"/>
          <w:sz w:val="24"/>
          <w:szCs w:val="24"/>
        </w:rPr>
        <w:t>e Satellite</w:t>
      </w:r>
      <w:r w:rsidR="008F4594" w:rsidRPr="45C967FF">
        <w:rPr>
          <w:rFonts w:cs="Times New Roman"/>
          <w:kern w:val="2"/>
          <w:sz w:val="24"/>
          <w:szCs w:val="24"/>
        </w:rPr>
        <w:t xml:space="preserve"> region</w:t>
      </w:r>
      <w:r w:rsidR="002C1CF3" w:rsidRPr="0165A4D9">
        <w:rPr>
          <w:rFonts w:cs="Times New Roman"/>
          <w:sz w:val="24"/>
          <w:szCs w:val="24"/>
        </w:rPr>
        <w:t>s</w:t>
      </w:r>
      <w:r w:rsidR="001B4060" w:rsidRPr="45C967FF">
        <w:rPr>
          <w:rFonts w:cs="Times New Roman"/>
          <w:kern w:val="2"/>
          <w:sz w:val="24"/>
          <w:szCs w:val="24"/>
        </w:rPr>
        <w:t xml:space="preserve"> and the Applicant </w:t>
      </w:r>
      <w:r w:rsidR="00EF3690" w:rsidRPr="45C967FF">
        <w:rPr>
          <w:rFonts w:cs="Times New Roman"/>
          <w:kern w:val="2"/>
          <w:sz w:val="24"/>
          <w:szCs w:val="24"/>
        </w:rPr>
        <w:t xml:space="preserve">predicts that this will improve patient </w:t>
      </w:r>
      <w:r w:rsidR="002C1CF3" w:rsidRPr="0165A4D9">
        <w:rPr>
          <w:rFonts w:cs="Times New Roman"/>
          <w:sz w:val="24"/>
          <w:szCs w:val="24"/>
        </w:rPr>
        <w:t>access</w:t>
      </w:r>
      <w:r w:rsidR="00EF3690" w:rsidRPr="45C967FF">
        <w:rPr>
          <w:rFonts w:cs="Times New Roman"/>
          <w:kern w:val="2"/>
          <w:sz w:val="24"/>
          <w:szCs w:val="24"/>
        </w:rPr>
        <w:t>.</w:t>
      </w:r>
    </w:p>
    <w:p w14:paraId="023B6913" w14:textId="7B411543" w:rsidR="00EA2BCE" w:rsidRPr="003E0B29" w:rsidRDefault="00B107F8" w:rsidP="00BA12CB">
      <w:pPr>
        <w:tabs>
          <w:tab w:val="left" w:pos="2073"/>
        </w:tabs>
        <w:spacing w:after="0" w:line="240" w:lineRule="auto"/>
        <w:ind w:right="720"/>
        <w:rPr>
          <w:rFonts w:cstheme="minorHAnsi"/>
          <w:sz w:val="24"/>
          <w:szCs w:val="24"/>
        </w:rPr>
      </w:pPr>
      <w:r w:rsidRPr="003E0B29">
        <w:rPr>
          <w:rFonts w:cstheme="minorHAnsi"/>
          <w:sz w:val="24"/>
          <w:szCs w:val="24"/>
        </w:rPr>
        <w:tab/>
      </w:r>
    </w:p>
    <w:p w14:paraId="70074471" w14:textId="4A99FD82" w:rsidR="00B107F8" w:rsidRPr="00185FBE" w:rsidRDefault="006C4E66" w:rsidP="45C967FF">
      <w:pPr>
        <w:rPr>
          <w:sz w:val="24"/>
          <w:szCs w:val="24"/>
          <w:highlight w:val="yellow"/>
        </w:rPr>
      </w:pPr>
      <w:r w:rsidRPr="45C967FF">
        <w:rPr>
          <w:sz w:val="24"/>
          <w:szCs w:val="24"/>
        </w:rPr>
        <w:t xml:space="preserve">To assess the impact of the Proposed Project, the Applicant proposed </w:t>
      </w:r>
      <w:r w:rsidR="008C4870">
        <w:rPr>
          <w:sz w:val="24"/>
          <w:szCs w:val="24"/>
        </w:rPr>
        <w:t xml:space="preserve">both </w:t>
      </w:r>
      <w:r w:rsidRPr="45C967FF">
        <w:rPr>
          <w:sz w:val="24"/>
          <w:szCs w:val="24"/>
        </w:rPr>
        <w:t>quality metrics</w:t>
      </w:r>
      <w:r w:rsidR="001206B2">
        <w:rPr>
          <w:sz w:val="24"/>
          <w:szCs w:val="24"/>
        </w:rPr>
        <w:t xml:space="preserve"> and</w:t>
      </w:r>
      <w:r w:rsidRPr="45C967FF">
        <w:rPr>
          <w:sz w:val="24"/>
          <w:szCs w:val="24"/>
        </w:rPr>
        <w:t xml:space="preserve"> metric projections for quality indicators measur</w:t>
      </w:r>
      <w:r w:rsidR="001206B2">
        <w:rPr>
          <w:sz w:val="24"/>
          <w:szCs w:val="24"/>
        </w:rPr>
        <w:t>ing</w:t>
      </w:r>
      <w:r w:rsidRPr="45C967FF">
        <w:rPr>
          <w:sz w:val="24"/>
          <w:szCs w:val="24"/>
        </w:rPr>
        <w:t xml:space="preserve"> quality of care. </w:t>
      </w:r>
      <w:r w:rsidR="00AB0E39" w:rsidRPr="45C967FF">
        <w:rPr>
          <w:sz w:val="24"/>
          <w:szCs w:val="24"/>
        </w:rPr>
        <w:t xml:space="preserve">The measures include </w:t>
      </w:r>
      <w:r w:rsidR="007E16E5" w:rsidRPr="45C967FF">
        <w:rPr>
          <w:sz w:val="24"/>
          <w:szCs w:val="24"/>
        </w:rPr>
        <w:t xml:space="preserve">patient satisfaction, wait times, and </w:t>
      </w:r>
      <w:r w:rsidR="00B5784E" w:rsidRPr="45C967FF">
        <w:rPr>
          <w:sz w:val="24"/>
          <w:szCs w:val="24"/>
        </w:rPr>
        <w:t xml:space="preserve">clinical measures of </w:t>
      </w:r>
      <w:r w:rsidR="009A2EB5" w:rsidRPr="45C967FF">
        <w:rPr>
          <w:sz w:val="24"/>
          <w:szCs w:val="24"/>
        </w:rPr>
        <w:t>the efficacy of specialty treatment</w:t>
      </w:r>
      <w:r w:rsidR="007E16E5" w:rsidRPr="45C967FF">
        <w:rPr>
          <w:sz w:val="24"/>
          <w:szCs w:val="24"/>
        </w:rPr>
        <w:t xml:space="preserve">. </w:t>
      </w:r>
      <w:r w:rsidRPr="45C967FF">
        <w:rPr>
          <w:sz w:val="24"/>
          <w:szCs w:val="24"/>
        </w:rPr>
        <w:t xml:space="preserve">The measures are presented in Appendix I and will be reported to DPH on an annual basis following implementation of the Proposed Project. </w:t>
      </w:r>
    </w:p>
    <w:p w14:paraId="70ACFC28" w14:textId="77777777" w:rsidR="00B107F8" w:rsidRPr="00EF3690" w:rsidRDefault="00B107F8" w:rsidP="00B107F8">
      <w:pPr>
        <w:tabs>
          <w:tab w:val="left" w:pos="2073"/>
        </w:tabs>
        <w:spacing w:after="0" w:line="240" w:lineRule="auto"/>
        <w:ind w:left="360" w:right="720"/>
        <w:rPr>
          <w:rFonts w:cstheme="minorHAnsi"/>
          <w:sz w:val="24"/>
          <w:szCs w:val="24"/>
        </w:rPr>
      </w:pPr>
    </w:p>
    <w:p w14:paraId="79C2F9BE" w14:textId="2886DB9A" w:rsidR="00E45334" w:rsidRPr="00EF3690" w:rsidRDefault="00E45334" w:rsidP="00B107F8">
      <w:pPr>
        <w:spacing w:after="0"/>
        <w:rPr>
          <w:rFonts w:cstheme="minorHAnsi"/>
          <w:b/>
          <w:i/>
        </w:rPr>
      </w:pPr>
      <w:r w:rsidRPr="00EF3690">
        <w:rPr>
          <w:rFonts w:cstheme="minorHAnsi"/>
          <w:b/>
          <w:i/>
        </w:rPr>
        <w:t>Analysis: Public Health Value</w:t>
      </w:r>
      <w:r w:rsidR="00955295" w:rsidRPr="00EF3690">
        <w:rPr>
          <w:rFonts w:cstheme="minorHAnsi"/>
          <w:b/>
          <w:i/>
        </w:rPr>
        <w:t>:</w:t>
      </w:r>
      <w:r w:rsidRPr="00EF3690">
        <w:rPr>
          <w:rFonts w:cstheme="minorHAnsi"/>
          <w:b/>
          <w:i/>
        </w:rPr>
        <w:t xml:space="preserve"> Health Outcomes and Quality of Life</w:t>
      </w:r>
    </w:p>
    <w:p w14:paraId="26F38E8D" w14:textId="77C2A355" w:rsidR="00A151C6" w:rsidRPr="00185FBE" w:rsidRDefault="00A151C6" w:rsidP="00B107F8">
      <w:pPr>
        <w:spacing w:after="0"/>
        <w:rPr>
          <w:rFonts w:cstheme="minorHAnsi"/>
          <w:bCs/>
          <w:sz w:val="24"/>
          <w:szCs w:val="24"/>
          <w:highlight w:val="yellow"/>
        </w:rPr>
      </w:pPr>
      <w:r w:rsidRPr="00EF3690">
        <w:rPr>
          <w:rFonts w:cstheme="minorHAnsi"/>
          <w:bCs/>
          <w:sz w:val="24"/>
          <w:szCs w:val="24"/>
        </w:rPr>
        <w:t xml:space="preserve">Staff finds that </w:t>
      </w:r>
      <w:r w:rsidR="00EF3690" w:rsidRPr="00EF3690">
        <w:rPr>
          <w:rFonts w:cstheme="minorHAnsi"/>
          <w:bCs/>
          <w:sz w:val="24"/>
          <w:szCs w:val="24"/>
        </w:rPr>
        <w:t>establishing the proposed Satellites has</w:t>
      </w:r>
      <w:r w:rsidRPr="00EF3690">
        <w:rPr>
          <w:rFonts w:cstheme="minorHAnsi"/>
          <w:bCs/>
          <w:sz w:val="24"/>
          <w:szCs w:val="24"/>
        </w:rPr>
        <w:t xml:space="preserve"> the potential to improve health </w:t>
      </w:r>
      <w:r w:rsidRPr="0098242C">
        <w:rPr>
          <w:rFonts w:cstheme="minorHAnsi"/>
          <w:bCs/>
          <w:sz w:val="24"/>
          <w:szCs w:val="24"/>
        </w:rPr>
        <w:t xml:space="preserve">outcomes for the </w:t>
      </w:r>
      <w:r w:rsidR="00EF3690" w:rsidRPr="0098242C">
        <w:rPr>
          <w:rFonts w:cstheme="minorHAnsi"/>
          <w:bCs/>
          <w:sz w:val="24"/>
          <w:szCs w:val="24"/>
        </w:rPr>
        <w:t>patients in these</w:t>
      </w:r>
      <w:r w:rsidRPr="0098242C">
        <w:rPr>
          <w:rFonts w:cstheme="minorHAnsi"/>
          <w:bCs/>
          <w:sz w:val="24"/>
          <w:szCs w:val="24"/>
        </w:rPr>
        <w:t xml:space="preserve"> communit</w:t>
      </w:r>
      <w:r w:rsidR="00EF3690" w:rsidRPr="0098242C">
        <w:rPr>
          <w:rFonts w:cstheme="minorHAnsi"/>
          <w:bCs/>
          <w:sz w:val="24"/>
          <w:szCs w:val="24"/>
        </w:rPr>
        <w:t>ies</w:t>
      </w:r>
      <w:r w:rsidRPr="0098242C">
        <w:rPr>
          <w:rFonts w:cstheme="minorHAnsi"/>
          <w:bCs/>
          <w:sz w:val="24"/>
          <w:szCs w:val="24"/>
        </w:rPr>
        <w:t>.</w:t>
      </w:r>
      <w:r w:rsidRPr="0098242C">
        <w:rPr>
          <w:rFonts w:cstheme="minorHAnsi"/>
          <w:sz w:val="24"/>
          <w:szCs w:val="24"/>
        </w:rPr>
        <w:t xml:space="preserve"> </w:t>
      </w:r>
      <w:r w:rsidR="00356D23" w:rsidRPr="0098242C">
        <w:rPr>
          <w:rFonts w:cstheme="minorHAnsi"/>
          <w:sz w:val="24"/>
          <w:szCs w:val="24"/>
        </w:rPr>
        <w:t xml:space="preserve">The </w:t>
      </w:r>
      <w:r w:rsidR="00202906" w:rsidRPr="0098242C">
        <w:rPr>
          <w:rFonts w:cstheme="minorHAnsi"/>
          <w:sz w:val="24"/>
          <w:szCs w:val="24"/>
        </w:rPr>
        <w:t>Proposed Project</w:t>
      </w:r>
      <w:r w:rsidR="00347BCB" w:rsidRPr="0098242C">
        <w:rPr>
          <w:rFonts w:cstheme="minorHAnsi"/>
          <w:sz w:val="24"/>
          <w:szCs w:val="24"/>
        </w:rPr>
        <w:t xml:space="preserve"> </w:t>
      </w:r>
      <w:r w:rsidR="00EF3690" w:rsidRPr="0098242C">
        <w:rPr>
          <w:rFonts w:cstheme="minorHAnsi"/>
          <w:sz w:val="24"/>
          <w:szCs w:val="24"/>
        </w:rPr>
        <w:t xml:space="preserve">addresses Public Health Value </w:t>
      </w:r>
      <w:r w:rsidR="001B2CA5" w:rsidRPr="0098242C">
        <w:rPr>
          <w:rFonts w:cstheme="minorHAnsi"/>
          <w:sz w:val="24"/>
          <w:szCs w:val="24"/>
        </w:rPr>
        <w:t xml:space="preserve">both by providing access to specialty services in areas that have been underserved and </w:t>
      </w:r>
      <w:r w:rsidR="002C390D" w:rsidRPr="0098242C">
        <w:rPr>
          <w:rFonts w:cstheme="minorHAnsi"/>
          <w:sz w:val="24"/>
          <w:szCs w:val="24"/>
        </w:rPr>
        <w:t xml:space="preserve">locating the specialty services in areas </w:t>
      </w:r>
      <w:r w:rsidR="000D34E3">
        <w:rPr>
          <w:rFonts w:cstheme="minorHAnsi"/>
          <w:sz w:val="24"/>
          <w:szCs w:val="24"/>
        </w:rPr>
        <w:t xml:space="preserve">intended to increase </w:t>
      </w:r>
      <w:r w:rsidR="00A43309">
        <w:rPr>
          <w:rFonts w:cstheme="minorHAnsi"/>
          <w:sz w:val="24"/>
          <w:szCs w:val="24"/>
        </w:rPr>
        <w:t>local access t</w:t>
      </w:r>
      <w:r w:rsidR="002C390D" w:rsidRPr="0098242C">
        <w:rPr>
          <w:rFonts w:cstheme="minorHAnsi"/>
          <w:sz w:val="24"/>
          <w:szCs w:val="24"/>
        </w:rPr>
        <w:t>o patients who would otherwise have to travel</w:t>
      </w:r>
      <w:r w:rsidR="00A43309">
        <w:rPr>
          <w:rFonts w:cstheme="minorHAnsi"/>
          <w:sz w:val="24"/>
          <w:szCs w:val="24"/>
        </w:rPr>
        <w:t xml:space="preserve"> </w:t>
      </w:r>
      <w:r w:rsidR="0032601B" w:rsidRPr="0098242C">
        <w:rPr>
          <w:rFonts w:cstheme="minorHAnsi"/>
          <w:sz w:val="24"/>
          <w:szCs w:val="24"/>
        </w:rPr>
        <w:t xml:space="preserve">to receive </w:t>
      </w:r>
      <w:r w:rsidR="0098242C" w:rsidRPr="0098242C">
        <w:rPr>
          <w:rFonts w:cstheme="minorHAnsi"/>
          <w:sz w:val="24"/>
          <w:szCs w:val="24"/>
        </w:rPr>
        <w:t xml:space="preserve">care. </w:t>
      </w:r>
      <w:r w:rsidRPr="0098242C">
        <w:rPr>
          <w:rFonts w:cstheme="minorHAnsi"/>
          <w:sz w:val="24"/>
          <w:szCs w:val="24"/>
        </w:rPr>
        <w:t>As a result, Staff finds that the Applicant meets the requirements of the Public Health Value: Health Outcomes</w:t>
      </w:r>
      <w:r w:rsidR="004B6352" w:rsidRPr="0098242C">
        <w:rPr>
          <w:rFonts w:cstheme="minorHAnsi"/>
          <w:sz w:val="24"/>
          <w:szCs w:val="24"/>
        </w:rPr>
        <w:t xml:space="preserve"> and Quality of Life</w:t>
      </w:r>
      <w:r w:rsidRPr="0098242C">
        <w:rPr>
          <w:rFonts w:cstheme="minorHAnsi"/>
          <w:sz w:val="24"/>
          <w:szCs w:val="24"/>
        </w:rPr>
        <w:t xml:space="preserve"> part of Factor 1b.</w:t>
      </w:r>
    </w:p>
    <w:p w14:paraId="27240D88" w14:textId="77777777" w:rsidR="006C4E66" w:rsidRPr="00185FBE" w:rsidRDefault="006C4E66" w:rsidP="003E1CDA">
      <w:pPr>
        <w:spacing w:line="240" w:lineRule="auto"/>
        <w:rPr>
          <w:rFonts w:cstheme="minorHAnsi"/>
          <w:sz w:val="24"/>
          <w:szCs w:val="24"/>
          <w:highlight w:val="yellow"/>
        </w:rPr>
      </w:pPr>
    </w:p>
    <w:p w14:paraId="49E69667" w14:textId="69CD589F" w:rsidR="003E1CDA" w:rsidRPr="00A43309" w:rsidRDefault="003E1CDA" w:rsidP="006C4E66">
      <w:pPr>
        <w:spacing w:after="0" w:line="240" w:lineRule="auto"/>
        <w:rPr>
          <w:b/>
          <w:bCs/>
          <w:sz w:val="24"/>
          <w:szCs w:val="24"/>
        </w:rPr>
      </w:pPr>
      <w:r w:rsidRPr="00A43309">
        <w:rPr>
          <w:b/>
          <w:bCs/>
          <w:sz w:val="24"/>
          <w:szCs w:val="24"/>
        </w:rPr>
        <w:t>Health Equity and Social Determinants of Health (SD</w:t>
      </w:r>
      <w:r w:rsidR="00DA231D" w:rsidRPr="00A43309">
        <w:rPr>
          <w:b/>
          <w:bCs/>
          <w:sz w:val="24"/>
          <w:szCs w:val="24"/>
        </w:rPr>
        <w:t>o</w:t>
      </w:r>
      <w:r w:rsidRPr="00A43309">
        <w:rPr>
          <w:b/>
          <w:bCs/>
          <w:sz w:val="24"/>
          <w:szCs w:val="24"/>
        </w:rPr>
        <w:t>H)</w:t>
      </w:r>
    </w:p>
    <w:p w14:paraId="4079A031" w14:textId="7BC21620" w:rsidR="0094745B" w:rsidRPr="00185FBE" w:rsidRDefault="0034708C" w:rsidP="0034708C">
      <w:pPr>
        <w:spacing w:after="120" w:line="240" w:lineRule="auto"/>
        <w:rPr>
          <w:rFonts w:ascii="Arial" w:hAnsi="Arial" w:cs="Arial"/>
          <w:sz w:val="20"/>
          <w:szCs w:val="20"/>
          <w:highlight w:val="yellow"/>
        </w:rPr>
      </w:pPr>
      <w:r w:rsidRPr="009A2EB5">
        <w:rPr>
          <w:rFonts w:cstheme="minorHAnsi"/>
          <w:sz w:val="24"/>
          <w:szCs w:val="24"/>
        </w:rPr>
        <w:t xml:space="preserve">The Applicant states that Proposed Project will work to reduce health inequity through </w:t>
      </w:r>
      <w:r w:rsidRPr="00BC253E">
        <w:rPr>
          <w:rFonts w:cstheme="minorHAnsi"/>
          <w:sz w:val="24"/>
          <w:szCs w:val="24"/>
        </w:rPr>
        <w:t xml:space="preserve">increasing and improving access to </w:t>
      </w:r>
      <w:r w:rsidR="009A2EB5" w:rsidRPr="00BC253E">
        <w:rPr>
          <w:rFonts w:cstheme="minorHAnsi"/>
          <w:sz w:val="24"/>
          <w:szCs w:val="24"/>
        </w:rPr>
        <w:t>specialty services in the</w:t>
      </w:r>
      <w:r w:rsidRPr="00BC253E">
        <w:rPr>
          <w:rFonts w:cstheme="minorHAnsi"/>
          <w:sz w:val="24"/>
          <w:szCs w:val="24"/>
        </w:rPr>
        <w:t xml:space="preserve"> community. </w:t>
      </w:r>
      <w:r w:rsidR="00F67DF3" w:rsidRPr="00BC253E">
        <w:rPr>
          <w:rFonts w:cstheme="minorHAnsi"/>
          <w:sz w:val="24"/>
          <w:szCs w:val="24"/>
        </w:rPr>
        <w:t>The Applicant</w:t>
      </w:r>
      <w:r w:rsidR="00BC253E" w:rsidRPr="00BC253E">
        <w:rPr>
          <w:rFonts w:cstheme="minorHAnsi"/>
          <w:sz w:val="24"/>
          <w:szCs w:val="24"/>
        </w:rPr>
        <w:t xml:space="preserve"> asserts that it</w:t>
      </w:r>
      <w:r w:rsidRPr="00BC253E">
        <w:rPr>
          <w:rFonts w:cstheme="minorHAnsi"/>
          <w:sz w:val="24"/>
          <w:szCs w:val="24"/>
        </w:rPr>
        <w:t xml:space="preserve"> does not discriminate on the basis of age, race, ethnicity, gender/gender-identity, physical ability, sensory or speech limitations, or religious, spiritual and cultural beliefs, nor a patient’s ability to pay or payer </w:t>
      </w:r>
      <w:r w:rsidRPr="009A59E9">
        <w:rPr>
          <w:rFonts w:cstheme="minorHAnsi"/>
          <w:sz w:val="24"/>
          <w:szCs w:val="24"/>
        </w:rPr>
        <w:t xml:space="preserve">source. </w:t>
      </w:r>
      <w:r w:rsidR="009A59E9" w:rsidRPr="009A59E9">
        <w:rPr>
          <w:rFonts w:cstheme="minorHAnsi"/>
          <w:sz w:val="24"/>
          <w:szCs w:val="24"/>
        </w:rPr>
        <w:t>The Satellites will</w:t>
      </w:r>
      <w:r w:rsidRPr="009A59E9">
        <w:rPr>
          <w:rFonts w:cstheme="minorHAnsi"/>
          <w:sz w:val="24"/>
          <w:szCs w:val="24"/>
        </w:rPr>
        <w:t xml:space="preserve"> implement the following initiatives to facilitate equitable access to its services:</w:t>
      </w:r>
    </w:p>
    <w:p w14:paraId="40FDA74E" w14:textId="675034EB" w:rsidR="00853CC4" w:rsidRPr="00A43309" w:rsidRDefault="0094745B" w:rsidP="00D44268">
      <w:pPr>
        <w:pStyle w:val="ListParagraph"/>
        <w:widowControl w:val="0"/>
        <w:numPr>
          <w:ilvl w:val="0"/>
          <w:numId w:val="19"/>
        </w:numPr>
        <w:tabs>
          <w:tab w:val="left" w:pos="839"/>
          <w:tab w:val="left" w:pos="840"/>
        </w:tabs>
        <w:autoSpaceDE w:val="0"/>
        <w:autoSpaceDN w:val="0"/>
        <w:spacing w:before="78"/>
        <w:ind w:right="191"/>
        <w:rPr>
          <w:rFonts w:cs="Times New Roman"/>
          <w:bCs/>
          <w:kern w:val="2"/>
          <w:sz w:val="24"/>
          <w:szCs w:val="24"/>
        </w:rPr>
      </w:pPr>
      <w:r w:rsidRPr="00A43309">
        <w:rPr>
          <w:b/>
          <w:bCs/>
          <w:i/>
          <w:iCs/>
          <w:sz w:val="24"/>
          <w:szCs w:val="24"/>
        </w:rPr>
        <w:t>Language Accessibility:</w:t>
      </w:r>
      <w:r w:rsidRPr="00A43309">
        <w:rPr>
          <w:sz w:val="24"/>
          <w:szCs w:val="24"/>
        </w:rPr>
        <w:t xml:space="preserve"> </w:t>
      </w:r>
      <w:r w:rsidR="00853CC4" w:rsidRPr="00A43309">
        <w:rPr>
          <w:rFonts w:cs="Times New Roman"/>
          <w:bCs/>
          <w:kern w:val="2"/>
          <w:sz w:val="24"/>
          <w:szCs w:val="24"/>
        </w:rPr>
        <w:t>Translation services will be available 24 hours per day, seven days per week. Deaf and hard-of-hearing patients will access the same high-quality services through the interpreter service, via LanguageLine.</w:t>
      </w:r>
    </w:p>
    <w:p w14:paraId="7FC35584" w14:textId="250D6345" w:rsidR="003C7781" w:rsidRPr="007C6342" w:rsidRDefault="00853CC4" w:rsidP="007C6342">
      <w:pPr>
        <w:pStyle w:val="BodyText"/>
        <w:numPr>
          <w:ilvl w:val="0"/>
          <w:numId w:val="19"/>
        </w:numPr>
        <w:spacing w:after="120"/>
        <w:rPr>
          <w:rFonts w:asciiTheme="minorHAnsi" w:eastAsiaTheme="minorEastAsia" w:hAnsiTheme="minorHAnsi" w:cs="Times New Roman"/>
          <w:kern w:val="2"/>
          <w:sz w:val="24"/>
          <w:szCs w:val="24"/>
        </w:rPr>
      </w:pPr>
      <w:r w:rsidRPr="15DCD483">
        <w:rPr>
          <w:rFonts w:asciiTheme="minorHAnsi" w:eastAsiaTheme="minorEastAsia" w:hAnsiTheme="minorHAnsi" w:cs="Times New Roman"/>
          <w:b/>
          <w:bCs/>
          <w:i/>
          <w:iCs/>
          <w:kern w:val="2"/>
          <w:sz w:val="24"/>
          <w:szCs w:val="24"/>
        </w:rPr>
        <w:t>Culturally Competent Staff and Services:</w:t>
      </w:r>
      <w:r w:rsidRPr="2D3CCEA8">
        <w:rPr>
          <w:rFonts w:asciiTheme="minorHAnsi" w:eastAsiaTheme="minorEastAsia" w:hAnsiTheme="minorHAnsi" w:cs="Times New Roman"/>
          <w:kern w:val="2"/>
          <w:sz w:val="24"/>
          <w:szCs w:val="24"/>
        </w:rPr>
        <w:t xml:space="preserve"> </w:t>
      </w:r>
      <w:r w:rsidR="00C95E4F" w:rsidRPr="2D3CCEA8">
        <w:rPr>
          <w:rFonts w:asciiTheme="minorHAnsi" w:eastAsiaTheme="minorEastAsia" w:hAnsiTheme="minorHAnsi" w:cs="Times New Roman"/>
          <w:kern w:val="2"/>
          <w:sz w:val="24"/>
          <w:szCs w:val="24"/>
        </w:rPr>
        <w:t xml:space="preserve">The Applicant </w:t>
      </w:r>
      <w:r w:rsidR="00490DB2" w:rsidRPr="2D3CCEA8">
        <w:rPr>
          <w:rFonts w:asciiTheme="minorHAnsi" w:eastAsiaTheme="minorEastAsia" w:hAnsiTheme="minorHAnsi" w:cs="Times New Roman"/>
          <w:kern w:val="2"/>
          <w:sz w:val="24"/>
          <w:szCs w:val="24"/>
        </w:rPr>
        <w:t>plans to</w:t>
      </w:r>
      <w:r w:rsidR="00C95E4F" w:rsidRPr="2D3CCEA8">
        <w:rPr>
          <w:rFonts w:asciiTheme="minorHAnsi" w:eastAsiaTheme="minorEastAsia" w:hAnsiTheme="minorHAnsi" w:cs="Times New Roman"/>
          <w:kern w:val="2"/>
          <w:sz w:val="24"/>
          <w:szCs w:val="24"/>
        </w:rPr>
        <w:t xml:space="preserve"> employ a culturally competent staff </w:t>
      </w:r>
      <w:r w:rsidR="00490DB2" w:rsidRPr="2D3CCEA8">
        <w:rPr>
          <w:rFonts w:asciiTheme="minorHAnsi" w:eastAsiaTheme="minorEastAsia" w:hAnsiTheme="minorHAnsi" w:cs="Times New Roman"/>
          <w:kern w:val="2"/>
          <w:sz w:val="24"/>
          <w:szCs w:val="24"/>
        </w:rPr>
        <w:t xml:space="preserve">at the Satellites </w:t>
      </w:r>
      <w:r w:rsidR="00C95E4F" w:rsidRPr="2D3CCEA8">
        <w:rPr>
          <w:rFonts w:asciiTheme="minorHAnsi" w:eastAsiaTheme="minorEastAsia" w:hAnsiTheme="minorHAnsi" w:cs="Times New Roman"/>
          <w:kern w:val="2"/>
          <w:sz w:val="24"/>
          <w:szCs w:val="24"/>
        </w:rPr>
        <w:t xml:space="preserve">to ensure each patient’s experience meets their needs. </w:t>
      </w:r>
      <w:r w:rsidR="0061422D" w:rsidRPr="15DCD483">
        <w:rPr>
          <w:rFonts w:asciiTheme="minorHAnsi" w:hAnsiTheme="minorHAnsi"/>
          <w:sz w:val="24"/>
          <w:szCs w:val="24"/>
        </w:rPr>
        <w:t xml:space="preserve">All of the Applicant’s employees and BILH-entity employees are required to pass two educational programs annually focused on 1) workplace harassment and </w:t>
      </w:r>
      <w:r w:rsidR="0061422D" w:rsidRPr="15DCD483">
        <w:rPr>
          <w:rFonts w:asciiTheme="minorHAnsi" w:hAnsiTheme="minorHAnsi"/>
          <w:sz w:val="24"/>
          <w:szCs w:val="24"/>
        </w:rPr>
        <w:lastRenderedPageBreak/>
        <w:t xml:space="preserve">cultural diversity, and 2) healthcare equity. As such, all staff expected to transition to the Satellites meet </w:t>
      </w:r>
      <w:r w:rsidR="00874A50" w:rsidRPr="15DCD483">
        <w:rPr>
          <w:rFonts w:asciiTheme="minorHAnsi" w:hAnsiTheme="minorHAnsi"/>
          <w:sz w:val="24"/>
          <w:szCs w:val="24"/>
        </w:rPr>
        <w:t>this</w:t>
      </w:r>
      <w:r w:rsidR="0061422D" w:rsidRPr="15DCD483">
        <w:rPr>
          <w:rFonts w:asciiTheme="minorHAnsi" w:hAnsiTheme="minorHAnsi"/>
          <w:sz w:val="24"/>
          <w:szCs w:val="24"/>
        </w:rPr>
        <w:t xml:space="preserve"> cultural </w:t>
      </w:r>
      <w:r w:rsidR="00BF043A" w:rsidRPr="2D3CCEA8">
        <w:rPr>
          <w:rFonts w:asciiTheme="minorHAnsi" w:hAnsiTheme="minorHAnsi"/>
          <w:sz w:val="24"/>
          <w:szCs w:val="24"/>
        </w:rPr>
        <w:t>competency</w:t>
      </w:r>
      <w:r w:rsidR="0061422D" w:rsidRPr="2D3CCEA8">
        <w:rPr>
          <w:rFonts w:asciiTheme="minorHAnsi" w:hAnsiTheme="minorHAnsi"/>
          <w:sz w:val="24"/>
          <w:szCs w:val="24"/>
        </w:rPr>
        <w:t>.</w:t>
      </w:r>
      <w:r w:rsidR="0061422D" w:rsidRPr="15DCD483">
        <w:rPr>
          <w:rFonts w:asciiTheme="minorHAnsi" w:hAnsiTheme="minorHAnsi"/>
          <w:sz w:val="24"/>
          <w:szCs w:val="24"/>
        </w:rPr>
        <w:t xml:space="preserve"> </w:t>
      </w:r>
      <w:r w:rsidR="00490DB2" w:rsidRPr="15DCD483">
        <w:rPr>
          <w:rFonts w:asciiTheme="minorHAnsi" w:eastAsiaTheme="minorEastAsia" w:hAnsiTheme="minorHAnsi"/>
          <w:kern w:val="2"/>
          <w:sz w:val="24"/>
          <w:szCs w:val="24"/>
        </w:rPr>
        <w:t>The</w:t>
      </w:r>
      <w:r w:rsidR="00490DB2" w:rsidRPr="2D3CCEA8">
        <w:rPr>
          <w:rFonts w:asciiTheme="minorHAnsi" w:eastAsiaTheme="minorEastAsia" w:hAnsiTheme="minorHAnsi" w:cs="Times New Roman"/>
          <w:kern w:val="2"/>
          <w:sz w:val="24"/>
          <w:szCs w:val="24"/>
        </w:rPr>
        <w:t xml:space="preserve"> availability of</w:t>
      </w:r>
      <w:r w:rsidR="00C95E4F" w:rsidRPr="2D3CCEA8">
        <w:rPr>
          <w:rFonts w:asciiTheme="minorHAnsi" w:eastAsiaTheme="minorEastAsia" w:hAnsiTheme="minorHAnsi" w:cs="Times New Roman"/>
          <w:kern w:val="2"/>
          <w:sz w:val="24"/>
          <w:szCs w:val="24"/>
        </w:rPr>
        <w:t xml:space="preserve"> culturally competent staff recognizes the holistic needs of patients throughout their encounter at each Satellite. </w:t>
      </w:r>
    </w:p>
    <w:p w14:paraId="73811431" w14:textId="20437039" w:rsidR="0094745B" w:rsidRPr="007C6342" w:rsidRDefault="0094745B" w:rsidP="007C6342">
      <w:pPr>
        <w:pStyle w:val="BodyText"/>
        <w:widowControl/>
        <w:numPr>
          <w:ilvl w:val="0"/>
          <w:numId w:val="19"/>
        </w:numPr>
        <w:spacing w:before="0" w:after="120"/>
        <w:rPr>
          <w:rFonts w:asciiTheme="minorHAnsi" w:hAnsiTheme="minorHAnsi" w:cstheme="minorHAnsi"/>
          <w:bCs/>
          <w:kern w:val="2"/>
          <w:sz w:val="24"/>
          <w:szCs w:val="24"/>
        </w:rPr>
      </w:pPr>
      <w:r w:rsidRPr="00A43309">
        <w:rPr>
          <w:rFonts w:asciiTheme="minorHAnsi" w:hAnsiTheme="minorHAnsi" w:cstheme="minorHAnsi"/>
          <w:b/>
          <w:bCs/>
          <w:i/>
          <w:iCs/>
          <w:sz w:val="24"/>
          <w:szCs w:val="24"/>
        </w:rPr>
        <w:t>Data Collection</w:t>
      </w:r>
      <w:r w:rsidR="00E50F35" w:rsidRPr="00A43309">
        <w:rPr>
          <w:rFonts w:asciiTheme="minorHAnsi" w:hAnsiTheme="minorHAnsi" w:cstheme="minorHAnsi"/>
          <w:b/>
          <w:bCs/>
          <w:i/>
          <w:iCs/>
          <w:sz w:val="24"/>
          <w:szCs w:val="24"/>
        </w:rPr>
        <w:t xml:space="preserve"> and Research</w:t>
      </w:r>
      <w:r w:rsidRPr="00A43309">
        <w:rPr>
          <w:rFonts w:asciiTheme="minorHAnsi" w:hAnsiTheme="minorHAnsi" w:cstheme="minorHAnsi"/>
          <w:b/>
          <w:bCs/>
          <w:i/>
          <w:iCs/>
          <w:sz w:val="24"/>
          <w:szCs w:val="24"/>
        </w:rPr>
        <w:t>:</w:t>
      </w:r>
      <w:r w:rsidRPr="003C7781">
        <w:rPr>
          <w:rFonts w:asciiTheme="minorHAnsi" w:hAnsiTheme="minorHAnsi" w:cstheme="minorHAnsi"/>
          <w:sz w:val="24"/>
          <w:szCs w:val="24"/>
        </w:rPr>
        <w:t xml:space="preserve"> </w:t>
      </w:r>
      <w:r w:rsidR="003C7781" w:rsidRPr="003C7781">
        <w:rPr>
          <w:rFonts w:asciiTheme="minorHAnsi" w:hAnsiTheme="minorHAnsi" w:cstheme="minorHAnsi"/>
          <w:bCs/>
          <w:kern w:val="2"/>
          <w:sz w:val="24"/>
          <w:szCs w:val="24"/>
        </w:rPr>
        <w:t xml:space="preserve">The Applicant recently launched an initiative to consistently </w:t>
      </w:r>
      <w:r w:rsidR="003C7781">
        <w:rPr>
          <w:rFonts w:asciiTheme="minorHAnsi" w:hAnsiTheme="minorHAnsi" w:cstheme="minorHAnsi"/>
          <w:bCs/>
          <w:kern w:val="2"/>
          <w:sz w:val="24"/>
          <w:szCs w:val="24"/>
        </w:rPr>
        <w:t>gather</w:t>
      </w:r>
      <w:r w:rsidR="003C7781" w:rsidRPr="003C7781">
        <w:rPr>
          <w:rFonts w:asciiTheme="minorHAnsi" w:hAnsiTheme="minorHAnsi" w:cstheme="minorHAnsi"/>
          <w:bCs/>
          <w:kern w:val="2"/>
          <w:sz w:val="24"/>
          <w:szCs w:val="24"/>
        </w:rPr>
        <w:t xml:space="preserve"> more detailed and complete demographic information from patients in furtherance of an organizational culture that embraces diversity, equity, and inclusion. Capturing patient diversity demographics, including gender and race, ethnicity, and language (REAL Data</w:t>
      </w:r>
      <w:r w:rsidR="003C7781">
        <w:rPr>
          <w:rFonts w:asciiTheme="minorHAnsi" w:hAnsiTheme="minorHAnsi" w:cstheme="minorHAnsi"/>
          <w:bCs/>
          <w:kern w:val="2"/>
          <w:sz w:val="24"/>
          <w:szCs w:val="24"/>
        </w:rPr>
        <w:t>)</w:t>
      </w:r>
      <w:r w:rsidR="003C7781" w:rsidRPr="003C7781">
        <w:rPr>
          <w:rFonts w:asciiTheme="minorHAnsi" w:hAnsiTheme="minorHAnsi" w:cstheme="minorHAnsi"/>
          <w:bCs/>
          <w:kern w:val="2"/>
          <w:sz w:val="24"/>
          <w:szCs w:val="24"/>
        </w:rPr>
        <w:t xml:space="preserve"> is foundational to understanding and addressing health disparities in the community. The Applicant</w:t>
      </w:r>
      <w:r w:rsidR="003C7781">
        <w:rPr>
          <w:rFonts w:asciiTheme="minorHAnsi" w:hAnsiTheme="minorHAnsi" w:cstheme="minorHAnsi"/>
          <w:bCs/>
          <w:kern w:val="2"/>
          <w:sz w:val="24"/>
          <w:szCs w:val="24"/>
        </w:rPr>
        <w:t xml:space="preserve"> assembled </w:t>
      </w:r>
      <w:r w:rsidR="003C7781" w:rsidRPr="003C7781">
        <w:rPr>
          <w:rFonts w:asciiTheme="minorHAnsi" w:hAnsiTheme="minorHAnsi" w:cstheme="minorHAnsi"/>
          <w:bCs/>
          <w:kern w:val="2"/>
          <w:sz w:val="24"/>
          <w:szCs w:val="24"/>
        </w:rPr>
        <w:t xml:space="preserve">a multidisciplinary team of representatives from across the Applicant’s </w:t>
      </w:r>
      <w:r w:rsidR="003C7781">
        <w:rPr>
          <w:rFonts w:asciiTheme="minorHAnsi" w:hAnsiTheme="minorHAnsi" w:cstheme="minorHAnsi"/>
          <w:bCs/>
          <w:kern w:val="2"/>
          <w:sz w:val="24"/>
          <w:szCs w:val="24"/>
        </w:rPr>
        <w:t xml:space="preserve">health </w:t>
      </w:r>
      <w:r w:rsidR="003C7781" w:rsidRPr="003C7781">
        <w:rPr>
          <w:rFonts w:asciiTheme="minorHAnsi" w:hAnsiTheme="minorHAnsi" w:cstheme="minorHAnsi"/>
          <w:bCs/>
          <w:kern w:val="2"/>
          <w:sz w:val="24"/>
          <w:szCs w:val="24"/>
        </w:rPr>
        <w:t xml:space="preserve">system, including staff from patient access services, information services, nursing, social work, community benefits and community relations teams. Collaborating with patient representatives, the multidisciplinary team established a standard set of data along with best practices and processes in order to capture the data more consistently in the electronic medical record. </w:t>
      </w:r>
    </w:p>
    <w:p w14:paraId="23F9B7A0" w14:textId="331C2228" w:rsidR="003D4FB2" w:rsidRPr="007C6342" w:rsidRDefault="00A81485" w:rsidP="007C6342">
      <w:pPr>
        <w:pStyle w:val="BodyText"/>
        <w:widowControl/>
        <w:spacing w:before="0" w:after="120"/>
        <w:ind w:left="1080"/>
        <w:rPr>
          <w:rFonts w:asciiTheme="minorHAnsi" w:eastAsiaTheme="minorHAnsi" w:hAnsiTheme="minorHAnsi" w:cs="Times New Roman"/>
          <w:bCs/>
          <w:kern w:val="2"/>
          <w:sz w:val="24"/>
          <w:szCs w:val="24"/>
        </w:rPr>
      </w:pPr>
      <w:r>
        <w:rPr>
          <w:rFonts w:asciiTheme="minorHAnsi" w:eastAsiaTheme="minorHAnsi" w:hAnsiTheme="minorHAnsi" w:cs="Times New Roman"/>
          <w:bCs/>
          <w:kern w:val="2"/>
          <w:sz w:val="24"/>
          <w:szCs w:val="24"/>
        </w:rPr>
        <w:t>T</w:t>
      </w:r>
      <w:r w:rsidRPr="00490DB2">
        <w:rPr>
          <w:rFonts w:asciiTheme="minorHAnsi" w:eastAsiaTheme="minorHAnsi" w:hAnsiTheme="minorHAnsi" w:cs="Times New Roman"/>
          <w:bCs/>
          <w:kern w:val="2"/>
          <w:sz w:val="24"/>
          <w:szCs w:val="24"/>
        </w:rPr>
        <w:t xml:space="preserve">he Applicant </w:t>
      </w:r>
      <w:r>
        <w:rPr>
          <w:rFonts w:asciiTheme="minorHAnsi" w:eastAsiaTheme="minorHAnsi" w:hAnsiTheme="minorHAnsi" w:cs="Times New Roman"/>
          <w:bCs/>
          <w:kern w:val="2"/>
          <w:sz w:val="24"/>
          <w:szCs w:val="24"/>
        </w:rPr>
        <w:t xml:space="preserve">has also </w:t>
      </w:r>
      <w:r w:rsidRPr="00490DB2">
        <w:rPr>
          <w:rFonts w:asciiTheme="minorHAnsi" w:eastAsiaTheme="minorHAnsi" w:hAnsiTheme="minorHAnsi" w:cs="Times New Roman"/>
          <w:bCs/>
          <w:kern w:val="2"/>
          <w:sz w:val="24"/>
          <w:szCs w:val="24"/>
        </w:rPr>
        <w:t>created the Massachusetts Institute for Equity-Focused Learning Health System Science</w:t>
      </w:r>
      <w:r>
        <w:rPr>
          <w:rFonts w:asciiTheme="minorHAnsi" w:eastAsiaTheme="minorHAnsi" w:hAnsiTheme="minorHAnsi" w:cs="Times New Roman"/>
          <w:bCs/>
          <w:kern w:val="2"/>
          <w:sz w:val="24"/>
          <w:szCs w:val="24"/>
        </w:rPr>
        <w:t xml:space="preserve"> (Institute)</w:t>
      </w:r>
      <w:r w:rsidRPr="00490DB2">
        <w:rPr>
          <w:rFonts w:asciiTheme="minorHAnsi" w:eastAsiaTheme="minorHAnsi" w:hAnsiTheme="minorHAnsi" w:cs="Times New Roman"/>
          <w:bCs/>
          <w:kern w:val="2"/>
          <w:sz w:val="24"/>
          <w:szCs w:val="24"/>
        </w:rPr>
        <w:t xml:space="preserve"> in collaboration with leaders from other Massachusetts healthcare systems. Funded by a grant from the federal Agency for Healthcare Research and Quality, the Institute seeks to expedite equity-focused research to address health disparities and will work to ensure research of equity measures and social determinants of health is guided by common data standards and led by a diverse group of researchers representative of the Commonwealth’s residents and their lived experiences.</w:t>
      </w:r>
    </w:p>
    <w:p w14:paraId="60787DF4" w14:textId="77777777" w:rsidR="003A6616" w:rsidRPr="0098242C" w:rsidRDefault="003A6616" w:rsidP="003A6616">
      <w:pPr>
        <w:contextualSpacing/>
        <w:rPr>
          <w:rFonts w:cstheme="minorHAnsi"/>
          <w:b/>
          <w:i/>
          <w:sz w:val="24"/>
          <w:szCs w:val="24"/>
        </w:rPr>
      </w:pPr>
      <w:r w:rsidRPr="0098242C">
        <w:rPr>
          <w:rFonts w:cstheme="minorHAnsi"/>
          <w:b/>
          <w:i/>
          <w:sz w:val="24"/>
          <w:szCs w:val="24"/>
        </w:rPr>
        <w:t>Analysis: Health Equity and SDoH</w:t>
      </w:r>
    </w:p>
    <w:p w14:paraId="038D5E89" w14:textId="0D625022" w:rsidR="006D73BA" w:rsidRPr="0098242C" w:rsidRDefault="00B21EBB" w:rsidP="006D73BA">
      <w:pPr>
        <w:rPr>
          <w:rFonts w:cstheme="minorHAnsi"/>
          <w:bCs/>
          <w:sz w:val="24"/>
          <w:szCs w:val="24"/>
        </w:rPr>
      </w:pPr>
      <w:r w:rsidRPr="0098242C">
        <w:rPr>
          <w:rFonts w:cstheme="minorHAnsi"/>
          <w:color w:val="000000"/>
          <w:sz w:val="24"/>
          <w:szCs w:val="24"/>
        </w:rPr>
        <w:t xml:space="preserve">Staff finds that the Applicant has sufficiently outlined ongoing efforts to </w:t>
      </w:r>
      <w:r w:rsidR="003A1FB6" w:rsidRPr="0098242C">
        <w:rPr>
          <w:rFonts w:cstheme="minorHAnsi"/>
          <w:color w:val="000000"/>
          <w:sz w:val="24"/>
          <w:szCs w:val="24"/>
        </w:rPr>
        <w:t>a</w:t>
      </w:r>
      <w:r w:rsidR="003A1FB6">
        <w:rPr>
          <w:rFonts w:cstheme="minorHAnsi"/>
          <w:color w:val="000000"/>
          <w:sz w:val="24"/>
          <w:szCs w:val="24"/>
        </w:rPr>
        <w:t>dvance</w:t>
      </w:r>
      <w:r w:rsidR="003A1FB6" w:rsidRPr="0098242C">
        <w:rPr>
          <w:rFonts w:cstheme="minorHAnsi"/>
          <w:color w:val="000000"/>
          <w:sz w:val="24"/>
          <w:szCs w:val="24"/>
        </w:rPr>
        <w:t xml:space="preserve"> </w:t>
      </w:r>
      <w:r w:rsidRPr="0098242C">
        <w:rPr>
          <w:rFonts w:cstheme="minorHAnsi"/>
          <w:color w:val="000000"/>
          <w:sz w:val="24"/>
          <w:szCs w:val="24"/>
        </w:rPr>
        <w:t xml:space="preserve">health equity. </w:t>
      </w:r>
      <w:r>
        <w:rPr>
          <w:rFonts w:cstheme="minorHAnsi"/>
          <w:color w:val="000000"/>
          <w:sz w:val="24"/>
          <w:szCs w:val="24"/>
        </w:rPr>
        <w:t>The</w:t>
      </w:r>
      <w:r w:rsidR="006D73BA" w:rsidRPr="0098242C">
        <w:rPr>
          <w:rFonts w:cstheme="minorHAnsi"/>
          <w:color w:val="000000"/>
          <w:sz w:val="24"/>
          <w:szCs w:val="24"/>
        </w:rPr>
        <w:t xml:space="preserve"> Applican</w:t>
      </w:r>
      <w:r>
        <w:rPr>
          <w:rFonts w:cstheme="minorHAnsi"/>
          <w:color w:val="000000"/>
          <w:sz w:val="24"/>
          <w:szCs w:val="24"/>
        </w:rPr>
        <w:t xml:space="preserve">t outlined significant </w:t>
      </w:r>
      <w:r w:rsidR="006D73BA" w:rsidRPr="0098242C">
        <w:rPr>
          <w:rFonts w:cstheme="minorHAnsi"/>
          <w:color w:val="000000"/>
          <w:sz w:val="24"/>
          <w:szCs w:val="24"/>
        </w:rPr>
        <w:t xml:space="preserve">efforts to </w:t>
      </w:r>
      <w:r w:rsidR="003A1FB6" w:rsidRPr="0098242C">
        <w:rPr>
          <w:rFonts w:cstheme="minorHAnsi"/>
          <w:color w:val="000000"/>
          <w:sz w:val="24"/>
          <w:szCs w:val="24"/>
        </w:rPr>
        <w:t>a</w:t>
      </w:r>
      <w:r w:rsidR="003A1FB6">
        <w:rPr>
          <w:rFonts w:cstheme="minorHAnsi"/>
          <w:color w:val="000000"/>
          <w:sz w:val="24"/>
          <w:szCs w:val="24"/>
        </w:rPr>
        <w:t>dvance</w:t>
      </w:r>
      <w:r w:rsidR="003A1FB6" w:rsidRPr="0098242C">
        <w:rPr>
          <w:rFonts w:cstheme="minorHAnsi"/>
          <w:color w:val="000000"/>
          <w:sz w:val="24"/>
          <w:szCs w:val="24"/>
        </w:rPr>
        <w:t xml:space="preserve"> </w:t>
      </w:r>
      <w:r w:rsidR="006D73BA" w:rsidRPr="0098242C">
        <w:rPr>
          <w:rFonts w:cstheme="minorHAnsi"/>
          <w:color w:val="000000"/>
          <w:sz w:val="24"/>
          <w:szCs w:val="24"/>
        </w:rPr>
        <w:t xml:space="preserve">health equity through language accessibility, </w:t>
      </w:r>
      <w:r w:rsidR="00897FA5">
        <w:rPr>
          <w:rFonts w:cstheme="minorHAnsi"/>
          <w:color w:val="000000"/>
          <w:sz w:val="24"/>
          <w:szCs w:val="24"/>
        </w:rPr>
        <w:t xml:space="preserve">improving the cultural competency of its staff, </w:t>
      </w:r>
      <w:r w:rsidR="006D73BA" w:rsidRPr="0098242C">
        <w:rPr>
          <w:rFonts w:cstheme="minorHAnsi"/>
          <w:color w:val="000000"/>
          <w:sz w:val="24"/>
          <w:szCs w:val="24"/>
        </w:rPr>
        <w:t xml:space="preserve">and </w:t>
      </w:r>
      <w:r w:rsidR="0098242C">
        <w:rPr>
          <w:rFonts w:cstheme="minorHAnsi"/>
          <w:color w:val="000000"/>
          <w:sz w:val="24"/>
          <w:szCs w:val="24"/>
        </w:rPr>
        <w:t xml:space="preserve">a plan for </w:t>
      </w:r>
      <w:r w:rsidR="006D73BA" w:rsidRPr="0098242C">
        <w:rPr>
          <w:rFonts w:cstheme="minorHAnsi"/>
          <w:color w:val="000000"/>
          <w:sz w:val="24"/>
          <w:szCs w:val="24"/>
        </w:rPr>
        <w:t xml:space="preserve">data collection/ research that provides a more accurate understanding of the race, ethnicity, and language of their patient population. </w:t>
      </w:r>
      <w:r w:rsidR="006D73BA" w:rsidRPr="0098242C">
        <w:rPr>
          <w:rFonts w:cstheme="minorHAnsi"/>
          <w:sz w:val="24"/>
          <w:szCs w:val="24"/>
        </w:rPr>
        <w:t>As a result, Staff finds that the Applicant meets the requirements of the Public Health Value: Health Equity part of Factor 1b.</w:t>
      </w:r>
    </w:p>
    <w:p w14:paraId="228842D4" w14:textId="77777777" w:rsidR="003A6616" w:rsidRPr="00185FBE" w:rsidRDefault="003A6616" w:rsidP="003E1CDA">
      <w:pPr>
        <w:spacing w:line="240" w:lineRule="auto"/>
        <w:rPr>
          <w:sz w:val="24"/>
          <w:szCs w:val="24"/>
          <w:highlight w:val="yellow"/>
        </w:rPr>
      </w:pPr>
    </w:p>
    <w:p w14:paraId="41ED1AEB" w14:textId="5898B75C" w:rsidR="003E1CDA" w:rsidRPr="00AD67ED" w:rsidRDefault="003E1CDA" w:rsidP="002B05B4">
      <w:pPr>
        <w:pStyle w:val="Heading1"/>
      </w:pPr>
      <w:bookmarkStart w:id="9" w:name="_Toc196819108"/>
      <w:r w:rsidRPr="00AD67ED">
        <w:t>Factor 1: c) Efficiency, Continuity of Care, Coordination of Care</w:t>
      </w:r>
      <w:bookmarkEnd w:id="9"/>
    </w:p>
    <w:p w14:paraId="32F45B2D" w14:textId="17D9521C" w:rsidR="007C2FC0" w:rsidRPr="00AD67ED" w:rsidRDefault="006046EE" w:rsidP="00BA1881">
      <w:pPr>
        <w:autoSpaceDE w:val="0"/>
        <w:autoSpaceDN w:val="0"/>
        <w:adjustRightInd w:val="0"/>
        <w:rPr>
          <w:rFonts w:cstheme="minorHAnsi"/>
          <w:bCs/>
          <w:sz w:val="24"/>
          <w:szCs w:val="24"/>
        </w:rPr>
      </w:pPr>
      <w:r w:rsidRPr="000E27D5">
        <w:rPr>
          <w:rFonts w:cstheme="minorHAnsi"/>
          <w:color w:val="000000"/>
          <w:sz w:val="24"/>
          <w:szCs w:val="24"/>
        </w:rPr>
        <w:t>In</w:t>
      </w:r>
      <w:r w:rsidRPr="000E27D5">
        <w:rPr>
          <w:rFonts w:cstheme="minorHAnsi"/>
          <w:sz w:val="24"/>
          <w:szCs w:val="24"/>
        </w:rPr>
        <w:t xml:space="preserve"> this section, staff will assess if the </w:t>
      </w:r>
      <w:r w:rsidR="00AD36F0" w:rsidRPr="00AD67ED">
        <w:rPr>
          <w:bCs/>
          <w:sz w:val="24"/>
          <w:szCs w:val="24"/>
        </w:rPr>
        <w:t>Proposed Project will promote</w:t>
      </w:r>
      <w:r w:rsidR="00C67247" w:rsidRPr="00AD67ED">
        <w:rPr>
          <w:bCs/>
          <w:sz w:val="24"/>
          <w:szCs w:val="24"/>
        </w:rPr>
        <w:t xml:space="preserve"> continuity of care, improved </w:t>
      </w:r>
      <w:r w:rsidR="003A5696" w:rsidRPr="00AD67ED">
        <w:rPr>
          <w:bCs/>
          <w:sz w:val="24"/>
          <w:szCs w:val="24"/>
        </w:rPr>
        <w:t>health outcomes</w:t>
      </w:r>
      <w:r w:rsidR="00C67247" w:rsidRPr="00AD67ED">
        <w:rPr>
          <w:bCs/>
          <w:sz w:val="24"/>
          <w:szCs w:val="24"/>
        </w:rPr>
        <w:t>, and enhanced quality of lif</w:t>
      </w:r>
      <w:r w:rsidR="00043B60" w:rsidRPr="00AD67ED">
        <w:rPr>
          <w:bCs/>
          <w:sz w:val="24"/>
          <w:szCs w:val="24"/>
        </w:rPr>
        <w:t>e</w:t>
      </w:r>
      <w:r w:rsidR="003B7AFF">
        <w:rPr>
          <w:bCs/>
          <w:sz w:val="24"/>
          <w:szCs w:val="24"/>
        </w:rPr>
        <w:t xml:space="preserve">. </w:t>
      </w:r>
      <w:r w:rsidR="00BA1881" w:rsidRPr="45C967FF">
        <w:rPr>
          <w:sz w:val="24"/>
          <w:szCs w:val="24"/>
        </w:rPr>
        <w:t xml:space="preserve">The Applicant </w:t>
      </w:r>
      <w:r w:rsidR="00BA1881">
        <w:rPr>
          <w:sz w:val="24"/>
          <w:szCs w:val="24"/>
        </w:rPr>
        <w:t xml:space="preserve">demonstrated these factors as follows:  </w:t>
      </w:r>
    </w:p>
    <w:p w14:paraId="59346C3E" w14:textId="77777777" w:rsidR="000A269B" w:rsidRPr="00E75F33" w:rsidRDefault="000A269B" w:rsidP="007C2FC0">
      <w:pPr>
        <w:spacing w:after="0" w:line="240" w:lineRule="auto"/>
        <w:jc w:val="both"/>
        <w:rPr>
          <w:rFonts w:cstheme="minorHAnsi"/>
          <w:sz w:val="24"/>
          <w:szCs w:val="24"/>
        </w:rPr>
      </w:pPr>
    </w:p>
    <w:p w14:paraId="093DC2C5" w14:textId="75545B7E" w:rsidR="00782566" w:rsidRPr="00E75F33" w:rsidRDefault="10301025" w:rsidP="0C788ED3">
      <w:pPr>
        <w:pStyle w:val="BodyText"/>
        <w:widowControl/>
        <w:numPr>
          <w:ilvl w:val="0"/>
          <w:numId w:val="7"/>
        </w:numPr>
        <w:spacing w:before="0" w:after="120"/>
        <w:ind w:right="136"/>
        <w:rPr>
          <w:rFonts w:asciiTheme="minorHAnsi" w:hAnsiTheme="minorHAnsi"/>
          <w:kern w:val="2"/>
          <w:sz w:val="24"/>
          <w:szCs w:val="24"/>
        </w:rPr>
      </w:pPr>
      <w:r w:rsidRPr="0C788ED3">
        <w:rPr>
          <w:rFonts w:asciiTheme="minorHAnsi" w:hAnsiTheme="minorHAnsi"/>
          <w:b/>
          <w:bCs/>
          <w:sz w:val="24"/>
          <w:szCs w:val="24"/>
        </w:rPr>
        <w:t>Local Access Within Health System</w:t>
      </w:r>
      <w:r w:rsidR="26A672D6" w:rsidRPr="0C788ED3">
        <w:rPr>
          <w:rFonts w:asciiTheme="minorHAnsi" w:hAnsiTheme="minorHAnsi"/>
          <w:b/>
          <w:bCs/>
          <w:sz w:val="24"/>
          <w:szCs w:val="24"/>
        </w:rPr>
        <w:t>:</w:t>
      </w:r>
      <w:r w:rsidR="26A672D6" w:rsidRPr="0C788ED3">
        <w:rPr>
          <w:rFonts w:asciiTheme="minorHAnsi" w:hAnsiTheme="minorHAnsi"/>
          <w:sz w:val="24"/>
          <w:szCs w:val="24"/>
        </w:rPr>
        <w:t xml:space="preserve"> </w:t>
      </w:r>
      <w:r w:rsidR="6E92DE88" w:rsidRPr="0C788ED3">
        <w:rPr>
          <w:rFonts w:asciiTheme="minorHAnsi" w:hAnsiTheme="minorHAnsi"/>
          <w:sz w:val="24"/>
          <w:szCs w:val="24"/>
        </w:rPr>
        <w:t xml:space="preserve">The </w:t>
      </w:r>
      <w:r w:rsidR="60A0CE30" w:rsidRPr="0C788ED3">
        <w:rPr>
          <w:rFonts w:asciiTheme="minorHAnsi" w:hAnsiTheme="minorHAnsi"/>
          <w:sz w:val="24"/>
          <w:szCs w:val="24"/>
        </w:rPr>
        <w:t xml:space="preserve">Applicant states that the </w:t>
      </w:r>
      <w:r w:rsidR="6E92DE88" w:rsidRPr="0C788ED3">
        <w:rPr>
          <w:rFonts w:asciiTheme="minorHAnsi" w:hAnsiTheme="minorHAnsi"/>
          <w:sz w:val="24"/>
          <w:szCs w:val="24"/>
        </w:rPr>
        <w:t xml:space="preserve">Proposed Project will improve care continuity and coordination of care by providing </w:t>
      </w:r>
      <w:r w:rsidR="00E60341">
        <w:rPr>
          <w:rFonts w:asciiTheme="minorHAnsi" w:hAnsiTheme="minorHAnsi"/>
          <w:sz w:val="24"/>
          <w:szCs w:val="24"/>
        </w:rPr>
        <w:t>access</w:t>
      </w:r>
      <w:r w:rsidR="6E92DE88" w:rsidRPr="0C788ED3">
        <w:rPr>
          <w:rFonts w:asciiTheme="minorHAnsi" w:hAnsiTheme="minorHAnsi"/>
          <w:sz w:val="24"/>
          <w:szCs w:val="24"/>
        </w:rPr>
        <w:t xml:space="preserve"> </w:t>
      </w:r>
      <w:r w:rsidR="00E60341">
        <w:rPr>
          <w:rFonts w:asciiTheme="minorHAnsi" w:hAnsiTheme="minorHAnsi"/>
          <w:sz w:val="24"/>
          <w:szCs w:val="24"/>
        </w:rPr>
        <w:t xml:space="preserve">for specialty care </w:t>
      </w:r>
      <w:r w:rsidR="6E92DE88" w:rsidRPr="0C788ED3">
        <w:rPr>
          <w:rFonts w:asciiTheme="minorHAnsi" w:hAnsiTheme="minorHAnsi"/>
          <w:sz w:val="24"/>
          <w:szCs w:val="24"/>
        </w:rPr>
        <w:t xml:space="preserve">patients who are currently seen at the Applicant’s member hospitals, including BID </w:t>
      </w:r>
      <w:r w:rsidR="6E92DE88" w:rsidRPr="0C788ED3">
        <w:rPr>
          <w:rFonts w:asciiTheme="minorHAnsi" w:hAnsiTheme="minorHAnsi"/>
          <w:sz w:val="24"/>
          <w:szCs w:val="24"/>
        </w:rPr>
        <w:lastRenderedPageBreak/>
        <w:t>Plymouth, BID Milton and BIDMC in Boston</w:t>
      </w:r>
      <w:r w:rsidR="00E25AF0">
        <w:rPr>
          <w:rFonts w:asciiTheme="minorHAnsi" w:hAnsiTheme="minorHAnsi"/>
          <w:sz w:val="24"/>
          <w:szCs w:val="24"/>
        </w:rPr>
        <w:t>.</w:t>
      </w:r>
      <w:r w:rsidR="60A0CE30" w:rsidRPr="0C788ED3">
        <w:rPr>
          <w:rFonts w:asciiTheme="minorHAnsi" w:hAnsiTheme="minorHAnsi"/>
          <w:sz w:val="24"/>
          <w:szCs w:val="24"/>
        </w:rPr>
        <w:t xml:space="preserve"> </w:t>
      </w:r>
      <w:r w:rsidR="00C82A24">
        <w:rPr>
          <w:rFonts w:asciiTheme="minorHAnsi" w:hAnsiTheme="minorHAnsi"/>
          <w:sz w:val="24"/>
          <w:szCs w:val="24"/>
        </w:rPr>
        <w:t>The Applicant states that</w:t>
      </w:r>
      <w:r w:rsidR="60A0CE30" w:rsidRPr="0C788ED3">
        <w:rPr>
          <w:rFonts w:asciiTheme="minorHAnsi" w:hAnsiTheme="minorHAnsi"/>
          <w:sz w:val="24"/>
          <w:szCs w:val="24"/>
        </w:rPr>
        <w:t xml:space="preserve"> the Proposed Project</w:t>
      </w:r>
      <w:r w:rsidR="00C82A24">
        <w:rPr>
          <w:rFonts w:asciiTheme="minorHAnsi" w:hAnsiTheme="minorHAnsi"/>
          <w:sz w:val="24"/>
          <w:szCs w:val="24"/>
        </w:rPr>
        <w:t xml:space="preserve"> will allow </w:t>
      </w:r>
      <w:r w:rsidR="60A0CE30" w:rsidRPr="0C788ED3">
        <w:rPr>
          <w:rFonts w:asciiTheme="minorHAnsi" w:hAnsiTheme="minorHAnsi"/>
          <w:sz w:val="24"/>
          <w:szCs w:val="24"/>
        </w:rPr>
        <w:t xml:space="preserve">patients </w:t>
      </w:r>
      <w:r w:rsidR="00C82A24">
        <w:rPr>
          <w:rFonts w:asciiTheme="minorHAnsi" w:hAnsiTheme="minorHAnsi"/>
          <w:sz w:val="24"/>
          <w:szCs w:val="24"/>
        </w:rPr>
        <w:t>to remain both within</w:t>
      </w:r>
      <w:r w:rsidR="60A0CE30" w:rsidRPr="0C788ED3">
        <w:rPr>
          <w:rFonts w:asciiTheme="minorHAnsi" w:hAnsiTheme="minorHAnsi"/>
          <w:sz w:val="24"/>
          <w:szCs w:val="24"/>
        </w:rPr>
        <w:t xml:space="preserve"> </w:t>
      </w:r>
      <w:r w:rsidR="00102F82">
        <w:rPr>
          <w:rFonts w:asciiTheme="minorHAnsi" w:hAnsiTheme="minorHAnsi"/>
          <w:sz w:val="24"/>
          <w:szCs w:val="24"/>
        </w:rPr>
        <w:t xml:space="preserve">the BILH network and within </w:t>
      </w:r>
      <w:r w:rsidR="60A0CE30" w:rsidRPr="0C788ED3">
        <w:rPr>
          <w:rFonts w:asciiTheme="minorHAnsi" w:hAnsiTheme="minorHAnsi"/>
          <w:sz w:val="24"/>
          <w:szCs w:val="24"/>
        </w:rPr>
        <w:t xml:space="preserve">their communities </w:t>
      </w:r>
      <w:r w:rsidR="007872F6">
        <w:rPr>
          <w:rFonts w:asciiTheme="minorHAnsi" w:hAnsiTheme="minorHAnsi"/>
          <w:sz w:val="24"/>
          <w:szCs w:val="24"/>
        </w:rPr>
        <w:t>when accessing</w:t>
      </w:r>
      <w:r w:rsidR="60A0CE30" w:rsidRPr="0C788ED3">
        <w:rPr>
          <w:rFonts w:asciiTheme="minorHAnsi" w:hAnsiTheme="minorHAnsi"/>
          <w:sz w:val="24"/>
          <w:szCs w:val="24"/>
        </w:rPr>
        <w:t xml:space="preserve"> </w:t>
      </w:r>
      <w:r w:rsidR="00102F82">
        <w:rPr>
          <w:rFonts w:asciiTheme="minorHAnsi" w:hAnsiTheme="minorHAnsi"/>
          <w:sz w:val="24"/>
          <w:szCs w:val="24"/>
        </w:rPr>
        <w:t>specialty services</w:t>
      </w:r>
      <w:r w:rsidR="60A0CE30" w:rsidRPr="0C788ED3">
        <w:rPr>
          <w:rFonts w:asciiTheme="minorHAnsi" w:hAnsiTheme="minorHAnsi"/>
          <w:sz w:val="24"/>
          <w:szCs w:val="24"/>
        </w:rPr>
        <w:t xml:space="preserve">. </w:t>
      </w:r>
    </w:p>
    <w:p w14:paraId="3D6ED29C" w14:textId="77777777" w:rsidR="00B818B6" w:rsidRPr="00185FBE" w:rsidRDefault="00B818B6" w:rsidP="007C2FC0">
      <w:pPr>
        <w:spacing w:after="0" w:line="240" w:lineRule="auto"/>
        <w:jc w:val="both"/>
        <w:rPr>
          <w:rFonts w:cstheme="minorHAnsi"/>
          <w:sz w:val="24"/>
          <w:szCs w:val="24"/>
          <w:highlight w:val="yellow"/>
        </w:rPr>
      </w:pPr>
    </w:p>
    <w:p w14:paraId="6DBF8C05" w14:textId="343420CB" w:rsidR="000A269B" w:rsidRPr="005C05F4" w:rsidRDefault="000A269B" w:rsidP="00872CCA">
      <w:pPr>
        <w:pStyle w:val="BodyText"/>
        <w:widowControl/>
        <w:numPr>
          <w:ilvl w:val="0"/>
          <w:numId w:val="7"/>
        </w:numPr>
        <w:spacing w:before="0" w:after="120"/>
        <w:rPr>
          <w:rFonts w:asciiTheme="minorHAnsi" w:hAnsiTheme="minorHAnsi" w:cstheme="minorHAnsi"/>
          <w:b/>
          <w:bCs/>
          <w:kern w:val="2"/>
          <w:sz w:val="24"/>
          <w:szCs w:val="24"/>
          <w:u w:val="single"/>
        </w:rPr>
      </w:pPr>
      <w:r w:rsidRPr="00C164D4">
        <w:rPr>
          <w:rFonts w:asciiTheme="minorHAnsi" w:hAnsiTheme="minorHAnsi" w:cstheme="minorHAnsi"/>
          <w:b/>
          <w:bCs/>
          <w:sz w:val="24"/>
          <w:szCs w:val="24"/>
        </w:rPr>
        <w:t>Technology Infrastructure:</w:t>
      </w:r>
      <w:r w:rsidRPr="00C164D4">
        <w:rPr>
          <w:rFonts w:asciiTheme="minorHAnsi" w:hAnsiTheme="minorHAnsi" w:cstheme="minorHAnsi"/>
          <w:color w:val="231F20"/>
          <w:spacing w:val="39"/>
          <w:sz w:val="24"/>
          <w:szCs w:val="24"/>
        </w:rPr>
        <w:t xml:space="preserve"> </w:t>
      </w:r>
      <w:r w:rsidR="005C05F4">
        <w:rPr>
          <w:rFonts w:asciiTheme="minorHAnsi" w:hAnsiTheme="minorHAnsi" w:cstheme="minorHAnsi"/>
          <w:kern w:val="2"/>
          <w:sz w:val="24"/>
          <w:szCs w:val="24"/>
        </w:rPr>
        <w:t>T</w:t>
      </w:r>
      <w:r w:rsidR="00C164D4" w:rsidRPr="00C164D4">
        <w:rPr>
          <w:rFonts w:asciiTheme="minorHAnsi" w:hAnsiTheme="minorHAnsi" w:cstheme="minorHAnsi"/>
          <w:kern w:val="2"/>
          <w:sz w:val="24"/>
          <w:szCs w:val="24"/>
        </w:rPr>
        <w:t xml:space="preserve">he Applicant </w:t>
      </w:r>
      <w:r w:rsidR="005C05F4">
        <w:rPr>
          <w:rFonts w:asciiTheme="minorHAnsi" w:hAnsiTheme="minorHAnsi" w:cstheme="minorHAnsi"/>
          <w:kern w:val="2"/>
          <w:sz w:val="24"/>
          <w:szCs w:val="24"/>
        </w:rPr>
        <w:t>initiated the process of</w:t>
      </w:r>
      <w:r w:rsidR="00C164D4" w:rsidRPr="00C164D4">
        <w:rPr>
          <w:rFonts w:asciiTheme="minorHAnsi" w:hAnsiTheme="minorHAnsi" w:cstheme="minorHAnsi"/>
          <w:kern w:val="2"/>
          <w:sz w:val="24"/>
          <w:szCs w:val="24"/>
        </w:rPr>
        <w:t xml:space="preserve"> transition</w:t>
      </w:r>
      <w:r w:rsidR="005C05F4">
        <w:rPr>
          <w:rFonts w:asciiTheme="minorHAnsi" w:hAnsiTheme="minorHAnsi" w:cstheme="minorHAnsi"/>
          <w:kern w:val="2"/>
          <w:sz w:val="24"/>
          <w:szCs w:val="24"/>
        </w:rPr>
        <w:t>ing</w:t>
      </w:r>
      <w:r w:rsidR="00C164D4" w:rsidRPr="00C164D4">
        <w:rPr>
          <w:rFonts w:asciiTheme="minorHAnsi" w:hAnsiTheme="minorHAnsi" w:cstheme="minorHAnsi"/>
          <w:kern w:val="2"/>
          <w:sz w:val="24"/>
          <w:szCs w:val="24"/>
        </w:rPr>
        <w:t xml:space="preserve"> to Epic</w:t>
      </w:r>
      <w:r w:rsidR="005C05F4">
        <w:rPr>
          <w:rFonts w:asciiTheme="minorHAnsi" w:hAnsiTheme="minorHAnsi" w:cstheme="minorHAnsi"/>
          <w:kern w:val="2"/>
          <w:sz w:val="24"/>
          <w:szCs w:val="24"/>
        </w:rPr>
        <w:t xml:space="preserve"> Electronic Medical Record (EMR)</w:t>
      </w:r>
      <w:r w:rsidR="00C164D4" w:rsidRPr="00C164D4">
        <w:rPr>
          <w:rFonts w:asciiTheme="minorHAnsi" w:hAnsiTheme="minorHAnsi" w:cstheme="minorHAnsi"/>
          <w:kern w:val="2"/>
          <w:sz w:val="24"/>
          <w:szCs w:val="24"/>
        </w:rPr>
        <w:t xml:space="preserve"> across all</w:t>
      </w:r>
      <w:r w:rsidR="00306840">
        <w:rPr>
          <w:rFonts w:asciiTheme="minorHAnsi" w:hAnsiTheme="minorHAnsi" w:cstheme="minorHAnsi"/>
          <w:kern w:val="2"/>
          <w:sz w:val="24"/>
          <w:szCs w:val="24"/>
        </w:rPr>
        <w:t xml:space="preserve"> its</w:t>
      </w:r>
      <w:r w:rsidR="00C164D4" w:rsidRPr="00C164D4">
        <w:rPr>
          <w:rFonts w:asciiTheme="minorHAnsi" w:hAnsiTheme="minorHAnsi" w:cstheme="minorHAnsi"/>
          <w:kern w:val="2"/>
          <w:sz w:val="24"/>
          <w:szCs w:val="24"/>
        </w:rPr>
        <w:t xml:space="preserve"> hospitals, which will facilitate coordination of care for patients who receive services throughout the Applicant’s system</w:t>
      </w:r>
      <w:r w:rsidR="00F570F6">
        <w:rPr>
          <w:rFonts w:asciiTheme="minorHAnsi" w:hAnsiTheme="minorHAnsi" w:cstheme="minorHAnsi"/>
          <w:kern w:val="2"/>
          <w:sz w:val="24"/>
          <w:szCs w:val="24"/>
        </w:rPr>
        <w:t>, including at the proposed Satellites</w:t>
      </w:r>
      <w:r w:rsidR="00C164D4" w:rsidRPr="00C164D4">
        <w:rPr>
          <w:rFonts w:asciiTheme="minorHAnsi" w:hAnsiTheme="minorHAnsi" w:cstheme="minorHAnsi"/>
          <w:kern w:val="2"/>
          <w:sz w:val="24"/>
          <w:szCs w:val="24"/>
        </w:rPr>
        <w:t xml:space="preserve">. </w:t>
      </w:r>
      <w:r w:rsidR="00C164D4" w:rsidRPr="00C164D4">
        <w:rPr>
          <w:rFonts w:asciiTheme="minorHAnsi" w:hAnsiTheme="minorHAnsi" w:cstheme="minorHAnsi"/>
          <w:color w:val="000000" w:themeColor="text1"/>
          <w:sz w:val="24"/>
          <w:szCs w:val="24"/>
        </w:rPr>
        <w:t>Race, ethnicity, language, gender, gender identity, disability accommodation needs, and health-related social needs will be collected for all patients, allowing the Applicant to have accurate and complete patient information</w:t>
      </w:r>
      <w:r w:rsidR="005C05F4">
        <w:rPr>
          <w:rFonts w:asciiTheme="minorHAnsi" w:hAnsiTheme="minorHAnsi" w:cstheme="minorHAnsi"/>
          <w:color w:val="000000" w:themeColor="text1"/>
          <w:sz w:val="24"/>
          <w:szCs w:val="24"/>
        </w:rPr>
        <w:t xml:space="preserve"> at all </w:t>
      </w:r>
      <w:r w:rsidR="00F570F6">
        <w:rPr>
          <w:rFonts w:asciiTheme="minorHAnsi" w:hAnsiTheme="minorHAnsi" w:cstheme="minorHAnsi"/>
          <w:color w:val="000000" w:themeColor="text1"/>
          <w:sz w:val="24"/>
          <w:szCs w:val="24"/>
        </w:rPr>
        <w:t>BILH facilities</w:t>
      </w:r>
      <w:r w:rsidR="00C164D4" w:rsidRPr="00C164D4">
        <w:rPr>
          <w:rFonts w:asciiTheme="minorHAnsi" w:hAnsiTheme="minorHAnsi" w:cstheme="minorHAnsi"/>
          <w:kern w:val="2"/>
          <w:sz w:val="24"/>
          <w:szCs w:val="24"/>
        </w:rPr>
        <w:t xml:space="preserve">. The transition to Epic will also create more opportunities for enhanced documentation capture of health-related social need screening for a patient population and will allow the Applicant to better connect </w:t>
      </w:r>
      <w:r w:rsidR="00C164D4" w:rsidRPr="00C164D4">
        <w:rPr>
          <w:rFonts w:asciiTheme="minorHAnsi" w:hAnsiTheme="minorHAnsi" w:cstheme="minorHAnsi"/>
          <w:sz w:val="24"/>
          <w:szCs w:val="24"/>
        </w:rPr>
        <w:t>patients with identified needs for internal and/or external supports.</w:t>
      </w:r>
    </w:p>
    <w:p w14:paraId="686B8E9B" w14:textId="77777777" w:rsidR="000A269B" w:rsidRPr="00185FBE" w:rsidRDefault="000A269B" w:rsidP="000A269B">
      <w:pPr>
        <w:pStyle w:val="BodyText"/>
        <w:ind w:right="136"/>
        <w:rPr>
          <w:rFonts w:asciiTheme="minorHAnsi" w:hAnsiTheme="minorHAnsi" w:cstheme="minorHAnsi"/>
          <w:bCs/>
          <w:kern w:val="2"/>
          <w:sz w:val="20"/>
          <w:szCs w:val="20"/>
          <w:highlight w:val="yellow"/>
        </w:rPr>
      </w:pPr>
    </w:p>
    <w:p w14:paraId="014AB4A4" w14:textId="37D5C96C" w:rsidR="000A269B" w:rsidRPr="006F74FE" w:rsidRDefault="000A269B" w:rsidP="00872CCA">
      <w:pPr>
        <w:pStyle w:val="BodyText"/>
        <w:numPr>
          <w:ilvl w:val="0"/>
          <w:numId w:val="7"/>
        </w:numPr>
        <w:ind w:right="136"/>
        <w:rPr>
          <w:rFonts w:asciiTheme="minorHAnsi" w:hAnsiTheme="minorHAnsi" w:cstheme="minorHAnsi"/>
          <w:sz w:val="24"/>
          <w:szCs w:val="24"/>
        </w:rPr>
      </w:pPr>
      <w:r w:rsidRPr="006F74FE">
        <w:rPr>
          <w:rFonts w:asciiTheme="minorHAnsi" w:hAnsiTheme="minorHAnsi" w:cstheme="minorHAnsi"/>
          <w:b/>
          <w:bCs/>
          <w:sz w:val="24"/>
          <w:szCs w:val="24"/>
        </w:rPr>
        <w:t>MassHealth ACO Program:</w:t>
      </w:r>
      <w:r w:rsidRPr="006F74FE">
        <w:rPr>
          <w:rFonts w:asciiTheme="minorHAnsi" w:hAnsiTheme="minorHAnsi" w:cstheme="minorHAnsi"/>
          <w:sz w:val="24"/>
          <w:szCs w:val="24"/>
        </w:rPr>
        <w:t xml:space="preserve"> </w:t>
      </w:r>
      <w:r w:rsidR="00802E1F" w:rsidRPr="006F74FE">
        <w:rPr>
          <w:rFonts w:asciiTheme="minorHAnsi" w:hAnsiTheme="minorHAnsi" w:cstheme="minorHAnsi"/>
          <w:sz w:val="24"/>
          <w:szCs w:val="24"/>
        </w:rPr>
        <w:t>The Satellites will participate</w:t>
      </w:r>
      <w:r w:rsidRPr="006F74FE">
        <w:rPr>
          <w:rFonts w:asciiTheme="minorHAnsi" w:hAnsiTheme="minorHAnsi" w:cstheme="minorHAnsi"/>
          <w:sz w:val="24"/>
          <w:szCs w:val="24"/>
        </w:rPr>
        <w:t xml:space="preserve"> in the MassHealth ACO Program through Beth Israel </w:t>
      </w:r>
      <w:r w:rsidR="00E738A9" w:rsidRPr="006F74FE">
        <w:rPr>
          <w:rFonts w:asciiTheme="minorHAnsi" w:hAnsiTheme="minorHAnsi" w:cstheme="minorHAnsi"/>
          <w:sz w:val="24"/>
          <w:szCs w:val="24"/>
        </w:rPr>
        <w:t>Deaconess</w:t>
      </w:r>
      <w:r w:rsidRPr="006F74FE">
        <w:rPr>
          <w:rFonts w:asciiTheme="minorHAnsi" w:hAnsiTheme="minorHAnsi" w:cstheme="minorHAnsi"/>
          <w:sz w:val="24"/>
          <w:szCs w:val="24"/>
        </w:rPr>
        <w:t xml:space="preserve"> Care Organization (BIDCO), part of Beth Israel Lahey Health Performance Network (BILHPN) and its clinically integrated network. BIDCO strives to increase access to high quality care for members who are more likely to have unmet SDoH needs than the commercially insured population. The Applicant notes that a significant portion of BIDCO’s efforts to improve health care are accomplished through care coordination. Specifically, BIDCO’s data analysis and risk management tools are provided to BID-P providers, including a Population Health Management Tool that helps primary care physicians monitor patients’ health and manage chronic conditions. These primary care linkages will continue to enhance care for BID-P’s patients, including timely access to radiology services that will be achieved through the Proposed Project.</w:t>
      </w:r>
    </w:p>
    <w:p w14:paraId="5E392FF1" w14:textId="77777777" w:rsidR="00F45407" w:rsidRPr="00185FBE" w:rsidRDefault="00F45407" w:rsidP="00F45407">
      <w:pPr>
        <w:spacing w:after="0" w:line="240" w:lineRule="auto"/>
        <w:rPr>
          <w:rFonts w:cstheme="minorHAnsi"/>
          <w:sz w:val="24"/>
          <w:szCs w:val="24"/>
          <w:highlight w:val="yellow"/>
        </w:rPr>
      </w:pPr>
    </w:p>
    <w:p w14:paraId="7CE10DB2" w14:textId="73563019" w:rsidR="00C67247" w:rsidRPr="00013D45" w:rsidRDefault="00C67247" w:rsidP="00656FAD">
      <w:pPr>
        <w:spacing w:after="0"/>
        <w:rPr>
          <w:b/>
          <w:bCs/>
          <w:i/>
          <w:iCs/>
          <w:color w:val="FF0000"/>
          <w:sz w:val="24"/>
          <w:szCs w:val="24"/>
        </w:rPr>
      </w:pPr>
      <w:r w:rsidRPr="00013D45">
        <w:rPr>
          <w:b/>
          <w:bCs/>
          <w:i/>
          <w:iCs/>
          <w:sz w:val="24"/>
          <w:szCs w:val="24"/>
        </w:rPr>
        <w:t>A</w:t>
      </w:r>
      <w:r w:rsidR="00656FAD" w:rsidRPr="00013D45">
        <w:rPr>
          <w:b/>
          <w:bCs/>
          <w:i/>
          <w:iCs/>
          <w:sz w:val="24"/>
          <w:szCs w:val="24"/>
        </w:rPr>
        <w:t>nalysis</w:t>
      </w:r>
    </w:p>
    <w:p w14:paraId="691B5040" w14:textId="6836E6D9" w:rsidR="004A5F26" w:rsidRPr="00DE2BA8" w:rsidRDefault="000325FE" w:rsidP="00DE2BA8">
      <w:pPr>
        <w:autoSpaceDE w:val="0"/>
        <w:autoSpaceDN w:val="0"/>
        <w:adjustRightInd w:val="0"/>
        <w:spacing w:after="0"/>
        <w:rPr>
          <w:rFonts w:ascii="Calibri" w:hAnsi="Calibri" w:cs="Calibri"/>
          <w:color w:val="FF0000"/>
          <w:sz w:val="24"/>
          <w:szCs w:val="24"/>
          <w:highlight w:val="yellow"/>
        </w:rPr>
      </w:pPr>
      <w:r w:rsidRPr="00A77410">
        <w:rPr>
          <w:sz w:val="24"/>
          <w:szCs w:val="24"/>
        </w:rPr>
        <w:t xml:space="preserve">Staff </w:t>
      </w:r>
      <w:r w:rsidR="00BA0CD7" w:rsidRPr="00A77410">
        <w:rPr>
          <w:sz w:val="24"/>
          <w:szCs w:val="24"/>
        </w:rPr>
        <w:t xml:space="preserve">finds </w:t>
      </w:r>
      <w:r w:rsidR="00BA0CD7" w:rsidRPr="00A77410">
        <w:rPr>
          <w:rFonts w:ascii="Calibri" w:hAnsi="Calibri" w:cs="Calibri"/>
          <w:color w:val="000000"/>
          <w:sz w:val="24"/>
          <w:szCs w:val="24"/>
        </w:rPr>
        <w:t xml:space="preserve">that the </w:t>
      </w:r>
      <w:r w:rsidR="00CF03AB" w:rsidRPr="00A77410">
        <w:rPr>
          <w:rFonts w:ascii="Calibri" w:hAnsi="Calibri" w:cs="Calibri"/>
          <w:color w:val="000000"/>
          <w:sz w:val="24"/>
          <w:szCs w:val="24"/>
        </w:rPr>
        <w:t xml:space="preserve">Proposed Project’s </w:t>
      </w:r>
      <w:r w:rsidR="00C90E78" w:rsidRPr="00A77410">
        <w:rPr>
          <w:rFonts w:ascii="Calibri" w:hAnsi="Calibri" w:cs="Calibri"/>
          <w:color w:val="000000"/>
          <w:sz w:val="24"/>
          <w:szCs w:val="24"/>
        </w:rPr>
        <w:t xml:space="preserve">expanded </w:t>
      </w:r>
      <w:r w:rsidR="0066103E" w:rsidRPr="00A77410">
        <w:rPr>
          <w:rFonts w:ascii="Calibri" w:hAnsi="Calibri" w:cs="Calibri"/>
          <w:color w:val="000000"/>
          <w:sz w:val="24"/>
          <w:szCs w:val="24"/>
        </w:rPr>
        <w:t xml:space="preserve">access to specialty </w:t>
      </w:r>
      <w:r w:rsidR="00C45038" w:rsidRPr="00A77410">
        <w:rPr>
          <w:rFonts w:ascii="Calibri" w:hAnsi="Calibri" w:cs="Calibri"/>
          <w:color w:val="000000"/>
          <w:sz w:val="24"/>
          <w:szCs w:val="24"/>
        </w:rPr>
        <w:t>services within the network</w:t>
      </w:r>
      <w:r w:rsidR="0089714E" w:rsidRPr="00A77410">
        <w:rPr>
          <w:rFonts w:ascii="Calibri" w:hAnsi="Calibri" w:cs="Calibri"/>
          <w:color w:val="000000"/>
          <w:sz w:val="24"/>
          <w:szCs w:val="24"/>
        </w:rPr>
        <w:t xml:space="preserve"> will allow for </w:t>
      </w:r>
      <w:r w:rsidR="00A77410" w:rsidRPr="00A77410">
        <w:rPr>
          <w:rFonts w:ascii="Calibri" w:hAnsi="Calibri" w:cs="Calibri"/>
          <w:color w:val="000000"/>
          <w:sz w:val="24"/>
          <w:szCs w:val="24"/>
        </w:rPr>
        <w:t xml:space="preserve">greater convenience among both patients and providers, </w:t>
      </w:r>
      <w:r w:rsidR="00916645">
        <w:rPr>
          <w:rFonts w:ascii="Calibri" w:hAnsi="Calibri" w:cs="Calibri"/>
          <w:color w:val="000000"/>
          <w:sz w:val="24"/>
          <w:szCs w:val="24"/>
        </w:rPr>
        <w:t>contributing</w:t>
      </w:r>
      <w:r w:rsidR="00BA0CD7" w:rsidRPr="00A77410">
        <w:rPr>
          <w:rFonts w:ascii="Calibri" w:hAnsi="Calibri" w:cs="Calibri"/>
          <w:color w:val="000000"/>
          <w:sz w:val="24"/>
          <w:szCs w:val="24"/>
        </w:rPr>
        <w:t xml:space="preserve"> positively to efficiency, continuity, and coordination of care.</w:t>
      </w:r>
      <w:r w:rsidR="00C87188" w:rsidRPr="00A77410">
        <w:rPr>
          <w:rFonts w:ascii="Calibri" w:hAnsi="Calibri" w:cs="Calibri"/>
          <w:color w:val="000000"/>
          <w:sz w:val="24"/>
          <w:szCs w:val="24"/>
        </w:rPr>
        <w:t xml:space="preserve"> </w:t>
      </w:r>
      <w:r w:rsidR="001A6EB9" w:rsidRPr="00A77410">
        <w:rPr>
          <w:rFonts w:ascii="Calibri" w:hAnsi="Calibri" w:cs="Calibri"/>
          <w:color w:val="000000"/>
          <w:sz w:val="24"/>
          <w:szCs w:val="24"/>
        </w:rPr>
        <w:t xml:space="preserve">The </w:t>
      </w:r>
      <w:r w:rsidR="004037BD" w:rsidRPr="00A77410">
        <w:rPr>
          <w:rFonts w:ascii="Calibri" w:hAnsi="Calibri" w:cs="Calibri"/>
          <w:color w:val="000000"/>
          <w:sz w:val="24"/>
          <w:szCs w:val="24"/>
        </w:rPr>
        <w:t xml:space="preserve">technology infrastructure for real time communication among </w:t>
      </w:r>
      <w:r w:rsidR="00200F75" w:rsidRPr="00A77410">
        <w:rPr>
          <w:rFonts w:ascii="Calibri" w:hAnsi="Calibri" w:cs="Calibri"/>
          <w:color w:val="000000"/>
          <w:sz w:val="24"/>
          <w:szCs w:val="24"/>
        </w:rPr>
        <w:t xml:space="preserve">the network of providers as well as the ACO program </w:t>
      </w:r>
      <w:r w:rsidR="00916645">
        <w:rPr>
          <w:rFonts w:ascii="Calibri" w:hAnsi="Calibri" w:cs="Calibri"/>
          <w:color w:val="000000"/>
          <w:sz w:val="24"/>
          <w:szCs w:val="24"/>
        </w:rPr>
        <w:t>support the goal of</w:t>
      </w:r>
      <w:r w:rsidR="00696E87" w:rsidRPr="00A77410">
        <w:rPr>
          <w:rFonts w:ascii="Calibri" w:hAnsi="Calibri" w:cs="Calibri"/>
          <w:color w:val="000000"/>
          <w:sz w:val="24"/>
          <w:szCs w:val="24"/>
        </w:rPr>
        <w:t xml:space="preserve"> improve</w:t>
      </w:r>
      <w:r w:rsidR="00916645">
        <w:rPr>
          <w:rFonts w:ascii="Calibri" w:hAnsi="Calibri" w:cs="Calibri"/>
          <w:color w:val="000000"/>
          <w:sz w:val="24"/>
          <w:szCs w:val="24"/>
        </w:rPr>
        <w:t>d</w:t>
      </w:r>
      <w:r w:rsidR="00696E87" w:rsidRPr="00A77410">
        <w:rPr>
          <w:rFonts w:ascii="Calibri" w:hAnsi="Calibri" w:cs="Calibri"/>
          <w:color w:val="000000"/>
          <w:sz w:val="24"/>
          <w:szCs w:val="24"/>
        </w:rPr>
        <w:t xml:space="preserve"> care coordination for patients. </w:t>
      </w:r>
      <w:r w:rsidR="00C87188" w:rsidRPr="00A77410">
        <w:rPr>
          <w:rFonts w:cstheme="minorHAnsi"/>
          <w:sz w:val="24"/>
          <w:szCs w:val="24"/>
        </w:rPr>
        <w:t>As a result, Staff finds that the Proposed Project meets the requirements of Factor 1c</w:t>
      </w:r>
      <w:r w:rsidR="005B06AF" w:rsidRPr="00A77410">
        <w:rPr>
          <w:rFonts w:cstheme="minorHAnsi"/>
          <w:sz w:val="24"/>
          <w:szCs w:val="24"/>
        </w:rPr>
        <w:t>.</w:t>
      </w:r>
    </w:p>
    <w:p w14:paraId="57E2886E" w14:textId="5DA7694D" w:rsidR="004A5F26" w:rsidRPr="006F74FE" w:rsidRDefault="004A5F26" w:rsidP="004A5F26">
      <w:pPr>
        <w:pStyle w:val="Heading1"/>
      </w:pPr>
      <w:bookmarkStart w:id="10" w:name="_Toc196819109"/>
      <w:r w:rsidRPr="006F74FE">
        <w:t>Factor 1: d) Consultation</w:t>
      </w:r>
      <w:bookmarkEnd w:id="10"/>
    </w:p>
    <w:p w14:paraId="077BABD1" w14:textId="72B1CC57" w:rsidR="00B74C6F" w:rsidRPr="00DE2BA8" w:rsidRDefault="00EF6D82" w:rsidP="00DE2BA8">
      <w:pPr>
        <w:autoSpaceDE w:val="0"/>
        <w:autoSpaceDN w:val="0"/>
        <w:adjustRightInd w:val="0"/>
        <w:spacing w:after="0"/>
        <w:rPr>
          <w:rStyle w:val="Heading1Char"/>
          <w:rFonts w:eastAsiaTheme="minorHAnsi" w:cstheme="minorHAnsi"/>
          <w:b w:val="0"/>
          <w:color w:val="auto"/>
          <w:sz w:val="24"/>
          <w:szCs w:val="24"/>
        </w:rPr>
      </w:pPr>
      <w:r w:rsidRPr="006F74FE">
        <w:rPr>
          <w:rFonts w:cstheme="minorHAnsi"/>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5B905C39" w14:textId="624EB39B" w:rsidR="00B700D1" w:rsidRPr="006F74FE" w:rsidRDefault="003E1CDA" w:rsidP="00B44DD3">
      <w:pPr>
        <w:pStyle w:val="Heading1"/>
      </w:pPr>
      <w:bookmarkStart w:id="11" w:name="_Toc196819110"/>
      <w:r w:rsidRPr="006F74FE">
        <w:lastRenderedPageBreak/>
        <w:t>Factor 1: e) Evidence of Sound Community Engagement</w:t>
      </w:r>
      <w:bookmarkEnd w:id="11"/>
    </w:p>
    <w:p w14:paraId="1E6DE275" w14:textId="264E0A48" w:rsidR="008D7CB9" w:rsidRPr="006F74FE" w:rsidRDefault="003E1CDA" w:rsidP="008D7CB9">
      <w:pPr>
        <w:spacing w:after="0" w:line="240" w:lineRule="auto"/>
        <w:rPr>
          <w:sz w:val="24"/>
          <w:szCs w:val="24"/>
        </w:rPr>
      </w:pPr>
      <w:r w:rsidRPr="006F74FE">
        <w:rPr>
          <w:sz w:val="24"/>
          <w:szCs w:val="24"/>
        </w:rPr>
        <w:t>The Department’s Guideline</w:t>
      </w:r>
      <w:r w:rsidRPr="006F74FE">
        <w:rPr>
          <w:sz w:val="24"/>
          <w:szCs w:val="24"/>
          <w:vertAlign w:val="superscript"/>
        </w:rPr>
        <w:footnoteReference w:id="23"/>
      </w:r>
      <w:r w:rsidRPr="006F74FE">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6F74FE">
        <w:rPr>
          <w:sz w:val="24"/>
          <w:szCs w:val="24"/>
          <w:vertAlign w:val="superscript"/>
        </w:rPr>
        <w:footnoteReference w:id="24"/>
      </w:r>
      <w:bookmarkStart w:id="12" w:name="_Hlk140505850"/>
    </w:p>
    <w:p w14:paraId="1AED331E" w14:textId="77777777" w:rsidR="008D7CB9" w:rsidRPr="00185FBE" w:rsidRDefault="008D7CB9" w:rsidP="008D7CB9">
      <w:pPr>
        <w:spacing w:after="0" w:line="240" w:lineRule="auto"/>
        <w:rPr>
          <w:sz w:val="24"/>
          <w:szCs w:val="24"/>
          <w:highlight w:val="yellow"/>
        </w:rPr>
      </w:pPr>
    </w:p>
    <w:p w14:paraId="662B319A" w14:textId="181529A9" w:rsidR="002052AB" w:rsidRPr="000D7C5B" w:rsidRDefault="002052AB" w:rsidP="008D7CB9">
      <w:pPr>
        <w:spacing w:after="0" w:line="240" w:lineRule="auto"/>
        <w:rPr>
          <w:sz w:val="24"/>
          <w:szCs w:val="24"/>
        </w:rPr>
      </w:pPr>
      <w:r w:rsidRPr="000D7C5B">
        <w:rPr>
          <w:sz w:val="24"/>
          <w:szCs w:val="24"/>
        </w:rPr>
        <w:t>The Applicant presented the Proposed Project presented to the following groups:</w:t>
      </w:r>
    </w:p>
    <w:p w14:paraId="431BC4BD" w14:textId="3E39E8BD" w:rsidR="002052AB" w:rsidRDefault="000D7C5B" w:rsidP="00082D4A">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BID-P</w:t>
      </w:r>
      <w:r w:rsidR="002052AB" w:rsidRPr="00EF7E0A">
        <w:rPr>
          <w:rFonts w:eastAsia="Arial" w:cstheme="minorHAnsi"/>
          <w:sz w:val="24"/>
          <w:szCs w:val="24"/>
        </w:rPr>
        <w:t>’s Patient and Family Advisory Committee</w:t>
      </w:r>
      <w:r w:rsidR="008D7CB9" w:rsidRPr="00EF7E0A">
        <w:rPr>
          <w:rFonts w:eastAsia="Arial" w:cstheme="minorHAnsi"/>
          <w:sz w:val="24"/>
          <w:szCs w:val="24"/>
        </w:rPr>
        <w:t xml:space="preserve"> (PFAC)</w:t>
      </w:r>
    </w:p>
    <w:p w14:paraId="1E72F7DD" w14:textId="4E29F50E" w:rsidR="00C17610" w:rsidRDefault="00C17610" w:rsidP="00C17610">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w:t>
      </w:r>
      <w:r w:rsidR="007F54DE">
        <w:rPr>
          <w:rFonts w:eastAsia="Arial" w:cstheme="minorHAnsi"/>
          <w:sz w:val="24"/>
          <w:szCs w:val="24"/>
        </w:rPr>
        <w:t xml:space="preserve"> Milton’s</w:t>
      </w:r>
      <w:r w:rsidRPr="00EF7E0A">
        <w:rPr>
          <w:rFonts w:eastAsia="Arial" w:cstheme="minorHAnsi"/>
          <w:sz w:val="24"/>
          <w:szCs w:val="24"/>
        </w:rPr>
        <w:t xml:space="preserve"> PFAC</w:t>
      </w:r>
    </w:p>
    <w:p w14:paraId="47257F87" w14:textId="7398BD32" w:rsidR="007F54DE" w:rsidRPr="007F54DE" w:rsidRDefault="007F54DE" w:rsidP="007F54DE">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w:t>
      </w:r>
      <w:r>
        <w:rPr>
          <w:rFonts w:eastAsia="Arial" w:cstheme="minorHAnsi"/>
          <w:sz w:val="24"/>
          <w:szCs w:val="24"/>
        </w:rPr>
        <w:t>MC</w:t>
      </w:r>
      <w:r w:rsidRPr="00EF7E0A">
        <w:rPr>
          <w:rFonts w:eastAsia="Arial" w:cstheme="minorHAnsi"/>
          <w:sz w:val="24"/>
          <w:szCs w:val="24"/>
        </w:rPr>
        <w:t>’s PFAC</w:t>
      </w:r>
    </w:p>
    <w:p w14:paraId="1B575F01" w14:textId="15C0E096" w:rsidR="002052AB" w:rsidRDefault="00EF7E0A" w:rsidP="00082D4A">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BID-P</w:t>
      </w:r>
      <w:r w:rsidR="00B402C8" w:rsidRPr="00EF7E0A">
        <w:rPr>
          <w:rFonts w:eastAsia="Arial" w:cstheme="minorHAnsi"/>
          <w:sz w:val="24"/>
          <w:szCs w:val="24"/>
        </w:rPr>
        <w:t>’s Community Benefits Advisory Committee (CBAC)</w:t>
      </w:r>
    </w:p>
    <w:p w14:paraId="6E59ADFD" w14:textId="19109A5B" w:rsidR="000B591B" w:rsidRDefault="000B591B" w:rsidP="000B591B">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w:t>
      </w:r>
      <w:r>
        <w:rPr>
          <w:rFonts w:eastAsia="Arial" w:cstheme="minorHAnsi"/>
          <w:sz w:val="24"/>
          <w:szCs w:val="24"/>
        </w:rPr>
        <w:t xml:space="preserve"> Milton</w:t>
      </w:r>
      <w:r w:rsidRPr="00EF7E0A">
        <w:rPr>
          <w:rFonts w:eastAsia="Arial" w:cstheme="minorHAnsi"/>
          <w:sz w:val="24"/>
          <w:szCs w:val="24"/>
        </w:rPr>
        <w:t>’s</w:t>
      </w:r>
      <w:r w:rsidR="007F54DE">
        <w:rPr>
          <w:rFonts w:eastAsia="Arial" w:cstheme="minorHAnsi"/>
          <w:sz w:val="24"/>
          <w:szCs w:val="24"/>
        </w:rPr>
        <w:t xml:space="preserve"> </w:t>
      </w:r>
      <w:r w:rsidRPr="00EF7E0A">
        <w:rPr>
          <w:rFonts w:eastAsia="Arial" w:cstheme="minorHAnsi"/>
          <w:sz w:val="24"/>
          <w:szCs w:val="24"/>
        </w:rPr>
        <w:t>CBAC</w:t>
      </w:r>
    </w:p>
    <w:p w14:paraId="4F1A169B" w14:textId="6D729406" w:rsidR="005C53C5" w:rsidRPr="005C53C5" w:rsidRDefault="005C53C5" w:rsidP="005C53C5">
      <w:pPr>
        <w:pStyle w:val="ListParagraph"/>
        <w:numPr>
          <w:ilvl w:val="0"/>
          <w:numId w:val="3"/>
        </w:numPr>
        <w:spacing w:after="0" w:line="240" w:lineRule="auto"/>
        <w:jc w:val="both"/>
        <w:rPr>
          <w:rFonts w:eastAsia="Arial" w:cstheme="minorHAnsi"/>
          <w:sz w:val="24"/>
          <w:szCs w:val="24"/>
        </w:rPr>
      </w:pPr>
      <w:r w:rsidRPr="00EF7E0A">
        <w:rPr>
          <w:rFonts w:eastAsia="Arial" w:cstheme="minorHAnsi"/>
          <w:sz w:val="24"/>
          <w:szCs w:val="24"/>
        </w:rPr>
        <w:t>BID</w:t>
      </w:r>
      <w:r>
        <w:rPr>
          <w:rFonts w:eastAsia="Arial" w:cstheme="minorHAnsi"/>
          <w:sz w:val="24"/>
          <w:szCs w:val="24"/>
        </w:rPr>
        <w:t>MC</w:t>
      </w:r>
      <w:r w:rsidRPr="00EF7E0A">
        <w:rPr>
          <w:rFonts w:eastAsia="Arial" w:cstheme="minorHAnsi"/>
          <w:sz w:val="24"/>
          <w:szCs w:val="24"/>
        </w:rPr>
        <w:t>’s CBAC</w:t>
      </w:r>
    </w:p>
    <w:p w14:paraId="53477F96" w14:textId="77777777" w:rsidR="00B402C8" w:rsidRPr="00185FBE" w:rsidRDefault="00B402C8" w:rsidP="006F55A0">
      <w:pPr>
        <w:spacing w:after="0" w:line="240" w:lineRule="auto"/>
        <w:ind w:left="1080"/>
        <w:rPr>
          <w:rFonts w:eastAsia="Arial" w:cstheme="minorHAnsi"/>
          <w:sz w:val="24"/>
          <w:szCs w:val="24"/>
          <w:highlight w:val="yellow"/>
        </w:rPr>
      </w:pPr>
    </w:p>
    <w:p w14:paraId="0CC0D989" w14:textId="51F5D1C2" w:rsidR="00E86919" w:rsidRPr="00895EFA" w:rsidRDefault="008B71CA" w:rsidP="00E86919">
      <w:pPr>
        <w:pStyle w:val="Default"/>
        <w:rPr>
          <w:rFonts w:asciiTheme="minorHAnsi" w:hAnsiTheme="minorHAnsi" w:cstheme="minorHAnsi"/>
        </w:rPr>
      </w:pPr>
      <w:r w:rsidRPr="00E86919">
        <w:rPr>
          <w:rFonts w:asciiTheme="minorHAnsi" w:hAnsiTheme="minorHAnsi" w:cstheme="minorHAnsi"/>
        </w:rPr>
        <w:t xml:space="preserve">For all of the presentations </w:t>
      </w:r>
      <w:r w:rsidR="00E86919">
        <w:rPr>
          <w:rFonts w:asciiTheme="minorHAnsi" w:hAnsiTheme="minorHAnsi" w:cstheme="minorHAnsi"/>
        </w:rPr>
        <w:t>listed</w:t>
      </w:r>
      <w:r w:rsidRPr="00E86919">
        <w:rPr>
          <w:rFonts w:asciiTheme="minorHAnsi" w:hAnsiTheme="minorHAnsi" w:cstheme="minorHAnsi"/>
        </w:rPr>
        <w:t xml:space="preserve">, </w:t>
      </w:r>
      <w:r w:rsidR="006C5914" w:rsidRPr="00E86919">
        <w:rPr>
          <w:rFonts w:asciiTheme="minorHAnsi" w:hAnsiTheme="minorHAnsi" w:cstheme="minorHAnsi"/>
        </w:rPr>
        <w:t>attendees</w:t>
      </w:r>
      <w:r w:rsidRPr="00E86919">
        <w:rPr>
          <w:rFonts w:asciiTheme="minorHAnsi" w:hAnsiTheme="minorHAnsi" w:cstheme="minorHAnsi"/>
        </w:rPr>
        <w:t xml:space="preserve"> had the opportunity to ask questions, </w:t>
      </w:r>
      <w:r w:rsidR="006C5914" w:rsidRPr="00E86919">
        <w:rPr>
          <w:rFonts w:asciiTheme="minorHAnsi" w:hAnsiTheme="minorHAnsi" w:cstheme="minorHAnsi"/>
        </w:rPr>
        <w:t xml:space="preserve">and generally </w:t>
      </w:r>
      <w:r w:rsidRPr="00E86919">
        <w:rPr>
          <w:rFonts w:asciiTheme="minorHAnsi" w:hAnsiTheme="minorHAnsi" w:cstheme="minorHAnsi"/>
        </w:rPr>
        <w:t>had positive reactions</w:t>
      </w:r>
      <w:r w:rsidR="006C5914" w:rsidRPr="00E86919">
        <w:rPr>
          <w:rFonts w:asciiTheme="minorHAnsi" w:hAnsiTheme="minorHAnsi" w:cstheme="minorHAnsi"/>
        </w:rPr>
        <w:t>. There were no</w:t>
      </w:r>
      <w:r w:rsidRPr="00E86919">
        <w:rPr>
          <w:rFonts w:asciiTheme="minorHAnsi" w:hAnsiTheme="minorHAnsi" w:cstheme="minorHAnsi"/>
        </w:rPr>
        <w:t xml:space="preserve"> concerns </w:t>
      </w:r>
      <w:r w:rsidR="006C5914" w:rsidRPr="00E86919">
        <w:rPr>
          <w:rFonts w:asciiTheme="minorHAnsi" w:hAnsiTheme="minorHAnsi" w:cstheme="minorHAnsi"/>
        </w:rPr>
        <w:t>raised about</w:t>
      </w:r>
      <w:r w:rsidRPr="00E86919">
        <w:rPr>
          <w:rFonts w:asciiTheme="minorHAnsi" w:hAnsiTheme="minorHAnsi" w:cstheme="minorHAnsi"/>
        </w:rPr>
        <w:t xml:space="preserve"> the Proposed Project. </w:t>
      </w:r>
      <w:r w:rsidR="00E86919" w:rsidRPr="00E86919">
        <w:rPr>
          <w:rFonts w:asciiTheme="minorHAnsi" w:hAnsiTheme="minorHAnsi" w:cstheme="minorHAnsi"/>
        </w:rPr>
        <w:t xml:space="preserve">At one meeting, </w:t>
      </w:r>
      <w:r w:rsidR="00E86919">
        <w:rPr>
          <w:rFonts w:asciiTheme="minorHAnsi" w:hAnsiTheme="minorHAnsi" w:cstheme="minorHAnsi"/>
        </w:rPr>
        <w:t>t</w:t>
      </w:r>
      <w:r w:rsidR="00E86919" w:rsidRPr="00895EFA">
        <w:rPr>
          <w:rFonts w:asciiTheme="minorHAnsi" w:hAnsiTheme="minorHAnsi" w:cstheme="minorHAnsi"/>
        </w:rPr>
        <w:t xml:space="preserve">here was a question as to whether the Proposed Project would allow for the sharing of clinical resources </w:t>
      </w:r>
      <w:r w:rsidR="00E86919">
        <w:rPr>
          <w:rFonts w:asciiTheme="minorHAnsi" w:hAnsiTheme="minorHAnsi" w:cstheme="minorHAnsi"/>
        </w:rPr>
        <w:t>for</w:t>
      </w:r>
      <w:r w:rsidR="00E86919" w:rsidRPr="00895EFA">
        <w:rPr>
          <w:rFonts w:asciiTheme="minorHAnsi" w:hAnsiTheme="minorHAnsi" w:cstheme="minorHAnsi"/>
        </w:rPr>
        <w:t xml:space="preserve"> clinical care. The Applicant’s representatives confirmed that the Plymouth staff would work together with specialized physicians from BIDMC to provide enhanced and new clinical offerings for cancer care, in particular, clinical trials and additional infusion treatments for different types of cancer.</w:t>
      </w:r>
      <w:r w:rsidR="00E163D8">
        <w:rPr>
          <w:rFonts w:asciiTheme="minorHAnsi" w:hAnsiTheme="minorHAnsi" w:cstheme="minorHAnsi"/>
        </w:rPr>
        <w:t xml:space="preserve"> </w:t>
      </w:r>
      <w:r w:rsidR="001074AE" w:rsidRPr="009F66FC">
        <w:rPr>
          <w:rFonts w:asciiTheme="minorHAnsi" w:hAnsiTheme="minorHAnsi" w:cstheme="minorHAnsi"/>
        </w:rPr>
        <w:t>One p</w:t>
      </w:r>
      <w:r w:rsidR="00155352" w:rsidRPr="009F66FC">
        <w:rPr>
          <w:rFonts w:asciiTheme="minorHAnsi" w:hAnsiTheme="minorHAnsi" w:cstheme="minorHAnsi"/>
        </w:rPr>
        <w:t>articipant</w:t>
      </w:r>
      <w:r w:rsidR="001074AE" w:rsidRPr="009F66FC">
        <w:rPr>
          <w:rFonts w:asciiTheme="minorHAnsi" w:hAnsiTheme="minorHAnsi" w:cstheme="minorHAnsi"/>
        </w:rPr>
        <w:t xml:space="preserve"> </w:t>
      </w:r>
      <w:r w:rsidR="00155352" w:rsidRPr="009F66FC">
        <w:rPr>
          <w:rFonts w:asciiTheme="minorHAnsi" w:hAnsiTheme="minorHAnsi" w:cstheme="minorHAnsi"/>
        </w:rPr>
        <w:t xml:space="preserve">inquired about the </w:t>
      </w:r>
      <w:r w:rsidR="001074AE" w:rsidRPr="009F66FC">
        <w:rPr>
          <w:rFonts w:asciiTheme="minorHAnsi" w:hAnsiTheme="minorHAnsi" w:cstheme="minorHAnsi"/>
        </w:rPr>
        <w:t>CHI funds</w:t>
      </w:r>
      <w:r w:rsidR="009F66FC" w:rsidRPr="009F66FC">
        <w:rPr>
          <w:rFonts w:asciiTheme="minorHAnsi" w:hAnsiTheme="minorHAnsi" w:cstheme="minorHAnsi"/>
        </w:rPr>
        <w:t xml:space="preserve">. </w:t>
      </w:r>
      <w:r w:rsidR="00E163D8" w:rsidRPr="009F66FC">
        <w:rPr>
          <w:rFonts w:asciiTheme="minorHAnsi" w:hAnsiTheme="minorHAnsi" w:cstheme="minorHAnsi"/>
        </w:rPr>
        <w:t>The Applicant representative shared that the BID Milton and BID Plymouth teams will be actively engaging with their communities to put together plans for investments.</w:t>
      </w:r>
    </w:p>
    <w:bookmarkEnd w:id="12"/>
    <w:p w14:paraId="01A433D5" w14:textId="1B7BA297" w:rsidR="00233D71" w:rsidRPr="003E4AD6" w:rsidRDefault="00233D71" w:rsidP="001B6CE8">
      <w:pPr>
        <w:spacing w:after="0" w:line="240" w:lineRule="auto"/>
        <w:rPr>
          <w:b/>
          <w:bCs/>
          <w:i/>
          <w:iCs/>
          <w:sz w:val="24"/>
          <w:szCs w:val="24"/>
        </w:rPr>
      </w:pPr>
    </w:p>
    <w:p w14:paraId="351C8F1D" w14:textId="48E12DBB" w:rsidR="003E1CDA" w:rsidRPr="003E4AD6" w:rsidRDefault="003E1CDA" w:rsidP="00233D71">
      <w:pPr>
        <w:spacing w:after="0" w:line="240" w:lineRule="auto"/>
        <w:rPr>
          <w:b/>
          <w:bCs/>
          <w:i/>
          <w:iCs/>
          <w:sz w:val="24"/>
          <w:szCs w:val="24"/>
        </w:rPr>
      </w:pPr>
      <w:r w:rsidRPr="003E4AD6">
        <w:rPr>
          <w:b/>
          <w:bCs/>
          <w:i/>
          <w:iCs/>
          <w:sz w:val="24"/>
          <w:szCs w:val="24"/>
        </w:rPr>
        <w:t xml:space="preserve">Analysis </w:t>
      </w:r>
    </w:p>
    <w:p w14:paraId="4F343094" w14:textId="1420CF66" w:rsidR="003E1CDA" w:rsidRPr="003E4AD6" w:rsidRDefault="003E1CDA" w:rsidP="003A5696">
      <w:pPr>
        <w:spacing w:after="0" w:line="240" w:lineRule="auto"/>
        <w:rPr>
          <w:sz w:val="24"/>
          <w:szCs w:val="24"/>
        </w:rPr>
      </w:pPr>
      <w:r w:rsidRPr="003E4AD6">
        <w:rPr>
          <w:sz w:val="24"/>
          <w:szCs w:val="24"/>
        </w:rPr>
        <w:t>Staff finds that the</w:t>
      </w:r>
      <w:r w:rsidR="005B68F6" w:rsidRPr="003E4AD6">
        <w:rPr>
          <w:sz w:val="24"/>
          <w:szCs w:val="24"/>
        </w:rPr>
        <w:t xml:space="preserve"> Applicant sought to engage the community to elicit feedback </w:t>
      </w:r>
      <w:r w:rsidR="003A350B">
        <w:rPr>
          <w:sz w:val="24"/>
          <w:szCs w:val="24"/>
        </w:rPr>
        <w:t xml:space="preserve">representative of the Patient Panel </w:t>
      </w:r>
      <w:r w:rsidR="005B68F6" w:rsidRPr="003E4AD6">
        <w:rPr>
          <w:sz w:val="24"/>
          <w:szCs w:val="24"/>
        </w:rPr>
        <w:t xml:space="preserve">regarding the Proposed Project </w:t>
      </w:r>
      <w:r w:rsidR="003A350B">
        <w:rPr>
          <w:sz w:val="24"/>
          <w:szCs w:val="24"/>
        </w:rPr>
        <w:t>meeting the</w:t>
      </w:r>
      <w:r w:rsidRPr="003E4AD6">
        <w:rPr>
          <w:sz w:val="24"/>
          <w:szCs w:val="24"/>
        </w:rPr>
        <w:t xml:space="preserve"> required community engagement </w:t>
      </w:r>
      <w:r w:rsidR="003A350B">
        <w:rPr>
          <w:sz w:val="24"/>
          <w:szCs w:val="24"/>
        </w:rPr>
        <w:t>requirements</w:t>
      </w:r>
      <w:r w:rsidRPr="003E4AD6">
        <w:rPr>
          <w:sz w:val="24"/>
          <w:szCs w:val="24"/>
        </w:rPr>
        <w:t>.</w:t>
      </w:r>
    </w:p>
    <w:p w14:paraId="750F636A" w14:textId="77777777" w:rsidR="00C16731" w:rsidRPr="00185FBE" w:rsidRDefault="00C16731" w:rsidP="003A5696">
      <w:pPr>
        <w:spacing w:after="0" w:line="240" w:lineRule="auto"/>
        <w:rPr>
          <w:sz w:val="24"/>
          <w:szCs w:val="24"/>
          <w:highlight w:val="yellow"/>
        </w:rPr>
      </w:pPr>
    </w:p>
    <w:p w14:paraId="75C893D6" w14:textId="76DB5DBC" w:rsidR="00F3518F" w:rsidRPr="00BA32F2" w:rsidRDefault="003E1CDA" w:rsidP="00E90538">
      <w:pPr>
        <w:pStyle w:val="Heading1"/>
      </w:pPr>
      <w:bookmarkStart w:id="13" w:name="_Toc196819111"/>
      <w:r w:rsidRPr="00BA32F2">
        <w:t>Factor 1: f) Competition On Price, Total Medical Expenses (TME), Costs And Other Measures Of Health Care Spending</w:t>
      </w:r>
      <w:bookmarkEnd w:id="13"/>
      <w:r w:rsidR="009C6041" w:rsidRPr="00BA32F2">
        <w:t xml:space="preserve"> </w:t>
      </w:r>
    </w:p>
    <w:p w14:paraId="69A41A95" w14:textId="60ECF7AF" w:rsidR="005E5631" w:rsidRDefault="2FD1EB7D" w:rsidP="674D7210">
      <w:pPr>
        <w:pStyle w:val="Default"/>
        <w:spacing w:before="120" w:after="100" w:afterAutospacing="1"/>
        <w:rPr>
          <w:rFonts w:asciiTheme="minorHAnsi" w:hAnsiTheme="minorHAnsi" w:cstheme="minorBidi"/>
        </w:rPr>
      </w:pPr>
      <w:r w:rsidRPr="674D7210">
        <w:rPr>
          <w:rFonts w:asciiTheme="minorHAnsi" w:hAnsiTheme="minorHAnsi" w:cstheme="minorBidi"/>
        </w:rPr>
        <w:t xml:space="preserve">The Applicant asserts that the Proposed Project </w:t>
      </w:r>
      <w:r w:rsidR="1D72609D" w:rsidRPr="674D7210">
        <w:rPr>
          <w:rFonts w:asciiTheme="minorHAnsi" w:hAnsiTheme="minorHAnsi" w:cstheme="minorBidi"/>
        </w:rPr>
        <w:t xml:space="preserve">will compete on the basis of price, total medical expenses, provider costs, and other recognized measures of health care spending by improving access to </w:t>
      </w:r>
      <w:r w:rsidR="792CD249" w:rsidRPr="674D7210">
        <w:rPr>
          <w:rFonts w:asciiTheme="minorHAnsi" w:hAnsiTheme="minorHAnsi" w:cstheme="minorBidi"/>
        </w:rPr>
        <w:t xml:space="preserve">hematology-oncology, infusion, primary and specialty care, urgent care, lab, and diagnostic imaging services </w:t>
      </w:r>
      <w:r w:rsidR="1D72609D" w:rsidRPr="674D7210">
        <w:rPr>
          <w:rFonts w:asciiTheme="minorHAnsi" w:hAnsiTheme="minorHAnsi" w:cstheme="minorBidi"/>
        </w:rPr>
        <w:t>without negatively impacting health care spending.</w:t>
      </w:r>
      <w:r w:rsidR="28C8C1BA" w:rsidRPr="674D7210">
        <w:rPr>
          <w:rFonts w:asciiTheme="minorHAnsi" w:hAnsiTheme="minorHAnsi" w:cstheme="minorBidi"/>
        </w:rPr>
        <w:t xml:space="preserve"> </w:t>
      </w:r>
      <w:r w:rsidR="3B1B8D8A" w:rsidRPr="674D7210">
        <w:rPr>
          <w:rFonts w:asciiTheme="minorHAnsi" w:hAnsiTheme="minorHAnsi" w:cstheme="minorBidi"/>
        </w:rPr>
        <w:t>As discussed throughout th</w:t>
      </w:r>
      <w:r w:rsidR="7449C540" w:rsidRPr="674D7210">
        <w:rPr>
          <w:rFonts w:asciiTheme="minorHAnsi" w:hAnsiTheme="minorHAnsi" w:cstheme="minorBidi"/>
        </w:rPr>
        <w:t>is Staff</w:t>
      </w:r>
      <w:r w:rsidR="3B1B8D8A" w:rsidRPr="674D7210">
        <w:rPr>
          <w:rFonts w:asciiTheme="minorHAnsi" w:hAnsiTheme="minorHAnsi" w:cstheme="minorBidi"/>
        </w:rPr>
        <w:t xml:space="preserve"> </w:t>
      </w:r>
      <w:r w:rsidR="7449C540" w:rsidRPr="674D7210">
        <w:rPr>
          <w:rFonts w:asciiTheme="minorHAnsi" w:hAnsiTheme="minorHAnsi" w:cstheme="minorBidi"/>
        </w:rPr>
        <w:t>R</w:t>
      </w:r>
      <w:r w:rsidR="3B1B8D8A" w:rsidRPr="674D7210">
        <w:rPr>
          <w:rFonts w:asciiTheme="minorHAnsi" w:hAnsiTheme="minorHAnsi" w:cstheme="minorBidi"/>
        </w:rPr>
        <w:t xml:space="preserve">eport, establishing the Satellites </w:t>
      </w:r>
      <w:r w:rsidR="4E1891AF" w:rsidRPr="674D7210">
        <w:rPr>
          <w:rFonts w:asciiTheme="minorHAnsi" w:hAnsiTheme="minorHAnsi" w:cstheme="minorBidi"/>
        </w:rPr>
        <w:t xml:space="preserve">will </w:t>
      </w:r>
      <w:r w:rsidR="2B5AA37F" w:rsidRPr="674D7210">
        <w:rPr>
          <w:rFonts w:asciiTheme="minorHAnsi" w:hAnsiTheme="minorHAnsi" w:cstheme="minorBidi"/>
        </w:rPr>
        <w:t xml:space="preserve">satisfy the unmet need for </w:t>
      </w:r>
      <w:r w:rsidR="113C2D86" w:rsidRPr="674D7210">
        <w:rPr>
          <w:rFonts w:asciiTheme="minorHAnsi" w:hAnsiTheme="minorHAnsi" w:cstheme="minorBidi"/>
        </w:rPr>
        <w:t>specialty services</w:t>
      </w:r>
      <w:r w:rsidR="28C8C1BA" w:rsidRPr="674D7210">
        <w:rPr>
          <w:rFonts w:asciiTheme="minorHAnsi" w:hAnsiTheme="minorHAnsi" w:cstheme="minorBidi"/>
        </w:rPr>
        <w:t xml:space="preserve"> </w:t>
      </w:r>
      <w:r w:rsidR="113C2D86" w:rsidRPr="674D7210">
        <w:rPr>
          <w:rFonts w:asciiTheme="minorHAnsi" w:hAnsiTheme="minorHAnsi" w:cstheme="minorBidi"/>
        </w:rPr>
        <w:t xml:space="preserve">in the Plymouth and Quincy regions, </w:t>
      </w:r>
      <w:r w:rsidR="28C8C1BA" w:rsidRPr="674D7210">
        <w:rPr>
          <w:rFonts w:asciiTheme="minorHAnsi" w:hAnsiTheme="minorHAnsi" w:cstheme="minorBidi"/>
        </w:rPr>
        <w:t xml:space="preserve">and </w:t>
      </w:r>
      <w:r w:rsidR="4E1891AF" w:rsidRPr="674D7210">
        <w:rPr>
          <w:rFonts w:asciiTheme="minorHAnsi" w:hAnsiTheme="minorHAnsi" w:cstheme="minorBidi"/>
        </w:rPr>
        <w:t xml:space="preserve">create a centralized environment for </w:t>
      </w:r>
      <w:r w:rsidR="113C2D86" w:rsidRPr="674D7210">
        <w:rPr>
          <w:rFonts w:asciiTheme="minorHAnsi" w:hAnsiTheme="minorHAnsi" w:cstheme="minorBidi"/>
        </w:rPr>
        <w:t xml:space="preserve">these services that are currently scattered across </w:t>
      </w:r>
      <w:r w:rsidR="508CEEFD" w:rsidRPr="674D7210">
        <w:rPr>
          <w:rFonts w:asciiTheme="minorHAnsi" w:hAnsiTheme="minorHAnsi" w:cstheme="minorBidi"/>
        </w:rPr>
        <w:t>disparate sites</w:t>
      </w:r>
      <w:r w:rsidR="63F2A97A" w:rsidRPr="674D7210">
        <w:rPr>
          <w:rFonts w:asciiTheme="minorHAnsi" w:hAnsiTheme="minorHAnsi" w:cstheme="minorBidi"/>
        </w:rPr>
        <w:t>.</w:t>
      </w:r>
    </w:p>
    <w:p w14:paraId="698950FD" w14:textId="4031C8BA" w:rsidR="004B05CF" w:rsidRPr="00024814" w:rsidRDefault="00024814" w:rsidP="00650EC9">
      <w:pPr>
        <w:pStyle w:val="paragraph"/>
        <w:spacing w:before="0" w:beforeAutospacing="0"/>
        <w:textAlignment w:val="baseline"/>
        <w:rPr>
          <w:rStyle w:val="normaltextrun"/>
          <w:rFonts w:ascii="Calibri" w:hAnsi="Calibri" w:cs="Calibri"/>
          <w:bCs/>
        </w:rPr>
      </w:pPr>
      <w:r>
        <w:rPr>
          <w:rFonts w:asciiTheme="minorHAnsi" w:hAnsiTheme="minorHAnsi" w:cstheme="minorHAnsi"/>
          <w:bCs/>
        </w:rPr>
        <w:lastRenderedPageBreak/>
        <w:t xml:space="preserve">The Applicant </w:t>
      </w:r>
      <w:r w:rsidR="00FD5580">
        <w:rPr>
          <w:rFonts w:asciiTheme="minorHAnsi" w:hAnsiTheme="minorHAnsi" w:cstheme="minorHAnsi"/>
          <w:bCs/>
        </w:rPr>
        <w:t xml:space="preserve">cites research to support that </w:t>
      </w:r>
      <w:r w:rsidR="00FD5580" w:rsidRPr="00FD5580">
        <w:rPr>
          <w:rFonts w:asciiTheme="minorHAnsi" w:hAnsiTheme="minorHAnsi" w:cstheme="minorHAnsi"/>
          <w:bCs/>
        </w:rPr>
        <w:t>improving access to hematology-oncology, infusion, primary and specialty care, urgent care, lab, and diagnostic imaging services would reduce the cost of care</w:t>
      </w:r>
      <w:r w:rsidR="00FD5580">
        <w:rPr>
          <w:rFonts w:asciiTheme="minorHAnsi" w:hAnsiTheme="minorHAnsi" w:cstheme="minorHAnsi"/>
          <w:bCs/>
        </w:rPr>
        <w:t xml:space="preserve">. </w:t>
      </w:r>
      <w:r w:rsidR="00657A9D">
        <w:rPr>
          <w:rFonts w:asciiTheme="minorHAnsi" w:hAnsiTheme="minorHAnsi" w:cstheme="minorHAnsi"/>
          <w:bCs/>
        </w:rPr>
        <w:t>They state that f</w:t>
      </w:r>
      <w:r w:rsidRPr="00024814">
        <w:rPr>
          <w:rFonts w:asciiTheme="minorHAnsi" w:hAnsiTheme="minorHAnsi" w:cstheme="minorHAnsi"/>
          <w:bCs/>
        </w:rPr>
        <w:t>oregoing or delaying appropriate and necessary care, particularly for chronic conditions, results in deteriorating health, exacerbated symptoms and an increase in overall costs to the health care system.</w:t>
      </w:r>
      <w:r w:rsidR="004B05CF" w:rsidRPr="00024814">
        <w:rPr>
          <w:rStyle w:val="EndnoteReference"/>
          <w:rFonts w:asciiTheme="minorHAnsi" w:hAnsiTheme="minorHAnsi" w:cstheme="minorHAnsi"/>
          <w:bCs/>
        </w:rPr>
        <w:endnoteReference w:id="14"/>
      </w:r>
      <w:r w:rsidR="004B05CF" w:rsidRPr="00024814">
        <w:rPr>
          <w:rFonts w:asciiTheme="minorHAnsi" w:hAnsiTheme="minorHAnsi" w:cstheme="minorHAnsi"/>
          <w:bCs/>
          <w:vertAlign w:val="superscript"/>
        </w:rPr>
        <w:t xml:space="preserve"> </w:t>
      </w:r>
      <w:r w:rsidR="004B05CF" w:rsidRPr="00024814">
        <w:rPr>
          <w:rStyle w:val="normaltextrun"/>
          <w:rFonts w:ascii="Calibri" w:hAnsi="Calibri" w:cs="Calibri"/>
          <w:bCs/>
        </w:rPr>
        <w:t>In a study reviewing cost of care for breast cancer, which included two years of post-diagnosis claims data analyzed by stage at diagnosis, researchers found that the average cost per patient at disease stages III and IV were between 64% and 154% higher than the cost of those patients treated at Stage 0, I and II.</w:t>
      </w:r>
      <w:r w:rsidR="004B05CF" w:rsidRPr="00024814">
        <w:rPr>
          <w:rStyle w:val="EndnoteReference"/>
          <w:rFonts w:ascii="Calibri" w:hAnsi="Calibri" w:cs="Calibri"/>
          <w:bCs/>
        </w:rPr>
        <w:endnoteReference w:id="15"/>
      </w:r>
      <w:r w:rsidR="004B05CF">
        <w:rPr>
          <w:rStyle w:val="normaltextrun"/>
          <w:rFonts w:ascii="Calibri" w:hAnsi="Calibri" w:cs="Calibri"/>
          <w:bCs/>
        </w:rPr>
        <w:t xml:space="preserve"> In addition, m</w:t>
      </w:r>
      <w:r w:rsidR="004B05CF" w:rsidRPr="00024814">
        <w:rPr>
          <w:rStyle w:val="normaltextrun"/>
          <w:rFonts w:ascii="Calibri" w:hAnsi="Calibri" w:cs="Calibri"/>
          <w:bCs/>
        </w:rPr>
        <w:t>issed medical appointments, annual check-ups, and preventive screenings such as mammograms and colonoscopies, can result in unmanaged symptoms, particularly for individuals with chronic disease, leading to emergency room visits or hospitalizations that are far costlier than outpatient care.</w:t>
      </w:r>
      <w:r w:rsidR="004B05CF" w:rsidRPr="00024814">
        <w:rPr>
          <w:rStyle w:val="EndnoteReference"/>
          <w:rFonts w:ascii="Calibri" w:hAnsi="Calibri" w:cs="Calibri"/>
          <w:bCs/>
        </w:rPr>
        <w:endnoteReference w:id="16"/>
      </w:r>
    </w:p>
    <w:p w14:paraId="7793A30F" w14:textId="463CAE80" w:rsidR="004B05CF" w:rsidRPr="00024814" w:rsidRDefault="004B05CF" w:rsidP="00024814">
      <w:pPr>
        <w:pStyle w:val="paragraph"/>
        <w:spacing w:before="0" w:beforeAutospacing="0" w:after="0" w:afterAutospacing="0"/>
        <w:textAlignment w:val="baseline"/>
        <w:rPr>
          <w:rStyle w:val="normaltextrun"/>
          <w:rFonts w:asciiTheme="minorHAnsi" w:hAnsiTheme="minorHAnsi" w:cstheme="minorHAnsi"/>
          <w:bCs/>
          <w:vertAlign w:val="superscript"/>
        </w:rPr>
      </w:pPr>
      <w:r>
        <w:rPr>
          <w:rStyle w:val="normaltextrun"/>
          <w:rFonts w:ascii="Calibri" w:hAnsi="Calibri" w:cs="Calibri"/>
          <w:bCs/>
          <w:shd w:val="clear" w:color="auto" w:fill="FFFFFF"/>
        </w:rPr>
        <w:t>M</w:t>
      </w:r>
      <w:r w:rsidRPr="00024814">
        <w:rPr>
          <w:rStyle w:val="normaltextrun"/>
          <w:rFonts w:ascii="Calibri" w:hAnsi="Calibri" w:cs="Calibri"/>
          <w:bCs/>
          <w:shd w:val="clear" w:color="auto" w:fill="FFFFFF"/>
        </w:rPr>
        <w:t xml:space="preserve">edication adherence </w:t>
      </w:r>
      <w:r>
        <w:rPr>
          <w:rStyle w:val="normaltextrun"/>
          <w:rFonts w:ascii="Calibri" w:hAnsi="Calibri" w:cs="Calibri"/>
          <w:bCs/>
          <w:shd w:val="clear" w:color="auto" w:fill="FFFFFF"/>
        </w:rPr>
        <w:t>may also</w:t>
      </w:r>
      <w:r w:rsidRPr="00024814">
        <w:rPr>
          <w:rStyle w:val="normaltextrun"/>
          <w:rFonts w:ascii="Calibri" w:hAnsi="Calibri" w:cs="Calibri"/>
          <w:bCs/>
          <w:shd w:val="clear" w:color="auto" w:fill="FFFFFF"/>
        </w:rPr>
        <w:t xml:space="preserve"> be negatively impacted as a result of lack of transportation to and from a doctor’s office and/or a pharmacy.</w:t>
      </w:r>
      <w:r w:rsidRPr="00024814">
        <w:rPr>
          <w:rStyle w:val="EndnoteReference"/>
          <w:rFonts w:ascii="Calibri" w:hAnsi="Calibri" w:cs="Calibri"/>
          <w:bCs/>
          <w:shd w:val="clear" w:color="auto" w:fill="FFFFFF"/>
        </w:rPr>
        <w:endnoteReference w:id="17"/>
      </w:r>
      <w:r w:rsidRPr="00024814">
        <w:rPr>
          <w:rStyle w:val="normaltextrun"/>
          <w:rFonts w:ascii="Calibri" w:hAnsi="Calibri" w:cs="Calibri"/>
          <w:bCs/>
          <w:shd w:val="clear" w:color="auto" w:fill="FFFFFF"/>
        </w:rPr>
        <w:t xml:space="preserve"> One study concluded that the annual estimated cost of prescription drug morbidity and mortality resulting from non-optimized medication therapy, including medication non-adherence, was over $500 billion in 2016 dollars.</w:t>
      </w:r>
      <w:r w:rsidRPr="00024814">
        <w:rPr>
          <w:rStyle w:val="EndnoteReference"/>
          <w:rFonts w:ascii="Calibri" w:hAnsi="Calibri" w:cs="Calibri"/>
          <w:bCs/>
          <w:shd w:val="clear" w:color="auto" w:fill="FFFFFF"/>
        </w:rPr>
        <w:endnoteReference w:id="18"/>
      </w:r>
    </w:p>
    <w:p w14:paraId="75E36A6F" w14:textId="77777777" w:rsidR="004B05CF" w:rsidRPr="00024814" w:rsidRDefault="004B05CF" w:rsidP="00024814">
      <w:pPr>
        <w:pStyle w:val="paragraph"/>
        <w:spacing w:before="0" w:beforeAutospacing="0" w:after="0" w:afterAutospacing="0"/>
        <w:textAlignment w:val="baseline"/>
        <w:rPr>
          <w:rStyle w:val="normaltextrun"/>
          <w:rFonts w:ascii="Calibri" w:hAnsi="Calibri" w:cs="Calibri"/>
          <w:bCs/>
          <w:shd w:val="clear" w:color="auto" w:fill="FFFFFF"/>
        </w:rPr>
      </w:pPr>
    </w:p>
    <w:p w14:paraId="5830A29A" w14:textId="77777777" w:rsidR="00D11633" w:rsidRDefault="004B05CF" w:rsidP="004B05CF">
      <w:pPr>
        <w:pStyle w:val="paragraph"/>
        <w:spacing w:before="0" w:beforeAutospacing="0" w:after="0" w:afterAutospacing="0"/>
        <w:textAlignment w:val="baseline"/>
        <w:rPr>
          <w:rStyle w:val="normaltextrun"/>
          <w:rFonts w:ascii="Calibri" w:hAnsi="Calibri" w:cs="Calibri"/>
          <w:bCs/>
          <w:shd w:val="clear" w:color="auto" w:fill="FFFFFF"/>
        </w:rPr>
      </w:pPr>
      <w:r w:rsidRPr="00024814">
        <w:rPr>
          <w:rStyle w:val="normaltextrun"/>
          <w:rFonts w:ascii="Calibri" w:hAnsi="Calibri" w:cs="Calibri"/>
          <w:bCs/>
          <w:shd w:val="clear" w:color="auto" w:fill="FFFFFF"/>
        </w:rPr>
        <w:t>The Applicant seeks to improve adherence to healthcare regimens by expanding services in the local community and reducing the need for patients to travel outside of their local community to receive care. A literature review of 61 studies concluded that transportation barriers, particularly for individuals with lower incomes or who are un- or under-insured, are a key barrier to healthcare access.</w:t>
      </w:r>
      <w:r w:rsidRPr="00024814">
        <w:rPr>
          <w:rStyle w:val="EndnoteReference"/>
          <w:rFonts w:ascii="Calibri" w:hAnsi="Calibri" w:cs="Calibri"/>
          <w:bCs/>
          <w:shd w:val="clear" w:color="auto" w:fill="FFFFFF"/>
        </w:rPr>
        <w:endnoteReference w:id="19"/>
      </w:r>
    </w:p>
    <w:p w14:paraId="51E42808" w14:textId="77777777" w:rsidR="00D11633" w:rsidRDefault="00D11633" w:rsidP="004B05CF">
      <w:pPr>
        <w:pStyle w:val="paragraph"/>
        <w:spacing w:before="0" w:beforeAutospacing="0" w:after="0" w:afterAutospacing="0"/>
        <w:textAlignment w:val="baseline"/>
        <w:rPr>
          <w:rStyle w:val="normaltextrun"/>
          <w:rFonts w:ascii="Calibri" w:hAnsi="Calibri" w:cs="Calibri"/>
          <w:bCs/>
          <w:shd w:val="clear" w:color="auto" w:fill="FFFFFF"/>
        </w:rPr>
      </w:pPr>
    </w:p>
    <w:p w14:paraId="02F96CA9" w14:textId="1C1A42D6" w:rsidR="00084C1A" w:rsidRPr="00084C1A" w:rsidRDefault="00084C1A" w:rsidP="00084C1A">
      <w:pPr>
        <w:rPr>
          <w:rStyle w:val="normaltextrun"/>
          <w:rFonts w:ascii="Calibri" w:hAnsi="Calibri" w:cs="Calibri"/>
          <w:sz w:val="24"/>
          <w:szCs w:val="24"/>
          <w:shd w:val="clear" w:color="auto" w:fill="FFFFFF"/>
        </w:rPr>
      </w:pPr>
      <w:r w:rsidRPr="0BE6365F">
        <w:rPr>
          <w:rStyle w:val="normaltextrun"/>
          <w:rFonts w:ascii="Calibri" w:hAnsi="Calibri" w:cs="Calibri"/>
          <w:sz w:val="24"/>
          <w:szCs w:val="24"/>
        </w:rPr>
        <w:t xml:space="preserve">Additionally, the Applicant asserted </w:t>
      </w:r>
      <w:r w:rsidR="2A9F4EF2" w:rsidRPr="0BE6365F">
        <w:rPr>
          <w:rStyle w:val="normaltextrun"/>
          <w:rFonts w:ascii="Calibri" w:hAnsi="Calibri" w:cs="Calibri"/>
          <w:sz w:val="24"/>
          <w:szCs w:val="24"/>
        </w:rPr>
        <w:t xml:space="preserve">that </w:t>
      </w:r>
      <w:r w:rsidRPr="0BE6365F">
        <w:rPr>
          <w:rStyle w:val="normaltextrun"/>
          <w:rFonts w:ascii="Calibri" w:hAnsi="Calibri" w:cs="Calibri"/>
          <w:sz w:val="24"/>
          <w:szCs w:val="24"/>
        </w:rPr>
        <w:t>establishing the Proposed Project under the BIDMC license rather than either of the community hospital licenses is anticipated to result in significantly lower cost structures, overall.</w:t>
      </w:r>
      <w:r w:rsidRPr="009D4833">
        <w:rPr>
          <w:rStyle w:val="normaltextrun"/>
          <w:sz w:val="24"/>
          <w:szCs w:val="24"/>
        </w:rPr>
        <w:t xml:space="preserve"> </w:t>
      </w:r>
      <w:r>
        <w:rPr>
          <w:rStyle w:val="normaltextrun"/>
          <w:sz w:val="24"/>
          <w:szCs w:val="24"/>
        </w:rPr>
        <w:t xml:space="preserve">In particular, the Applicant stated </w:t>
      </w:r>
      <w:r w:rsidRPr="0BE6365F">
        <w:rPr>
          <w:rFonts w:ascii="Calibri" w:hAnsi="Calibri" w:cs="Calibri"/>
          <w:sz w:val="24"/>
          <w:szCs w:val="24"/>
        </w:rPr>
        <w:t xml:space="preserve">that the transition to the BIDMC license </w:t>
      </w:r>
      <w:r w:rsidR="00FA1FA8">
        <w:rPr>
          <w:rFonts w:ascii="Calibri" w:hAnsi="Calibri" w:cs="Calibri"/>
          <w:sz w:val="24"/>
          <w:szCs w:val="24"/>
        </w:rPr>
        <w:t xml:space="preserve">supports acquisition of expensive cancer treatment pharmaceuticals at a lower and more sustainable cost </w:t>
      </w:r>
      <w:r w:rsidRPr="00650718">
        <w:rPr>
          <w:rFonts w:cs="Times New Roman"/>
          <w:sz w:val="24"/>
          <w:szCs w:val="24"/>
        </w:rPr>
        <w:t xml:space="preserve">than </w:t>
      </w:r>
      <w:r w:rsidR="00FA1FA8">
        <w:rPr>
          <w:rFonts w:cs="Times New Roman"/>
          <w:sz w:val="24"/>
          <w:szCs w:val="24"/>
        </w:rPr>
        <w:t xml:space="preserve">if acquired through </w:t>
      </w:r>
      <w:r>
        <w:rPr>
          <w:rFonts w:cs="Times New Roman"/>
          <w:sz w:val="24"/>
          <w:szCs w:val="24"/>
        </w:rPr>
        <w:t>either Satellite</w:t>
      </w:r>
      <w:r w:rsidRPr="5483AA3F">
        <w:rPr>
          <w:rStyle w:val="normaltextrun"/>
          <w:rFonts w:ascii="Calibri" w:hAnsi="Calibri" w:cs="Calibri"/>
          <w:sz w:val="24"/>
          <w:szCs w:val="24"/>
        </w:rPr>
        <w:t>.</w:t>
      </w:r>
      <w:r>
        <w:rPr>
          <w:rStyle w:val="normaltextrun"/>
          <w:rFonts w:ascii="Calibri" w:hAnsi="Calibri" w:cs="Calibri"/>
          <w:sz w:val="24"/>
          <w:szCs w:val="24"/>
        </w:rPr>
        <w:t xml:space="preserve"> Further, </w:t>
      </w:r>
      <w:r w:rsidRPr="0BE6365F">
        <w:rPr>
          <w:rStyle w:val="normaltextrun"/>
          <w:rFonts w:ascii="Calibri" w:hAnsi="Calibri" w:cs="Calibri"/>
          <w:sz w:val="24"/>
          <w:szCs w:val="24"/>
        </w:rPr>
        <w:t xml:space="preserve">the Applicant asserted </w:t>
      </w:r>
      <w:r w:rsidRPr="0BE6365F">
        <w:rPr>
          <w:rStyle w:val="normaltextrun"/>
          <w:sz w:val="24"/>
          <w:szCs w:val="24"/>
        </w:rPr>
        <w:t xml:space="preserve">BID Plymouth’s existing cancer center operates at a </w:t>
      </w:r>
      <w:r w:rsidRPr="00650718">
        <w:rPr>
          <w:rFonts w:cs="Times New Roman"/>
          <w:sz w:val="24"/>
          <w:szCs w:val="24"/>
        </w:rPr>
        <w:t>significant loss due to the high costs of the pharmaceuticals used in infusion therapies</w:t>
      </w:r>
      <w:r>
        <w:rPr>
          <w:rFonts w:cs="Times New Roman"/>
          <w:sz w:val="24"/>
          <w:szCs w:val="24"/>
        </w:rPr>
        <w:t>. The Applicant anticipates BID Plymouth’s cancer center services will be unsustainable in the long-term under the current cost structure.</w:t>
      </w:r>
      <w:r w:rsidRPr="0BE6365F">
        <w:rPr>
          <w:rStyle w:val="normaltextrun"/>
          <w:sz w:val="24"/>
          <w:szCs w:val="24"/>
        </w:rPr>
        <w:t xml:space="preserve"> Additionally, the Applicant explained expand</w:t>
      </w:r>
      <w:r w:rsidRPr="5483AA3F">
        <w:rPr>
          <w:rStyle w:val="normaltextrun"/>
          <w:sz w:val="24"/>
          <w:szCs w:val="24"/>
        </w:rPr>
        <w:t>ed</w:t>
      </w:r>
      <w:r w:rsidRPr="0BE6365F">
        <w:rPr>
          <w:rStyle w:val="normaltextrun"/>
          <w:sz w:val="24"/>
          <w:szCs w:val="24"/>
        </w:rPr>
        <w:t xml:space="preserve"> infusion</w:t>
      </w:r>
      <w:r w:rsidRPr="5483AA3F">
        <w:rPr>
          <w:rStyle w:val="normaltextrun"/>
          <w:sz w:val="24"/>
          <w:szCs w:val="24"/>
        </w:rPr>
        <w:t xml:space="preserve"> pharmaceuticals</w:t>
      </w:r>
      <w:r>
        <w:rPr>
          <w:rStyle w:val="normaltextrun"/>
          <w:sz w:val="24"/>
          <w:szCs w:val="24"/>
        </w:rPr>
        <w:t xml:space="preserve"> </w:t>
      </w:r>
      <w:r w:rsidRPr="0BE6365F">
        <w:rPr>
          <w:rStyle w:val="normaltextrun"/>
          <w:sz w:val="24"/>
          <w:szCs w:val="24"/>
        </w:rPr>
        <w:t xml:space="preserve">(for both cancer and non-cancer care) </w:t>
      </w:r>
      <w:r w:rsidRPr="5483AA3F">
        <w:rPr>
          <w:rStyle w:val="normaltextrun"/>
          <w:sz w:val="24"/>
          <w:szCs w:val="24"/>
        </w:rPr>
        <w:t>would be cost-</w:t>
      </w:r>
      <w:r w:rsidRPr="0BE6365F">
        <w:rPr>
          <w:rStyle w:val="normaltextrun"/>
          <w:sz w:val="24"/>
          <w:szCs w:val="24"/>
        </w:rPr>
        <w:t>prohibitive.</w:t>
      </w:r>
      <w:r w:rsidRPr="00650718">
        <w:rPr>
          <w:rFonts w:cs="Times New Roman"/>
          <w:sz w:val="24"/>
          <w:szCs w:val="24"/>
        </w:rPr>
        <w:t xml:space="preserve"> </w:t>
      </w:r>
      <w:r w:rsidRPr="0BE6365F" w:rsidDel="00F5502E">
        <w:rPr>
          <w:rStyle w:val="normaltextrun"/>
          <w:rFonts w:ascii="Calibri" w:hAnsi="Calibri" w:cs="Calibri"/>
          <w:sz w:val="24"/>
          <w:szCs w:val="24"/>
        </w:rPr>
        <w:t xml:space="preserve"> </w:t>
      </w:r>
    </w:p>
    <w:p w14:paraId="771F5582" w14:textId="15F52C22" w:rsidR="003E2B1A" w:rsidRDefault="000E27EA" w:rsidP="003E2B1A">
      <w:pPr>
        <w:rPr>
          <w:rStyle w:val="normaltextrun"/>
          <w:rFonts w:ascii="Calibri" w:hAnsi="Calibri" w:cs="Calibri"/>
          <w:sz w:val="24"/>
          <w:szCs w:val="24"/>
          <w:shd w:val="clear" w:color="auto" w:fill="FFFFFF"/>
        </w:rPr>
      </w:pPr>
      <w:r>
        <w:rPr>
          <w:rStyle w:val="normaltextrun"/>
          <w:rFonts w:ascii="Calibri" w:hAnsi="Calibri" w:cs="Calibri"/>
          <w:sz w:val="24"/>
          <w:szCs w:val="24"/>
          <w:shd w:val="clear" w:color="auto" w:fill="FFFFFF"/>
        </w:rPr>
        <w:t xml:space="preserve">In addition to the </w:t>
      </w:r>
      <w:r w:rsidR="007B4B2C">
        <w:rPr>
          <w:rStyle w:val="normaltextrun"/>
          <w:rFonts w:ascii="Calibri" w:hAnsi="Calibri" w:cs="Calibri"/>
          <w:sz w:val="24"/>
          <w:szCs w:val="24"/>
          <w:shd w:val="clear" w:color="auto" w:fill="FFFFFF"/>
        </w:rPr>
        <w:t>beneficial cost str</w:t>
      </w:r>
      <w:r w:rsidR="00FA7E69">
        <w:rPr>
          <w:rStyle w:val="normaltextrun"/>
          <w:rFonts w:ascii="Calibri" w:hAnsi="Calibri" w:cs="Calibri"/>
          <w:sz w:val="24"/>
          <w:szCs w:val="24"/>
          <w:shd w:val="clear" w:color="auto" w:fill="FFFFFF"/>
        </w:rPr>
        <w:t xml:space="preserve">uctures established by </w:t>
      </w:r>
      <w:r w:rsidR="00195E30">
        <w:rPr>
          <w:rStyle w:val="normaltextrun"/>
          <w:rFonts w:ascii="Calibri" w:hAnsi="Calibri" w:cs="Calibri"/>
          <w:sz w:val="24"/>
          <w:szCs w:val="24"/>
          <w:shd w:val="clear" w:color="auto" w:fill="FFFFFF"/>
        </w:rPr>
        <w:t xml:space="preserve">leveraging </w:t>
      </w:r>
      <w:r w:rsidR="00FA7E69">
        <w:rPr>
          <w:rStyle w:val="normaltextrun"/>
          <w:rFonts w:ascii="Calibri" w:hAnsi="Calibri" w:cs="Calibri"/>
          <w:sz w:val="24"/>
          <w:szCs w:val="24"/>
          <w:shd w:val="clear" w:color="auto" w:fill="FFFFFF"/>
        </w:rPr>
        <w:t xml:space="preserve">the BIDMC </w:t>
      </w:r>
      <w:r w:rsidR="00195E30">
        <w:rPr>
          <w:rStyle w:val="normaltextrun"/>
          <w:rFonts w:ascii="Calibri" w:hAnsi="Calibri" w:cs="Calibri"/>
          <w:sz w:val="24"/>
          <w:szCs w:val="24"/>
          <w:shd w:val="clear" w:color="auto" w:fill="FFFFFF"/>
        </w:rPr>
        <w:t xml:space="preserve">license for </w:t>
      </w:r>
      <w:r w:rsidR="00FA7E69">
        <w:rPr>
          <w:rStyle w:val="normaltextrun"/>
          <w:rFonts w:ascii="Calibri" w:hAnsi="Calibri" w:cs="Calibri"/>
          <w:sz w:val="24"/>
          <w:szCs w:val="24"/>
          <w:shd w:val="clear" w:color="auto" w:fill="FFFFFF"/>
        </w:rPr>
        <w:t>drug acquisition</w:t>
      </w:r>
      <w:r w:rsidR="00195E30">
        <w:rPr>
          <w:rStyle w:val="normaltextrun"/>
          <w:rFonts w:ascii="Calibri" w:hAnsi="Calibri" w:cs="Calibri"/>
          <w:sz w:val="24"/>
          <w:szCs w:val="24"/>
          <w:shd w:val="clear" w:color="auto" w:fill="FFFFFF"/>
        </w:rPr>
        <w:t xml:space="preserve">, the Applicant </w:t>
      </w:r>
      <w:r w:rsidR="00E00C7B">
        <w:rPr>
          <w:rStyle w:val="normaltextrun"/>
          <w:rFonts w:ascii="Calibri" w:hAnsi="Calibri" w:cs="Calibri"/>
          <w:sz w:val="24"/>
          <w:szCs w:val="24"/>
          <w:shd w:val="clear" w:color="auto" w:fill="FFFFFF"/>
        </w:rPr>
        <w:t>argue</w:t>
      </w:r>
      <w:r w:rsidR="000C396C">
        <w:rPr>
          <w:rStyle w:val="normaltextrun"/>
          <w:rFonts w:ascii="Calibri" w:hAnsi="Calibri" w:cs="Calibri"/>
          <w:sz w:val="24"/>
          <w:szCs w:val="24"/>
          <w:shd w:val="clear" w:color="auto" w:fill="FFFFFF"/>
        </w:rPr>
        <w:t>d</w:t>
      </w:r>
      <w:r w:rsidR="00E00C7B">
        <w:rPr>
          <w:rStyle w:val="normaltextrun"/>
          <w:rFonts w:ascii="Calibri" w:hAnsi="Calibri" w:cs="Calibri"/>
          <w:sz w:val="24"/>
          <w:szCs w:val="24"/>
          <w:shd w:val="clear" w:color="auto" w:fill="FFFFFF"/>
        </w:rPr>
        <w:t xml:space="preserve"> </w:t>
      </w:r>
      <w:r w:rsidR="000B65D4">
        <w:rPr>
          <w:rStyle w:val="normaltextrun"/>
          <w:rFonts w:ascii="Calibri" w:hAnsi="Calibri" w:cs="Calibri"/>
          <w:sz w:val="24"/>
          <w:szCs w:val="24"/>
          <w:shd w:val="clear" w:color="auto" w:fill="FFFFFF"/>
        </w:rPr>
        <w:t xml:space="preserve">the </w:t>
      </w:r>
      <w:r w:rsidR="00263AAE">
        <w:rPr>
          <w:rStyle w:val="normaltextrun"/>
          <w:rFonts w:ascii="Calibri" w:hAnsi="Calibri" w:cs="Calibri"/>
          <w:sz w:val="24"/>
          <w:szCs w:val="24"/>
          <w:shd w:val="clear" w:color="auto" w:fill="FFFFFF"/>
        </w:rPr>
        <w:t xml:space="preserve">BIDMC </w:t>
      </w:r>
      <w:r w:rsidR="008C53AF">
        <w:rPr>
          <w:rStyle w:val="normaltextrun"/>
          <w:rFonts w:ascii="Calibri" w:hAnsi="Calibri" w:cs="Calibri"/>
          <w:sz w:val="24"/>
          <w:szCs w:val="24"/>
          <w:shd w:val="clear" w:color="auto" w:fill="FFFFFF"/>
        </w:rPr>
        <w:t xml:space="preserve">provider </w:t>
      </w:r>
      <w:r w:rsidR="00263AAE">
        <w:rPr>
          <w:rStyle w:val="normaltextrun"/>
          <w:rFonts w:ascii="Calibri" w:hAnsi="Calibri" w:cs="Calibri"/>
          <w:sz w:val="24"/>
          <w:szCs w:val="24"/>
          <w:shd w:val="clear" w:color="auto" w:fill="FFFFFF"/>
        </w:rPr>
        <w:t xml:space="preserve">resources and operational structure </w:t>
      </w:r>
      <w:r w:rsidR="00C863F8">
        <w:rPr>
          <w:rStyle w:val="normaltextrun"/>
          <w:rFonts w:ascii="Calibri" w:hAnsi="Calibri" w:cs="Calibri"/>
          <w:sz w:val="24"/>
          <w:szCs w:val="24"/>
          <w:shd w:val="clear" w:color="auto" w:fill="FFFFFF"/>
        </w:rPr>
        <w:t>support</w:t>
      </w:r>
      <w:r w:rsidR="000C396C">
        <w:rPr>
          <w:rStyle w:val="normaltextrun"/>
          <w:rFonts w:ascii="Calibri" w:hAnsi="Calibri" w:cs="Calibri"/>
          <w:sz w:val="24"/>
          <w:szCs w:val="24"/>
          <w:shd w:val="clear" w:color="auto" w:fill="FFFFFF"/>
        </w:rPr>
        <w:t>s</w:t>
      </w:r>
      <w:r w:rsidR="00C863F8">
        <w:rPr>
          <w:rStyle w:val="normaltextrun"/>
          <w:rFonts w:ascii="Calibri" w:hAnsi="Calibri" w:cs="Calibri"/>
          <w:sz w:val="24"/>
          <w:szCs w:val="24"/>
          <w:shd w:val="clear" w:color="auto" w:fill="FFFFFF"/>
        </w:rPr>
        <w:t xml:space="preserve"> the </w:t>
      </w:r>
      <w:r w:rsidR="008C5213">
        <w:rPr>
          <w:rStyle w:val="normaltextrun"/>
          <w:rFonts w:ascii="Calibri" w:hAnsi="Calibri" w:cs="Calibri"/>
          <w:sz w:val="24"/>
          <w:szCs w:val="24"/>
          <w:shd w:val="clear" w:color="auto" w:fill="FFFFFF"/>
        </w:rPr>
        <w:t>Proposed Project</w:t>
      </w:r>
      <w:r w:rsidR="00AC10C0">
        <w:rPr>
          <w:rStyle w:val="normaltextrun"/>
          <w:rFonts w:ascii="Calibri" w:hAnsi="Calibri" w:cs="Calibri"/>
          <w:sz w:val="24"/>
          <w:szCs w:val="24"/>
          <w:shd w:val="clear" w:color="auto" w:fill="FFFFFF"/>
        </w:rPr>
        <w:t xml:space="preserve"> </w:t>
      </w:r>
      <w:r w:rsidR="00E00C7B">
        <w:rPr>
          <w:rStyle w:val="normaltextrun"/>
          <w:rFonts w:ascii="Calibri" w:hAnsi="Calibri" w:cs="Calibri"/>
          <w:sz w:val="24"/>
          <w:szCs w:val="24"/>
          <w:shd w:val="clear" w:color="auto" w:fill="FFFFFF"/>
        </w:rPr>
        <w:t xml:space="preserve">more </w:t>
      </w:r>
      <w:r w:rsidR="00BF7CFE">
        <w:rPr>
          <w:rStyle w:val="normaltextrun"/>
          <w:rFonts w:ascii="Calibri" w:hAnsi="Calibri" w:cs="Calibri"/>
          <w:sz w:val="24"/>
          <w:szCs w:val="24"/>
          <w:shd w:val="clear" w:color="auto" w:fill="FFFFFF"/>
        </w:rPr>
        <w:t xml:space="preserve">efficiently than </w:t>
      </w:r>
      <w:r w:rsidR="004679F2">
        <w:rPr>
          <w:rStyle w:val="normaltextrun"/>
          <w:rFonts w:ascii="Calibri" w:hAnsi="Calibri" w:cs="Calibri"/>
          <w:sz w:val="24"/>
          <w:szCs w:val="24"/>
          <w:shd w:val="clear" w:color="auto" w:fill="FFFFFF"/>
        </w:rPr>
        <w:t>licensing under the</w:t>
      </w:r>
      <w:r w:rsidR="003E2B1A" w:rsidRPr="5483AA3F">
        <w:rPr>
          <w:rStyle w:val="normaltextrun"/>
          <w:rFonts w:ascii="Calibri" w:hAnsi="Calibri" w:cs="Calibri"/>
          <w:sz w:val="24"/>
          <w:szCs w:val="24"/>
          <w:shd w:val="clear" w:color="auto" w:fill="FFFFFF"/>
        </w:rPr>
        <w:t xml:space="preserve"> closest community hospitals, BID Plymouth and BID Milton. </w:t>
      </w:r>
      <w:r w:rsidR="004679F2">
        <w:rPr>
          <w:rStyle w:val="normaltextrun"/>
          <w:rFonts w:ascii="Calibri" w:hAnsi="Calibri" w:cs="Calibri"/>
          <w:sz w:val="24"/>
          <w:szCs w:val="24"/>
          <w:shd w:val="clear" w:color="auto" w:fill="FFFFFF"/>
        </w:rPr>
        <w:t>In particular, t</w:t>
      </w:r>
      <w:r w:rsidR="003E2B1A">
        <w:rPr>
          <w:rStyle w:val="normaltextrun"/>
          <w:rFonts w:ascii="Calibri" w:hAnsi="Calibri" w:cs="Calibri"/>
          <w:sz w:val="24"/>
          <w:szCs w:val="24"/>
          <w:shd w:val="clear" w:color="auto" w:fill="FFFFFF"/>
        </w:rPr>
        <w:t>he Applicant stated</w:t>
      </w:r>
      <w:r w:rsidR="003E2B1A" w:rsidRPr="00C9204E">
        <w:rPr>
          <w:rStyle w:val="normaltextrun"/>
          <w:rFonts w:ascii="Calibri" w:hAnsi="Calibri" w:cs="Calibri"/>
          <w:sz w:val="24"/>
          <w:szCs w:val="24"/>
          <w:shd w:val="clear" w:color="auto" w:fill="FFFFFF"/>
        </w:rPr>
        <w:t xml:space="preserve"> establish</w:t>
      </w:r>
      <w:r w:rsidR="003E2B1A">
        <w:rPr>
          <w:rStyle w:val="normaltextrun"/>
          <w:rFonts w:ascii="Calibri" w:hAnsi="Calibri" w:cs="Calibri"/>
          <w:sz w:val="24"/>
          <w:szCs w:val="24"/>
          <w:shd w:val="clear" w:color="auto" w:fill="FFFFFF"/>
        </w:rPr>
        <w:t>ing</w:t>
      </w:r>
      <w:r w:rsidR="003E2B1A" w:rsidRPr="00C9204E">
        <w:rPr>
          <w:rStyle w:val="normaltextrun"/>
          <w:rFonts w:ascii="Calibri" w:hAnsi="Calibri" w:cs="Calibri"/>
          <w:sz w:val="24"/>
          <w:szCs w:val="24"/>
          <w:shd w:val="clear" w:color="auto" w:fill="FFFFFF"/>
        </w:rPr>
        <w:t xml:space="preserve"> and operat</w:t>
      </w:r>
      <w:r w:rsidR="003E2B1A">
        <w:rPr>
          <w:rStyle w:val="normaltextrun"/>
          <w:rFonts w:ascii="Calibri" w:hAnsi="Calibri" w:cs="Calibri"/>
          <w:sz w:val="24"/>
          <w:szCs w:val="24"/>
          <w:shd w:val="clear" w:color="auto" w:fill="FFFFFF"/>
        </w:rPr>
        <w:t>ing</w:t>
      </w:r>
      <w:r w:rsidR="003E2B1A" w:rsidRPr="00C9204E">
        <w:rPr>
          <w:rStyle w:val="normaltextrun"/>
          <w:rFonts w:ascii="Calibri" w:hAnsi="Calibri" w:cs="Calibri"/>
          <w:sz w:val="24"/>
          <w:szCs w:val="24"/>
          <w:shd w:val="clear" w:color="auto" w:fill="FFFFFF"/>
        </w:rPr>
        <w:t xml:space="preserve"> the Quincy Satellite</w:t>
      </w:r>
      <w:r w:rsidR="003E2B1A">
        <w:rPr>
          <w:rStyle w:val="normaltextrun"/>
          <w:rFonts w:ascii="Calibri" w:hAnsi="Calibri" w:cs="Calibri"/>
          <w:sz w:val="24"/>
          <w:szCs w:val="24"/>
          <w:shd w:val="clear" w:color="auto" w:fill="FFFFFF"/>
        </w:rPr>
        <w:t xml:space="preserve"> as part of the BID Milton location </w:t>
      </w:r>
      <w:r w:rsidR="003E2B1A" w:rsidRPr="00C9204E">
        <w:rPr>
          <w:rStyle w:val="normaltextrun"/>
          <w:rFonts w:ascii="Calibri" w:hAnsi="Calibri" w:cs="Calibri"/>
          <w:sz w:val="24"/>
          <w:szCs w:val="24"/>
          <w:shd w:val="clear" w:color="auto" w:fill="FFFFFF"/>
        </w:rPr>
        <w:t xml:space="preserve">would </w:t>
      </w:r>
      <w:r w:rsidR="003E2B1A">
        <w:rPr>
          <w:rStyle w:val="normaltextrun"/>
          <w:rFonts w:ascii="Calibri" w:hAnsi="Calibri" w:cs="Calibri"/>
          <w:sz w:val="24"/>
          <w:szCs w:val="24"/>
          <w:shd w:val="clear" w:color="auto" w:fill="FFFFFF"/>
        </w:rPr>
        <w:t xml:space="preserve">require </w:t>
      </w:r>
      <w:r w:rsidR="003E2B1A" w:rsidRPr="00C9204E">
        <w:rPr>
          <w:rStyle w:val="normaltextrun"/>
          <w:rFonts w:ascii="Calibri" w:hAnsi="Calibri" w:cs="Calibri"/>
          <w:sz w:val="24"/>
          <w:szCs w:val="24"/>
          <w:shd w:val="clear" w:color="auto" w:fill="FFFFFF"/>
        </w:rPr>
        <w:t>significant resources to scale</w:t>
      </w:r>
      <w:r w:rsidR="000C396C">
        <w:rPr>
          <w:rStyle w:val="normaltextrun"/>
          <w:rFonts w:ascii="Calibri" w:hAnsi="Calibri" w:cs="Calibri"/>
          <w:sz w:val="24"/>
          <w:szCs w:val="24"/>
          <w:shd w:val="clear" w:color="auto" w:fill="FFFFFF"/>
        </w:rPr>
        <w:t xml:space="preserve"> up to</w:t>
      </w:r>
      <w:r w:rsidR="003E2B1A" w:rsidRPr="00C9204E">
        <w:rPr>
          <w:rStyle w:val="normaltextrun"/>
          <w:rFonts w:ascii="Calibri" w:hAnsi="Calibri" w:cs="Calibri"/>
          <w:sz w:val="24"/>
          <w:szCs w:val="24"/>
          <w:shd w:val="clear" w:color="auto" w:fill="FFFFFF"/>
        </w:rPr>
        <w:t xml:space="preserve"> the size of</w:t>
      </w:r>
      <w:r w:rsidR="003E2B1A">
        <w:rPr>
          <w:rStyle w:val="normaltextrun"/>
          <w:rFonts w:ascii="Calibri" w:hAnsi="Calibri" w:cs="Calibri"/>
          <w:sz w:val="24"/>
          <w:szCs w:val="24"/>
          <w:shd w:val="clear" w:color="auto" w:fill="FFFFFF"/>
        </w:rPr>
        <w:t xml:space="preserve"> the</w:t>
      </w:r>
      <w:r w:rsidR="003E2B1A" w:rsidRPr="00C9204E">
        <w:rPr>
          <w:rStyle w:val="normaltextrun"/>
          <w:rFonts w:ascii="Calibri" w:hAnsi="Calibri" w:cs="Calibri"/>
          <w:sz w:val="24"/>
          <w:szCs w:val="24"/>
          <w:shd w:val="clear" w:color="auto" w:fill="FFFFFF"/>
        </w:rPr>
        <w:t xml:space="preserve"> </w:t>
      </w:r>
      <w:r w:rsidR="003E2B1A" w:rsidRPr="5483AA3F">
        <w:rPr>
          <w:rStyle w:val="normaltextrun"/>
          <w:rFonts w:ascii="Calibri" w:hAnsi="Calibri" w:cs="Calibri"/>
          <w:sz w:val="24"/>
          <w:szCs w:val="24"/>
        </w:rPr>
        <w:t xml:space="preserve">Proposed Project </w:t>
      </w:r>
      <w:r w:rsidR="003E2B1A">
        <w:rPr>
          <w:rStyle w:val="normaltextrun"/>
          <w:rFonts w:ascii="Calibri" w:hAnsi="Calibri" w:cs="Calibri"/>
          <w:sz w:val="24"/>
          <w:szCs w:val="24"/>
        </w:rPr>
        <w:t>and support the scope of the</w:t>
      </w:r>
      <w:r w:rsidR="003E2B1A" w:rsidRPr="00C9204E">
        <w:rPr>
          <w:rStyle w:val="normaltextrun"/>
          <w:rFonts w:ascii="Calibri" w:hAnsi="Calibri" w:cs="Calibri"/>
          <w:sz w:val="24"/>
          <w:szCs w:val="24"/>
          <w:shd w:val="clear" w:color="auto" w:fill="FFFFFF"/>
        </w:rPr>
        <w:t xml:space="preserve"> </w:t>
      </w:r>
      <w:r w:rsidR="003E2B1A">
        <w:rPr>
          <w:rStyle w:val="normaltextrun"/>
          <w:rFonts w:ascii="Calibri" w:hAnsi="Calibri" w:cs="Calibri"/>
          <w:sz w:val="24"/>
          <w:szCs w:val="24"/>
          <w:shd w:val="clear" w:color="auto" w:fill="FFFFFF"/>
        </w:rPr>
        <w:t xml:space="preserve">proposed </w:t>
      </w:r>
      <w:r w:rsidR="003E2B1A" w:rsidRPr="00C9204E">
        <w:rPr>
          <w:rStyle w:val="normaltextrun"/>
          <w:rFonts w:ascii="Calibri" w:hAnsi="Calibri" w:cs="Calibri"/>
          <w:sz w:val="24"/>
          <w:szCs w:val="24"/>
          <w:shd w:val="clear" w:color="auto" w:fill="FFFFFF"/>
        </w:rPr>
        <w:t>clinical ambulatory operations.</w:t>
      </w:r>
      <w:r w:rsidR="004A33A0" w:rsidRPr="004A33A0">
        <w:rPr>
          <w:rFonts w:cs="Times New Roman"/>
          <w:sz w:val="24"/>
          <w:szCs w:val="24"/>
        </w:rPr>
        <w:t xml:space="preserve"> </w:t>
      </w:r>
      <w:r w:rsidR="00815FF1">
        <w:rPr>
          <w:rStyle w:val="normaltextrun"/>
          <w:rFonts w:ascii="Calibri" w:hAnsi="Calibri" w:cs="Calibri"/>
          <w:sz w:val="24"/>
          <w:szCs w:val="24"/>
          <w:shd w:val="clear" w:color="auto" w:fill="FFFFFF"/>
        </w:rPr>
        <w:t xml:space="preserve">The </w:t>
      </w:r>
      <w:r w:rsidR="00815FF1" w:rsidRPr="5483AA3F">
        <w:rPr>
          <w:rStyle w:val="normaltextrun"/>
          <w:rFonts w:ascii="Calibri" w:hAnsi="Calibri" w:cs="Calibri"/>
          <w:sz w:val="24"/>
          <w:szCs w:val="24"/>
        </w:rPr>
        <w:t xml:space="preserve">Applicant </w:t>
      </w:r>
      <w:r w:rsidR="00815FF1">
        <w:rPr>
          <w:rStyle w:val="normaltextrun"/>
          <w:rFonts w:ascii="Calibri" w:hAnsi="Calibri" w:cs="Calibri"/>
          <w:sz w:val="24"/>
          <w:szCs w:val="24"/>
        </w:rPr>
        <w:t xml:space="preserve">further </w:t>
      </w:r>
      <w:r w:rsidR="00815FF1" w:rsidRPr="5483AA3F">
        <w:rPr>
          <w:rStyle w:val="normaltextrun"/>
          <w:rFonts w:ascii="Calibri" w:hAnsi="Calibri" w:cs="Calibri"/>
          <w:sz w:val="24"/>
          <w:szCs w:val="24"/>
        </w:rPr>
        <w:t>explained that licensing under BIDMC eliminat</w:t>
      </w:r>
      <w:r w:rsidR="00815FF1">
        <w:rPr>
          <w:rStyle w:val="normaltextrun"/>
          <w:rFonts w:ascii="Calibri" w:hAnsi="Calibri" w:cs="Calibri"/>
          <w:sz w:val="24"/>
          <w:szCs w:val="24"/>
        </w:rPr>
        <w:t>es</w:t>
      </w:r>
      <w:r w:rsidR="00815FF1" w:rsidRPr="5483AA3F">
        <w:rPr>
          <w:rStyle w:val="normaltextrun"/>
          <w:rFonts w:ascii="Calibri" w:hAnsi="Calibri" w:cs="Calibri"/>
          <w:sz w:val="24"/>
          <w:szCs w:val="24"/>
        </w:rPr>
        <w:t xml:space="preserve"> the need for redundant expenditures</w:t>
      </w:r>
      <w:r w:rsidR="00815FF1">
        <w:rPr>
          <w:rStyle w:val="normaltextrun"/>
          <w:rFonts w:ascii="Calibri" w:hAnsi="Calibri" w:cs="Calibri"/>
          <w:sz w:val="24"/>
          <w:szCs w:val="24"/>
        </w:rPr>
        <w:t xml:space="preserve">. </w:t>
      </w:r>
      <w:r w:rsidR="004A33A0" w:rsidRPr="00650718">
        <w:rPr>
          <w:rFonts w:cs="Times New Roman"/>
          <w:sz w:val="24"/>
          <w:szCs w:val="24"/>
        </w:rPr>
        <w:t xml:space="preserve">BIDMC </w:t>
      </w:r>
      <w:r w:rsidR="00815FF1">
        <w:rPr>
          <w:rFonts w:cs="Times New Roman"/>
          <w:sz w:val="24"/>
          <w:szCs w:val="24"/>
        </w:rPr>
        <w:t>anticipates</w:t>
      </w:r>
      <w:r w:rsidR="004A33A0" w:rsidRPr="00650718">
        <w:rPr>
          <w:rFonts w:cs="Times New Roman"/>
          <w:sz w:val="24"/>
          <w:szCs w:val="24"/>
        </w:rPr>
        <w:t xml:space="preserve"> extend</w:t>
      </w:r>
      <w:r w:rsidR="00815FF1">
        <w:rPr>
          <w:rFonts w:cs="Times New Roman"/>
          <w:sz w:val="24"/>
          <w:szCs w:val="24"/>
        </w:rPr>
        <w:t>ing</w:t>
      </w:r>
      <w:r w:rsidR="004A33A0" w:rsidRPr="00650718">
        <w:rPr>
          <w:rFonts w:cs="Times New Roman"/>
          <w:sz w:val="24"/>
          <w:szCs w:val="24"/>
        </w:rPr>
        <w:t xml:space="preserve"> its cancer and </w:t>
      </w:r>
      <w:r w:rsidR="004A33A0" w:rsidRPr="00650718">
        <w:rPr>
          <w:rFonts w:cs="Times New Roman"/>
          <w:sz w:val="24"/>
          <w:szCs w:val="24"/>
        </w:rPr>
        <w:lastRenderedPageBreak/>
        <w:t>ambulatory operational leadership</w:t>
      </w:r>
      <w:r w:rsidR="00E312E7">
        <w:rPr>
          <w:rFonts w:cs="Times New Roman"/>
          <w:sz w:val="24"/>
          <w:szCs w:val="24"/>
        </w:rPr>
        <w:t xml:space="preserve"> to the Quincy Satellite and Cordage Park Satellite. </w:t>
      </w:r>
      <w:r w:rsidR="006E6F2C">
        <w:rPr>
          <w:rFonts w:cs="Times New Roman"/>
          <w:sz w:val="24"/>
          <w:szCs w:val="24"/>
        </w:rPr>
        <w:t xml:space="preserve">This operational leadership </w:t>
      </w:r>
      <w:r w:rsidR="00E831D7">
        <w:rPr>
          <w:rFonts w:cs="Times New Roman"/>
          <w:sz w:val="24"/>
          <w:szCs w:val="24"/>
        </w:rPr>
        <w:t>structure aligns with current practice, as these staff</w:t>
      </w:r>
      <w:r w:rsidR="004A33A0" w:rsidRPr="00650718">
        <w:rPr>
          <w:rFonts w:cs="Times New Roman"/>
          <w:sz w:val="24"/>
          <w:szCs w:val="24"/>
        </w:rPr>
        <w:t xml:space="preserve"> oversee other BIDMC sites, </w:t>
      </w:r>
      <w:r w:rsidR="00E831D7">
        <w:rPr>
          <w:rFonts w:cs="Times New Roman"/>
          <w:sz w:val="24"/>
          <w:szCs w:val="24"/>
        </w:rPr>
        <w:t xml:space="preserve">and supports </w:t>
      </w:r>
      <w:r w:rsidR="004A33A0" w:rsidRPr="00650718">
        <w:rPr>
          <w:rFonts w:cs="Times New Roman"/>
          <w:sz w:val="24"/>
          <w:szCs w:val="24"/>
        </w:rPr>
        <w:t>economies of scale.</w:t>
      </w:r>
      <w:r w:rsidR="004A33A0" w:rsidRPr="5483AA3F">
        <w:rPr>
          <w:rStyle w:val="normaltextrun"/>
          <w:rFonts w:ascii="Calibri" w:hAnsi="Calibri" w:cs="Calibri"/>
          <w:sz w:val="24"/>
          <w:szCs w:val="24"/>
        </w:rPr>
        <w:t xml:space="preserve"> </w:t>
      </w:r>
      <w:r w:rsidR="003E2B1A">
        <w:rPr>
          <w:rStyle w:val="normaltextrun"/>
          <w:rFonts w:ascii="Calibri" w:hAnsi="Calibri" w:cs="Calibri"/>
          <w:sz w:val="24"/>
          <w:szCs w:val="24"/>
          <w:shd w:val="clear" w:color="auto" w:fill="FFFFFF"/>
        </w:rPr>
        <w:t>I</w:t>
      </w:r>
      <w:r w:rsidR="003E2B1A">
        <w:rPr>
          <w:rFonts w:cs="Times New Roman"/>
          <w:sz w:val="24"/>
          <w:szCs w:val="24"/>
        </w:rPr>
        <w:t xml:space="preserve">n addition, the Applicant stated </w:t>
      </w:r>
      <w:r w:rsidR="003E2B1A" w:rsidRPr="00650718">
        <w:rPr>
          <w:rFonts w:cs="Times New Roman"/>
          <w:sz w:val="24"/>
          <w:szCs w:val="24"/>
        </w:rPr>
        <w:t>BIDMC</w:t>
      </w:r>
      <w:r w:rsidR="003E2B1A">
        <w:rPr>
          <w:rFonts w:cs="Times New Roman"/>
          <w:sz w:val="24"/>
          <w:szCs w:val="24"/>
        </w:rPr>
        <w:t>’s</w:t>
      </w:r>
      <w:r w:rsidR="003E2B1A" w:rsidRPr="00650718">
        <w:rPr>
          <w:rFonts w:cs="Times New Roman"/>
          <w:sz w:val="24"/>
          <w:szCs w:val="24"/>
        </w:rPr>
        <w:t xml:space="preserve"> existing clinical resources </w:t>
      </w:r>
      <w:r w:rsidR="003E2B1A">
        <w:rPr>
          <w:rFonts w:cs="Times New Roman"/>
          <w:sz w:val="24"/>
          <w:szCs w:val="24"/>
        </w:rPr>
        <w:t>have</w:t>
      </w:r>
      <w:r w:rsidR="003E2B1A" w:rsidRPr="00650718">
        <w:rPr>
          <w:rFonts w:cs="Times New Roman"/>
          <w:sz w:val="24"/>
          <w:szCs w:val="24"/>
        </w:rPr>
        <w:t xml:space="preserve"> capacity to expand into the Plymouth community, </w:t>
      </w:r>
      <w:r w:rsidR="003E2B1A">
        <w:rPr>
          <w:rFonts w:cs="Times New Roman"/>
          <w:sz w:val="24"/>
          <w:szCs w:val="24"/>
        </w:rPr>
        <w:t>providing</w:t>
      </w:r>
      <w:r w:rsidR="003E2B1A" w:rsidRPr="00650718">
        <w:rPr>
          <w:rFonts w:cs="Times New Roman"/>
          <w:sz w:val="24"/>
          <w:szCs w:val="24"/>
        </w:rPr>
        <w:t xml:space="preserve"> additional access and care quality. </w:t>
      </w:r>
      <w:r w:rsidR="003E2B1A">
        <w:rPr>
          <w:rFonts w:cs="Times New Roman"/>
          <w:sz w:val="24"/>
          <w:szCs w:val="24"/>
        </w:rPr>
        <w:t>For</w:t>
      </w:r>
      <w:r w:rsidR="003E2B1A" w:rsidRPr="00650718">
        <w:rPr>
          <w:rFonts w:cs="Times New Roman"/>
          <w:sz w:val="24"/>
          <w:szCs w:val="24"/>
        </w:rPr>
        <w:t xml:space="preserve"> example</w:t>
      </w:r>
      <w:r w:rsidR="003E2B1A">
        <w:rPr>
          <w:rFonts w:cs="Times New Roman"/>
          <w:sz w:val="24"/>
          <w:szCs w:val="24"/>
        </w:rPr>
        <w:t xml:space="preserve">: BIDMC anticipates utilizing its centralized nurse navigators to staff the </w:t>
      </w:r>
      <w:r w:rsidR="003E2B1A" w:rsidRPr="00650718">
        <w:rPr>
          <w:rFonts w:cs="Times New Roman"/>
          <w:sz w:val="24"/>
          <w:szCs w:val="24"/>
        </w:rPr>
        <w:t>BID Plymouth cancer center</w:t>
      </w:r>
      <w:r w:rsidR="003E2B1A">
        <w:rPr>
          <w:rFonts w:cs="Times New Roman"/>
          <w:sz w:val="24"/>
          <w:szCs w:val="24"/>
        </w:rPr>
        <w:t>, bypassing the need to hire</w:t>
      </w:r>
      <w:r w:rsidR="003709F5">
        <w:rPr>
          <w:rFonts w:cs="Times New Roman"/>
          <w:sz w:val="24"/>
          <w:szCs w:val="24"/>
        </w:rPr>
        <w:t xml:space="preserve"> </w:t>
      </w:r>
      <w:r w:rsidR="003E2B1A">
        <w:rPr>
          <w:rFonts w:cs="Times New Roman"/>
          <w:sz w:val="24"/>
          <w:szCs w:val="24"/>
        </w:rPr>
        <w:t xml:space="preserve">additional </w:t>
      </w:r>
      <w:r w:rsidR="003709F5">
        <w:rPr>
          <w:rFonts w:cs="Times New Roman"/>
          <w:sz w:val="24"/>
          <w:szCs w:val="24"/>
        </w:rPr>
        <w:t xml:space="preserve">of contract for </w:t>
      </w:r>
      <w:r w:rsidR="003E2B1A" w:rsidRPr="00650718">
        <w:rPr>
          <w:rFonts w:cs="Times New Roman"/>
          <w:sz w:val="24"/>
          <w:szCs w:val="24"/>
        </w:rPr>
        <w:t xml:space="preserve">nurse navigators. </w:t>
      </w:r>
    </w:p>
    <w:p w14:paraId="0B5588E7" w14:textId="77777777" w:rsidR="00636072" w:rsidRDefault="00636072" w:rsidP="005E13B8">
      <w:pPr>
        <w:pStyle w:val="paragraph"/>
        <w:spacing w:before="0" w:beforeAutospacing="0" w:after="0" w:afterAutospacing="0"/>
        <w:textAlignment w:val="baseline"/>
        <w:rPr>
          <w:rStyle w:val="normaltextrun"/>
          <w:rFonts w:ascii="Calibri" w:hAnsi="Calibri" w:cs="Calibri"/>
          <w:bCs/>
          <w:shd w:val="clear" w:color="auto" w:fill="FFFFFF"/>
        </w:rPr>
      </w:pPr>
    </w:p>
    <w:p w14:paraId="54E85D82" w14:textId="103CCF60" w:rsidR="005E13B8" w:rsidRPr="005E13B8" w:rsidRDefault="006F10C2" w:rsidP="005E13B8">
      <w:pPr>
        <w:pStyle w:val="paragraph"/>
        <w:spacing w:before="0" w:beforeAutospacing="0" w:after="0" w:afterAutospacing="0"/>
        <w:textAlignment w:val="baseline"/>
        <w:rPr>
          <w:rStyle w:val="normaltextrun"/>
          <w:rFonts w:ascii="Calibri" w:hAnsi="Calibri" w:cs="Calibri"/>
          <w:bCs/>
          <w:shd w:val="clear" w:color="auto" w:fill="FFFFFF"/>
        </w:rPr>
      </w:pPr>
      <w:r>
        <w:rPr>
          <w:rStyle w:val="normaltextrun"/>
          <w:rFonts w:ascii="Calibri" w:hAnsi="Calibri" w:cs="Calibri"/>
          <w:bCs/>
          <w:shd w:val="clear" w:color="auto" w:fill="FFFFFF"/>
        </w:rPr>
        <w:t>In support of the</w:t>
      </w:r>
      <w:r w:rsidR="00CC14DC">
        <w:rPr>
          <w:rStyle w:val="normaltextrun"/>
          <w:rFonts w:ascii="Calibri" w:hAnsi="Calibri" w:cs="Calibri"/>
          <w:bCs/>
          <w:shd w:val="clear" w:color="auto" w:fill="FFFFFF"/>
        </w:rPr>
        <w:t xml:space="preserve"> Applicant’s statement of a lower cost structure, the Applicant provided </w:t>
      </w:r>
      <w:r w:rsidR="005E13B8">
        <w:rPr>
          <w:rStyle w:val="normaltextrun"/>
          <w:rFonts w:ascii="Calibri" w:hAnsi="Calibri" w:cs="Calibri"/>
          <w:bCs/>
          <w:shd w:val="clear" w:color="auto" w:fill="FFFFFF"/>
        </w:rPr>
        <w:t xml:space="preserve">Table </w:t>
      </w:r>
      <w:r w:rsidR="00D2184C">
        <w:rPr>
          <w:rStyle w:val="normaltextrun"/>
          <w:rFonts w:ascii="Calibri" w:hAnsi="Calibri" w:cs="Calibri"/>
          <w:bCs/>
          <w:shd w:val="clear" w:color="auto" w:fill="FFFFFF"/>
        </w:rPr>
        <w:t>10</w:t>
      </w:r>
      <w:r w:rsidR="00CC14DC">
        <w:rPr>
          <w:rStyle w:val="normaltextrun"/>
          <w:rFonts w:ascii="Calibri" w:hAnsi="Calibri" w:cs="Calibri"/>
          <w:bCs/>
          <w:shd w:val="clear" w:color="auto" w:fill="FFFFFF"/>
        </w:rPr>
        <w:t>,</w:t>
      </w:r>
      <w:r w:rsidR="00D2184C">
        <w:rPr>
          <w:rStyle w:val="normaltextrun"/>
          <w:rFonts w:ascii="Calibri" w:hAnsi="Calibri" w:cs="Calibri"/>
          <w:bCs/>
          <w:shd w:val="clear" w:color="auto" w:fill="FFFFFF"/>
        </w:rPr>
        <w:t xml:space="preserve"> </w:t>
      </w:r>
      <w:r w:rsidR="000B534E">
        <w:rPr>
          <w:rStyle w:val="normaltextrun"/>
          <w:rFonts w:ascii="Calibri" w:hAnsi="Calibri" w:cs="Calibri"/>
          <w:bCs/>
          <w:shd w:val="clear" w:color="auto" w:fill="FFFFFF"/>
        </w:rPr>
        <w:t>show</w:t>
      </w:r>
      <w:r w:rsidR="00CC14DC">
        <w:rPr>
          <w:rStyle w:val="normaltextrun"/>
          <w:rFonts w:ascii="Calibri" w:hAnsi="Calibri" w:cs="Calibri"/>
          <w:bCs/>
          <w:shd w:val="clear" w:color="auto" w:fill="FFFFFF"/>
        </w:rPr>
        <w:t>ing</w:t>
      </w:r>
      <w:r w:rsidR="000B534E">
        <w:rPr>
          <w:rStyle w:val="normaltextrun"/>
          <w:rFonts w:ascii="Calibri" w:hAnsi="Calibri" w:cs="Calibri"/>
          <w:bCs/>
          <w:shd w:val="clear" w:color="auto" w:fill="FFFFFF"/>
        </w:rPr>
        <w:t xml:space="preserve"> that</w:t>
      </w:r>
      <w:r w:rsidR="005E13B8" w:rsidRPr="005E13B8">
        <w:rPr>
          <w:rStyle w:val="normaltextrun"/>
          <w:rFonts w:ascii="Calibri" w:hAnsi="Calibri" w:cs="Calibri"/>
          <w:bCs/>
          <w:shd w:val="clear" w:color="auto" w:fill="FFFFFF"/>
        </w:rPr>
        <w:t xml:space="preserve"> the net patient service revenue (NPSR) of the </w:t>
      </w:r>
      <w:r w:rsidR="005E13B8">
        <w:rPr>
          <w:rStyle w:val="normaltextrun"/>
          <w:rFonts w:ascii="Calibri" w:hAnsi="Calibri" w:cs="Calibri"/>
          <w:bCs/>
          <w:shd w:val="clear" w:color="auto" w:fill="FFFFFF"/>
        </w:rPr>
        <w:t xml:space="preserve">proposed </w:t>
      </w:r>
      <w:r w:rsidR="005E13B8" w:rsidRPr="005E13B8">
        <w:rPr>
          <w:rStyle w:val="normaltextrun"/>
          <w:rFonts w:ascii="Calibri" w:hAnsi="Calibri" w:cs="Calibri"/>
          <w:bCs/>
          <w:shd w:val="clear" w:color="auto" w:fill="FFFFFF"/>
        </w:rPr>
        <w:t xml:space="preserve">Quincy Satellite versus </w:t>
      </w:r>
      <w:r w:rsidR="005E13B8">
        <w:rPr>
          <w:rStyle w:val="normaltextrun"/>
          <w:rFonts w:ascii="Calibri" w:hAnsi="Calibri" w:cs="Calibri"/>
          <w:bCs/>
          <w:shd w:val="clear" w:color="auto" w:fill="FFFFFF"/>
        </w:rPr>
        <w:t>the Ap</w:t>
      </w:r>
      <w:r w:rsidR="00ED3F97">
        <w:rPr>
          <w:rStyle w:val="normaltextrun"/>
          <w:rFonts w:ascii="Calibri" w:hAnsi="Calibri" w:cs="Calibri"/>
          <w:bCs/>
          <w:shd w:val="clear" w:color="auto" w:fill="FFFFFF"/>
        </w:rPr>
        <w:t>p</w:t>
      </w:r>
      <w:r w:rsidR="005E13B8">
        <w:rPr>
          <w:rStyle w:val="normaltextrun"/>
          <w:rFonts w:ascii="Calibri" w:hAnsi="Calibri" w:cs="Calibri"/>
          <w:bCs/>
          <w:shd w:val="clear" w:color="auto" w:fill="FFFFFF"/>
        </w:rPr>
        <w:t xml:space="preserve">licant’s </w:t>
      </w:r>
      <w:r w:rsidR="005E13B8" w:rsidRPr="005E13B8">
        <w:rPr>
          <w:rStyle w:val="normaltextrun"/>
          <w:rFonts w:ascii="Calibri" w:hAnsi="Calibri" w:cs="Calibri"/>
          <w:bCs/>
          <w:shd w:val="clear" w:color="auto" w:fill="FFFFFF"/>
        </w:rPr>
        <w:t>other urgent care centers located throughout Eastern Massachusetts</w:t>
      </w:r>
      <w:r w:rsidR="000B534E">
        <w:rPr>
          <w:rStyle w:val="FootnoteReference"/>
          <w:rFonts w:ascii="Calibri" w:hAnsi="Calibri" w:cs="Calibri"/>
          <w:bCs/>
          <w:shd w:val="clear" w:color="auto" w:fill="FFFFFF"/>
        </w:rPr>
        <w:footnoteReference w:id="25"/>
      </w:r>
      <w:r w:rsidR="00DB2C0C">
        <w:rPr>
          <w:rStyle w:val="normaltextrun"/>
          <w:rFonts w:ascii="Calibri" w:hAnsi="Calibri" w:cs="Calibri"/>
          <w:bCs/>
          <w:shd w:val="clear" w:color="auto" w:fill="FFFFFF"/>
        </w:rPr>
        <w:t xml:space="preserve"> is generally lower in comparison to the other community sites</w:t>
      </w:r>
      <w:r w:rsidR="005E13B8" w:rsidRPr="005E13B8">
        <w:rPr>
          <w:rStyle w:val="normaltextrun"/>
          <w:rFonts w:ascii="Calibri" w:hAnsi="Calibri" w:cs="Calibri"/>
          <w:bCs/>
          <w:shd w:val="clear" w:color="auto" w:fill="FFFFFF"/>
        </w:rPr>
        <w:t>.</w:t>
      </w:r>
    </w:p>
    <w:p w14:paraId="7158276E" w14:textId="77777777" w:rsidR="005E13B8" w:rsidRDefault="005E13B8" w:rsidP="005E13B8">
      <w:pPr>
        <w:rPr>
          <w:rFonts w:cstheme="minorHAnsi"/>
          <w:b/>
          <w:color w:val="0070C0"/>
        </w:rPr>
      </w:pPr>
    </w:p>
    <w:p w14:paraId="4E5F3206" w14:textId="77777777" w:rsidR="00D2184C" w:rsidRDefault="005E13B8" w:rsidP="00D2184C">
      <w:pPr>
        <w:spacing w:after="0" w:line="240" w:lineRule="auto"/>
        <w:jc w:val="center"/>
        <w:rPr>
          <w:rFonts w:cstheme="minorHAnsi"/>
          <w:b/>
          <w:bCs/>
          <w:color w:val="2F5496" w:themeColor="accent1" w:themeShade="BF"/>
          <w:sz w:val="24"/>
          <w:szCs w:val="24"/>
        </w:rPr>
      </w:pPr>
      <w:r w:rsidRPr="00D2184C">
        <w:rPr>
          <w:rFonts w:cstheme="minorHAnsi"/>
          <w:b/>
          <w:bCs/>
          <w:color w:val="2F5496" w:themeColor="accent1" w:themeShade="BF"/>
          <w:sz w:val="24"/>
          <w:szCs w:val="24"/>
          <w:u w:val="single"/>
        </w:rPr>
        <w:t>Table</w:t>
      </w:r>
      <w:r w:rsidR="00D2184C" w:rsidRPr="00D2184C">
        <w:rPr>
          <w:rFonts w:cstheme="minorHAnsi"/>
          <w:b/>
          <w:bCs/>
          <w:color w:val="2F5496" w:themeColor="accent1" w:themeShade="BF"/>
          <w:sz w:val="24"/>
          <w:szCs w:val="24"/>
          <w:u w:val="single"/>
        </w:rPr>
        <w:t xml:space="preserve"> 10</w:t>
      </w:r>
      <w:r w:rsidRPr="00D2184C">
        <w:rPr>
          <w:rFonts w:cstheme="minorHAnsi"/>
          <w:b/>
          <w:bCs/>
          <w:color w:val="2F5496" w:themeColor="accent1" w:themeShade="BF"/>
          <w:sz w:val="24"/>
          <w:szCs w:val="24"/>
          <w:u w:val="single"/>
        </w:rPr>
        <w:t>:</w:t>
      </w:r>
      <w:r w:rsidRPr="00D2184C">
        <w:rPr>
          <w:rFonts w:cstheme="minorHAnsi"/>
          <w:b/>
          <w:bCs/>
          <w:color w:val="2F5496" w:themeColor="accent1" w:themeShade="BF"/>
          <w:sz w:val="24"/>
          <w:szCs w:val="24"/>
        </w:rPr>
        <w:t xml:space="preserve"> Comparison of Quincy Satellite and </w:t>
      </w:r>
    </w:p>
    <w:p w14:paraId="5DED93AE" w14:textId="1B19F881" w:rsidR="005E13B8" w:rsidRPr="00D2184C" w:rsidRDefault="005E13B8" w:rsidP="00D2184C">
      <w:pPr>
        <w:spacing w:after="0" w:line="240" w:lineRule="auto"/>
        <w:jc w:val="center"/>
        <w:rPr>
          <w:rFonts w:cstheme="minorHAnsi"/>
          <w:b/>
          <w:bCs/>
          <w:color w:val="2F5496" w:themeColor="accent1" w:themeShade="BF"/>
          <w:sz w:val="24"/>
          <w:szCs w:val="24"/>
        </w:rPr>
      </w:pPr>
      <w:r w:rsidRPr="00D2184C">
        <w:rPr>
          <w:rFonts w:cstheme="minorHAnsi"/>
          <w:b/>
          <w:bCs/>
          <w:color w:val="2F5496" w:themeColor="accent1" w:themeShade="BF"/>
          <w:sz w:val="24"/>
          <w:szCs w:val="24"/>
        </w:rPr>
        <w:t xml:space="preserve">Community Hospital Licensed Outpatient Center NPSR </w:t>
      </w:r>
    </w:p>
    <w:p w14:paraId="7E4769A0" w14:textId="77777777" w:rsidR="005E13B8" w:rsidRPr="004D6F61" w:rsidRDefault="005E13B8" w:rsidP="005E13B8">
      <w:pPr>
        <w:spacing w:after="0" w:line="240" w:lineRule="auto"/>
        <w:jc w:val="center"/>
        <w:rPr>
          <w:rFonts w:ascii="Calibri" w:eastAsia="Times New Roman" w:hAnsi="Calibri" w:cs="Calibri"/>
          <w:b/>
          <w:bCs/>
          <w:color w:val="000000"/>
        </w:rPr>
      </w:pPr>
    </w:p>
    <w:tbl>
      <w:tblPr>
        <w:tblW w:w="9175" w:type="dxa"/>
        <w:jc w:val="center"/>
        <w:tblLook w:val="04A0" w:firstRow="1" w:lastRow="0" w:firstColumn="1" w:lastColumn="0" w:noHBand="0" w:noVBand="1"/>
      </w:tblPr>
      <w:tblGrid>
        <w:gridCol w:w="2280"/>
        <w:gridCol w:w="1280"/>
        <w:gridCol w:w="1280"/>
        <w:gridCol w:w="1280"/>
        <w:gridCol w:w="1280"/>
        <w:gridCol w:w="1871"/>
      </w:tblGrid>
      <w:tr w:rsidR="005E13B8" w:rsidRPr="002E2BB4" w14:paraId="56A92523" w14:textId="77777777" w:rsidTr="00D932D9">
        <w:trPr>
          <w:trHeight w:val="6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14AC2327" w14:textId="77777777" w:rsidR="005E13B8" w:rsidRPr="002E2BB4" w:rsidRDefault="005E13B8" w:rsidP="00D932D9">
            <w:pPr>
              <w:spacing w:after="0" w:line="240" w:lineRule="auto"/>
              <w:rPr>
                <w:rFonts w:ascii="Calibri" w:eastAsia="Times New Roman" w:hAnsi="Calibri" w:cs="Calibri"/>
                <w:color w:val="000000"/>
              </w:rPr>
            </w:pP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2ACD44BE" w14:textId="77777777" w:rsidR="005E13B8" w:rsidRPr="004D6F61" w:rsidRDefault="005E13B8" w:rsidP="00D932D9">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1</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1FD301FF" w14:textId="77777777" w:rsidR="005E13B8" w:rsidRPr="004D6F61" w:rsidRDefault="005E13B8" w:rsidP="00D932D9">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2</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7D00465C" w14:textId="77777777" w:rsidR="005E13B8" w:rsidRPr="004D6F61" w:rsidRDefault="005E13B8" w:rsidP="00D932D9">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3</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0E983681" w14:textId="77777777" w:rsidR="005E13B8" w:rsidRPr="004D6F61" w:rsidRDefault="005E13B8" w:rsidP="00D932D9">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4</w:t>
            </w:r>
          </w:p>
        </w:tc>
        <w:tc>
          <w:tcPr>
            <w:tcW w:w="1871" w:type="dxa"/>
            <w:tcBorders>
              <w:top w:val="single" w:sz="4" w:space="0" w:color="auto"/>
              <w:left w:val="nil"/>
              <w:bottom w:val="single" w:sz="4" w:space="0" w:color="auto"/>
              <w:right w:val="single" w:sz="4" w:space="0" w:color="auto"/>
            </w:tcBorders>
            <w:shd w:val="clear" w:color="auto" w:fill="F7CAAC" w:themeFill="accent2" w:themeFillTint="66"/>
            <w:vAlign w:val="bottom"/>
            <w:hideMark/>
          </w:tcPr>
          <w:p w14:paraId="006FA8BE" w14:textId="77777777" w:rsidR="005E13B8" w:rsidRPr="004D6F61" w:rsidRDefault="005E13B8" w:rsidP="00D932D9">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New Satellite</w:t>
            </w:r>
          </w:p>
        </w:tc>
      </w:tr>
      <w:tr w:rsidR="005E13B8" w:rsidRPr="002E2BB4" w14:paraId="16957F5C" w14:textId="77777777" w:rsidTr="00D932D9">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2029EB0" w14:textId="77777777" w:rsidR="005E13B8" w:rsidRPr="002E2BB4" w:rsidRDefault="005E13B8" w:rsidP="00D932D9">
            <w:pPr>
              <w:spacing w:after="0" w:line="240" w:lineRule="auto"/>
              <w:rPr>
                <w:rFonts w:ascii="Calibri" w:eastAsia="Times New Roman" w:hAnsi="Calibri" w:cs="Calibri"/>
                <w:color w:val="000000"/>
              </w:rPr>
            </w:pPr>
            <w:r>
              <w:rPr>
                <w:rFonts w:ascii="Calibri" w:eastAsia="Times New Roman" w:hAnsi="Calibri" w:cs="Calibri"/>
                <w:color w:val="000000"/>
              </w:rPr>
              <w:t xml:space="preserve">NPSR per visit for </w:t>
            </w:r>
            <w:r w:rsidRPr="002E2BB4">
              <w:rPr>
                <w:rFonts w:ascii="Calibri" w:eastAsia="Times New Roman" w:hAnsi="Calibri" w:cs="Calibri"/>
                <w:color w:val="000000"/>
              </w:rPr>
              <w:t>Urgent Care</w:t>
            </w:r>
          </w:p>
        </w:tc>
        <w:tc>
          <w:tcPr>
            <w:tcW w:w="1256" w:type="dxa"/>
            <w:tcBorders>
              <w:top w:val="nil"/>
              <w:left w:val="nil"/>
              <w:bottom w:val="single" w:sz="4" w:space="0" w:color="auto"/>
              <w:right w:val="single" w:sz="4" w:space="0" w:color="auto"/>
            </w:tcBorders>
            <w:shd w:val="clear" w:color="auto" w:fill="auto"/>
            <w:noWrap/>
            <w:vAlign w:val="center"/>
            <w:hideMark/>
          </w:tcPr>
          <w:p w14:paraId="298E8541" w14:textId="77777777" w:rsidR="005E13B8" w:rsidRPr="002E2BB4" w:rsidRDefault="005E13B8" w:rsidP="00D932D9">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148.96</w:t>
            </w:r>
          </w:p>
        </w:tc>
        <w:tc>
          <w:tcPr>
            <w:tcW w:w="1256" w:type="dxa"/>
            <w:tcBorders>
              <w:top w:val="nil"/>
              <w:left w:val="nil"/>
              <w:bottom w:val="single" w:sz="4" w:space="0" w:color="auto"/>
              <w:right w:val="single" w:sz="4" w:space="0" w:color="auto"/>
            </w:tcBorders>
            <w:shd w:val="clear" w:color="auto" w:fill="auto"/>
            <w:noWrap/>
            <w:vAlign w:val="center"/>
            <w:hideMark/>
          </w:tcPr>
          <w:p w14:paraId="5B9AD4BF" w14:textId="77777777" w:rsidR="005E13B8" w:rsidRPr="002E2BB4" w:rsidRDefault="005E13B8" w:rsidP="00D932D9">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145.00</w:t>
            </w:r>
          </w:p>
        </w:tc>
        <w:tc>
          <w:tcPr>
            <w:tcW w:w="1256" w:type="dxa"/>
            <w:tcBorders>
              <w:top w:val="nil"/>
              <w:left w:val="nil"/>
              <w:bottom w:val="single" w:sz="4" w:space="0" w:color="auto"/>
              <w:right w:val="single" w:sz="4" w:space="0" w:color="auto"/>
            </w:tcBorders>
            <w:shd w:val="clear" w:color="auto" w:fill="auto"/>
            <w:noWrap/>
            <w:vAlign w:val="center"/>
            <w:hideMark/>
          </w:tcPr>
          <w:p w14:paraId="5DE07DD3" w14:textId="77777777" w:rsidR="005E13B8" w:rsidRPr="002E2BB4" w:rsidRDefault="005E13B8" w:rsidP="00D932D9">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142.00</w:t>
            </w:r>
          </w:p>
        </w:tc>
        <w:tc>
          <w:tcPr>
            <w:tcW w:w="1256" w:type="dxa"/>
            <w:tcBorders>
              <w:top w:val="nil"/>
              <w:left w:val="nil"/>
              <w:bottom w:val="single" w:sz="4" w:space="0" w:color="auto"/>
              <w:right w:val="single" w:sz="4" w:space="0" w:color="auto"/>
            </w:tcBorders>
            <w:shd w:val="clear" w:color="auto" w:fill="auto"/>
            <w:noWrap/>
            <w:vAlign w:val="center"/>
            <w:hideMark/>
          </w:tcPr>
          <w:p w14:paraId="0847EAB6" w14:textId="77777777" w:rsidR="005E13B8" w:rsidRPr="002E2BB4" w:rsidRDefault="005E13B8" w:rsidP="00D932D9">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165.00</w:t>
            </w:r>
          </w:p>
        </w:tc>
        <w:tc>
          <w:tcPr>
            <w:tcW w:w="1871" w:type="dxa"/>
            <w:tcBorders>
              <w:top w:val="nil"/>
              <w:left w:val="nil"/>
              <w:bottom w:val="single" w:sz="4" w:space="0" w:color="auto"/>
              <w:right w:val="single" w:sz="4" w:space="0" w:color="auto"/>
            </w:tcBorders>
            <w:shd w:val="clear" w:color="auto" w:fill="F7CAAC" w:themeFill="accent2" w:themeFillTint="66"/>
            <w:noWrap/>
            <w:vAlign w:val="center"/>
            <w:hideMark/>
          </w:tcPr>
          <w:p w14:paraId="4A04008A" w14:textId="77777777" w:rsidR="005E13B8" w:rsidRPr="002E2BB4" w:rsidRDefault="005E13B8" w:rsidP="00D932D9">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143.38</w:t>
            </w:r>
          </w:p>
        </w:tc>
      </w:tr>
    </w:tbl>
    <w:p w14:paraId="1E82C959" w14:textId="00439C01" w:rsidR="00D11633" w:rsidRDefault="00D11633" w:rsidP="004B05CF">
      <w:pPr>
        <w:pStyle w:val="paragraph"/>
        <w:spacing w:before="0" w:beforeAutospacing="0" w:after="0" w:afterAutospacing="0"/>
        <w:textAlignment w:val="baseline"/>
        <w:rPr>
          <w:rStyle w:val="normaltextrun"/>
          <w:rFonts w:ascii="Calibri" w:hAnsi="Calibri" w:cs="Calibri"/>
          <w:bCs/>
          <w:shd w:val="clear" w:color="auto" w:fill="FFFFFF"/>
        </w:rPr>
      </w:pPr>
    </w:p>
    <w:p w14:paraId="4EF43FDD" w14:textId="77777777" w:rsidR="00D11633" w:rsidRDefault="00D11633" w:rsidP="004B05CF">
      <w:pPr>
        <w:pStyle w:val="paragraph"/>
        <w:spacing w:before="0" w:beforeAutospacing="0" w:after="0" w:afterAutospacing="0"/>
        <w:textAlignment w:val="baseline"/>
        <w:rPr>
          <w:rStyle w:val="normaltextrun"/>
          <w:rFonts w:ascii="Calibri" w:hAnsi="Calibri" w:cs="Calibri"/>
          <w:bCs/>
          <w:shd w:val="clear" w:color="auto" w:fill="FFFFFF"/>
        </w:rPr>
      </w:pPr>
    </w:p>
    <w:p w14:paraId="1A12019A" w14:textId="5B2EF6CE" w:rsidR="00E24052" w:rsidRPr="00896998" w:rsidRDefault="005D0DC2" w:rsidP="00896998">
      <w:pPr>
        <w:tabs>
          <w:tab w:val="left" w:pos="1440"/>
        </w:tabs>
        <w:autoSpaceDE w:val="0"/>
        <w:autoSpaceDN w:val="0"/>
        <w:adjustRightInd w:val="0"/>
        <w:spacing w:after="0" w:line="240" w:lineRule="auto"/>
        <w:rPr>
          <w:rFonts w:cstheme="minorHAnsi"/>
          <w:sz w:val="24"/>
          <w:szCs w:val="24"/>
        </w:rPr>
      </w:pPr>
      <w:r w:rsidRPr="00176DD0">
        <w:rPr>
          <w:rStyle w:val="normaltextrun"/>
          <w:rFonts w:ascii="Calibri" w:hAnsi="Calibri" w:cs="Calibri"/>
          <w:sz w:val="24"/>
          <w:szCs w:val="24"/>
          <w:shd w:val="clear" w:color="auto" w:fill="FFFFFF"/>
        </w:rPr>
        <w:t xml:space="preserve">When asked for the same comparison for the </w:t>
      </w:r>
      <w:r w:rsidR="00176DD0" w:rsidRPr="00176DD0">
        <w:rPr>
          <w:rStyle w:val="normaltextrun"/>
          <w:rFonts w:ascii="Calibri" w:hAnsi="Calibri" w:cs="Calibri"/>
          <w:sz w:val="24"/>
          <w:szCs w:val="24"/>
          <w:shd w:val="clear" w:color="auto" w:fill="FFFFFF"/>
        </w:rPr>
        <w:t>proposed Cordage Park Satellite, t</w:t>
      </w:r>
      <w:r w:rsidRPr="00176DD0">
        <w:rPr>
          <w:rStyle w:val="normaltextrun"/>
          <w:rFonts w:ascii="Calibri" w:hAnsi="Calibri" w:cs="Calibri"/>
          <w:sz w:val="24"/>
          <w:szCs w:val="24"/>
          <w:shd w:val="clear" w:color="auto" w:fill="FFFFFF"/>
        </w:rPr>
        <w:t xml:space="preserve">he Applicant </w:t>
      </w:r>
      <w:r w:rsidR="00176DD0" w:rsidRPr="00176DD0">
        <w:rPr>
          <w:rStyle w:val="normaltextrun"/>
          <w:rFonts w:ascii="Calibri" w:hAnsi="Calibri" w:cs="Calibri"/>
          <w:sz w:val="24"/>
          <w:szCs w:val="24"/>
          <w:shd w:val="clear" w:color="auto" w:fill="FFFFFF"/>
        </w:rPr>
        <w:t xml:space="preserve">stated they </w:t>
      </w:r>
      <w:r w:rsidRPr="00176DD0">
        <w:rPr>
          <w:rStyle w:val="normaltextrun"/>
          <w:rFonts w:ascii="Calibri" w:hAnsi="Calibri" w:cs="Calibri"/>
          <w:sz w:val="24"/>
          <w:szCs w:val="24"/>
          <w:shd w:val="clear" w:color="auto" w:fill="FFFFFF"/>
        </w:rPr>
        <w:t xml:space="preserve">do not have data </w:t>
      </w:r>
      <w:r w:rsidR="003A2D38">
        <w:rPr>
          <w:rStyle w:val="normaltextrun"/>
          <w:rFonts w:ascii="Calibri" w:hAnsi="Calibri" w:cs="Calibri"/>
          <w:sz w:val="24"/>
          <w:szCs w:val="24"/>
          <w:shd w:val="clear" w:color="auto" w:fill="FFFFFF"/>
        </w:rPr>
        <w:t>that</w:t>
      </w:r>
      <w:r w:rsidRPr="00176DD0">
        <w:rPr>
          <w:rStyle w:val="normaltextrun"/>
          <w:rFonts w:ascii="Calibri" w:hAnsi="Calibri" w:cs="Calibri"/>
          <w:sz w:val="24"/>
          <w:szCs w:val="24"/>
          <w:shd w:val="clear" w:color="auto" w:fill="FFFFFF"/>
        </w:rPr>
        <w:t xml:space="preserve"> can appropriately compare net patient service revenue across community hospital outpatient centers in the Plymouth region</w:t>
      </w:r>
      <w:r w:rsidR="00176DD0">
        <w:rPr>
          <w:rStyle w:val="normaltextrun"/>
          <w:rFonts w:ascii="Calibri" w:hAnsi="Calibri" w:cs="Calibri"/>
          <w:sz w:val="24"/>
          <w:szCs w:val="24"/>
          <w:shd w:val="clear" w:color="auto" w:fill="FFFFFF"/>
        </w:rPr>
        <w:t>.</w:t>
      </w:r>
      <w:r>
        <w:rPr>
          <w:rStyle w:val="normaltextrun"/>
          <w:rFonts w:ascii="Calibri" w:hAnsi="Calibri" w:cs="Calibri"/>
          <w:sz w:val="24"/>
          <w:szCs w:val="24"/>
          <w:shd w:val="clear" w:color="auto" w:fill="FFFFFF"/>
        </w:rPr>
        <w:t xml:space="preserve"> </w:t>
      </w:r>
      <w:r w:rsidR="003F6E5B">
        <w:rPr>
          <w:rStyle w:val="normaltextrun"/>
          <w:rFonts w:ascii="Calibri" w:hAnsi="Calibri" w:cs="Calibri"/>
          <w:sz w:val="24"/>
          <w:szCs w:val="24"/>
          <w:shd w:val="clear" w:color="auto" w:fill="FFFFFF"/>
        </w:rPr>
        <w:t>The Applicant asserts that t</w:t>
      </w:r>
      <w:r w:rsidR="003F6E5B" w:rsidRPr="003F6E5B">
        <w:rPr>
          <w:rStyle w:val="normaltextrun"/>
          <w:rFonts w:ascii="Calibri" w:hAnsi="Calibri" w:cs="Calibri"/>
          <w:sz w:val="24"/>
          <w:szCs w:val="24"/>
          <w:shd w:val="clear" w:color="auto" w:fill="FFFFFF"/>
        </w:rPr>
        <w:t xml:space="preserve">he Proposed Project will </w:t>
      </w:r>
      <w:r w:rsidR="00C146D0">
        <w:rPr>
          <w:rStyle w:val="normaltextrun"/>
          <w:rFonts w:ascii="Calibri" w:hAnsi="Calibri" w:cs="Calibri"/>
          <w:sz w:val="24"/>
          <w:szCs w:val="24"/>
          <w:shd w:val="clear" w:color="auto" w:fill="FFFFFF"/>
        </w:rPr>
        <w:t xml:space="preserve">be </w:t>
      </w:r>
      <w:r w:rsidR="003F6E5B" w:rsidRPr="003F6E5B">
        <w:rPr>
          <w:rStyle w:val="normaltextrun"/>
          <w:rFonts w:ascii="Calibri" w:hAnsi="Calibri" w:cs="Calibri"/>
          <w:sz w:val="24"/>
          <w:szCs w:val="24"/>
          <w:shd w:val="clear" w:color="auto" w:fill="FFFFFF"/>
        </w:rPr>
        <w:t xml:space="preserve">providing timely access to critical healthcare services in a lower-cost outpatient </w:t>
      </w:r>
      <w:r w:rsidR="003F6E5B" w:rsidRPr="00896998">
        <w:rPr>
          <w:rStyle w:val="normaltextrun"/>
          <w:rFonts w:ascii="Calibri" w:hAnsi="Calibri" w:cs="Calibri"/>
          <w:sz w:val="24"/>
          <w:szCs w:val="24"/>
          <w:shd w:val="clear" w:color="auto" w:fill="FFFFFF"/>
        </w:rPr>
        <w:t>setting.</w:t>
      </w:r>
      <w:r w:rsidR="003F6E5B" w:rsidRPr="00896998">
        <w:rPr>
          <w:rStyle w:val="eop"/>
          <w:rFonts w:ascii="Calibri" w:hAnsi="Calibri" w:cs="Calibri"/>
          <w:sz w:val="24"/>
          <w:szCs w:val="24"/>
          <w:shd w:val="clear" w:color="auto" w:fill="FFFFFF"/>
        </w:rPr>
        <w:t> </w:t>
      </w:r>
      <w:r w:rsidR="00FB12DD">
        <w:rPr>
          <w:sz w:val="24"/>
          <w:szCs w:val="24"/>
        </w:rPr>
        <w:t>In addition, the research suggest</w:t>
      </w:r>
      <w:r w:rsidR="00D2184C">
        <w:rPr>
          <w:sz w:val="24"/>
          <w:szCs w:val="24"/>
        </w:rPr>
        <w:t>s</w:t>
      </w:r>
      <w:r w:rsidR="00FB12DD">
        <w:rPr>
          <w:sz w:val="24"/>
          <w:szCs w:val="24"/>
        </w:rPr>
        <w:t xml:space="preserve"> that en</w:t>
      </w:r>
      <w:r w:rsidR="2D535804" w:rsidRPr="00896998">
        <w:rPr>
          <w:sz w:val="24"/>
          <w:szCs w:val="24"/>
        </w:rPr>
        <w:t>suring service availability in a location close to hom</w:t>
      </w:r>
      <w:r w:rsidR="7D863F60" w:rsidRPr="00896998">
        <w:rPr>
          <w:sz w:val="24"/>
          <w:szCs w:val="24"/>
        </w:rPr>
        <w:t>e</w:t>
      </w:r>
      <w:r w:rsidR="2D535804" w:rsidRPr="00896998">
        <w:rPr>
          <w:sz w:val="24"/>
          <w:szCs w:val="24"/>
        </w:rPr>
        <w:t xml:space="preserve"> </w:t>
      </w:r>
      <w:r w:rsidR="7D863F60" w:rsidRPr="00896998">
        <w:rPr>
          <w:sz w:val="24"/>
          <w:szCs w:val="24"/>
        </w:rPr>
        <w:t>is likely to</w:t>
      </w:r>
      <w:r w:rsidR="2D535804" w:rsidRPr="00896998">
        <w:rPr>
          <w:sz w:val="24"/>
          <w:szCs w:val="24"/>
        </w:rPr>
        <w:t xml:space="preserve"> reduc</w:t>
      </w:r>
      <w:r w:rsidR="7D863F60" w:rsidRPr="00896998">
        <w:rPr>
          <w:sz w:val="24"/>
          <w:szCs w:val="24"/>
        </w:rPr>
        <w:t>e</w:t>
      </w:r>
      <w:r w:rsidR="2D535804" w:rsidRPr="00896998">
        <w:rPr>
          <w:sz w:val="24"/>
          <w:szCs w:val="24"/>
        </w:rPr>
        <w:t xml:space="preserve"> the cost of care.</w:t>
      </w:r>
      <w:r w:rsidR="7E8ACB72" w:rsidRPr="0C788ED3">
        <w:t xml:space="preserve"> </w:t>
      </w:r>
    </w:p>
    <w:p w14:paraId="3462CB17" w14:textId="77777777" w:rsidR="003A5696" w:rsidRPr="00185FBE" w:rsidRDefault="003A5696" w:rsidP="003A5696">
      <w:pPr>
        <w:spacing w:after="0" w:line="240" w:lineRule="auto"/>
        <w:rPr>
          <w:sz w:val="24"/>
          <w:szCs w:val="24"/>
          <w:highlight w:val="yellow"/>
        </w:rPr>
      </w:pPr>
    </w:p>
    <w:p w14:paraId="59650E2A" w14:textId="7D85E5B4" w:rsidR="003E1CDA" w:rsidRPr="002A48C2" w:rsidRDefault="003E1CDA" w:rsidP="00D850AF">
      <w:pPr>
        <w:spacing w:after="0" w:line="240" w:lineRule="auto"/>
        <w:rPr>
          <w:b/>
          <w:bCs/>
          <w:i/>
          <w:iCs/>
          <w:sz w:val="24"/>
          <w:szCs w:val="24"/>
        </w:rPr>
      </w:pPr>
      <w:r w:rsidRPr="002A48C2">
        <w:rPr>
          <w:b/>
          <w:bCs/>
          <w:i/>
          <w:iCs/>
          <w:sz w:val="24"/>
          <w:szCs w:val="24"/>
        </w:rPr>
        <w:t>Analysis</w:t>
      </w:r>
      <w:r w:rsidR="00A62447" w:rsidRPr="002A48C2">
        <w:rPr>
          <w:b/>
          <w:bCs/>
          <w:i/>
          <w:iCs/>
          <w:sz w:val="24"/>
          <w:szCs w:val="24"/>
        </w:rPr>
        <w:t xml:space="preserve"> </w:t>
      </w:r>
    </w:p>
    <w:p w14:paraId="0E1C4893" w14:textId="024E3702" w:rsidR="00716282" w:rsidRPr="002A48C2" w:rsidRDefault="00F5041A" w:rsidP="00D850AF">
      <w:pPr>
        <w:spacing w:after="0"/>
        <w:ind w:right="114"/>
        <w:rPr>
          <w:sz w:val="24"/>
          <w:szCs w:val="24"/>
        </w:rPr>
      </w:pPr>
      <w:r w:rsidRPr="7B66B182">
        <w:rPr>
          <w:sz w:val="24"/>
          <w:szCs w:val="24"/>
        </w:rPr>
        <w:t xml:space="preserve">Staff </w:t>
      </w:r>
      <w:r w:rsidR="001F0639" w:rsidRPr="7B66B182">
        <w:rPr>
          <w:sz w:val="24"/>
          <w:szCs w:val="24"/>
        </w:rPr>
        <w:t>finds that the</w:t>
      </w:r>
      <w:r w:rsidR="00F804E0" w:rsidRPr="7B66B182">
        <w:rPr>
          <w:sz w:val="24"/>
          <w:szCs w:val="24"/>
        </w:rPr>
        <w:t xml:space="preserve"> Proposed Project</w:t>
      </w:r>
      <w:r w:rsidRPr="7B66B182">
        <w:rPr>
          <w:sz w:val="24"/>
          <w:szCs w:val="24"/>
        </w:rPr>
        <w:t xml:space="preserve"> </w:t>
      </w:r>
      <w:r w:rsidR="00F804E0" w:rsidRPr="7B66B182">
        <w:rPr>
          <w:sz w:val="24"/>
          <w:szCs w:val="24"/>
        </w:rPr>
        <w:t xml:space="preserve">will </w:t>
      </w:r>
      <w:r w:rsidRPr="7B66B182">
        <w:rPr>
          <w:sz w:val="24"/>
          <w:szCs w:val="24"/>
        </w:rPr>
        <w:t xml:space="preserve">improve patient access to </w:t>
      </w:r>
      <w:r w:rsidR="009C7171" w:rsidRPr="7B66B182">
        <w:rPr>
          <w:sz w:val="24"/>
          <w:szCs w:val="24"/>
        </w:rPr>
        <w:t>specialty services</w:t>
      </w:r>
      <w:r w:rsidR="003B6DBD" w:rsidRPr="003B6DBD">
        <w:rPr>
          <w:sz w:val="24"/>
          <w:szCs w:val="24"/>
        </w:rPr>
        <w:t xml:space="preserve"> and this may reduce the overall cost of care by supporting earlier diagnosis of chronic illness, medication adherence, and preventative care. The data provided by the Applicant does not specifically identify a way that the </w:t>
      </w:r>
      <w:r w:rsidR="00734063">
        <w:rPr>
          <w:sz w:val="24"/>
          <w:szCs w:val="24"/>
        </w:rPr>
        <w:t>P</w:t>
      </w:r>
      <w:r w:rsidR="003B6DBD" w:rsidRPr="003B6DBD">
        <w:rPr>
          <w:sz w:val="24"/>
          <w:szCs w:val="24"/>
        </w:rPr>
        <w:t xml:space="preserve">roposed </w:t>
      </w:r>
      <w:r w:rsidR="00734063">
        <w:rPr>
          <w:sz w:val="24"/>
          <w:szCs w:val="24"/>
        </w:rPr>
        <w:t>P</w:t>
      </w:r>
      <w:r w:rsidR="003B6DBD" w:rsidRPr="003B6DBD">
        <w:rPr>
          <w:sz w:val="24"/>
          <w:szCs w:val="24"/>
        </w:rPr>
        <w:t xml:space="preserve">roject will compete on the basis of price, TME provider costs, and other measures of health care spending compared to the current arrangement of services and have implemented Condition </w:t>
      </w:r>
      <w:r w:rsidR="003B6DBD">
        <w:rPr>
          <w:sz w:val="24"/>
          <w:szCs w:val="24"/>
        </w:rPr>
        <w:t>3</w:t>
      </w:r>
      <w:r w:rsidR="003B6DBD" w:rsidRPr="003B6DBD">
        <w:rPr>
          <w:sz w:val="24"/>
          <w:szCs w:val="24"/>
        </w:rPr>
        <w:t xml:space="preserve"> to monitor specific future </w:t>
      </w:r>
      <w:r w:rsidR="00042472" w:rsidRPr="003B6DBD">
        <w:rPr>
          <w:sz w:val="24"/>
          <w:szCs w:val="24"/>
        </w:rPr>
        <w:t>costs.</w:t>
      </w:r>
    </w:p>
    <w:p w14:paraId="00F42AD4" w14:textId="3FB99874" w:rsidR="00BD178D" w:rsidRPr="00185FBE" w:rsidRDefault="00BD178D" w:rsidP="003A5696">
      <w:pPr>
        <w:spacing w:after="0" w:line="240" w:lineRule="auto"/>
        <w:rPr>
          <w:sz w:val="24"/>
          <w:szCs w:val="24"/>
          <w:highlight w:val="yellow"/>
        </w:rPr>
      </w:pPr>
    </w:p>
    <w:p w14:paraId="69F11E0F" w14:textId="77777777" w:rsidR="00841236" w:rsidRPr="00ED5D5E" w:rsidRDefault="00841236" w:rsidP="00841236">
      <w:pPr>
        <w:pStyle w:val="Heading2"/>
        <w:spacing w:before="0" w:line="240" w:lineRule="auto"/>
        <w:ind w:left="180"/>
        <w:contextualSpacing/>
        <w:rPr>
          <w:rFonts w:asciiTheme="minorHAnsi" w:hAnsiTheme="minorHAnsi" w:cstheme="minorHAnsi"/>
          <w:i/>
          <w:iCs/>
          <w:sz w:val="24"/>
          <w:szCs w:val="24"/>
        </w:rPr>
      </w:pPr>
      <w:bookmarkStart w:id="14" w:name="_Toc99993058"/>
      <w:bookmarkStart w:id="15" w:name="_Toc144207774"/>
      <w:bookmarkStart w:id="16" w:name="_Toc196819112"/>
      <w:r w:rsidRPr="00ED5D5E">
        <w:rPr>
          <w:rFonts w:asciiTheme="minorHAnsi" w:hAnsiTheme="minorHAnsi" w:cstheme="minorHAnsi"/>
          <w:i/>
          <w:iCs/>
          <w:sz w:val="24"/>
          <w:szCs w:val="24"/>
        </w:rPr>
        <w:lastRenderedPageBreak/>
        <w:t>Summary, FACTOR 1</w:t>
      </w:r>
      <w:bookmarkEnd w:id="14"/>
      <w:bookmarkEnd w:id="15"/>
      <w:bookmarkEnd w:id="16"/>
      <w:r w:rsidRPr="00ED5D5E">
        <w:rPr>
          <w:rFonts w:asciiTheme="minorHAnsi" w:hAnsiTheme="minorHAnsi" w:cstheme="minorHAnsi"/>
          <w:i/>
          <w:iCs/>
          <w:sz w:val="24"/>
          <w:szCs w:val="24"/>
        </w:rPr>
        <w:t xml:space="preserve"> </w:t>
      </w:r>
    </w:p>
    <w:p w14:paraId="621B07D4" w14:textId="31B2924D" w:rsidR="00841236" w:rsidRPr="00ED5D5E" w:rsidRDefault="00841236" w:rsidP="00841236">
      <w:pPr>
        <w:ind w:left="180"/>
        <w:rPr>
          <w:rFonts w:cstheme="minorHAnsi"/>
          <w:sz w:val="24"/>
          <w:szCs w:val="24"/>
        </w:rPr>
      </w:pPr>
      <w:r w:rsidRPr="00ED5D5E">
        <w:rPr>
          <w:rFonts w:cstheme="minorHAnsi"/>
          <w:sz w:val="24"/>
          <w:szCs w:val="24"/>
        </w:rPr>
        <w:t>As a result of the information provided by the Applicant and additional analysis, staff finds that the Applicant has demonstrated that the Proposed Project meets Factor 1</w:t>
      </w:r>
      <w:r w:rsidR="00B04288">
        <w:rPr>
          <w:rFonts w:cstheme="minorHAnsi"/>
          <w:sz w:val="24"/>
          <w:szCs w:val="24"/>
        </w:rPr>
        <w:t xml:space="preserve"> with the addition of </w:t>
      </w:r>
      <w:r w:rsidR="00AD29B2">
        <w:rPr>
          <w:rFonts w:cstheme="minorHAnsi"/>
          <w:sz w:val="24"/>
          <w:szCs w:val="24"/>
        </w:rPr>
        <w:t>Condition 3</w:t>
      </w:r>
      <w:r w:rsidRPr="00ED5D5E">
        <w:rPr>
          <w:rFonts w:cstheme="minorHAnsi"/>
          <w:sz w:val="24"/>
          <w:szCs w:val="24"/>
        </w:rPr>
        <w:t xml:space="preserve">. </w:t>
      </w:r>
    </w:p>
    <w:p w14:paraId="1FF517A1" w14:textId="77777777" w:rsidR="000E6F21" w:rsidRPr="00185FBE" w:rsidRDefault="000E6F21" w:rsidP="00841236">
      <w:pPr>
        <w:ind w:left="180"/>
        <w:rPr>
          <w:rFonts w:cstheme="minorHAnsi"/>
          <w:sz w:val="24"/>
          <w:szCs w:val="24"/>
          <w:highlight w:val="yellow"/>
        </w:rPr>
      </w:pPr>
    </w:p>
    <w:p w14:paraId="3717ACFE" w14:textId="4D85690B" w:rsidR="0022028B" w:rsidRPr="00D41A52" w:rsidRDefault="003E1CDA" w:rsidP="005C42CC">
      <w:pPr>
        <w:pStyle w:val="Heading1"/>
      </w:pPr>
      <w:bookmarkStart w:id="17" w:name="_Toc196819113"/>
      <w:r w:rsidRPr="00D41A52">
        <w:t xml:space="preserve">Factor 2: Cost </w:t>
      </w:r>
      <w:r w:rsidR="00B675A1" w:rsidRPr="00D41A52">
        <w:t>C</w:t>
      </w:r>
      <w:r w:rsidRPr="00D41A52">
        <w:t>ontainment, Improved Public Health Outcomes and Delivery System Transformation</w:t>
      </w:r>
      <w:bookmarkEnd w:id="17"/>
    </w:p>
    <w:p w14:paraId="6B75B8C6" w14:textId="27C4BD85" w:rsidR="00CF2324" w:rsidRPr="00D41A52" w:rsidRDefault="003E1CDA" w:rsidP="00CF2324">
      <w:pPr>
        <w:spacing w:after="0" w:line="240" w:lineRule="auto"/>
        <w:rPr>
          <w:b/>
          <w:bCs/>
          <w:sz w:val="24"/>
          <w:szCs w:val="24"/>
        </w:rPr>
      </w:pPr>
      <w:r w:rsidRPr="00D41A52">
        <w:rPr>
          <w:b/>
          <w:bCs/>
          <w:sz w:val="24"/>
          <w:szCs w:val="24"/>
        </w:rPr>
        <w:t>Cost Containment</w:t>
      </w:r>
    </w:p>
    <w:p w14:paraId="7C3EA881" w14:textId="4DF613CF" w:rsidR="00D378F2" w:rsidRPr="00216614" w:rsidRDefault="00662755" w:rsidP="009B5A49">
      <w:pPr>
        <w:rPr>
          <w:rFonts w:cs="Times New Roman"/>
          <w:b/>
          <w:sz w:val="24"/>
          <w:szCs w:val="24"/>
        </w:rPr>
      </w:pPr>
      <w:r>
        <w:rPr>
          <w:rFonts w:cs="Times New Roman"/>
          <w:sz w:val="24"/>
          <w:szCs w:val="24"/>
        </w:rPr>
        <w:t xml:space="preserve">As discussed in Factor 1f, </w:t>
      </w:r>
      <w:r w:rsidR="00FB28CD">
        <w:rPr>
          <w:rFonts w:cs="Times New Roman"/>
          <w:sz w:val="24"/>
          <w:szCs w:val="24"/>
        </w:rPr>
        <w:t>t</w:t>
      </w:r>
      <w:r w:rsidR="00BA2060">
        <w:rPr>
          <w:rFonts w:cs="Times New Roman"/>
          <w:sz w:val="24"/>
          <w:szCs w:val="24"/>
        </w:rPr>
        <w:t xml:space="preserve">he Applicant asserts that </w:t>
      </w:r>
      <w:r w:rsidR="00BA2060" w:rsidRPr="00BA2060">
        <w:rPr>
          <w:rFonts w:cs="Times New Roman"/>
          <w:sz w:val="24"/>
          <w:szCs w:val="24"/>
        </w:rPr>
        <w:t>the cost for BIDMC to procure cancer/infusion pharmaceuticals is lower than BID Milton or BID Plymouth</w:t>
      </w:r>
      <w:r w:rsidR="00AB5116">
        <w:rPr>
          <w:rFonts w:cs="Times New Roman"/>
          <w:sz w:val="24"/>
          <w:szCs w:val="24"/>
        </w:rPr>
        <w:t>, and h</w:t>
      </w:r>
      <w:r w:rsidR="004373D9" w:rsidRPr="00DA5FF3">
        <w:rPr>
          <w:rFonts w:cs="Times New Roman"/>
          <w:sz w:val="24"/>
          <w:szCs w:val="24"/>
        </w:rPr>
        <w:t>igh pharmaceutical costs</w:t>
      </w:r>
      <w:r w:rsidR="00613C7B" w:rsidRPr="00DA5FF3">
        <w:rPr>
          <w:rFonts w:cs="Times New Roman"/>
          <w:sz w:val="24"/>
          <w:szCs w:val="24"/>
        </w:rPr>
        <w:t xml:space="preserve"> make the operation of HOPD’s through the </w:t>
      </w:r>
      <w:r w:rsidR="008C5ED9" w:rsidRPr="00DA5FF3">
        <w:rPr>
          <w:rFonts w:cs="Times New Roman"/>
          <w:sz w:val="24"/>
          <w:szCs w:val="24"/>
        </w:rPr>
        <w:t xml:space="preserve">community hospital licenses </w:t>
      </w:r>
      <w:r w:rsidR="00042472" w:rsidRPr="00DA5FF3">
        <w:rPr>
          <w:rFonts w:cs="Times New Roman"/>
          <w:sz w:val="24"/>
          <w:szCs w:val="24"/>
        </w:rPr>
        <w:t>cost prohibitive</w:t>
      </w:r>
      <w:r w:rsidR="0068209B" w:rsidRPr="00DA5FF3">
        <w:rPr>
          <w:rFonts w:cs="Times New Roman"/>
          <w:sz w:val="24"/>
          <w:szCs w:val="24"/>
        </w:rPr>
        <w:t xml:space="preserve">. </w:t>
      </w:r>
      <w:r w:rsidR="00F47B2F">
        <w:rPr>
          <w:rFonts w:cs="Times New Roman"/>
          <w:sz w:val="24"/>
          <w:szCs w:val="24"/>
        </w:rPr>
        <w:t xml:space="preserve">The Applicant </w:t>
      </w:r>
      <w:r w:rsidR="00FB28CD">
        <w:rPr>
          <w:rFonts w:cs="Times New Roman"/>
          <w:sz w:val="24"/>
          <w:szCs w:val="24"/>
        </w:rPr>
        <w:t xml:space="preserve">states that </w:t>
      </w:r>
      <w:r w:rsidR="00F47B2F" w:rsidRPr="006721B4">
        <w:rPr>
          <w:rFonts w:cs="Times New Roman"/>
          <w:sz w:val="24"/>
          <w:szCs w:val="24"/>
        </w:rPr>
        <w:t xml:space="preserve">aligning clinical and operational oversight for </w:t>
      </w:r>
      <w:r w:rsidR="00FB28CD" w:rsidRPr="006721B4">
        <w:rPr>
          <w:rFonts w:cs="Times New Roman"/>
          <w:sz w:val="24"/>
          <w:szCs w:val="24"/>
        </w:rPr>
        <w:t>the</w:t>
      </w:r>
      <w:r w:rsidR="00F47B2F" w:rsidRPr="006721B4">
        <w:rPr>
          <w:rFonts w:cs="Times New Roman"/>
          <w:sz w:val="24"/>
          <w:szCs w:val="24"/>
        </w:rPr>
        <w:t xml:space="preserve"> Satellite</w:t>
      </w:r>
      <w:r w:rsidR="00FB28CD" w:rsidRPr="006721B4">
        <w:rPr>
          <w:rFonts w:cs="Times New Roman"/>
          <w:sz w:val="24"/>
          <w:szCs w:val="24"/>
        </w:rPr>
        <w:t>s</w:t>
      </w:r>
      <w:r w:rsidR="00F47B2F" w:rsidRPr="006721B4">
        <w:rPr>
          <w:rFonts w:cs="Times New Roman"/>
          <w:sz w:val="24"/>
          <w:szCs w:val="24"/>
        </w:rPr>
        <w:t xml:space="preserve"> will reduce redundancy and support a more efficient </w:t>
      </w:r>
      <w:r w:rsidR="006721B4" w:rsidRPr="006721B4">
        <w:rPr>
          <w:rFonts w:cs="Times New Roman"/>
          <w:sz w:val="24"/>
          <w:szCs w:val="24"/>
        </w:rPr>
        <w:t xml:space="preserve">clinical and financial </w:t>
      </w:r>
      <w:r w:rsidR="00F47B2F" w:rsidRPr="006721B4">
        <w:rPr>
          <w:rFonts w:cs="Times New Roman"/>
          <w:sz w:val="24"/>
          <w:szCs w:val="24"/>
        </w:rPr>
        <w:t>operation</w:t>
      </w:r>
      <w:r w:rsidR="00626BF7">
        <w:rPr>
          <w:rFonts w:cs="Times New Roman"/>
          <w:sz w:val="24"/>
          <w:szCs w:val="24"/>
        </w:rPr>
        <w:t>, as outlined in the previous section</w:t>
      </w:r>
      <w:r w:rsidR="00FB28CD" w:rsidRPr="006721B4">
        <w:rPr>
          <w:rFonts w:cs="Times New Roman"/>
          <w:sz w:val="24"/>
          <w:szCs w:val="24"/>
        </w:rPr>
        <w:t>.</w:t>
      </w:r>
      <w:r w:rsidR="00F42FB9">
        <w:rPr>
          <w:rFonts w:cs="Times New Roman"/>
          <w:sz w:val="24"/>
          <w:szCs w:val="24"/>
        </w:rPr>
        <w:t xml:space="preserve"> </w:t>
      </w:r>
    </w:p>
    <w:p w14:paraId="66B979E6" w14:textId="0015F1B4" w:rsidR="00CB386D" w:rsidRDefault="009D795E" w:rsidP="009B5A49">
      <w:pPr>
        <w:rPr>
          <w:rFonts w:cs="Times New Roman"/>
          <w:sz w:val="24"/>
          <w:szCs w:val="24"/>
        </w:rPr>
      </w:pPr>
      <w:r w:rsidRPr="00216614">
        <w:rPr>
          <w:rFonts w:cs="Times New Roman"/>
          <w:sz w:val="24"/>
          <w:szCs w:val="24"/>
        </w:rPr>
        <w:t>With respect to reimbursement rates, the</w:t>
      </w:r>
      <w:r>
        <w:rPr>
          <w:rFonts w:cs="Times New Roman"/>
          <w:sz w:val="24"/>
          <w:szCs w:val="24"/>
        </w:rPr>
        <w:t xml:space="preserve"> Applicant asserts there</w:t>
      </w:r>
      <w:r w:rsidRPr="00216614">
        <w:rPr>
          <w:rFonts w:cs="Times New Roman"/>
          <w:sz w:val="24"/>
          <w:szCs w:val="24"/>
        </w:rPr>
        <w:t xml:space="preserve"> will be a reduction from existing Medicare reimbursement rates, as the new BIDMC hospital outpatient departments would be “non-excepted”</w:t>
      </w:r>
      <w:r>
        <w:rPr>
          <w:rFonts w:cs="Times New Roman"/>
          <w:sz w:val="24"/>
          <w:szCs w:val="24"/>
        </w:rPr>
        <w:t xml:space="preserve">, meaning they will be </w:t>
      </w:r>
      <w:r w:rsidRPr="00216614">
        <w:rPr>
          <w:rFonts w:cs="Times New Roman"/>
          <w:sz w:val="24"/>
          <w:szCs w:val="24"/>
        </w:rPr>
        <w:t>reimbursed at the lower hospital off-campus outpatient rate</w:t>
      </w:r>
      <w:r>
        <w:rPr>
          <w:rFonts w:cs="Times New Roman"/>
          <w:sz w:val="24"/>
          <w:szCs w:val="24"/>
        </w:rPr>
        <w:t>. The Applicant expects</w:t>
      </w:r>
      <w:r w:rsidRPr="00216614">
        <w:rPr>
          <w:rFonts w:cs="Times New Roman"/>
          <w:sz w:val="24"/>
          <w:szCs w:val="24"/>
        </w:rPr>
        <w:t xml:space="preserve"> MassHealth reimbursement </w:t>
      </w:r>
      <w:r>
        <w:rPr>
          <w:rFonts w:cs="Times New Roman"/>
          <w:sz w:val="24"/>
          <w:szCs w:val="24"/>
        </w:rPr>
        <w:t>to be the same</w:t>
      </w:r>
      <w:r w:rsidRPr="00216614">
        <w:rPr>
          <w:rFonts w:cs="Times New Roman"/>
          <w:sz w:val="24"/>
          <w:szCs w:val="24"/>
        </w:rPr>
        <w:t>, and commercial payor reimbursement is governed by the terms of existing payor contracts (whose cost impacts are annually monitored by CHIA and the HPC).</w:t>
      </w:r>
    </w:p>
    <w:p w14:paraId="1CF4AFA1" w14:textId="622EBBF4" w:rsidR="007E766F" w:rsidRDefault="00CB386D" w:rsidP="009B5A49">
      <w:pPr>
        <w:rPr>
          <w:rFonts w:cs="Times New Roman"/>
          <w:sz w:val="24"/>
          <w:szCs w:val="24"/>
        </w:rPr>
      </w:pPr>
      <w:r>
        <w:rPr>
          <w:rFonts w:cs="Times New Roman"/>
          <w:sz w:val="24"/>
          <w:szCs w:val="24"/>
        </w:rPr>
        <w:t>C</w:t>
      </w:r>
      <w:r w:rsidR="00CF2324" w:rsidRPr="009B5A49">
        <w:rPr>
          <w:rFonts w:cs="Times New Roman"/>
          <w:sz w:val="24"/>
          <w:szCs w:val="24"/>
        </w:rPr>
        <w:t>ommunity members are currently traveling into BIDMC’s Boston campus for the services that the Applicant intends to provide at the Quincy Satellite</w:t>
      </w:r>
      <w:r>
        <w:rPr>
          <w:rFonts w:cs="Times New Roman"/>
          <w:sz w:val="24"/>
          <w:szCs w:val="24"/>
        </w:rPr>
        <w:t>, as previously discussed in Factor 1b</w:t>
      </w:r>
      <w:r w:rsidR="00CF2324" w:rsidRPr="009B5A49">
        <w:rPr>
          <w:rFonts w:cs="Times New Roman"/>
          <w:sz w:val="24"/>
          <w:szCs w:val="24"/>
        </w:rPr>
        <w:t>. As a licensed off-campus outpatient department of BIDMC, specialty services and most ancillaries offered through the Quincy Satellite will be at a 40% lower cost to both patients and insurers</w:t>
      </w:r>
      <w:r w:rsidR="00AC7B3C">
        <w:rPr>
          <w:rFonts w:cs="Times New Roman"/>
          <w:sz w:val="24"/>
          <w:szCs w:val="24"/>
        </w:rPr>
        <w:t xml:space="preserve">, as illustrated in Table </w:t>
      </w:r>
      <w:r w:rsidR="00DE135C">
        <w:rPr>
          <w:rFonts w:cs="Times New Roman"/>
          <w:sz w:val="24"/>
          <w:szCs w:val="24"/>
        </w:rPr>
        <w:t>1</w:t>
      </w:r>
      <w:r w:rsidR="000A4BEA">
        <w:rPr>
          <w:rFonts w:cs="Times New Roman"/>
          <w:sz w:val="24"/>
          <w:szCs w:val="24"/>
        </w:rPr>
        <w:t>1</w:t>
      </w:r>
      <w:r w:rsidR="00CF2324" w:rsidRPr="009B5A49">
        <w:rPr>
          <w:rFonts w:cs="Times New Roman"/>
          <w:sz w:val="24"/>
          <w:szCs w:val="24"/>
        </w:rPr>
        <w:t>.</w:t>
      </w:r>
      <w:r w:rsidR="009B5A49">
        <w:rPr>
          <w:rStyle w:val="FootnoteReference"/>
          <w:rFonts w:cs="Times New Roman"/>
          <w:sz w:val="24"/>
          <w:szCs w:val="24"/>
        </w:rPr>
        <w:footnoteReference w:id="26"/>
      </w:r>
      <w:r w:rsidR="009B5A49" w:rsidRPr="009B5A49">
        <w:rPr>
          <w:rFonts w:cs="Times New Roman"/>
          <w:sz w:val="24"/>
          <w:szCs w:val="24"/>
        </w:rPr>
        <w:t xml:space="preserve"> </w:t>
      </w:r>
    </w:p>
    <w:p w14:paraId="62F26F5B" w14:textId="36601095" w:rsidR="007E766F" w:rsidRDefault="00751CDB" w:rsidP="006C0D05">
      <w:pPr>
        <w:jc w:val="center"/>
        <w:rPr>
          <w:rFonts w:cstheme="minorHAnsi"/>
          <w:b/>
          <w:bCs/>
          <w:color w:val="2F5496" w:themeColor="accent1" w:themeShade="BF"/>
          <w:sz w:val="24"/>
          <w:szCs w:val="24"/>
        </w:rPr>
      </w:pPr>
      <w:r w:rsidRPr="00FE6014">
        <w:rPr>
          <w:rFonts w:cstheme="minorHAnsi"/>
          <w:b/>
          <w:bCs/>
          <w:color w:val="2F5496" w:themeColor="accent1" w:themeShade="BF"/>
          <w:sz w:val="24"/>
          <w:szCs w:val="24"/>
          <w:u w:val="single"/>
        </w:rPr>
        <w:t xml:space="preserve">Table </w:t>
      </w:r>
      <w:r>
        <w:rPr>
          <w:rFonts w:cstheme="minorHAnsi"/>
          <w:b/>
          <w:bCs/>
          <w:color w:val="2F5496" w:themeColor="accent1" w:themeShade="BF"/>
          <w:sz w:val="24"/>
          <w:szCs w:val="24"/>
          <w:u w:val="single"/>
        </w:rPr>
        <w:t>1</w:t>
      </w:r>
      <w:r w:rsidR="000A4BEA">
        <w:rPr>
          <w:rFonts w:cstheme="minorHAnsi"/>
          <w:b/>
          <w:bCs/>
          <w:color w:val="2F5496" w:themeColor="accent1" w:themeShade="BF"/>
          <w:sz w:val="24"/>
          <w:szCs w:val="24"/>
          <w:u w:val="single"/>
        </w:rPr>
        <w:t>1</w:t>
      </w:r>
      <w:r w:rsidRPr="00FE6014">
        <w:rPr>
          <w:rFonts w:cstheme="minorHAnsi"/>
          <w:b/>
          <w:bCs/>
          <w:color w:val="2F5496" w:themeColor="accent1" w:themeShade="BF"/>
          <w:sz w:val="24"/>
          <w:szCs w:val="24"/>
          <w:u w:val="single"/>
        </w:rPr>
        <w:t>:</w:t>
      </w:r>
      <w:r w:rsidRPr="00FE6014">
        <w:rPr>
          <w:rFonts w:cstheme="minorHAnsi"/>
          <w:b/>
          <w:bCs/>
          <w:color w:val="2F5496" w:themeColor="accent1" w:themeShade="BF"/>
          <w:sz w:val="24"/>
          <w:szCs w:val="24"/>
        </w:rPr>
        <w:t xml:space="preserve"> Comparison of Average Cost of Specialty Services</w:t>
      </w:r>
    </w:p>
    <w:tbl>
      <w:tblPr>
        <w:tblStyle w:val="TableGrid"/>
        <w:tblW w:w="0" w:type="auto"/>
        <w:tblLook w:val="04A0" w:firstRow="1" w:lastRow="0" w:firstColumn="1" w:lastColumn="0" w:noHBand="0" w:noVBand="1"/>
      </w:tblPr>
      <w:tblGrid>
        <w:gridCol w:w="3126"/>
        <w:gridCol w:w="1637"/>
        <w:gridCol w:w="1320"/>
        <w:gridCol w:w="1256"/>
        <w:gridCol w:w="2011"/>
      </w:tblGrid>
      <w:tr w:rsidR="0081104F" w14:paraId="0235C1A0" w14:textId="77777777" w:rsidTr="0081104F">
        <w:trPr>
          <w:cantSplit/>
          <w:tblHeader/>
        </w:trPr>
        <w:tc>
          <w:tcPr>
            <w:tcW w:w="3126" w:type="dxa"/>
            <w:tcBorders>
              <w:bottom w:val="nil"/>
            </w:tcBorders>
            <w:shd w:val="clear" w:color="auto" w:fill="D9E2F3" w:themeFill="accent1" w:themeFillTint="33"/>
          </w:tcPr>
          <w:p w14:paraId="741E41F5" w14:textId="5EBDFC4C" w:rsidR="0081104F" w:rsidRPr="002F53DB" w:rsidRDefault="0081104F" w:rsidP="0081104F">
            <w:pPr>
              <w:rPr>
                <w:rFonts w:cs="Times New Roman"/>
                <w:b/>
                <w:bCs/>
                <w:sz w:val="24"/>
                <w:szCs w:val="24"/>
              </w:rPr>
            </w:pPr>
            <w:r w:rsidRPr="002F53DB">
              <w:rPr>
                <w:rFonts w:cs="Times New Roman"/>
                <w:b/>
                <w:bCs/>
                <w:sz w:val="24"/>
                <w:szCs w:val="24"/>
              </w:rPr>
              <w:lastRenderedPageBreak/>
              <w:t>Specialty</w:t>
            </w:r>
          </w:p>
        </w:tc>
        <w:tc>
          <w:tcPr>
            <w:tcW w:w="1637" w:type="dxa"/>
            <w:shd w:val="clear" w:color="auto" w:fill="D9E2F3" w:themeFill="accent1" w:themeFillTint="33"/>
          </w:tcPr>
          <w:p w14:paraId="6F01A713" w14:textId="77777777" w:rsidR="0081104F" w:rsidRPr="00897FA5" w:rsidRDefault="0081104F" w:rsidP="0081104F">
            <w:pPr>
              <w:jc w:val="center"/>
              <w:rPr>
                <w:rFonts w:eastAsia="Times New Roman" w:cstheme="minorHAnsi"/>
                <w:b/>
                <w:bCs/>
                <w:color w:val="000000"/>
              </w:rPr>
            </w:pPr>
            <w:r w:rsidRPr="00BB09C5">
              <w:rPr>
                <w:rFonts w:eastAsia="Times New Roman" w:cstheme="minorHAnsi"/>
                <w:b/>
                <w:bCs/>
                <w:color w:val="000000"/>
              </w:rPr>
              <w:t>Net Patient Service Revenue</w:t>
            </w:r>
            <w:r>
              <w:rPr>
                <w:rFonts w:eastAsia="Times New Roman" w:cstheme="minorHAnsi"/>
                <w:b/>
                <w:bCs/>
                <w:color w:val="000000"/>
              </w:rPr>
              <w:t xml:space="preserve"> (NPSR)</w:t>
            </w:r>
            <w:r w:rsidRPr="00BB09C5">
              <w:rPr>
                <w:rFonts w:eastAsia="Times New Roman" w:cstheme="minorHAnsi"/>
                <w:b/>
                <w:bCs/>
                <w:color w:val="000000"/>
              </w:rPr>
              <w:t xml:space="preserve"> per Visit</w:t>
            </w:r>
            <w:r>
              <w:rPr>
                <w:rFonts w:eastAsia="Times New Roman" w:cstheme="minorHAnsi"/>
                <w:b/>
                <w:bCs/>
                <w:color w:val="000000"/>
              </w:rPr>
              <w:t xml:space="preserve"> </w:t>
            </w:r>
            <w:r>
              <w:rPr>
                <w:rFonts w:cstheme="minorHAnsi"/>
                <w:b/>
                <w:bCs/>
                <w:iCs/>
              </w:rPr>
              <w:t>Other BIDMC-Licensed</w:t>
            </w:r>
            <w:r w:rsidRPr="00BB09C5">
              <w:rPr>
                <w:rFonts w:cstheme="minorHAnsi"/>
                <w:b/>
                <w:bCs/>
                <w:iCs/>
              </w:rPr>
              <w:t xml:space="preserve"> </w:t>
            </w:r>
            <w:r>
              <w:rPr>
                <w:rFonts w:cstheme="minorHAnsi"/>
                <w:b/>
                <w:bCs/>
                <w:iCs/>
              </w:rPr>
              <w:t>O</w:t>
            </w:r>
            <w:r w:rsidRPr="00BB09C5">
              <w:rPr>
                <w:rFonts w:cstheme="minorHAnsi"/>
                <w:b/>
                <w:bCs/>
                <w:iCs/>
              </w:rPr>
              <w:t xml:space="preserve">utpatient </w:t>
            </w:r>
            <w:r>
              <w:rPr>
                <w:rFonts w:cstheme="minorHAnsi"/>
                <w:b/>
                <w:bCs/>
                <w:iCs/>
              </w:rPr>
              <w:t>C</w:t>
            </w:r>
            <w:r w:rsidRPr="00BB09C5">
              <w:rPr>
                <w:rFonts w:cstheme="minorHAnsi"/>
                <w:b/>
                <w:bCs/>
                <w:iCs/>
              </w:rPr>
              <w:t>enters</w:t>
            </w:r>
          </w:p>
        </w:tc>
        <w:tc>
          <w:tcPr>
            <w:tcW w:w="1320" w:type="dxa"/>
            <w:shd w:val="clear" w:color="auto" w:fill="D9E2F3" w:themeFill="accent1" w:themeFillTint="33"/>
          </w:tcPr>
          <w:p w14:paraId="2D737366" w14:textId="35963D54" w:rsidR="0081104F" w:rsidRPr="00897FA5" w:rsidRDefault="0081104F" w:rsidP="0081104F">
            <w:pPr>
              <w:jc w:val="center"/>
              <w:rPr>
                <w:rFonts w:eastAsia="Times New Roman" w:cstheme="minorHAnsi"/>
                <w:b/>
                <w:bCs/>
                <w:color w:val="000000"/>
              </w:rPr>
            </w:pPr>
            <w:r w:rsidRPr="00C31E1F">
              <w:rPr>
                <w:rFonts w:eastAsia="Times New Roman" w:cstheme="minorHAnsi"/>
                <w:b/>
                <w:bCs/>
                <w:color w:val="000000"/>
              </w:rPr>
              <w:t xml:space="preserve">Net Patient Service Revenue (NPSR) per Visit </w:t>
            </w:r>
            <w:r w:rsidRPr="00C31E1F">
              <w:rPr>
                <w:rFonts w:cstheme="minorHAnsi"/>
                <w:b/>
                <w:bCs/>
                <w:iCs/>
              </w:rPr>
              <w:t>Other BIDMC-Licensed Outpatient Centers</w:t>
            </w:r>
          </w:p>
        </w:tc>
        <w:tc>
          <w:tcPr>
            <w:tcW w:w="1256" w:type="dxa"/>
            <w:shd w:val="clear" w:color="auto" w:fill="D9E2F3" w:themeFill="accent1" w:themeFillTint="33"/>
          </w:tcPr>
          <w:p w14:paraId="21CD59E5" w14:textId="5FBB7D54" w:rsidR="0081104F" w:rsidRPr="00897FA5" w:rsidRDefault="0081104F" w:rsidP="0081104F">
            <w:pPr>
              <w:jc w:val="center"/>
              <w:rPr>
                <w:rFonts w:eastAsia="Times New Roman" w:cstheme="minorHAnsi"/>
                <w:b/>
                <w:bCs/>
                <w:color w:val="000000"/>
              </w:rPr>
            </w:pPr>
            <w:r w:rsidRPr="00C31E1F">
              <w:rPr>
                <w:rFonts w:eastAsia="Times New Roman" w:cstheme="minorHAnsi"/>
                <w:b/>
                <w:bCs/>
                <w:color w:val="000000"/>
              </w:rPr>
              <w:t xml:space="preserve">Net Patient Service Revenue (NPSR) per Visit </w:t>
            </w:r>
            <w:r w:rsidRPr="00C31E1F">
              <w:rPr>
                <w:rFonts w:cstheme="minorHAnsi"/>
                <w:b/>
                <w:bCs/>
                <w:iCs/>
              </w:rPr>
              <w:t>Other BIDMC-Licensed Outpatient Centers</w:t>
            </w:r>
          </w:p>
        </w:tc>
        <w:tc>
          <w:tcPr>
            <w:tcW w:w="2011" w:type="dxa"/>
            <w:tcBorders>
              <w:bottom w:val="nil"/>
            </w:tcBorders>
            <w:shd w:val="clear" w:color="auto" w:fill="D9E2F3" w:themeFill="accent1" w:themeFillTint="33"/>
          </w:tcPr>
          <w:p w14:paraId="5916B5F5" w14:textId="77777777" w:rsidR="0081104F" w:rsidRDefault="0081104F" w:rsidP="0081104F">
            <w:pPr>
              <w:jc w:val="center"/>
              <w:rPr>
                <w:rFonts w:eastAsia="Times New Roman" w:cstheme="minorHAnsi"/>
                <w:b/>
                <w:bCs/>
                <w:color w:val="000000"/>
              </w:rPr>
            </w:pPr>
            <w:r w:rsidRPr="00BB09C5">
              <w:rPr>
                <w:rFonts w:eastAsia="Times New Roman" w:cstheme="minorHAnsi"/>
                <w:b/>
                <w:bCs/>
                <w:color w:val="000000"/>
              </w:rPr>
              <w:t>NPSR per Visit</w:t>
            </w:r>
            <w:r>
              <w:rPr>
                <w:rFonts w:eastAsia="Times New Roman" w:cstheme="minorHAnsi"/>
                <w:b/>
                <w:bCs/>
                <w:color w:val="000000"/>
              </w:rPr>
              <w:t xml:space="preserve"> </w:t>
            </w:r>
          </w:p>
          <w:p w14:paraId="574F60C1" w14:textId="20F7565A" w:rsidR="0081104F" w:rsidRPr="00BB09C5" w:rsidRDefault="0081104F" w:rsidP="0081104F">
            <w:pPr>
              <w:jc w:val="center"/>
              <w:rPr>
                <w:rFonts w:eastAsia="Times New Roman" w:cstheme="minorHAnsi"/>
                <w:b/>
                <w:bCs/>
                <w:color w:val="000000"/>
              </w:rPr>
            </w:pPr>
            <w:r>
              <w:rPr>
                <w:rFonts w:eastAsia="Times New Roman" w:cstheme="minorHAnsi"/>
                <w:b/>
                <w:bCs/>
                <w:color w:val="000000"/>
              </w:rPr>
              <w:t>(Blended + Discount)</w:t>
            </w:r>
            <w:r>
              <w:rPr>
                <w:rStyle w:val="FootnoteReference"/>
                <w:rFonts w:eastAsia="Times New Roman" w:cstheme="minorHAnsi"/>
                <w:b/>
                <w:bCs/>
                <w:color w:val="000000"/>
              </w:rPr>
              <w:footnoteReference w:id="27"/>
            </w:r>
          </w:p>
          <w:p w14:paraId="5DFE5CAA" w14:textId="1B3FA368" w:rsidR="0081104F" w:rsidRDefault="0081104F" w:rsidP="0081104F">
            <w:pPr>
              <w:rPr>
                <w:rFonts w:cs="Times New Roman"/>
                <w:sz w:val="24"/>
                <w:szCs w:val="24"/>
              </w:rPr>
            </w:pPr>
            <w:r w:rsidRPr="00BB09C5">
              <w:rPr>
                <w:rFonts w:cstheme="minorHAnsi"/>
                <w:b/>
                <w:bCs/>
              </w:rPr>
              <w:t>Quincy Satellite</w:t>
            </w:r>
          </w:p>
        </w:tc>
      </w:tr>
      <w:tr w:rsidR="00CE4759" w14:paraId="49840941" w14:textId="77777777" w:rsidTr="0081104F">
        <w:trPr>
          <w:cantSplit/>
          <w:tblHeader/>
        </w:trPr>
        <w:tc>
          <w:tcPr>
            <w:tcW w:w="3126" w:type="dxa"/>
            <w:tcBorders>
              <w:top w:val="nil"/>
            </w:tcBorders>
            <w:shd w:val="clear" w:color="auto" w:fill="D9E2F3" w:themeFill="accent1" w:themeFillTint="33"/>
          </w:tcPr>
          <w:p w14:paraId="7293BF90" w14:textId="77777777" w:rsidR="00CE4759" w:rsidRDefault="00CE4759" w:rsidP="009B5A49">
            <w:pPr>
              <w:rPr>
                <w:rFonts w:cs="Times New Roman"/>
                <w:sz w:val="24"/>
                <w:szCs w:val="24"/>
              </w:rPr>
            </w:pPr>
          </w:p>
        </w:tc>
        <w:tc>
          <w:tcPr>
            <w:tcW w:w="1637" w:type="dxa"/>
          </w:tcPr>
          <w:p w14:paraId="2928DD71" w14:textId="407AAFE0" w:rsidR="00CE4759" w:rsidRPr="002F53DB" w:rsidRDefault="004C3D37" w:rsidP="00815155">
            <w:pPr>
              <w:jc w:val="center"/>
              <w:rPr>
                <w:rFonts w:eastAsia="Times New Roman" w:cstheme="minorHAnsi"/>
                <w:b/>
                <w:bCs/>
                <w:color w:val="000000"/>
              </w:rPr>
            </w:pPr>
            <w:r w:rsidRPr="002F53DB">
              <w:rPr>
                <w:rFonts w:eastAsia="Times New Roman" w:cstheme="minorHAnsi"/>
                <w:b/>
                <w:bCs/>
                <w:color w:val="000000"/>
              </w:rPr>
              <w:t>Commercial</w:t>
            </w:r>
          </w:p>
        </w:tc>
        <w:tc>
          <w:tcPr>
            <w:tcW w:w="1320" w:type="dxa"/>
          </w:tcPr>
          <w:p w14:paraId="1FC401B5" w14:textId="74E75DA1" w:rsidR="00CE4759" w:rsidRPr="002F53DB" w:rsidRDefault="004C3D37" w:rsidP="009B5A49">
            <w:pPr>
              <w:rPr>
                <w:rFonts w:cs="Times New Roman"/>
                <w:b/>
                <w:bCs/>
                <w:sz w:val="24"/>
                <w:szCs w:val="24"/>
              </w:rPr>
            </w:pPr>
            <w:r w:rsidRPr="002F53DB">
              <w:rPr>
                <w:rFonts w:cs="Times New Roman"/>
                <w:b/>
                <w:bCs/>
                <w:sz w:val="24"/>
                <w:szCs w:val="24"/>
              </w:rPr>
              <w:t>Medicare</w:t>
            </w:r>
          </w:p>
        </w:tc>
        <w:tc>
          <w:tcPr>
            <w:tcW w:w="1256" w:type="dxa"/>
          </w:tcPr>
          <w:p w14:paraId="3D82456F" w14:textId="00F3E030" w:rsidR="00CE4759" w:rsidRPr="002F53DB" w:rsidRDefault="004C3D37" w:rsidP="009B5A49">
            <w:pPr>
              <w:rPr>
                <w:rFonts w:cs="Times New Roman"/>
                <w:b/>
                <w:bCs/>
                <w:sz w:val="24"/>
                <w:szCs w:val="24"/>
              </w:rPr>
            </w:pPr>
            <w:r w:rsidRPr="002F53DB">
              <w:rPr>
                <w:rFonts w:cs="Times New Roman"/>
                <w:b/>
                <w:bCs/>
                <w:sz w:val="24"/>
                <w:szCs w:val="24"/>
              </w:rPr>
              <w:t xml:space="preserve">Medicaid </w:t>
            </w:r>
            <w:r w:rsidR="00FF7D26" w:rsidRPr="002F53DB">
              <w:rPr>
                <w:rFonts w:cs="Times New Roman"/>
                <w:b/>
                <w:bCs/>
                <w:sz w:val="24"/>
                <w:szCs w:val="24"/>
              </w:rPr>
              <w:t xml:space="preserve">&amp; </w:t>
            </w:r>
            <w:r w:rsidRPr="002F53DB">
              <w:rPr>
                <w:rFonts w:cs="Times New Roman"/>
                <w:b/>
                <w:bCs/>
                <w:sz w:val="24"/>
                <w:szCs w:val="24"/>
              </w:rPr>
              <w:t>Other</w:t>
            </w:r>
          </w:p>
        </w:tc>
        <w:tc>
          <w:tcPr>
            <w:tcW w:w="2011" w:type="dxa"/>
            <w:tcBorders>
              <w:top w:val="nil"/>
            </w:tcBorders>
            <w:shd w:val="clear" w:color="auto" w:fill="D9E2F3" w:themeFill="accent1" w:themeFillTint="33"/>
          </w:tcPr>
          <w:p w14:paraId="49AE9482" w14:textId="77777777" w:rsidR="00CE4759" w:rsidRPr="00BB09C5" w:rsidRDefault="00CE4759" w:rsidP="00CE4759">
            <w:pPr>
              <w:jc w:val="center"/>
              <w:rPr>
                <w:rFonts w:eastAsia="Times New Roman" w:cstheme="minorHAnsi"/>
                <w:b/>
                <w:bCs/>
                <w:color w:val="000000"/>
              </w:rPr>
            </w:pPr>
          </w:p>
        </w:tc>
      </w:tr>
      <w:tr w:rsidR="00AF0D07" w14:paraId="48006A01" w14:textId="77777777" w:rsidTr="0081104F">
        <w:trPr>
          <w:cantSplit/>
        </w:trPr>
        <w:tc>
          <w:tcPr>
            <w:tcW w:w="3126" w:type="dxa"/>
            <w:vAlign w:val="bottom"/>
          </w:tcPr>
          <w:p w14:paraId="2CAD4E1C" w14:textId="1725500B" w:rsidR="00AF0D07" w:rsidRDefault="00917707" w:rsidP="00AF0D07">
            <w:pPr>
              <w:rPr>
                <w:rFonts w:cs="Times New Roman"/>
                <w:sz w:val="24"/>
                <w:szCs w:val="24"/>
              </w:rPr>
            </w:pPr>
            <w:r>
              <w:rPr>
                <w:rFonts w:eastAsia="Times New Roman" w:cstheme="minorHAnsi"/>
                <w:color w:val="000000"/>
              </w:rPr>
              <w:t xml:space="preserve"> </w:t>
            </w:r>
            <w:r w:rsidR="00AF0D07" w:rsidRPr="00BB09C5">
              <w:rPr>
                <w:rFonts w:eastAsia="Times New Roman" w:cstheme="minorHAnsi"/>
                <w:color w:val="000000"/>
              </w:rPr>
              <w:t>Cardiology</w:t>
            </w:r>
          </w:p>
        </w:tc>
        <w:tc>
          <w:tcPr>
            <w:tcW w:w="1637" w:type="dxa"/>
            <w:vAlign w:val="bottom"/>
          </w:tcPr>
          <w:p w14:paraId="0F9A417F" w14:textId="75F43598" w:rsidR="00AF0D07" w:rsidRDefault="00AF0D07" w:rsidP="00AF0D07">
            <w:pPr>
              <w:jc w:val="center"/>
              <w:rPr>
                <w:rFonts w:eastAsia="Times New Roman" w:cstheme="minorHAnsi"/>
                <w:b/>
                <w:bCs/>
                <w:color w:val="000000"/>
              </w:rPr>
            </w:pPr>
            <w:r w:rsidRPr="00BB09C5">
              <w:rPr>
                <w:rFonts w:eastAsia="Times New Roman" w:cstheme="minorHAnsi"/>
                <w:color w:val="000000"/>
              </w:rPr>
              <w:t>418</w:t>
            </w:r>
          </w:p>
        </w:tc>
        <w:tc>
          <w:tcPr>
            <w:tcW w:w="1320" w:type="dxa"/>
            <w:vAlign w:val="bottom"/>
          </w:tcPr>
          <w:p w14:paraId="2BCF56E4" w14:textId="34B90F3E" w:rsidR="00AF0D07" w:rsidRDefault="00AF0D07" w:rsidP="00AF0D07">
            <w:pPr>
              <w:rPr>
                <w:rFonts w:cs="Times New Roman"/>
                <w:sz w:val="24"/>
                <w:szCs w:val="24"/>
              </w:rPr>
            </w:pPr>
            <w:r w:rsidRPr="00BB09C5">
              <w:rPr>
                <w:rFonts w:eastAsia="Times New Roman" w:cstheme="minorHAnsi"/>
                <w:color w:val="000000"/>
              </w:rPr>
              <w:t>199</w:t>
            </w:r>
          </w:p>
        </w:tc>
        <w:tc>
          <w:tcPr>
            <w:tcW w:w="1256" w:type="dxa"/>
            <w:vAlign w:val="bottom"/>
          </w:tcPr>
          <w:p w14:paraId="4C4533AE" w14:textId="3A8A7D4A" w:rsidR="00AF0D07" w:rsidRDefault="00AF0D07" w:rsidP="00AF0D07">
            <w:pPr>
              <w:rPr>
                <w:rFonts w:cs="Times New Roman"/>
                <w:sz w:val="24"/>
                <w:szCs w:val="24"/>
              </w:rPr>
            </w:pPr>
            <w:r w:rsidRPr="00BB09C5">
              <w:rPr>
                <w:rFonts w:eastAsia="Times New Roman" w:cstheme="minorHAnsi"/>
                <w:color w:val="000000"/>
              </w:rPr>
              <w:t>236</w:t>
            </w:r>
          </w:p>
        </w:tc>
        <w:tc>
          <w:tcPr>
            <w:tcW w:w="2011" w:type="dxa"/>
            <w:vAlign w:val="bottom"/>
          </w:tcPr>
          <w:p w14:paraId="15DC85A9" w14:textId="6DF54976"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181</w:t>
            </w:r>
          </w:p>
        </w:tc>
      </w:tr>
      <w:tr w:rsidR="00AF0D07" w14:paraId="0C98BF58" w14:textId="77777777" w:rsidTr="0081104F">
        <w:trPr>
          <w:cantSplit/>
        </w:trPr>
        <w:tc>
          <w:tcPr>
            <w:tcW w:w="3126" w:type="dxa"/>
            <w:vAlign w:val="bottom"/>
          </w:tcPr>
          <w:p w14:paraId="7C6F3AC8" w14:textId="76101BF1" w:rsidR="00AF0D07" w:rsidRDefault="00AF0D07" w:rsidP="00AF0D07">
            <w:pPr>
              <w:rPr>
                <w:rFonts w:cs="Times New Roman"/>
                <w:sz w:val="24"/>
                <w:szCs w:val="24"/>
              </w:rPr>
            </w:pPr>
            <w:r w:rsidRPr="00BB09C5">
              <w:rPr>
                <w:rFonts w:eastAsia="Times New Roman" w:cstheme="minorHAnsi"/>
                <w:color w:val="000000"/>
              </w:rPr>
              <w:t>Gastroenterology</w:t>
            </w:r>
          </w:p>
        </w:tc>
        <w:tc>
          <w:tcPr>
            <w:tcW w:w="1637" w:type="dxa"/>
            <w:vAlign w:val="bottom"/>
          </w:tcPr>
          <w:p w14:paraId="522EF7FA" w14:textId="630CD1ED" w:rsidR="00AF0D07" w:rsidRDefault="00AF0D07" w:rsidP="00AF0D07">
            <w:pPr>
              <w:jc w:val="center"/>
              <w:rPr>
                <w:rFonts w:eastAsia="Times New Roman" w:cstheme="minorHAnsi"/>
                <w:b/>
                <w:bCs/>
                <w:color w:val="000000"/>
              </w:rPr>
            </w:pPr>
            <w:r w:rsidRPr="00BB09C5">
              <w:rPr>
                <w:rFonts w:eastAsia="Times New Roman" w:cstheme="minorHAnsi"/>
                <w:color w:val="000000"/>
              </w:rPr>
              <w:t>165</w:t>
            </w:r>
          </w:p>
        </w:tc>
        <w:tc>
          <w:tcPr>
            <w:tcW w:w="1320" w:type="dxa"/>
            <w:vAlign w:val="bottom"/>
          </w:tcPr>
          <w:p w14:paraId="6EEC0C42" w14:textId="7DDE6828" w:rsidR="00AF0D07" w:rsidRDefault="00AF0D07" w:rsidP="00AF0D07">
            <w:pPr>
              <w:rPr>
                <w:rFonts w:cs="Times New Roman"/>
                <w:sz w:val="24"/>
                <w:szCs w:val="24"/>
              </w:rPr>
            </w:pPr>
            <w:r w:rsidRPr="00BB09C5">
              <w:rPr>
                <w:rFonts w:eastAsia="Times New Roman" w:cstheme="minorHAnsi"/>
                <w:color w:val="000000"/>
              </w:rPr>
              <w:t>80</w:t>
            </w:r>
          </w:p>
        </w:tc>
        <w:tc>
          <w:tcPr>
            <w:tcW w:w="1256" w:type="dxa"/>
            <w:vAlign w:val="bottom"/>
          </w:tcPr>
          <w:p w14:paraId="709F2307" w14:textId="584EB86C" w:rsidR="00AF0D07" w:rsidRDefault="00AF0D07" w:rsidP="00AF0D07">
            <w:pPr>
              <w:rPr>
                <w:rFonts w:cs="Times New Roman"/>
                <w:sz w:val="24"/>
                <w:szCs w:val="24"/>
              </w:rPr>
            </w:pPr>
            <w:r w:rsidRPr="00BB09C5">
              <w:rPr>
                <w:rFonts w:eastAsia="Times New Roman" w:cstheme="minorHAnsi"/>
                <w:color w:val="000000"/>
              </w:rPr>
              <w:t>183</w:t>
            </w:r>
          </w:p>
        </w:tc>
        <w:tc>
          <w:tcPr>
            <w:tcW w:w="2011" w:type="dxa"/>
            <w:vAlign w:val="bottom"/>
          </w:tcPr>
          <w:p w14:paraId="240FC8D8" w14:textId="5F05E4AB"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80</w:t>
            </w:r>
          </w:p>
        </w:tc>
      </w:tr>
      <w:tr w:rsidR="00AF0D07" w14:paraId="6B652879" w14:textId="77777777" w:rsidTr="0081104F">
        <w:trPr>
          <w:cantSplit/>
        </w:trPr>
        <w:tc>
          <w:tcPr>
            <w:tcW w:w="3126" w:type="dxa"/>
            <w:vAlign w:val="bottom"/>
          </w:tcPr>
          <w:p w14:paraId="0E64BBE0" w14:textId="0FAA6294" w:rsidR="00AF0D07" w:rsidRDefault="00AF0D07" w:rsidP="00AF0D07">
            <w:pPr>
              <w:rPr>
                <w:rFonts w:cs="Times New Roman"/>
                <w:sz w:val="24"/>
                <w:szCs w:val="24"/>
              </w:rPr>
            </w:pPr>
            <w:r w:rsidRPr="00BB09C5">
              <w:rPr>
                <w:rFonts w:eastAsia="Times New Roman" w:cstheme="minorHAnsi"/>
                <w:color w:val="000000"/>
              </w:rPr>
              <w:t>Hem</w:t>
            </w:r>
            <w:r w:rsidR="00FB7EBF">
              <w:rPr>
                <w:rFonts w:eastAsia="Times New Roman" w:cstheme="minorHAnsi"/>
                <w:color w:val="000000"/>
              </w:rPr>
              <w:t>atology</w:t>
            </w:r>
            <w:r w:rsidRPr="00BB09C5">
              <w:rPr>
                <w:rFonts w:eastAsia="Times New Roman" w:cstheme="minorHAnsi"/>
                <w:color w:val="000000"/>
              </w:rPr>
              <w:t>/Onc</w:t>
            </w:r>
            <w:r w:rsidR="00FB7EBF">
              <w:rPr>
                <w:rFonts w:eastAsia="Times New Roman" w:cstheme="minorHAnsi"/>
                <w:color w:val="000000"/>
              </w:rPr>
              <w:t>ology</w:t>
            </w:r>
          </w:p>
        </w:tc>
        <w:tc>
          <w:tcPr>
            <w:tcW w:w="1637" w:type="dxa"/>
            <w:vAlign w:val="bottom"/>
          </w:tcPr>
          <w:p w14:paraId="4988289C" w14:textId="41FE268B" w:rsidR="00AF0D07" w:rsidRDefault="00AF0D07" w:rsidP="00AF0D07">
            <w:pPr>
              <w:jc w:val="center"/>
              <w:rPr>
                <w:rFonts w:eastAsia="Times New Roman" w:cstheme="minorHAnsi"/>
                <w:b/>
                <w:bCs/>
                <w:color w:val="000000"/>
              </w:rPr>
            </w:pPr>
            <w:r w:rsidRPr="00BB09C5">
              <w:rPr>
                <w:rFonts w:eastAsia="Times New Roman" w:cstheme="minorHAnsi"/>
                <w:color w:val="000000"/>
              </w:rPr>
              <w:t>1,066</w:t>
            </w:r>
          </w:p>
        </w:tc>
        <w:tc>
          <w:tcPr>
            <w:tcW w:w="1320" w:type="dxa"/>
            <w:vAlign w:val="bottom"/>
          </w:tcPr>
          <w:p w14:paraId="078AD745" w14:textId="4E1982B4" w:rsidR="00AF0D07" w:rsidRDefault="00AF0D07" w:rsidP="00AF0D07">
            <w:pPr>
              <w:rPr>
                <w:rFonts w:cs="Times New Roman"/>
                <w:sz w:val="24"/>
                <w:szCs w:val="24"/>
              </w:rPr>
            </w:pPr>
            <w:r w:rsidRPr="00BB09C5">
              <w:rPr>
                <w:rFonts w:eastAsia="Times New Roman" w:cstheme="minorHAnsi"/>
                <w:color w:val="000000"/>
              </w:rPr>
              <w:t>1,157</w:t>
            </w:r>
          </w:p>
        </w:tc>
        <w:tc>
          <w:tcPr>
            <w:tcW w:w="1256" w:type="dxa"/>
            <w:vAlign w:val="bottom"/>
          </w:tcPr>
          <w:p w14:paraId="7471296F" w14:textId="43B8244F" w:rsidR="00AF0D07" w:rsidRDefault="00AF0D07" w:rsidP="00AF0D07">
            <w:pPr>
              <w:rPr>
                <w:rFonts w:cs="Times New Roman"/>
                <w:sz w:val="24"/>
                <w:szCs w:val="24"/>
              </w:rPr>
            </w:pPr>
            <w:r w:rsidRPr="00BB09C5">
              <w:rPr>
                <w:rFonts w:eastAsia="Times New Roman" w:cstheme="minorHAnsi"/>
                <w:color w:val="000000"/>
              </w:rPr>
              <w:t>1,873</w:t>
            </w:r>
          </w:p>
        </w:tc>
        <w:tc>
          <w:tcPr>
            <w:tcW w:w="2011" w:type="dxa"/>
            <w:vAlign w:val="bottom"/>
          </w:tcPr>
          <w:p w14:paraId="344F9072" w14:textId="0A55BA47"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738</w:t>
            </w:r>
          </w:p>
        </w:tc>
      </w:tr>
      <w:tr w:rsidR="00AF0D07" w14:paraId="2CC71D2B" w14:textId="77777777" w:rsidTr="0081104F">
        <w:trPr>
          <w:cantSplit/>
        </w:trPr>
        <w:tc>
          <w:tcPr>
            <w:tcW w:w="3126" w:type="dxa"/>
            <w:vAlign w:val="bottom"/>
          </w:tcPr>
          <w:p w14:paraId="560A5928" w14:textId="15D7E586" w:rsidR="00AF0D07" w:rsidRDefault="00AF0D07" w:rsidP="00AF0D07">
            <w:pPr>
              <w:rPr>
                <w:rFonts w:cs="Times New Roman"/>
                <w:sz w:val="24"/>
                <w:szCs w:val="24"/>
              </w:rPr>
            </w:pPr>
            <w:r w:rsidRPr="00BB09C5">
              <w:rPr>
                <w:rFonts w:eastAsia="Times New Roman" w:cstheme="minorHAnsi"/>
                <w:color w:val="000000"/>
              </w:rPr>
              <w:t>OBGYN</w:t>
            </w:r>
          </w:p>
        </w:tc>
        <w:tc>
          <w:tcPr>
            <w:tcW w:w="1637" w:type="dxa"/>
            <w:vAlign w:val="bottom"/>
          </w:tcPr>
          <w:p w14:paraId="660B3A55" w14:textId="168D1435" w:rsidR="00AF0D07" w:rsidRDefault="00AF0D07" w:rsidP="00AF0D07">
            <w:pPr>
              <w:jc w:val="center"/>
              <w:rPr>
                <w:rFonts w:eastAsia="Times New Roman" w:cstheme="minorHAnsi"/>
                <w:b/>
                <w:bCs/>
                <w:color w:val="000000"/>
              </w:rPr>
            </w:pPr>
            <w:r w:rsidRPr="00BB09C5">
              <w:rPr>
                <w:rFonts w:eastAsia="Times New Roman" w:cstheme="minorHAnsi"/>
                <w:color w:val="000000"/>
              </w:rPr>
              <w:t>208</w:t>
            </w:r>
          </w:p>
        </w:tc>
        <w:tc>
          <w:tcPr>
            <w:tcW w:w="1320" w:type="dxa"/>
            <w:vAlign w:val="bottom"/>
          </w:tcPr>
          <w:p w14:paraId="57C9B0CF" w14:textId="3D4CF684" w:rsidR="00AF0D07" w:rsidRDefault="00AF0D07" w:rsidP="00AF0D07">
            <w:pPr>
              <w:rPr>
                <w:rFonts w:cs="Times New Roman"/>
                <w:sz w:val="24"/>
                <w:szCs w:val="24"/>
              </w:rPr>
            </w:pPr>
            <w:r w:rsidRPr="00BB09C5">
              <w:rPr>
                <w:rFonts w:eastAsia="Times New Roman" w:cstheme="minorHAnsi"/>
                <w:color w:val="000000"/>
              </w:rPr>
              <w:t>105</w:t>
            </w:r>
          </w:p>
        </w:tc>
        <w:tc>
          <w:tcPr>
            <w:tcW w:w="1256" w:type="dxa"/>
            <w:vAlign w:val="bottom"/>
          </w:tcPr>
          <w:p w14:paraId="6F90DE8C" w14:textId="4C9A07CF" w:rsidR="00AF0D07" w:rsidRDefault="00AF0D07" w:rsidP="00AF0D07">
            <w:pPr>
              <w:rPr>
                <w:rFonts w:cs="Times New Roman"/>
                <w:sz w:val="24"/>
                <w:szCs w:val="24"/>
              </w:rPr>
            </w:pPr>
            <w:r w:rsidRPr="00BB09C5">
              <w:rPr>
                <w:rFonts w:eastAsia="Times New Roman" w:cstheme="minorHAnsi"/>
                <w:color w:val="000000"/>
              </w:rPr>
              <w:t>188</w:t>
            </w:r>
          </w:p>
        </w:tc>
        <w:tc>
          <w:tcPr>
            <w:tcW w:w="2011" w:type="dxa"/>
            <w:vAlign w:val="bottom"/>
          </w:tcPr>
          <w:p w14:paraId="23B68989" w14:textId="4C2A7294"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98</w:t>
            </w:r>
          </w:p>
        </w:tc>
      </w:tr>
      <w:tr w:rsidR="00AF0D07" w14:paraId="317E9BB9" w14:textId="77777777" w:rsidTr="0081104F">
        <w:trPr>
          <w:cantSplit/>
        </w:trPr>
        <w:tc>
          <w:tcPr>
            <w:tcW w:w="3126" w:type="dxa"/>
            <w:vAlign w:val="bottom"/>
          </w:tcPr>
          <w:p w14:paraId="28C64A39" w14:textId="1A39C057" w:rsidR="00AF0D07" w:rsidRDefault="00AF0D07" w:rsidP="00AF0D07">
            <w:pPr>
              <w:rPr>
                <w:rFonts w:cs="Times New Roman"/>
                <w:sz w:val="24"/>
                <w:szCs w:val="24"/>
              </w:rPr>
            </w:pPr>
            <w:r w:rsidRPr="00BB09C5">
              <w:rPr>
                <w:rFonts w:eastAsia="Times New Roman" w:cstheme="minorHAnsi"/>
                <w:color w:val="000000"/>
              </w:rPr>
              <w:t>Orthopedics</w:t>
            </w:r>
          </w:p>
        </w:tc>
        <w:tc>
          <w:tcPr>
            <w:tcW w:w="1637" w:type="dxa"/>
            <w:vAlign w:val="bottom"/>
          </w:tcPr>
          <w:p w14:paraId="5A1A3742" w14:textId="5E3C5842" w:rsidR="00AF0D07" w:rsidRDefault="00AF0D07" w:rsidP="00AF0D07">
            <w:pPr>
              <w:jc w:val="center"/>
              <w:rPr>
                <w:rFonts w:eastAsia="Times New Roman" w:cstheme="minorHAnsi"/>
                <w:b/>
                <w:bCs/>
                <w:color w:val="000000"/>
              </w:rPr>
            </w:pPr>
            <w:r w:rsidRPr="00BB09C5">
              <w:rPr>
                <w:rFonts w:eastAsia="Times New Roman" w:cstheme="minorHAnsi"/>
                <w:color w:val="000000"/>
              </w:rPr>
              <w:t>161</w:t>
            </w:r>
          </w:p>
        </w:tc>
        <w:tc>
          <w:tcPr>
            <w:tcW w:w="1320" w:type="dxa"/>
            <w:vAlign w:val="bottom"/>
          </w:tcPr>
          <w:p w14:paraId="3AC6D4EA" w14:textId="4C12D4E9" w:rsidR="00AF0D07" w:rsidRDefault="00AF0D07" w:rsidP="00AF0D07">
            <w:pPr>
              <w:rPr>
                <w:rFonts w:cs="Times New Roman"/>
                <w:sz w:val="24"/>
                <w:szCs w:val="24"/>
              </w:rPr>
            </w:pPr>
            <w:r w:rsidRPr="00BB09C5">
              <w:rPr>
                <w:rFonts w:eastAsia="Times New Roman" w:cstheme="minorHAnsi"/>
                <w:color w:val="000000"/>
              </w:rPr>
              <w:t>222</w:t>
            </w:r>
          </w:p>
        </w:tc>
        <w:tc>
          <w:tcPr>
            <w:tcW w:w="1256" w:type="dxa"/>
            <w:vAlign w:val="bottom"/>
          </w:tcPr>
          <w:p w14:paraId="78E2EB19" w14:textId="097ECEEE" w:rsidR="00AF0D07" w:rsidRDefault="00AF0D07" w:rsidP="00AF0D07">
            <w:pPr>
              <w:rPr>
                <w:rFonts w:cs="Times New Roman"/>
                <w:sz w:val="24"/>
                <w:szCs w:val="24"/>
              </w:rPr>
            </w:pPr>
            <w:r w:rsidRPr="00BB09C5">
              <w:rPr>
                <w:rFonts w:eastAsia="Times New Roman" w:cstheme="minorHAnsi"/>
                <w:color w:val="000000"/>
              </w:rPr>
              <w:t>186</w:t>
            </w:r>
          </w:p>
        </w:tc>
        <w:tc>
          <w:tcPr>
            <w:tcW w:w="2011" w:type="dxa"/>
            <w:vAlign w:val="bottom"/>
          </w:tcPr>
          <w:p w14:paraId="346212F9" w14:textId="60D54398"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114</w:t>
            </w:r>
          </w:p>
        </w:tc>
      </w:tr>
      <w:tr w:rsidR="00AF0D07" w14:paraId="4BDD9645" w14:textId="77777777" w:rsidTr="0081104F">
        <w:trPr>
          <w:cantSplit/>
        </w:trPr>
        <w:tc>
          <w:tcPr>
            <w:tcW w:w="3126" w:type="dxa"/>
            <w:vAlign w:val="bottom"/>
          </w:tcPr>
          <w:p w14:paraId="7C963101" w14:textId="708F14D4" w:rsidR="00AF0D07" w:rsidRDefault="00AF0D07" w:rsidP="00165D4F">
            <w:pPr>
              <w:ind w:left="720"/>
              <w:rPr>
                <w:rFonts w:cs="Times New Roman"/>
                <w:sz w:val="24"/>
                <w:szCs w:val="24"/>
              </w:rPr>
            </w:pPr>
            <w:r w:rsidRPr="00BB09C5">
              <w:rPr>
                <w:rFonts w:eastAsia="Times New Roman" w:cstheme="minorHAnsi"/>
                <w:color w:val="000000"/>
              </w:rPr>
              <w:t>Sports Medicine</w:t>
            </w:r>
          </w:p>
        </w:tc>
        <w:tc>
          <w:tcPr>
            <w:tcW w:w="1637" w:type="dxa"/>
            <w:vAlign w:val="bottom"/>
          </w:tcPr>
          <w:p w14:paraId="28E2DCDD" w14:textId="3C1EF776" w:rsidR="00AF0D07" w:rsidRDefault="00AF0D07" w:rsidP="00AF0D07">
            <w:pPr>
              <w:jc w:val="center"/>
              <w:rPr>
                <w:rFonts w:eastAsia="Times New Roman" w:cstheme="minorHAnsi"/>
                <w:b/>
                <w:bCs/>
                <w:color w:val="000000"/>
              </w:rPr>
            </w:pPr>
            <w:r w:rsidRPr="00BB09C5">
              <w:rPr>
                <w:rFonts w:eastAsia="Times New Roman" w:cstheme="minorHAnsi"/>
                <w:color w:val="000000"/>
              </w:rPr>
              <w:t>65</w:t>
            </w:r>
          </w:p>
        </w:tc>
        <w:tc>
          <w:tcPr>
            <w:tcW w:w="1320" w:type="dxa"/>
            <w:vAlign w:val="bottom"/>
          </w:tcPr>
          <w:p w14:paraId="223FDA89" w14:textId="0B0839D2" w:rsidR="00AF0D07" w:rsidRDefault="00AF0D07" w:rsidP="00AF0D07">
            <w:pPr>
              <w:rPr>
                <w:rFonts w:cs="Times New Roman"/>
                <w:sz w:val="24"/>
                <w:szCs w:val="24"/>
              </w:rPr>
            </w:pPr>
            <w:r w:rsidRPr="00BB09C5">
              <w:rPr>
                <w:rFonts w:eastAsia="Times New Roman" w:cstheme="minorHAnsi"/>
                <w:color w:val="000000"/>
              </w:rPr>
              <w:t>133</w:t>
            </w:r>
          </w:p>
        </w:tc>
        <w:tc>
          <w:tcPr>
            <w:tcW w:w="1256" w:type="dxa"/>
            <w:vAlign w:val="bottom"/>
          </w:tcPr>
          <w:p w14:paraId="06AF81DB" w14:textId="559ED97F" w:rsidR="00AF0D07" w:rsidRDefault="00AF0D07" w:rsidP="00AF0D07">
            <w:pPr>
              <w:rPr>
                <w:rFonts w:cs="Times New Roman"/>
                <w:sz w:val="24"/>
                <w:szCs w:val="24"/>
              </w:rPr>
            </w:pPr>
            <w:r w:rsidRPr="00BB09C5">
              <w:rPr>
                <w:rFonts w:eastAsia="Times New Roman" w:cstheme="minorHAnsi"/>
                <w:color w:val="000000"/>
              </w:rPr>
              <w:t>110</w:t>
            </w:r>
          </w:p>
        </w:tc>
        <w:tc>
          <w:tcPr>
            <w:tcW w:w="2011" w:type="dxa"/>
            <w:vAlign w:val="bottom"/>
          </w:tcPr>
          <w:p w14:paraId="161557FF" w14:textId="4A0ABD6B"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60</w:t>
            </w:r>
          </w:p>
        </w:tc>
      </w:tr>
      <w:tr w:rsidR="00AF0D07" w14:paraId="087B1220" w14:textId="77777777" w:rsidTr="0081104F">
        <w:trPr>
          <w:cantSplit/>
        </w:trPr>
        <w:tc>
          <w:tcPr>
            <w:tcW w:w="3126" w:type="dxa"/>
            <w:vAlign w:val="bottom"/>
          </w:tcPr>
          <w:p w14:paraId="5C83E556" w14:textId="19119B5F" w:rsidR="00AF0D07" w:rsidRDefault="00AF0D07" w:rsidP="00165D4F">
            <w:pPr>
              <w:ind w:left="720"/>
              <w:rPr>
                <w:rFonts w:cs="Times New Roman"/>
                <w:sz w:val="24"/>
                <w:szCs w:val="24"/>
              </w:rPr>
            </w:pPr>
            <w:r w:rsidRPr="00BB09C5">
              <w:rPr>
                <w:rFonts w:eastAsia="Times New Roman" w:cstheme="minorHAnsi"/>
                <w:color w:val="000000"/>
              </w:rPr>
              <w:t>Hand</w:t>
            </w:r>
          </w:p>
        </w:tc>
        <w:tc>
          <w:tcPr>
            <w:tcW w:w="1637" w:type="dxa"/>
            <w:vAlign w:val="bottom"/>
          </w:tcPr>
          <w:p w14:paraId="4B020B61" w14:textId="53825BC2" w:rsidR="00AF0D07" w:rsidRDefault="00AF0D07" w:rsidP="00AF0D07">
            <w:pPr>
              <w:jc w:val="center"/>
              <w:rPr>
                <w:rFonts w:eastAsia="Times New Roman" w:cstheme="minorHAnsi"/>
                <w:b/>
                <w:bCs/>
                <w:color w:val="000000"/>
              </w:rPr>
            </w:pPr>
            <w:r w:rsidRPr="00BB09C5">
              <w:rPr>
                <w:rFonts w:eastAsia="Times New Roman" w:cstheme="minorHAnsi"/>
                <w:color w:val="000000"/>
              </w:rPr>
              <w:t>89</w:t>
            </w:r>
          </w:p>
        </w:tc>
        <w:tc>
          <w:tcPr>
            <w:tcW w:w="1320" w:type="dxa"/>
            <w:vAlign w:val="bottom"/>
          </w:tcPr>
          <w:p w14:paraId="287B5ABC" w14:textId="4B070FEC" w:rsidR="00AF0D07" w:rsidRDefault="00AF0D07" w:rsidP="00AF0D07">
            <w:pPr>
              <w:rPr>
                <w:rFonts w:cs="Times New Roman"/>
                <w:sz w:val="24"/>
                <w:szCs w:val="24"/>
              </w:rPr>
            </w:pPr>
            <w:r w:rsidRPr="00BB09C5">
              <w:rPr>
                <w:rFonts w:eastAsia="Times New Roman" w:cstheme="minorHAnsi"/>
                <w:color w:val="000000"/>
              </w:rPr>
              <w:t>126</w:t>
            </w:r>
          </w:p>
        </w:tc>
        <w:tc>
          <w:tcPr>
            <w:tcW w:w="1256" w:type="dxa"/>
            <w:vAlign w:val="bottom"/>
          </w:tcPr>
          <w:p w14:paraId="1F54B79D" w14:textId="68FAA088" w:rsidR="00AF0D07" w:rsidRDefault="00AF0D07" w:rsidP="00AF0D07">
            <w:pPr>
              <w:rPr>
                <w:rFonts w:cs="Times New Roman"/>
                <w:sz w:val="24"/>
                <w:szCs w:val="24"/>
              </w:rPr>
            </w:pPr>
            <w:r w:rsidRPr="00BB09C5">
              <w:rPr>
                <w:rFonts w:eastAsia="Times New Roman" w:cstheme="minorHAnsi"/>
                <w:color w:val="000000"/>
              </w:rPr>
              <w:t>126</w:t>
            </w:r>
          </w:p>
        </w:tc>
        <w:tc>
          <w:tcPr>
            <w:tcW w:w="2011" w:type="dxa"/>
            <w:vAlign w:val="bottom"/>
          </w:tcPr>
          <w:p w14:paraId="1014C94C" w14:textId="71ED6C67"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66</w:t>
            </w:r>
          </w:p>
        </w:tc>
      </w:tr>
      <w:tr w:rsidR="00AF0D07" w14:paraId="01DF1201" w14:textId="77777777" w:rsidTr="0081104F">
        <w:trPr>
          <w:cantSplit/>
        </w:trPr>
        <w:tc>
          <w:tcPr>
            <w:tcW w:w="3126" w:type="dxa"/>
            <w:vAlign w:val="bottom"/>
          </w:tcPr>
          <w:p w14:paraId="22973BBE" w14:textId="3C6493F2" w:rsidR="00AF0D07" w:rsidRDefault="00AF0D07" w:rsidP="00165D4F">
            <w:pPr>
              <w:ind w:left="720"/>
              <w:rPr>
                <w:rFonts w:cs="Times New Roman"/>
                <w:sz w:val="24"/>
                <w:szCs w:val="24"/>
              </w:rPr>
            </w:pPr>
            <w:r w:rsidRPr="00BB09C5">
              <w:rPr>
                <w:rFonts w:eastAsia="Times New Roman" w:cstheme="minorHAnsi"/>
                <w:color w:val="000000"/>
              </w:rPr>
              <w:t>Foot and Ankle</w:t>
            </w:r>
          </w:p>
        </w:tc>
        <w:tc>
          <w:tcPr>
            <w:tcW w:w="1637" w:type="dxa"/>
            <w:vAlign w:val="bottom"/>
          </w:tcPr>
          <w:p w14:paraId="1EDBBEA5" w14:textId="798C6D5F" w:rsidR="00AF0D07" w:rsidRDefault="00AF0D07" w:rsidP="00AF0D07">
            <w:pPr>
              <w:jc w:val="center"/>
              <w:rPr>
                <w:rFonts w:eastAsia="Times New Roman" w:cstheme="minorHAnsi"/>
                <w:b/>
                <w:bCs/>
                <w:color w:val="000000"/>
              </w:rPr>
            </w:pPr>
            <w:r w:rsidRPr="00BB09C5">
              <w:rPr>
                <w:rFonts w:eastAsia="Times New Roman" w:cstheme="minorHAnsi"/>
                <w:color w:val="000000"/>
              </w:rPr>
              <w:t>236</w:t>
            </w:r>
          </w:p>
        </w:tc>
        <w:tc>
          <w:tcPr>
            <w:tcW w:w="1320" w:type="dxa"/>
            <w:vAlign w:val="bottom"/>
          </w:tcPr>
          <w:p w14:paraId="6F2D7284" w14:textId="1B4CDA23" w:rsidR="00AF0D07" w:rsidRDefault="00AF0D07" w:rsidP="00AF0D07">
            <w:pPr>
              <w:rPr>
                <w:rFonts w:cs="Times New Roman"/>
                <w:sz w:val="24"/>
                <w:szCs w:val="24"/>
              </w:rPr>
            </w:pPr>
            <w:r w:rsidRPr="00BB09C5">
              <w:rPr>
                <w:rFonts w:eastAsia="Times New Roman" w:cstheme="minorHAnsi"/>
                <w:color w:val="000000"/>
              </w:rPr>
              <w:t>260</w:t>
            </w:r>
          </w:p>
        </w:tc>
        <w:tc>
          <w:tcPr>
            <w:tcW w:w="1256" w:type="dxa"/>
            <w:vAlign w:val="bottom"/>
          </w:tcPr>
          <w:p w14:paraId="3D8F2318" w14:textId="6E5937AB" w:rsidR="00AF0D07" w:rsidRDefault="00AF0D07" w:rsidP="00AF0D07">
            <w:pPr>
              <w:rPr>
                <w:rFonts w:cs="Times New Roman"/>
                <w:sz w:val="24"/>
                <w:szCs w:val="24"/>
              </w:rPr>
            </w:pPr>
            <w:r w:rsidRPr="00BB09C5">
              <w:rPr>
                <w:rFonts w:eastAsia="Times New Roman" w:cstheme="minorHAnsi"/>
                <w:color w:val="000000"/>
              </w:rPr>
              <w:t>235</w:t>
            </w:r>
          </w:p>
        </w:tc>
        <w:tc>
          <w:tcPr>
            <w:tcW w:w="2011" w:type="dxa"/>
            <w:vAlign w:val="bottom"/>
          </w:tcPr>
          <w:p w14:paraId="37423459" w14:textId="6FB99BD8"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147</w:t>
            </w:r>
          </w:p>
        </w:tc>
      </w:tr>
      <w:tr w:rsidR="00AF0D07" w14:paraId="1DF01F99" w14:textId="77777777" w:rsidTr="0081104F">
        <w:trPr>
          <w:cantSplit/>
        </w:trPr>
        <w:tc>
          <w:tcPr>
            <w:tcW w:w="3126" w:type="dxa"/>
            <w:vAlign w:val="bottom"/>
          </w:tcPr>
          <w:p w14:paraId="29090A2F" w14:textId="3E9CB012" w:rsidR="00AF0D07" w:rsidRDefault="00AF0D07" w:rsidP="00165D4F">
            <w:pPr>
              <w:ind w:left="720"/>
              <w:rPr>
                <w:rFonts w:cs="Times New Roman"/>
                <w:sz w:val="24"/>
                <w:szCs w:val="24"/>
              </w:rPr>
            </w:pPr>
            <w:r w:rsidRPr="00BB09C5">
              <w:rPr>
                <w:rFonts w:eastAsia="Times New Roman" w:cstheme="minorHAnsi"/>
                <w:color w:val="000000"/>
              </w:rPr>
              <w:t>Spine</w:t>
            </w:r>
          </w:p>
        </w:tc>
        <w:tc>
          <w:tcPr>
            <w:tcW w:w="1637" w:type="dxa"/>
            <w:vAlign w:val="bottom"/>
          </w:tcPr>
          <w:p w14:paraId="5AD8826B" w14:textId="1C1B6D18" w:rsidR="00AF0D07" w:rsidRDefault="00AF0D07" w:rsidP="00AF0D07">
            <w:pPr>
              <w:jc w:val="center"/>
              <w:rPr>
                <w:rFonts w:eastAsia="Times New Roman" w:cstheme="minorHAnsi"/>
                <w:b/>
                <w:bCs/>
                <w:color w:val="000000"/>
              </w:rPr>
            </w:pPr>
            <w:r w:rsidRPr="00BB09C5">
              <w:rPr>
                <w:rFonts w:eastAsia="Times New Roman" w:cstheme="minorHAnsi"/>
                <w:color w:val="000000"/>
              </w:rPr>
              <w:t>22</w:t>
            </w:r>
          </w:p>
        </w:tc>
        <w:tc>
          <w:tcPr>
            <w:tcW w:w="1320" w:type="dxa"/>
            <w:vAlign w:val="bottom"/>
          </w:tcPr>
          <w:p w14:paraId="3F101871" w14:textId="6335014A" w:rsidR="00AF0D07" w:rsidRDefault="00AF0D07" w:rsidP="00AF0D07">
            <w:pPr>
              <w:rPr>
                <w:rFonts w:cs="Times New Roman"/>
                <w:sz w:val="24"/>
                <w:szCs w:val="24"/>
              </w:rPr>
            </w:pPr>
            <w:r w:rsidRPr="00BB09C5">
              <w:rPr>
                <w:rFonts w:eastAsia="Times New Roman" w:cstheme="minorHAnsi"/>
                <w:color w:val="000000"/>
              </w:rPr>
              <w:t>68</w:t>
            </w:r>
          </w:p>
        </w:tc>
        <w:tc>
          <w:tcPr>
            <w:tcW w:w="1256" w:type="dxa"/>
            <w:vAlign w:val="bottom"/>
          </w:tcPr>
          <w:p w14:paraId="67866B29" w14:textId="037F7058" w:rsidR="00AF0D07" w:rsidRDefault="00AF0D07" w:rsidP="00AF0D07">
            <w:pPr>
              <w:rPr>
                <w:rFonts w:cs="Times New Roman"/>
                <w:sz w:val="24"/>
                <w:szCs w:val="24"/>
              </w:rPr>
            </w:pPr>
            <w:r w:rsidRPr="00BB09C5">
              <w:rPr>
                <w:rFonts w:eastAsia="Times New Roman" w:cstheme="minorHAnsi"/>
                <w:color w:val="000000"/>
              </w:rPr>
              <w:t>58</w:t>
            </w:r>
          </w:p>
        </w:tc>
        <w:tc>
          <w:tcPr>
            <w:tcW w:w="2011" w:type="dxa"/>
            <w:vAlign w:val="bottom"/>
          </w:tcPr>
          <w:p w14:paraId="2AC9E202" w14:textId="4B058821"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28</w:t>
            </w:r>
          </w:p>
        </w:tc>
      </w:tr>
      <w:tr w:rsidR="00AF0D07" w14:paraId="2D0AD7DE" w14:textId="77777777" w:rsidTr="0081104F">
        <w:trPr>
          <w:cantSplit/>
        </w:trPr>
        <w:tc>
          <w:tcPr>
            <w:tcW w:w="3126" w:type="dxa"/>
            <w:vAlign w:val="bottom"/>
          </w:tcPr>
          <w:p w14:paraId="586CC250" w14:textId="2E44419E" w:rsidR="00AF0D07" w:rsidRDefault="00AF0D07" w:rsidP="006C0D05">
            <w:pPr>
              <w:ind w:left="720"/>
              <w:rPr>
                <w:rFonts w:cs="Times New Roman"/>
                <w:sz w:val="24"/>
                <w:szCs w:val="24"/>
              </w:rPr>
            </w:pPr>
            <w:r w:rsidRPr="00BB09C5">
              <w:rPr>
                <w:rFonts w:eastAsia="Times New Roman" w:cstheme="minorHAnsi"/>
                <w:color w:val="000000"/>
              </w:rPr>
              <w:t>MSK</w:t>
            </w:r>
          </w:p>
        </w:tc>
        <w:tc>
          <w:tcPr>
            <w:tcW w:w="1637" w:type="dxa"/>
            <w:vAlign w:val="bottom"/>
          </w:tcPr>
          <w:p w14:paraId="5F676C06" w14:textId="0B9605E5" w:rsidR="00AF0D07" w:rsidRDefault="00AF0D07" w:rsidP="00AF0D07">
            <w:pPr>
              <w:jc w:val="center"/>
              <w:rPr>
                <w:rFonts w:eastAsia="Times New Roman" w:cstheme="minorHAnsi"/>
                <w:b/>
                <w:bCs/>
                <w:color w:val="000000"/>
              </w:rPr>
            </w:pPr>
            <w:r w:rsidRPr="00BB09C5">
              <w:rPr>
                <w:rFonts w:eastAsia="Times New Roman" w:cstheme="minorHAnsi"/>
                <w:color w:val="000000"/>
              </w:rPr>
              <w:t>236</w:t>
            </w:r>
          </w:p>
        </w:tc>
        <w:tc>
          <w:tcPr>
            <w:tcW w:w="1320" w:type="dxa"/>
            <w:vAlign w:val="bottom"/>
          </w:tcPr>
          <w:p w14:paraId="1DA810C7" w14:textId="156CDE36" w:rsidR="00AF0D07" w:rsidRDefault="00AF0D07" w:rsidP="00AF0D07">
            <w:pPr>
              <w:rPr>
                <w:rFonts w:cs="Times New Roman"/>
                <w:sz w:val="24"/>
                <w:szCs w:val="24"/>
              </w:rPr>
            </w:pPr>
            <w:r w:rsidRPr="00BB09C5">
              <w:rPr>
                <w:rFonts w:eastAsia="Times New Roman" w:cstheme="minorHAnsi"/>
                <w:color w:val="000000"/>
              </w:rPr>
              <w:t>260</w:t>
            </w:r>
          </w:p>
        </w:tc>
        <w:tc>
          <w:tcPr>
            <w:tcW w:w="1256" w:type="dxa"/>
            <w:vAlign w:val="bottom"/>
          </w:tcPr>
          <w:p w14:paraId="539859AA" w14:textId="0C95840E" w:rsidR="00AF0D07" w:rsidRDefault="00AF0D07" w:rsidP="00AF0D07">
            <w:pPr>
              <w:rPr>
                <w:rFonts w:cs="Times New Roman"/>
                <w:sz w:val="24"/>
                <w:szCs w:val="24"/>
              </w:rPr>
            </w:pPr>
            <w:r w:rsidRPr="00BB09C5">
              <w:rPr>
                <w:rFonts w:eastAsia="Times New Roman" w:cstheme="minorHAnsi"/>
                <w:color w:val="000000"/>
              </w:rPr>
              <w:t>235</w:t>
            </w:r>
          </w:p>
        </w:tc>
        <w:tc>
          <w:tcPr>
            <w:tcW w:w="2011" w:type="dxa"/>
            <w:vAlign w:val="bottom"/>
          </w:tcPr>
          <w:p w14:paraId="16B4B184" w14:textId="5EF7B6AB"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147</w:t>
            </w:r>
          </w:p>
        </w:tc>
      </w:tr>
      <w:tr w:rsidR="00AF0D07" w14:paraId="0D2A049C" w14:textId="77777777" w:rsidTr="0081104F">
        <w:trPr>
          <w:cantSplit/>
        </w:trPr>
        <w:tc>
          <w:tcPr>
            <w:tcW w:w="3126" w:type="dxa"/>
            <w:vAlign w:val="bottom"/>
          </w:tcPr>
          <w:p w14:paraId="28929ACF" w14:textId="6027B70E" w:rsidR="00AF0D07" w:rsidRDefault="00AF0D07" w:rsidP="00AF0D07">
            <w:pPr>
              <w:rPr>
                <w:rFonts w:cs="Times New Roman"/>
                <w:sz w:val="24"/>
                <w:szCs w:val="24"/>
              </w:rPr>
            </w:pPr>
            <w:r w:rsidRPr="00BB09C5">
              <w:rPr>
                <w:rFonts w:eastAsia="Times New Roman" w:cstheme="minorHAnsi"/>
                <w:color w:val="000000"/>
              </w:rPr>
              <w:t>Podiatry</w:t>
            </w:r>
          </w:p>
        </w:tc>
        <w:tc>
          <w:tcPr>
            <w:tcW w:w="1637" w:type="dxa"/>
            <w:vAlign w:val="bottom"/>
          </w:tcPr>
          <w:p w14:paraId="1B49B697" w14:textId="6EA6745E" w:rsidR="00AF0D07" w:rsidRDefault="00AF0D07" w:rsidP="00AF0D07">
            <w:pPr>
              <w:jc w:val="center"/>
              <w:rPr>
                <w:rFonts w:eastAsia="Times New Roman" w:cstheme="minorHAnsi"/>
                <w:b/>
                <w:bCs/>
                <w:color w:val="000000"/>
              </w:rPr>
            </w:pPr>
            <w:r w:rsidRPr="00BB09C5">
              <w:rPr>
                <w:rFonts w:eastAsia="Times New Roman" w:cstheme="minorHAnsi"/>
                <w:color w:val="000000"/>
              </w:rPr>
              <w:t>91</w:t>
            </w:r>
          </w:p>
        </w:tc>
        <w:tc>
          <w:tcPr>
            <w:tcW w:w="1320" w:type="dxa"/>
            <w:vAlign w:val="bottom"/>
          </w:tcPr>
          <w:p w14:paraId="75EE8BF4" w14:textId="02CB23A7" w:rsidR="00AF0D07" w:rsidRDefault="00AF0D07" w:rsidP="00AF0D07">
            <w:pPr>
              <w:rPr>
                <w:rFonts w:cs="Times New Roman"/>
                <w:sz w:val="24"/>
                <w:szCs w:val="24"/>
              </w:rPr>
            </w:pPr>
            <w:r w:rsidRPr="00BB09C5">
              <w:rPr>
                <w:rFonts w:eastAsia="Times New Roman" w:cstheme="minorHAnsi"/>
                <w:color w:val="000000"/>
              </w:rPr>
              <w:t>96</w:t>
            </w:r>
          </w:p>
        </w:tc>
        <w:tc>
          <w:tcPr>
            <w:tcW w:w="1256" w:type="dxa"/>
            <w:vAlign w:val="bottom"/>
          </w:tcPr>
          <w:p w14:paraId="5B7C0C52" w14:textId="4623678E" w:rsidR="00AF0D07" w:rsidRDefault="00AF0D07" w:rsidP="00AF0D07">
            <w:pPr>
              <w:rPr>
                <w:rFonts w:cs="Times New Roman"/>
                <w:sz w:val="24"/>
                <w:szCs w:val="24"/>
              </w:rPr>
            </w:pPr>
            <w:r w:rsidRPr="00BB09C5">
              <w:rPr>
                <w:rFonts w:eastAsia="Times New Roman" w:cstheme="minorHAnsi"/>
                <w:color w:val="000000"/>
              </w:rPr>
              <w:t>161</w:t>
            </w:r>
          </w:p>
        </w:tc>
        <w:tc>
          <w:tcPr>
            <w:tcW w:w="2011" w:type="dxa"/>
            <w:vAlign w:val="bottom"/>
          </w:tcPr>
          <w:p w14:paraId="40F18938" w14:textId="57487AAB"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62</w:t>
            </w:r>
          </w:p>
        </w:tc>
      </w:tr>
      <w:tr w:rsidR="00AF0D07" w14:paraId="2FE01F7B" w14:textId="77777777" w:rsidTr="0081104F">
        <w:trPr>
          <w:cantSplit/>
        </w:trPr>
        <w:tc>
          <w:tcPr>
            <w:tcW w:w="3126" w:type="dxa"/>
            <w:vAlign w:val="bottom"/>
          </w:tcPr>
          <w:p w14:paraId="557E8A83" w14:textId="1296D8ED" w:rsidR="00AF0D07" w:rsidRDefault="00AF0D07" w:rsidP="00AF0D07">
            <w:pPr>
              <w:rPr>
                <w:rFonts w:cs="Times New Roman"/>
                <w:sz w:val="24"/>
                <w:szCs w:val="24"/>
              </w:rPr>
            </w:pPr>
            <w:r w:rsidRPr="00BB09C5">
              <w:rPr>
                <w:rFonts w:eastAsia="Times New Roman" w:cstheme="minorHAnsi"/>
                <w:color w:val="000000"/>
              </w:rPr>
              <w:t>Endocrine Surgery</w:t>
            </w:r>
          </w:p>
        </w:tc>
        <w:tc>
          <w:tcPr>
            <w:tcW w:w="1637" w:type="dxa"/>
            <w:vAlign w:val="bottom"/>
          </w:tcPr>
          <w:p w14:paraId="72949A94" w14:textId="400CB7AA" w:rsidR="00AF0D07" w:rsidRDefault="00AF0D07" w:rsidP="00AF0D07">
            <w:pPr>
              <w:jc w:val="center"/>
              <w:rPr>
                <w:rFonts w:eastAsia="Times New Roman" w:cstheme="minorHAnsi"/>
                <w:b/>
                <w:bCs/>
                <w:color w:val="000000"/>
              </w:rPr>
            </w:pPr>
            <w:r w:rsidRPr="00BB09C5">
              <w:rPr>
                <w:rFonts w:eastAsia="Times New Roman" w:cstheme="minorHAnsi"/>
                <w:color w:val="000000"/>
              </w:rPr>
              <w:t>128</w:t>
            </w:r>
          </w:p>
        </w:tc>
        <w:tc>
          <w:tcPr>
            <w:tcW w:w="1320" w:type="dxa"/>
            <w:vAlign w:val="bottom"/>
          </w:tcPr>
          <w:p w14:paraId="49FB1B8C" w14:textId="42EEDE1B" w:rsidR="00AF0D07" w:rsidRDefault="00AF0D07" w:rsidP="00AF0D07">
            <w:pPr>
              <w:rPr>
                <w:rFonts w:cs="Times New Roman"/>
                <w:sz w:val="24"/>
                <w:szCs w:val="24"/>
              </w:rPr>
            </w:pPr>
            <w:r w:rsidRPr="00BB09C5">
              <w:rPr>
                <w:rFonts w:eastAsia="Times New Roman" w:cstheme="minorHAnsi"/>
                <w:color w:val="000000"/>
              </w:rPr>
              <w:t>75</w:t>
            </w:r>
          </w:p>
        </w:tc>
        <w:tc>
          <w:tcPr>
            <w:tcW w:w="1256" w:type="dxa"/>
            <w:vAlign w:val="bottom"/>
          </w:tcPr>
          <w:p w14:paraId="415CA665" w14:textId="60CB9A7B" w:rsidR="00AF0D07" w:rsidRDefault="00AF0D07" w:rsidP="00AF0D07">
            <w:pPr>
              <w:rPr>
                <w:rFonts w:cs="Times New Roman"/>
                <w:sz w:val="24"/>
                <w:szCs w:val="24"/>
              </w:rPr>
            </w:pPr>
            <w:r w:rsidRPr="00BB09C5">
              <w:rPr>
                <w:rFonts w:eastAsia="Times New Roman" w:cstheme="minorHAnsi"/>
                <w:color w:val="000000"/>
              </w:rPr>
              <w:t>141</w:t>
            </w:r>
          </w:p>
        </w:tc>
        <w:tc>
          <w:tcPr>
            <w:tcW w:w="2011" w:type="dxa"/>
            <w:vAlign w:val="bottom"/>
          </w:tcPr>
          <w:p w14:paraId="1A68570C" w14:textId="7DF2575E"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65</w:t>
            </w:r>
          </w:p>
        </w:tc>
      </w:tr>
      <w:tr w:rsidR="00AF0D07" w14:paraId="75A467F3" w14:textId="77777777" w:rsidTr="0081104F">
        <w:trPr>
          <w:cantSplit/>
        </w:trPr>
        <w:tc>
          <w:tcPr>
            <w:tcW w:w="3126" w:type="dxa"/>
            <w:vAlign w:val="bottom"/>
          </w:tcPr>
          <w:p w14:paraId="36B810B9" w14:textId="550EA68F" w:rsidR="00AF0D07" w:rsidRDefault="00AF0D07" w:rsidP="00AF0D07">
            <w:pPr>
              <w:rPr>
                <w:rFonts w:cs="Times New Roman"/>
                <w:sz w:val="24"/>
                <w:szCs w:val="24"/>
              </w:rPr>
            </w:pPr>
            <w:r w:rsidRPr="00BB09C5">
              <w:rPr>
                <w:rFonts w:eastAsia="Times New Roman" w:cstheme="minorHAnsi"/>
                <w:color w:val="000000"/>
              </w:rPr>
              <w:t>Gerontology</w:t>
            </w:r>
          </w:p>
        </w:tc>
        <w:tc>
          <w:tcPr>
            <w:tcW w:w="1637" w:type="dxa"/>
            <w:vAlign w:val="bottom"/>
          </w:tcPr>
          <w:p w14:paraId="4E664C31" w14:textId="2E18AE11" w:rsidR="00AF0D07" w:rsidRDefault="00AF0D07" w:rsidP="00AF0D07">
            <w:pPr>
              <w:jc w:val="center"/>
              <w:rPr>
                <w:rFonts w:eastAsia="Times New Roman" w:cstheme="minorHAnsi"/>
                <w:b/>
                <w:bCs/>
                <w:color w:val="000000"/>
              </w:rPr>
            </w:pPr>
            <w:r w:rsidRPr="00BB09C5">
              <w:rPr>
                <w:rFonts w:eastAsia="Times New Roman" w:cstheme="minorHAnsi"/>
                <w:color w:val="000000"/>
              </w:rPr>
              <w:t>518</w:t>
            </w:r>
          </w:p>
        </w:tc>
        <w:tc>
          <w:tcPr>
            <w:tcW w:w="1320" w:type="dxa"/>
            <w:vAlign w:val="bottom"/>
          </w:tcPr>
          <w:p w14:paraId="4585DC7A" w14:textId="03DA8E28" w:rsidR="00AF0D07" w:rsidRDefault="00AF0D07" w:rsidP="00AF0D07">
            <w:pPr>
              <w:rPr>
                <w:rFonts w:cs="Times New Roman"/>
                <w:sz w:val="24"/>
                <w:szCs w:val="24"/>
              </w:rPr>
            </w:pPr>
            <w:r w:rsidRPr="00BB09C5">
              <w:rPr>
                <w:rFonts w:eastAsia="Times New Roman" w:cstheme="minorHAnsi"/>
                <w:color w:val="000000"/>
              </w:rPr>
              <w:t>73</w:t>
            </w:r>
          </w:p>
        </w:tc>
        <w:tc>
          <w:tcPr>
            <w:tcW w:w="1256" w:type="dxa"/>
            <w:vAlign w:val="bottom"/>
          </w:tcPr>
          <w:p w14:paraId="3B6804A5" w14:textId="728C4F0C" w:rsidR="00AF0D07" w:rsidRDefault="00AF0D07" w:rsidP="00AF0D07">
            <w:pPr>
              <w:rPr>
                <w:rFonts w:cs="Times New Roman"/>
                <w:sz w:val="24"/>
                <w:szCs w:val="24"/>
              </w:rPr>
            </w:pPr>
            <w:r w:rsidRPr="00BB09C5">
              <w:rPr>
                <w:rFonts w:eastAsia="Times New Roman" w:cstheme="minorHAnsi"/>
                <w:color w:val="000000"/>
              </w:rPr>
              <w:t>N/A</w:t>
            </w:r>
          </w:p>
        </w:tc>
        <w:tc>
          <w:tcPr>
            <w:tcW w:w="2011" w:type="dxa"/>
            <w:vAlign w:val="bottom"/>
          </w:tcPr>
          <w:p w14:paraId="2086FCFE" w14:textId="0BC17A3F"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44</w:t>
            </w:r>
          </w:p>
        </w:tc>
      </w:tr>
      <w:tr w:rsidR="00AF0D07" w14:paraId="40E045DE" w14:textId="77777777" w:rsidTr="0081104F">
        <w:trPr>
          <w:cantSplit/>
        </w:trPr>
        <w:tc>
          <w:tcPr>
            <w:tcW w:w="3126" w:type="dxa"/>
            <w:vAlign w:val="bottom"/>
          </w:tcPr>
          <w:p w14:paraId="6A3A1B67" w14:textId="187B722B" w:rsidR="00AF0D07" w:rsidRDefault="00AF0D07" w:rsidP="00AF0D07">
            <w:pPr>
              <w:rPr>
                <w:rFonts w:cs="Times New Roman"/>
                <w:sz w:val="24"/>
                <w:szCs w:val="24"/>
              </w:rPr>
            </w:pPr>
            <w:r w:rsidRPr="00BB09C5">
              <w:rPr>
                <w:rFonts w:eastAsia="Times New Roman" w:cstheme="minorHAnsi"/>
                <w:color w:val="000000"/>
              </w:rPr>
              <w:t>Infectious Disease</w:t>
            </w:r>
          </w:p>
        </w:tc>
        <w:tc>
          <w:tcPr>
            <w:tcW w:w="1637" w:type="dxa"/>
            <w:vAlign w:val="bottom"/>
          </w:tcPr>
          <w:p w14:paraId="523A28F7" w14:textId="52D7A6B3" w:rsidR="00AF0D07" w:rsidRDefault="00AF0D07" w:rsidP="00AF0D07">
            <w:pPr>
              <w:jc w:val="center"/>
              <w:rPr>
                <w:rFonts w:eastAsia="Times New Roman" w:cstheme="minorHAnsi"/>
                <w:b/>
                <w:bCs/>
                <w:color w:val="000000"/>
              </w:rPr>
            </w:pPr>
            <w:r w:rsidRPr="00BB09C5">
              <w:rPr>
                <w:rFonts w:eastAsia="Times New Roman" w:cstheme="minorHAnsi"/>
                <w:color w:val="000000"/>
              </w:rPr>
              <w:t>82</w:t>
            </w:r>
          </w:p>
        </w:tc>
        <w:tc>
          <w:tcPr>
            <w:tcW w:w="1320" w:type="dxa"/>
            <w:vAlign w:val="bottom"/>
          </w:tcPr>
          <w:p w14:paraId="1C4270D0" w14:textId="3622FB04" w:rsidR="00AF0D07" w:rsidRDefault="00AF0D07" w:rsidP="00AF0D07">
            <w:pPr>
              <w:rPr>
                <w:rFonts w:cs="Times New Roman"/>
                <w:sz w:val="24"/>
                <w:szCs w:val="24"/>
              </w:rPr>
            </w:pPr>
            <w:r w:rsidRPr="00BB09C5">
              <w:rPr>
                <w:rFonts w:eastAsia="Times New Roman" w:cstheme="minorHAnsi"/>
                <w:color w:val="000000"/>
              </w:rPr>
              <w:t>78</w:t>
            </w:r>
          </w:p>
        </w:tc>
        <w:tc>
          <w:tcPr>
            <w:tcW w:w="1256" w:type="dxa"/>
            <w:vAlign w:val="bottom"/>
          </w:tcPr>
          <w:p w14:paraId="3BEE9050" w14:textId="7704A80F" w:rsidR="00AF0D07" w:rsidRDefault="00AF0D07" w:rsidP="00AF0D07">
            <w:pPr>
              <w:rPr>
                <w:rFonts w:cs="Times New Roman"/>
                <w:sz w:val="24"/>
                <w:szCs w:val="24"/>
              </w:rPr>
            </w:pPr>
            <w:r w:rsidRPr="00BB09C5">
              <w:rPr>
                <w:rFonts w:eastAsia="Times New Roman" w:cstheme="minorHAnsi"/>
                <w:color w:val="000000"/>
              </w:rPr>
              <w:t>163</w:t>
            </w:r>
          </w:p>
        </w:tc>
        <w:tc>
          <w:tcPr>
            <w:tcW w:w="2011" w:type="dxa"/>
            <w:vAlign w:val="bottom"/>
          </w:tcPr>
          <w:p w14:paraId="4A23221B" w14:textId="08B03EF7"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56</w:t>
            </w:r>
          </w:p>
        </w:tc>
      </w:tr>
      <w:tr w:rsidR="00AF0D07" w14:paraId="053165E2" w14:textId="77777777" w:rsidTr="0081104F">
        <w:trPr>
          <w:cantSplit/>
        </w:trPr>
        <w:tc>
          <w:tcPr>
            <w:tcW w:w="3126" w:type="dxa"/>
            <w:vAlign w:val="bottom"/>
          </w:tcPr>
          <w:p w14:paraId="76686C46" w14:textId="6C6C326A" w:rsidR="00AF0D07" w:rsidRDefault="00AF0D07" w:rsidP="00AF0D07">
            <w:pPr>
              <w:rPr>
                <w:rFonts w:cs="Times New Roman"/>
                <w:sz w:val="24"/>
                <w:szCs w:val="24"/>
              </w:rPr>
            </w:pPr>
            <w:r w:rsidRPr="00BB09C5">
              <w:rPr>
                <w:rFonts w:eastAsia="Times New Roman" w:cstheme="minorHAnsi"/>
                <w:color w:val="000000"/>
              </w:rPr>
              <w:t>Nephrology</w:t>
            </w:r>
          </w:p>
        </w:tc>
        <w:tc>
          <w:tcPr>
            <w:tcW w:w="1637" w:type="dxa"/>
            <w:vAlign w:val="bottom"/>
          </w:tcPr>
          <w:p w14:paraId="1F0EB0A5" w14:textId="0DD6FE8D" w:rsidR="00AF0D07" w:rsidRDefault="00AF0D07" w:rsidP="00AF0D07">
            <w:pPr>
              <w:jc w:val="center"/>
              <w:rPr>
                <w:rFonts w:eastAsia="Times New Roman" w:cstheme="minorHAnsi"/>
                <w:b/>
                <w:bCs/>
                <w:color w:val="000000"/>
              </w:rPr>
            </w:pPr>
            <w:r w:rsidRPr="00BB09C5">
              <w:rPr>
                <w:rFonts w:eastAsia="Times New Roman" w:cstheme="minorHAnsi"/>
                <w:color w:val="000000"/>
              </w:rPr>
              <w:t>284</w:t>
            </w:r>
          </w:p>
        </w:tc>
        <w:tc>
          <w:tcPr>
            <w:tcW w:w="1320" w:type="dxa"/>
            <w:vAlign w:val="bottom"/>
          </w:tcPr>
          <w:p w14:paraId="119B5D1F" w14:textId="0BF02C63" w:rsidR="00AF0D07" w:rsidRDefault="00AF0D07" w:rsidP="00AF0D07">
            <w:pPr>
              <w:rPr>
                <w:rFonts w:cs="Times New Roman"/>
                <w:sz w:val="24"/>
                <w:szCs w:val="24"/>
              </w:rPr>
            </w:pPr>
            <w:r w:rsidRPr="00BB09C5">
              <w:rPr>
                <w:rFonts w:eastAsia="Times New Roman" w:cstheme="minorHAnsi"/>
                <w:color w:val="000000"/>
              </w:rPr>
              <w:t>72</w:t>
            </w:r>
          </w:p>
        </w:tc>
        <w:tc>
          <w:tcPr>
            <w:tcW w:w="1256" w:type="dxa"/>
            <w:vAlign w:val="bottom"/>
          </w:tcPr>
          <w:p w14:paraId="10502410" w14:textId="17E3782E" w:rsidR="00AF0D07" w:rsidRDefault="00AF0D07" w:rsidP="00AF0D07">
            <w:pPr>
              <w:rPr>
                <w:rFonts w:cs="Times New Roman"/>
                <w:sz w:val="24"/>
                <w:szCs w:val="24"/>
              </w:rPr>
            </w:pPr>
            <w:r w:rsidRPr="00BB09C5">
              <w:rPr>
                <w:rFonts w:eastAsia="Times New Roman" w:cstheme="minorHAnsi"/>
                <w:color w:val="000000"/>
              </w:rPr>
              <w:t>186</w:t>
            </w:r>
          </w:p>
        </w:tc>
        <w:tc>
          <w:tcPr>
            <w:tcW w:w="2011" w:type="dxa"/>
            <w:vAlign w:val="bottom"/>
          </w:tcPr>
          <w:p w14:paraId="6D843D52" w14:textId="0C86489E"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110</w:t>
            </w:r>
          </w:p>
        </w:tc>
      </w:tr>
      <w:tr w:rsidR="00AF0D07" w14:paraId="4DD14393" w14:textId="77777777" w:rsidTr="0081104F">
        <w:trPr>
          <w:cantSplit/>
        </w:trPr>
        <w:tc>
          <w:tcPr>
            <w:tcW w:w="3126" w:type="dxa"/>
            <w:vAlign w:val="bottom"/>
          </w:tcPr>
          <w:p w14:paraId="5DDC5668" w14:textId="169C88F4" w:rsidR="00AF0D07" w:rsidRDefault="00AF0D07" w:rsidP="00AF0D07">
            <w:pPr>
              <w:rPr>
                <w:rFonts w:cs="Times New Roman"/>
                <w:sz w:val="24"/>
                <w:szCs w:val="24"/>
              </w:rPr>
            </w:pPr>
            <w:r w:rsidRPr="00BB09C5">
              <w:rPr>
                <w:rFonts w:eastAsia="Times New Roman" w:cstheme="minorHAnsi"/>
                <w:color w:val="000000"/>
              </w:rPr>
              <w:t>Neurology</w:t>
            </w:r>
          </w:p>
        </w:tc>
        <w:tc>
          <w:tcPr>
            <w:tcW w:w="1637" w:type="dxa"/>
            <w:vAlign w:val="bottom"/>
          </w:tcPr>
          <w:p w14:paraId="68EBAFDE" w14:textId="0E3EAAEC" w:rsidR="00AF0D07" w:rsidRDefault="00AF0D07" w:rsidP="00AF0D07">
            <w:pPr>
              <w:jc w:val="center"/>
              <w:rPr>
                <w:rFonts w:eastAsia="Times New Roman" w:cstheme="minorHAnsi"/>
                <w:b/>
                <w:bCs/>
                <w:color w:val="000000"/>
              </w:rPr>
            </w:pPr>
            <w:r w:rsidRPr="00BB09C5">
              <w:rPr>
                <w:rFonts w:eastAsia="Times New Roman" w:cstheme="minorHAnsi"/>
                <w:color w:val="000000"/>
              </w:rPr>
              <w:t>82</w:t>
            </w:r>
          </w:p>
        </w:tc>
        <w:tc>
          <w:tcPr>
            <w:tcW w:w="1320" w:type="dxa"/>
            <w:vAlign w:val="bottom"/>
          </w:tcPr>
          <w:p w14:paraId="34C6BA8E" w14:textId="152FCEA4" w:rsidR="00AF0D07" w:rsidRDefault="00AF0D07" w:rsidP="00AF0D07">
            <w:pPr>
              <w:rPr>
                <w:rFonts w:cs="Times New Roman"/>
                <w:sz w:val="24"/>
                <w:szCs w:val="24"/>
              </w:rPr>
            </w:pPr>
            <w:r w:rsidRPr="00BB09C5">
              <w:rPr>
                <w:rFonts w:eastAsia="Times New Roman" w:cstheme="minorHAnsi"/>
                <w:color w:val="000000"/>
              </w:rPr>
              <w:t>78</w:t>
            </w:r>
          </w:p>
        </w:tc>
        <w:tc>
          <w:tcPr>
            <w:tcW w:w="1256" w:type="dxa"/>
            <w:vAlign w:val="bottom"/>
          </w:tcPr>
          <w:p w14:paraId="46EFAA6F" w14:textId="6617382D" w:rsidR="00AF0D07" w:rsidRDefault="00AF0D07" w:rsidP="00AF0D07">
            <w:pPr>
              <w:rPr>
                <w:rFonts w:cs="Times New Roman"/>
                <w:sz w:val="24"/>
                <w:szCs w:val="24"/>
              </w:rPr>
            </w:pPr>
            <w:r w:rsidRPr="00BB09C5">
              <w:rPr>
                <w:rFonts w:eastAsia="Times New Roman" w:cstheme="minorHAnsi"/>
                <w:color w:val="000000"/>
              </w:rPr>
              <w:t>163</w:t>
            </w:r>
          </w:p>
        </w:tc>
        <w:tc>
          <w:tcPr>
            <w:tcW w:w="2011" w:type="dxa"/>
            <w:vAlign w:val="bottom"/>
          </w:tcPr>
          <w:p w14:paraId="736A3DC9" w14:textId="23D304F2"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56</w:t>
            </w:r>
          </w:p>
        </w:tc>
      </w:tr>
      <w:tr w:rsidR="00AF0D07" w14:paraId="49BF15ED" w14:textId="77777777" w:rsidTr="0081104F">
        <w:trPr>
          <w:cantSplit/>
        </w:trPr>
        <w:tc>
          <w:tcPr>
            <w:tcW w:w="3126" w:type="dxa"/>
            <w:vAlign w:val="bottom"/>
          </w:tcPr>
          <w:p w14:paraId="3AEE1F25" w14:textId="71716F49" w:rsidR="00AF0D07" w:rsidRDefault="00AF0D07" w:rsidP="00AF0D07">
            <w:pPr>
              <w:rPr>
                <w:rFonts w:cs="Times New Roman"/>
                <w:sz w:val="24"/>
                <w:szCs w:val="24"/>
              </w:rPr>
            </w:pPr>
            <w:r w:rsidRPr="00BB09C5">
              <w:rPr>
                <w:rFonts w:eastAsia="Times New Roman" w:cstheme="minorHAnsi"/>
                <w:color w:val="000000"/>
              </w:rPr>
              <w:t>Pulmonology</w:t>
            </w:r>
          </w:p>
        </w:tc>
        <w:tc>
          <w:tcPr>
            <w:tcW w:w="1637" w:type="dxa"/>
            <w:vAlign w:val="bottom"/>
          </w:tcPr>
          <w:p w14:paraId="5C2D9001" w14:textId="27C72647" w:rsidR="00AF0D07" w:rsidRDefault="00AF0D07" w:rsidP="00AF0D07">
            <w:pPr>
              <w:jc w:val="center"/>
              <w:rPr>
                <w:rFonts w:eastAsia="Times New Roman" w:cstheme="minorHAnsi"/>
                <w:b/>
                <w:bCs/>
                <w:color w:val="000000"/>
              </w:rPr>
            </w:pPr>
            <w:r w:rsidRPr="00BB09C5">
              <w:rPr>
                <w:rFonts w:eastAsia="Times New Roman" w:cstheme="minorHAnsi"/>
                <w:color w:val="000000"/>
              </w:rPr>
              <w:t>144</w:t>
            </w:r>
          </w:p>
        </w:tc>
        <w:tc>
          <w:tcPr>
            <w:tcW w:w="1320" w:type="dxa"/>
            <w:vAlign w:val="bottom"/>
          </w:tcPr>
          <w:p w14:paraId="5AFA4DBA" w14:textId="1E1434DB" w:rsidR="00AF0D07" w:rsidRDefault="00AF0D07" w:rsidP="00AF0D07">
            <w:pPr>
              <w:rPr>
                <w:rFonts w:cs="Times New Roman"/>
                <w:sz w:val="24"/>
                <w:szCs w:val="24"/>
              </w:rPr>
            </w:pPr>
            <w:r w:rsidRPr="00BB09C5">
              <w:rPr>
                <w:rFonts w:eastAsia="Times New Roman" w:cstheme="minorHAnsi"/>
                <w:color w:val="000000"/>
              </w:rPr>
              <w:t>121</w:t>
            </w:r>
          </w:p>
        </w:tc>
        <w:tc>
          <w:tcPr>
            <w:tcW w:w="1256" w:type="dxa"/>
            <w:vAlign w:val="bottom"/>
          </w:tcPr>
          <w:p w14:paraId="4F84D0D4" w14:textId="083C7ED8" w:rsidR="00AF0D07" w:rsidRDefault="00AF0D07" w:rsidP="00AF0D07">
            <w:pPr>
              <w:rPr>
                <w:rFonts w:cs="Times New Roman"/>
                <w:sz w:val="24"/>
                <w:szCs w:val="24"/>
              </w:rPr>
            </w:pPr>
            <w:r w:rsidRPr="00BB09C5">
              <w:rPr>
                <w:rFonts w:eastAsia="Times New Roman" w:cstheme="minorHAnsi"/>
                <w:color w:val="000000"/>
              </w:rPr>
              <w:t>216</w:t>
            </w:r>
          </w:p>
        </w:tc>
        <w:tc>
          <w:tcPr>
            <w:tcW w:w="2011" w:type="dxa"/>
            <w:vAlign w:val="bottom"/>
          </w:tcPr>
          <w:p w14:paraId="354C4350" w14:textId="13DACA50"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88</w:t>
            </w:r>
          </w:p>
        </w:tc>
      </w:tr>
      <w:tr w:rsidR="00AF0D07" w14:paraId="454E8536" w14:textId="77777777" w:rsidTr="0081104F">
        <w:trPr>
          <w:cantSplit/>
        </w:trPr>
        <w:tc>
          <w:tcPr>
            <w:tcW w:w="3126" w:type="dxa"/>
            <w:vAlign w:val="bottom"/>
          </w:tcPr>
          <w:p w14:paraId="47DD0261" w14:textId="4B90081F" w:rsidR="00AF0D07" w:rsidRDefault="00AF0D07" w:rsidP="00AF0D07">
            <w:pPr>
              <w:rPr>
                <w:rFonts w:cs="Times New Roman"/>
                <w:sz w:val="24"/>
                <w:szCs w:val="24"/>
              </w:rPr>
            </w:pPr>
            <w:r w:rsidRPr="00BB09C5">
              <w:rPr>
                <w:rFonts w:eastAsia="Times New Roman" w:cstheme="minorHAnsi"/>
                <w:color w:val="000000"/>
              </w:rPr>
              <w:t>Rheumatology</w:t>
            </w:r>
          </w:p>
        </w:tc>
        <w:tc>
          <w:tcPr>
            <w:tcW w:w="1637" w:type="dxa"/>
            <w:vAlign w:val="bottom"/>
          </w:tcPr>
          <w:p w14:paraId="04B112F7" w14:textId="6F947BC7" w:rsidR="00AF0D07" w:rsidRDefault="00AF0D07" w:rsidP="00AF0D07">
            <w:pPr>
              <w:jc w:val="center"/>
              <w:rPr>
                <w:rFonts w:eastAsia="Times New Roman" w:cstheme="minorHAnsi"/>
                <w:b/>
                <w:bCs/>
                <w:color w:val="000000"/>
              </w:rPr>
            </w:pPr>
            <w:r w:rsidRPr="00BB09C5">
              <w:rPr>
                <w:rFonts w:eastAsia="Times New Roman" w:cstheme="minorHAnsi"/>
                <w:color w:val="000000"/>
              </w:rPr>
              <w:t>82</w:t>
            </w:r>
          </w:p>
        </w:tc>
        <w:tc>
          <w:tcPr>
            <w:tcW w:w="1320" w:type="dxa"/>
            <w:vAlign w:val="bottom"/>
          </w:tcPr>
          <w:p w14:paraId="18314B66" w14:textId="2E5D7E6D" w:rsidR="00AF0D07" w:rsidRDefault="00AF0D07" w:rsidP="00AF0D07">
            <w:pPr>
              <w:rPr>
                <w:rFonts w:cs="Times New Roman"/>
                <w:sz w:val="24"/>
                <w:szCs w:val="24"/>
              </w:rPr>
            </w:pPr>
            <w:r w:rsidRPr="00BB09C5">
              <w:rPr>
                <w:rFonts w:eastAsia="Times New Roman" w:cstheme="minorHAnsi"/>
                <w:color w:val="000000"/>
              </w:rPr>
              <w:t>78</w:t>
            </w:r>
          </w:p>
        </w:tc>
        <w:tc>
          <w:tcPr>
            <w:tcW w:w="1256" w:type="dxa"/>
            <w:vAlign w:val="bottom"/>
          </w:tcPr>
          <w:p w14:paraId="36264E57" w14:textId="53C7DC43" w:rsidR="00AF0D07" w:rsidRDefault="00AF0D07" w:rsidP="00AF0D07">
            <w:pPr>
              <w:rPr>
                <w:rFonts w:cs="Times New Roman"/>
                <w:sz w:val="24"/>
                <w:szCs w:val="24"/>
              </w:rPr>
            </w:pPr>
            <w:r w:rsidRPr="00BB09C5">
              <w:rPr>
                <w:rFonts w:eastAsia="Times New Roman" w:cstheme="minorHAnsi"/>
                <w:color w:val="000000"/>
              </w:rPr>
              <w:t>163</w:t>
            </w:r>
          </w:p>
        </w:tc>
        <w:tc>
          <w:tcPr>
            <w:tcW w:w="2011" w:type="dxa"/>
            <w:vAlign w:val="bottom"/>
          </w:tcPr>
          <w:p w14:paraId="7698219D" w14:textId="3559C6D0"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56</w:t>
            </w:r>
          </w:p>
        </w:tc>
      </w:tr>
      <w:tr w:rsidR="00AF0D07" w14:paraId="52DEFF13" w14:textId="77777777" w:rsidTr="0081104F">
        <w:trPr>
          <w:cantSplit/>
        </w:trPr>
        <w:tc>
          <w:tcPr>
            <w:tcW w:w="3126" w:type="dxa"/>
            <w:vAlign w:val="bottom"/>
          </w:tcPr>
          <w:p w14:paraId="5246E49E" w14:textId="502CF68C" w:rsidR="00AF0D07" w:rsidRDefault="00AF0D07" w:rsidP="00AF0D07">
            <w:pPr>
              <w:rPr>
                <w:rFonts w:cs="Times New Roman"/>
                <w:sz w:val="24"/>
                <w:szCs w:val="24"/>
              </w:rPr>
            </w:pPr>
            <w:r w:rsidRPr="00BB09C5">
              <w:rPr>
                <w:rFonts w:eastAsia="Times New Roman" w:cstheme="minorHAnsi"/>
                <w:color w:val="000000"/>
              </w:rPr>
              <w:t>Urology</w:t>
            </w:r>
          </w:p>
        </w:tc>
        <w:tc>
          <w:tcPr>
            <w:tcW w:w="1637" w:type="dxa"/>
            <w:vAlign w:val="bottom"/>
          </w:tcPr>
          <w:p w14:paraId="04BD5BA7" w14:textId="67FB42A8" w:rsidR="00AF0D07" w:rsidRDefault="00AF0D07" w:rsidP="00AF0D07">
            <w:pPr>
              <w:jc w:val="center"/>
              <w:rPr>
                <w:rFonts w:eastAsia="Times New Roman" w:cstheme="minorHAnsi"/>
                <w:b/>
                <w:bCs/>
                <w:color w:val="000000"/>
              </w:rPr>
            </w:pPr>
            <w:r w:rsidRPr="00BB09C5">
              <w:rPr>
                <w:rFonts w:eastAsia="Times New Roman" w:cstheme="minorHAnsi"/>
                <w:color w:val="000000"/>
              </w:rPr>
              <w:t>152</w:t>
            </w:r>
          </w:p>
        </w:tc>
        <w:tc>
          <w:tcPr>
            <w:tcW w:w="1320" w:type="dxa"/>
            <w:vAlign w:val="bottom"/>
          </w:tcPr>
          <w:p w14:paraId="6F71D428" w14:textId="2D391327" w:rsidR="00AF0D07" w:rsidRDefault="00AF0D07" w:rsidP="00AF0D07">
            <w:pPr>
              <w:rPr>
                <w:rFonts w:cs="Times New Roman"/>
                <w:sz w:val="24"/>
                <w:szCs w:val="24"/>
              </w:rPr>
            </w:pPr>
            <w:r w:rsidRPr="00BB09C5">
              <w:rPr>
                <w:rFonts w:eastAsia="Times New Roman" w:cstheme="minorHAnsi"/>
                <w:color w:val="000000"/>
              </w:rPr>
              <w:t>111</w:t>
            </w:r>
          </w:p>
        </w:tc>
        <w:tc>
          <w:tcPr>
            <w:tcW w:w="1256" w:type="dxa"/>
            <w:vAlign w:val="bottom"/>
          </w:tcPr>
          <w:p w14:paraId="7CE4EF19" w14:textId="01A09D22" w:rsidR="00AF0D07" w:rsidRDefault="00AF0D07" w:rsidP="00AF0D07">
            <w:pPr>
              <w:rPr>
                <w:rFonts w:cs="Times New Roman"/>
                <w:sz w:val="24"/>
                <w:szCs w:val="24"/>
              </w:rPr>
            </w:pPr>
            <w:r w:rsidRPr="00BB09C5">
              <w:rPr>
                <w:rFonts w:eastAsia="Times New Roman" w:cstheme="minorHAnsi"/>
                <w:color w:val="000000"/>
              </w:rPr>
              <w:t>149</w:t>
            </w:r>
          </w:p>
        </w:tc>
        <w:tc>
          <w:tcPr>
            <w:tcW w:w="2011" w:type="dxa"/>
            <w:vAlign w:val="bottom"/>
          </w:tcPr>
          <w:p w14:paraId="75B599ED" w14:textId="09B8CC4A" w:rsidR="00AF0D07" w:rsidRPr="00BB09C5" w:rsidRDefault="00AF0D07" w:rsidP="00AF0D07">
            <w:pPr>
              <w:jc w:val="center"/>
              <w:rPr>
                <w:rFonts w:eastAsia="Times New Roman" w:cstheme="minorHAnsi"/>
                <w:b/>
                <w:bCs/>
                <w:color w:val="000000"/>
              </w:rPr>
            </w:pPr>
            <w:r w:rsidRPr="00BB09C5">
              <w:rPr>
                <w:rFonts w:eastAsia="Times New Roman" w:cstheme="minorHAnsi"/>
                <w:color w:val="000000"/>
              </w:rPr>
              <w:t>81</w:t>
            </w:r>
          </w:p>
        </w:tc>
      </w:tr>
    </w:tbl>
    <w:p w14:paraId="67267315" w14:textId="77777777" w:rsidR="00AD52EB" w:rsidRDefault="00AD52EB" w:rsidP="00D41A52">
      <w:pPr>
        <w:rPr>
          <w:rFonts w:cs="Times New Roman"/>
          <w:sz w:val="24"/>
          <w:szCs w:val="24"/>
        </w:rPr>
      </w:pPr>
    </w:p>
    <w:p w14:paraId="48BE4C27" w14:textId="4AB6F01D" w:rsidR="005D6F81" w:rsidRDefault="766C400F" w:rsidP="00D41A52">
      <w:pPr>
        <w:rPr>
          <w:rFonts w:cs="Times New Roman"/>
          <w:sz w:val="24"/>
          <w:szCs w:val="24"/>
        </w:rPr>
      </w:pPr>
      <w:r w:rsidRPr="42BA5131">
        <w:rPr>
          <w:rFonts w:cs="Times New Roman"/>
          <w:sz w:val="24"/>
          <w:szCs w:val="24"/>
        </w:rPr>
        <w:t>The Cordage Park Satellite is expected to improve health outcomes, patient satisfaction, and quality of life by providing timely access to outpatient hematology-oncology and infusion services in a lower-cost</w:t>
      </w:r>
      <w:r w:rsidR="00886427">
        <w:rPr>
          <w:rStyle w:val="FootnoteReference"/>
          <w:rFonts w:cs="Times New Roman"/>
          <w:sz w:val="24"/>
          <w:szCs w:val="24"/>
        </w:rPr>
        <w:footnoteReference w:id="28"/>
      </w:r>
      <w:r w:rsidRPr="42BA5131">
        <w:rPr>
          <w:rFonts w:cs="Times New Roman"/>
          <w:sz w:val="24"/>
          <w:szCs w:val="24"/>
        </w:rPr>
        <w:t xml:space="preserve"> setting. </w:t>
      </w:r>
      <w:r w:rsidRPr="42BA5131">
        <w:rPr>
          <w:rFonts w:eastAsia="Calibri" w:cs="Times New Roman"/>
          <w:sz w:val="24"/>
          <w:szCs w:val="24"/>
        </w:rPr>
        <w:t xml:space="preserve">The Applicant will maximize clinical and operational efficiencies through the use of dedicated cancer staff and streamlined overhead costs. The Quincy Satellite will allow for consolidation of the services currently provided through the </w:t>
      </w:r>
      <w:r w:rsidRPr="42BA5131">
        <w:rPr>
          <w:rFonts w:eastAsia="Calibri" w:cs="Times New Roman"/>
          <w:sz w:val="24"/>
          <w:szCs w:val="24"/>
        </w:rPr>
        <w:lastRenderedPageBreak/>
        <w:t xml:space="preserve">Quincy Square site, resulting in reduced lease and operating expenses. </w:t>
      </w:r>
      <w:r w:rsidR="0025726D" w:rsidRPr="0025726D">
        <w:rPr>
          <w:rFonts w:cs="Times New Roman"/>
          <w:sz w:val="24"/>
          <w:szCs w:val="24"/>
        </w:rPr>
        <w:t xml:space="preserve">The Proposed Project seeks to expand </w:t>
      </w:r>
      <w:r w:rsidR="00445336">
        <w:rPr>
          <w:rFonts w:cs="Times New Roman"/>
          <w:sz w:val="24"/>
          <w:szCs w:val="24"/>
        </w:rPr>
        <w:t xml:space="preserve">availability and support </w:t>
      </w:r>
      <w:r w:rsidR="0025726D" w:rsidRPr="0025726D">
        <w:rPr>
          <w:rFonts w:cs="Times New Roman"/>
          <w:sz w:val="24"/>
          <w:szCs w:val="24"/>
        </w:rPr>
        <w:t xml:space="preserve">access </w:t>
      </w:r>
      <w:r w:rsidR="00445336">
        <w:rPr>
          <w:rFonts w:cs="Times New Roman"/>
          <w:sz w:val="24"/>
          <w:szCs w:val="24"/>
        </w:rPr>
        <w:t xml:space="preserve">to appropriate and necessary care </w:t>
      </w:r>
      <w:r w:rsidR="005D6F81">
        <w:rPr>
          <w:rFonts w:cs="Times New Roman"/>
          <w:sz w:val="24"/>
          <w:szCs w:val="24"/>
        </w:rPr>
        <w:t>for</w:t>
      </w:r>
      <w:r w:rsidR="0025726D" w:rsidRPr="0025726D">
        <w:rPr>
          <w:rFonts w:cs="Times New Roman"/>
          <w:sz w:val="24"/>
          <w:szCs w:val="24"/>
        </w:rPr>
        <w:t xml:space="preserve"> patients</w:t>
      </w:r>
      <w:r w:rsidR="00E53EDC">
        <w:rPr>
          <w:rFonts w:cs="Times New Roman"/>
          <w:sz w:val="24"/>
          <w:szCs w:val="24"/>
        </w:rPr>
        <w:t>.</w:t>
      </w:r>
      <w:r w:rsidR="0025726D" w:rsidRPr="0025726D">
        <w:rPr>
          <w:rFonts w:cs="Times New Roman"/>
          <w:sz w:val="24"/>
          <w:szCs w:val="24"/>
        </w:rPr>
        <w:t xml:space="preserve"> </w:t>
      </w:r>
    </w:p>
    <w:p w14:paraId="060E72A1" w14:textId="52E92D00" w:rsidR="00BB7632" w:rsidRPr="00F54301" w:rsidRDefault="00BB7632" w:rsidP="00CD77DD">
      <w:pPr>
        <w:widowControl w:val="0"/>
        <w:spacing w:after="0" w:line="240" w:lineRule="auto"/>
        <w:rPr>
          <w:sz w:val="24"/>
          <w:szCs w:val="24"/>
        </w:rPr>
      </w:pPr>
    </w:p>
    <w:p w14:paraId="4CB620D7" w14:textId="77777777" w:rsidR="00910898" w:rsidRPr="00F54301" w:rsidRDefault="003E1CDA" w:rsidP="00910898">
      <w:pPr>
        <w:spacing w:after="0" w:line="240" w:lineRule="auto"/>
        <w:rPr>
          <w:b/>
          <w:bCs/>
          <w:i/>
          <w:iCs/>
          <w:sz w:val="24"/>
          <w:szCs w:val="24"/>
        </w:rPr>
      </w:pPr>
      <w:r w:rsidRPr="00F54301">
        <w:rPr>
          <w:b/>
          <w:bCs/>
          <w:i/>
          <w:iCs/>
          <w:sz w:val="24"/>
          <w:szCs w:val="24"/>
        </w:rPr>
        <w:t>Analysis: Cost Containment</w:t>
      </w:r>
    </w:p>
    <w:p w14:paraId="60986E5C" w14:textId="18293D5F" w:rsidR="003E1CDA" w:rsidRPr="00F54301" w:rsidRDefault="00497002" w:rsidP="003815A0">
      <w:pPr>
        <w:spacing w:after="0" w:line="240" w:lineRule="auto"/>
        <w:contextualSpacing/>
        <w:rPr>
          <w:sz w:val="24"/>
          <w:szCs w:val="24"/>
        </w:rPr>
      </w:pPr>
      <w:r w:rsidRPr="0BE6365F">
        <w:rPr>
          <w:sz w:val="24"/>
          <w:szCs w:val="24"/>
        </w:rPr>
        <w:t xml:space="preserve">The Proposed </w:t>
      </w:r>
      <w:r w:rsidR="001665B1" w:rsidRPr="0BE6365F">
        <w:rPr>
          <w:sz w:val="24"/>
          <w:szCs w:val="24"/>
        </w:rPr>
        <w:t>Project has the potential to achieve cost containment goals</w:t>
      </w:r>
      <w:r w:rsidR="0057706F" w:rsidRPr="0BE6365F">
        <w:rPr>
          <w:sz w:val="24"/>
          <w:szCs w:val="24"/>
        </w:rPr>
        <w:t xml:space="preserve"> by </w:t>
      </w:r>
      <w:r w:rsidRPr="0BE6365F">
        <w:rPr>
          <w:sz w:val="24"/>
          <w:szCs w:val="24"/>
        </w:rPr>
        <w:t xml:space="preserve">providing lower cost </w:t>
      </w:r>
      <w:r w:rsidR="003F7401" w:rsidRPr="0BE6365F">
        <w:rPr>
          <w:sz w:val="24"/>
          <w:szCs w:val="24"/>
        </w:rPr>
        <w:t>specialty services in a geographically convenient location</w:t>
      </w:r>
      <w:r w:rsidR="00AC14B0" w:rsidRPr="0BE6365F">
        <w:rPr>
          <w:sz w:val="24"/>
          <w:szCs w:val="24"/>
        </w:rPr>
        <w:t>s for patients</w:t>
      </w:r>
      <w:r w:rsidR="004E727C" w:rsidRPr="0BE6365F">
        <w:rPr>
          <w:sz w:val="24"/>
          <w:szCs w:val="24"/>
        </w:rPr>
        <w:t>.</w:t>
      </w:r>
      <w:r w:rsidR="00DE146E">
        <w:rPr>
          <w:sz w:val="24"/>
          <w:szCs w:val="24"/>
        </w:rPr>
        <w:t xml:space="preserve"> </w:t>
      </w:r>
      <w:r w:rsidR="00DE146E" w:rsidRPr="003B6DBD">
        <w:rPr>
          <w:sz w:val="24"/>
          <w:szCs w:val="24"/>
        </w:rPr>
        <w:t xml:space="preserve">The data provided by the Applicant does not specifically identify a way that the </w:t>
      </w:r>
      <w:r w:rsidR="00DE146E">
        <w:rPr>
          <w:sz w:val="24"/>
          <w:szCs w:val="24"/>
        </w:rPr>
        <w:t>P</w:t>
      </w:r>
      <w:r w:rsidR="00DE146E" w:rsidRPr="003B6DBD">
        <w:rPr>
          <w:sz w:val="24"/>
          <w:szCs w:val="24"/>
        </w:rPr>
        <w:t xml:space="preserve">roposed </w:t>
      </w:r>
      <w:r w:rsidR="00DE146E">
        <w:rPr>
          <w:sz w:val="24"/>
          <w:szCs w:val="24"/>
        </w:rPr>
        <w:t>P</w:t>
      </w:r>
      <w:r w:rsidR="00DE146E" w:rsidRPr="003B6DBD">
        <w:rPr>
          <w:sz w:val="24"/>
          <w:szCs w:val="24"/>
        </w:rPr>
        <w:t xml:space="preserve">roject will </w:t>
      </w:r>
      <w:r w:rsidR="00DE146E">
        <w:rPr>
          <w:sz w:val="24"/>
          <w:szCs w:val="24"/>
        </w:rPr>
        <w:t xml:space="preserve">meet cost containment </w:t>
      </w:r>
      <w:r w:rsidR="00894D8C">
        <w:rPr>
          <w:sz w:val="24"/>
          <w:szCs w:val="24"/>
        </w:rPr>
        <w:t>goals</w:t>
      </w:r>
      <w:r w:rsidR="00DE146E" w:rsidRPr="003B6DBD">
        <w:rPr>
          <w:sz w:val="24"/>
          <w:szCs w:val="24"/>
        </w:rPr>
        <w:t xml:space="preserve"> compared to the current arrangement of services and </w:t>
      </w:r>
      <w:r w:rsidR="7E903AB5" w:rsidRPr="0BE6365F">
        <w:rPr>
          <w:sz w:val="24"/>
          <w:szCs w:val="24"/>
        </w:rPr>
        <w:t xml:space="preserve">therefore the Department </w:t>
      </w:r>
      <w:r w:rsidR="00DE146E" w:rsidRPr="0BE6365F">
        <w:rPr>
          <w:sz w:val="24"/>
          <w:szCs w:val="24"/>
        </w:rPr>
        <w:t>ha</w:t>
      </w:r>
      <w:r w:rsidR="5E73108C" w:rsidRPr="0BE6365F">
        <w:rPr>
          <w:sz w:val="24"/>
          <w:szCs w:val="24"/>
        </w:rPr>
        <w:t>s</w:t>
      </w:r>
      <w:r w:rsidR="00DE146E" w:rsidRPr="003B6DBD">
        <w:rPr>
          <w:sz w:val="24"/>
          <w:szCs w:val="24"/>
        </w:rPr>
        <w:t xml:space="preserve"> implemented Condition </w:t>
      </w:r>
      <w:r w:rsidR="00DE146E">
        <w:rPr>
          <w:sz w:val="24"/>
          <w:szCs w:val="24"/>
        </w:rPr>
        <w:t>3</w:t>
      </w:r>
      <w:r w:rsidR="00DE146E" w:rsidRPr="003B6DBD">
        <w:rPr>
          <w:sz w:val="24"/>
          <w:szCs w:val="24"/>
        </w:rPr>
        <w:t xml:space="preserve"> to monitor specific future costs</w:t>
      </w:r>
      <w:r w:rsidR="00C12878" w:rsidRPr="00F54301">
        <w:rPr>
          <w:sz w:val="24"/>
          <w:szCs w:val="24"/>
        </w:rPr>
        <w:t>.</w:t>
      </w:r>
    </w:p>
    <w:p w14:paraId="3C01249E" w14:textId="77777777" w:rsidR="00910898" w:rsidRPr="00185FBE" w:rsidRDefault="00910898" w:rsidP="00151D86">
      <w:pPr>
        <w:spacing w:line="240" w:lineRule="auto"/>
        <w:rPr>
          <w:rFonts w:cstheme="minorHAnsi"/>
          <w:sz w:val="24"/>
          <w:szCs w:val="24"/>
          <w:highlight w:val="yellow"/>
        </w:rPr>
      </w:pPr>
    </w:p>
    <w:p w14:paraId="60B81E73" w14:textId="53047A36" w:rsidR="003E1CDA" w:rsidRPr="00855572" w:rsidRDefault="003E1CDA" w:rsidP="00151D86">
      <w:pPr>
        <w:spacing w:after="0" w:line="240" w:lineRule="auto"/>
        <w:rPr>
          <w:rFonts w:cstheme="minorHAnsi"/>
          <w:b/>
          <w:bCs/>
          <w:sz w:val="24"/>
          <w:szCs w:val="24"/>
        </w:rPr>
      </w:pPr>
      <w:r w:rsidRPr="00855572">
        <w:rPr>
          <w:rFonts w:cstheme="minorHAnsi"/>
          <w:b/>
          <w:bCs/>
          <w:sz w:val="24"/>
          <w:szCs w:val="24"/>
        </w:rPr>
        <w:t>Improved Public Health Outcomes</w:t>
      </w:r>
      <w:r w:rsidR="008C3357" w:rsidRPr="00855572">
        <w:rPr>
          <w:rFonts w:cstheme="minorHAnsi"/>
          <w:b/>
          <w:bCs/>
          <w:sz w:val="24"/>
          <w:szCs w:val="24"/>
        </w:rPr>
        <w:t xml:space="preserve"> </w:t>
      </w:r>
    </w:p>
    <w:p w14:paraId="7E7950BA" w14:textId="0D95B8A4" w:rsidR="00855572" w:rsidRPr="00855572" w:rsidRDefault="00855572" w:rsidP="00855572">
      <w:pPr>
        <w:rPr>
          <w:rFonts w:cs="Times New Roman"/>
          <w:sz w:val="24"/>
          <w:szCs w:val="24"/>
        </w:rPr>
      </w:pPr>
      <w:r w:rsidRPr="00855572">
        <w:rPr>
          <w:rFonts w:cs="Times New Roman"/>
          <w:sz w:val="24"/>
          <w:szCs w:val="24"/>
        </w:rPr>
        <w:t xml:space="preserve">The Applicant asserts that the Proposed Project will improve public health outcomes by providing local access to convenient outpatient hematology-oncology, infusion, primary and specialty care, urgent care, lab, and diagnostic imaging services in the communities that are being served. The </w:t>
      </w:r>
      <w:r w:rsidR="00BA303F">
        <w:rPr>
          <w:rFonts w:cs="Times New Roman"/>
          <w:sz w:val="24"/>
          <w:szCs w:val="24"/>
        </w:rPr>
        <w:t>Satellites</w:t>
      </w:r>
      <w:r w:rsidRPr="00855572">
        <w:rPr>
          <w:rFonts w:cs="Times New Roman"/>
          <w:sz w:val="24"/>
          <w:szCs w:val="24"/>
        </w:rPr>
        <w:t xml:space="preserve"> will expand capacity for hematology-oncology services, including physician consultation, and chemotherapy and infusion services, to be performed in the community. </w:t>
      </w:r>
      <w:r>
        <w:rPr>
          <w:rFonts w:cs="Times New Roman"/>
          <w:sz w:val="24"/>
          <w:szCs w:val="24"/>
        </w:rPr>
        <w:t>T</w:t>
      </w:r>
      <w:r w:rsidRPr="00855572">
        <w:rPr>
          <w:rFonts w:cs="Times New Roman"/>
          <w:sz w:val="24"/>
          <w:szCs w:val="24"/>
        </w:rPr>
        <w:t xml:space="preserve">he Proposed Project will </w:t>
      </w:r>
      <w:r>
        <w:rPr>
          <w:rFonts w:cs="Times New Roman"/>
          <w:sz w:val="24"/>
          <w:szCs w:val="24"/>
        </w:rPr>
        <w:t xml:space="preserve">also </w:t>
      </w:r>
      <w:r w:rsidR="00520318">
        <w:rPr>
          <w:rFonts w:cs="Times New Roman"/>
          <w:sz w:val="24"/>
          <w:szCs w:val="24"/>
        </w:rPr>
        <w:t xml:space="preserve">support local </w:t>
      </w:r>
      <w:r w:rsidRPr="00855572">
        <w:rPr>
          <w:rFonts w:cs="Times New Roman"/>
          <w:sz w:val="24"/>
          <w:szCs w:val="24"/>
        </w:rPr>
        <w:t>clinical offerings</w:t>
      </w:r>
      <w:r w:rsidR="00520318">
        <w:rPr>
          <w:rFonts w:cs="Times New Roman"/>
          <w:sz w:val="24"/>
          <w:szCs w:val="24"/>
        </w:rPr>
        <w:t xml:space="preserve"> in the Satellite regions, including</w:t>
      </w:r>
      <w:r w:rsidRPr="00855572">
        <w:rPr>
          <w:rFonts w:cs="Times New Roman"/>
          <w:sz w:val="24"/>
          <w:szCs w:val="24"/>
        </w:rPr>
        <w:t xml:space="preserve"> oncology clinical trials, infusion treatments and sub-specialized oncology physicians from BIDMC. </w:t>
      </w:r>
      <w:r w:rsidR="00520318">
        <w:rPr>
          <w:rFonts w:cs="Times New Roman"/>
          <w:sz w:val="24"/>
          <w:szCs w:val="24"/>
        </w:rPr>
        <w:t xml:space="preserve">Additionally, the </w:t>
      </w:r>
      <w:r w:rsidR="00A76700">
        <w:rPr>
          <w:rFonts w:cs="Times New Roman"/>
          <w:sz w:val="24"/>
          <w:szCs w:val="24"/>
        </w:rPr>
        <w:t xml:space="preserve">Satellites </w:t>
      </w:r>
      <w:r w:rsidR="00EC6ED8">
        <w:rPr>
          <w:rFonts w:cs="Times New Roman"/>
          <w:sz w:val="24"/>
          <w:szCs w:val="24"/>
        </w:rPr>
        <w:t xml:space="preserve">are expected </w:t>
      </w:r>
      <w:r w:rsidR="001A10E2">
        <w:rPr>
          <w:rFonts w:cs="Times New Roman"/>
          <w:sz w:val="24"/>
          <w:szCs w:val="24"/>
        </w:rPr>
        <w:t>to maintain</w:t>
      </w:r>
      <w:r w:rsidR="00A76700" w:rsidRPr="00A76700">
        <w:rPr>
          <w:rFonts w:cs="Times New Roman"/>
          <w:sz w:val="24"/>
          <w:szCs w:val="24"/>
        </w:rPr>
        <w:t xml:space="preserve"> access to complex, high-cost pharmaceutical infusion treatments and sub-specialized physicians from BIDMC that would not be available if the Satellites were licensed under the local hospitals. </w:t>
      </w:r>
      <w:r w:rsidRPr="00855572">
        <w:rPr>
          <w:rFonts w:cs="Times New Roman"/>
          <w:sz w:val="24"/>
          <w:szCs w:val="24"/>
        </w:rPr>
        <w:t xml:space="preserve">This </w:t>
      </w:r>
      <w:r>
        <w:rPr>
          <w:rFonts w:cs="Times New Roman"/>
          <w:sz w:val="24"/>
          <w:szCs w:val="24"/>
        </w:rPr>
        <w:t xml:space="preserve">is predicted to </w:t>
      </w:r>
      <w:r w:rsidR="005A4D79">
        <w:rPr>
          <w:rFonts w:cs="Times New Roman"/>
          <w:sz w:val="24"/>
          <w:szCs w:val="24"/>
        </w:rPr>
        <w:t>enhance</w:t>
      </w:r>
      <w:r w:rsidRPr="00855572">
        <w:rPr>
          <w:rFonts w:cs="Times New Roman"/>
          <w:sz w:val="24"/>
          <w:szCs w:val="24"/>
        </w:rPr>
        <w:t xml:space="preserve"> the patient experience by allowing for local access to hematology-oncology services with shorter wait times for appointments and procedures in a non-hospital-based setting. This local, timely access </w:t>
      </w:r>
      <w:r w:rsidR="005A4D79">
        <w:rPr>
          <w:rFonts w:cs="Times New Roman"/>
          <w:sz w:val="24"/>
          <w:szCs w:val="24"/>
        </w:rPr>
        <w:t>is expected</w:t>
      </w:r>
      <w:r w:rsidRPr="00855572">
        <w:rPr>
          <w:rFonts w:cs="Times New Roman"/>
          <w:sz w:val="24"/>
          <w:szCs w:val="24"/>
        </w:rPr>
        <w:t xml:space="preserve"> to improve patient satisfaction</w:t>
      </w:r>
      <w:r w:rsidR="005A4D79">
        <w:rPr>
          <w:rFonts w:cs="Times New Roman"/>
          <w:sz w:val="24"/>
          <w:szCs w:val="24"/>
        </w:rPr>
        <w:t xml:space="preserve">, and </w:t>
      </w:r>
      <w:r w:rsidRPr="00855572">
        <w:rPr>
          <w:rFonts w:cs="Times New Roman"/>
          <w:sz w:val="24"/>
          <w:szCs w:val="24"/>
        </w:rPr>
        <w:t xml:space="preserve">patient outcomes. </w:t>
      </w:r>
    </w:p>
    <w:p w14:paraId="09170416" w14:textId="151D7497" w:rsidR="00910898" w:rsidRPr="00185FBE" w:rsidRDefault="00910898" w:rsidP="00151D86">
      <w:pPr>
        <w:spacing w:after="0" w:line="240" w:lineRule="auto"/>
        <w:rPr>
          <w:b/>
          <w:bCs/>
          <w:sz w:val="24"/>
          <w:szCs w:val="24"/>
          <w:highlight w:val="yellow"/>
        </w:rPr>
      </w:pPr>
    </w:p>
    <w:p w14:paraId="1E443B61" w14:textId="264A3D1B" w:rsidR="003E1CDA" w:rsidRPr="00CC3C68" w:rsidRDefault="0022028B" w:rsidP="000E6F21">
      <w:pPr>
        <w:spacing w:after="0" w:line="240" w:lineRule="auto"/>
        <w:rPr>
          <w:b/>
          <w:bCs/>
          <w:sz w:val="24"/>
          <w:szCs w:val="24"/>
        </w:rPr>
      </w:pPr>
      <w:r w:rsidRPr="00CC3C68">
        <w:rPr>
          <w:b/>
          <w:bCs/>
          <w:sz w:val="24"/>
          <w:szCs w:val="24"/>
        </w:rPr>
        <w:t>A</w:t>
      </w:r>
      <w:r w:rsidR="003E1CDA" w:rsidRPr="00CC3C68">
        <w:rPr>
          <w:b/>
          <w:bCs/>
          <w:sz w:val="24"/>
          <w:szCs w:val="24"/>
        </w:rPr>
        <w:t>nalysis: Public Health Outcomes</w:t>
      </w:r>
    </w:p>
    <w:p w14:paraId="24A46422" w14:textId="08063EA6" w:rsidR="00F13A0C" w:rsidRPr="004E5550" w:rsidRDefault="009F5D5A" w:rsidP="000E6F21">
      <w:pPr>
        <w:spacing w:after="0" w:line="240" w:lineRule="auto"/>
        <w:rPr>
          <w:rFonts w:cstheme="minorHAnsi"/>
          <w:sz w:val="24"/>
          <w:szCs w:val="24"/>
        </w:rPr>
      </w:pPr>
      <w:r w:rsidRPr="004E5550">
        <w:rPr>
          <w:rFonts w:cstheme="minorHAnsi"/>
          <w:sz w:val="24"/>
          <w:szCs w:val="24"/>
        </w:rPr>
        <w:t xml:space="preserve">Staff finds </w:t>
      </w:r>
      <w:r w:rsidR="00520318">
        <w:rPr>
          <w:rFonts w:cstheme="minorHAnsi"/>
          <w:sz w:val="24"/>
          <w:szCs w:val="24"/>
        </w:rPr>
        <w:t>the Applicant demonstrated the</w:t>
      </w:r>
      <w:r w:rsidR="00A46AE5" w:rsidRPr="004E5550">
        <w:rPr>
          <w:rFonts w:cstheme="minorHAnsi"/>
          <w:sz w:val="24"/>
          <w:szCs w:val="24"/>
        </w:rPr>
        <w:t xml:space="preserve"> </w:t>
      </w:r>
      <w:r w:rsidR="00520318">
        <w:rPr>
          <w:rFonts w:cstheme="minorHAnsi"/>
          <w:sz w:val="24"/>
          <w:szCs w:val="24"/>
        </w:rPr>
        <w:t xml:space="preserve">locations </w:t>
      </w:r>
      <w:r w:rsidR="00325CE9">
        <w:rPr>
          <w:rFonts w:cstheme="minorHAnsi"/>
          <w:sz w:val="24"/>
          <w:szCs w:val="24"/>
        </w:rPr>
        <w:t xml:space="preserve">of the Satellites </w:t>
      </w:r>
      <w:r w:rsidR="00520318">
        <w:rPr>
          <w:rFonts w:cstheme="minorHAnsi"/>
          <w:sz w:val="24"/>
          <w:szCs w:val="24"/>
        </w:rPr>
        <w:t xml:space="preserve">support </w:t>
      </w:r>
      <w:r w:rsidR="00180871" w:rsidRPr="004E5550">
        <w:rPr>
          <w:rFonts w:cstheme="minorHAnsi"/>
          <w:sz w:val="24"/>
          <w:szCs w:val="24"/>
        </w:rPr>
        <w:t>timely access to care and</w:t>
      </w:r>
      <w:r w:rsidR="00F13A0C" w:rsidRPr="004E5550">
        <w:rPr>
          <w:rFonts w:cstheme="minorHAnsi"/>
          <w:sz w:val="24"/>
          <w:szCs w:val="24"/>
        </w:rPr>
        <w:t xml:space="preserve"> avoid delays</w:t>
      </w:r>
      <w:r w:rsidR="00E644D7" w:rsidRPr="004E5550">
        <w:rPr>
          <w:rFonts w:cstheme="minorHAnsi"/>
          <w:sz w:val="24"/>
          <w:szCs w:val="24"/>
        </w:rPr>
        <w:t xml:space="preserve"> in treatment that can adversely impact health outcomes</w:t>
      </w:r>
      <w:r w:rsidR="005B5F98" w:rsidRPr="004E5550">
        <w:rPr>
          <w:rFonts w:cstheme="minorHAnsi"/>
          <w:sz w:val="24"/>
          <w:szCs w:val="24"/>
        </w:rPr>
        <w:t xml:space="preserve">. </w:t>
      </w:r>
      <w:r w:rsidR="00520318">
        <w:rPr>
          <w:rFonts w:cstheme="minorHAnsi"/>
          <w:sz w:val="24"/>
          <w:szCs w:val="24"/>
        </w:rPr>
        <w:t>The Satellites</w:t>
      </w:r>
      <w:r w:rsidR="00C87568" w:rsidRPr="004E5550">
        <w:rPr>
          <w:rFonts w:cstheme="minorHAnsi"/>
          <w:sz w:val="24"/>
          <w:szCs w:val="24"/>
        </w:rPr>
        <w:t xml:space="preserve"> </w:t>
      </w:r>
      <w:r w:rsidR="0073204F">
        <w:rPr>
          <w:rFonts w:cstheme="minorHAnsi"/>
          <w:sz w:val="24"/>
          <w:szCs w:val="24"/>
        </w:rPr>
        <w:t xml:space="preserve">are anticipated to </w:t>
      </w:r>
      <w:r w:rsidR="00C87568" w:rsidRPr="004E5550">
        <w:rPr>
          <w:rFonts w:cstheme="minorHAnsi"/>
          <w:sz w:val="24"/>
          <w:szCs w:val="24"/>
        </w:rPr>
        <w:t xml:space="preserve">serve the </w:t>
      </w:r>
      <w:r w:rsidR="00D42E68" w:rsidRPr="004E5550">
        <w:rPr>
          <w:rFonts w:cstheme="minorHAnsi"/>
          <w:sz w:val="24"/>
          <w:szCs w:val="24"/>
        </w:rPr>
        <w:t xml:space="preserve">current volume of </w:t>
      </w:r>
      <w:r w:rsidR="00CC3C68" w:rsidRPr="004E5550">
        <w:rPr>
          <w:rFonts w:cstheme="minorHAnsi"/>
          <w:sz w:val="24"/>
          <w:szCs w:val="24"/>
        </w:rPr>
        <w:t xml:space="preserve">patients </w:t>
      </w:r>
      <w:r w:rsidR="004E5550" w:rsidRPr="004E5550">
        <w:rPr>
          <w:rFonts w:cstheme="minorHAnsi"/>
          <w:sz w:val="24"/>
          <w:szCs w:val="24"/>
        </w:rPr>
        <w:t xml:space="preserve">in need of specialty services, </w:t>
      </w:r>
      <w:r w:rsidR="003B39F5" w:rsidRPr="004E5550">
        <w:rPr>
          <w:rFonts w:cstheme="minorHAnsi"/>
          <w:sz w:val="24"/>
          <w:szCs w:val="24"/>
        </w:rPr>
        <w:t xml:space="preserve">as well as </w:t>
      </w:r>
      <w:r w:rsidR="0073204F">
        <w:rPr>
          <w:rFonts w:cstheme="minorHAnsi"/>
          <w:sz w:val="24"/>
          <w:szCs w:val="24"/>
        </w:rPr>
        <w:t xml:space="preserve">meet </w:t>
      </w:r>
      <w:r w:rsidR="003B39F5" w:rsidRPr="004E5550">
        <w:rPr>
          <w:rFonts w:cstheme="minorHAnsi"/>
          <w:sz w:val="24"/>
          <w:szCs w:val="24"/>
        </w:rPr>
        <w:t xml:space="preserve">the growing needs of the community. </w:t>
      </w:r>
      <w:r w:rsidR="00F13A0C" w:rsidRPr="004E5550">
        <w:rPr>
          <w:rFonts w:cstheme="minorHAnsi"/>
          <w:sz w:val="24"/>
          <w:szCs w:val="24"/>
        </w:rPr>
        <w:t>Therefore, DoN Staff can conclude that the Proposed Project will likely meet the Public Health Outcomes component of Factor 2.</w:t>
      </w:r>
    </w:p>
    <w:p w14:paraId="2A24C433" w14:textId="77777777" w:rsidR="007D53F6" w:rsidRPr="00185FBE" w:rsidRDefault="007D53F6" w:rsidP="003E1CDA">
      <w:pPr>
        <w:spacing w:line="240" w:lineRule="auto"/>
        <w:rPr>
          <w:b/>
          <w:bCs/>
          <w:sz w:val="24"/>
          <w:szCs w:val="24"/>
          <w:highlight w:val="yellow"/>
        </w:rPr>
      </w:pPr>
    </w:p>
    <w:p w14:paraId="3B0953A6" w14:textId="647641F7" w:rsidR="0022028B" w:rsidRPr="00D06226" w:rsidRDefault="00B134DF" w:rsidP="000E6F21">
      <w:pPr>
        <w:spacing w:after="0" w:line="240" w:lineRule="auto"/>
        <w:rPr>
          <w:b/>
          <w:bCs/>
          <w:sz w:val="24"/>
          <w:szCs w:val="24"/>
        </w:rPr>
      </w:pPr>
      <w:r w:rsidRPr="00D06226">
        <w:rPr>
          <w:b/>
          <w:bCs/>
          <w:sz w:val="24"/>
          <w:szCs w:val="24"/>
        </w:rPr>
        <w:t>D</w:t>
      </w:r>
      <w:r w:rsidR="003E1CDA" w:rsidRPr="00D06226">
        <w:rPr>
          <w:b/>
          <w:bCs/>
          <w:sz w:val="24"/>
          <w:szCs w:val="24"/>
        </w:rPr>
        <w:t>elivery System Transformation</w:t>
      </w:r>
    </w:p>
    <w:p w14:paraId="360135BD" w14:textId="35B99741" w:rsidR="00D06226" w:rsidRPr="00D06226" w:rsidRDefault="00D06226" w:rsidP="00D06226">
      <w:pPr>
        <w:tabs>
          <w:tab w:val="left" w:pos="1440"/>
        </w:tabs>
        <w:autoSpaceDE w:val="0"/>
        <w:autoSpaceDN w:val="0"/>
        <w:adjustRightInd w:val="0"/>
        <w:spacing w:after="0" w:line="240" w:lineRule="auto"/>
        <w:rPr>
          <w:rFonts w:cs="Times New Roman"/>
          <w:kern w:val="2"/>
          <w:sz w:val="24"/>
          <w:szCs w:val="24"/>
        </w:rPr>
      </w:pPr>
      <w:r w:rsidRPr="00D06226">
        <w:rPr>
          <w:rFonts w:cs="Times New Roman"/>
          <w:kern w:val="2"/>
          <w:sz w:val="24"/>
          <w:szCs w:val="24"/>
        </w:rPr>
        <w:t xml:space="preserve">The Applicant will collaborate with patients and primary care providers to ensure patients are linked to </w:t>
      </w:r>
      <w:r w:rsidR="007916DE" w:rsidRPr="6CBA5896">
        <w:rPr>
          <w:rFonts w:cs="Times New Roman"/>
          <w:sz w:val="24"/>
          <w:szCs w:val="24"/>
        </w:rPr>
        <w:t xml:space="preserve">appropriate </w:t>
      </w:r>
      <w:r w:rsidRPr="00D06226">
        <w:rPr>
          <w:rFonts w:cs="Times New Roman"/>
          <w:kern w:val="2"/>
          <w:sz w:val="24"/>
          <w:szCs w:val="24"/>
        </w:rPr>
        <w:t>social service organizations</w:t>
      </w:r>
      <w:r w:rsidR="004748E1" w:rsidRPr="6CBA5896">
        <w:rPr>
          <w:rFonts w:cs="Times New Roman"/>
          <w:sz w:val="24"/>
          <w:szCs w:val="24"/>
        </w:rPr>
        <w:t xml:space="preserve">. The Applicant plans to </w:t>
      </w:r>
      <w:r w:rsidR="007916DE" w:rsidRPr="6CBA5896">
        <w:rPr>
          <w:rFonts w:cs="Times New Roman"/>
          <w:sz w:val="24"/>
          <w:szCs w:val="24"/>
        </w:rPr>
        <w:t xml:space="preserve">address identified or suspected </w:t>
      </w:r>
      <w:r w:rsidRPr="00D06226">
        <w:rPr>
          <w:rFonts w:cs="Times New Roman"/>
          <w:kern w:val="2"/>
          <w:sz w:val="24"/>
          <w:szCs w:val="24"/>
        </w:rPr>
        <w:t xml:space="preserve">social determinants of health </w:t>
      </w:r>
      <w:r w:rsidR="004748E1" w:rsidRPr="6CBA5896">
        <w:rPr>
          <w:rFonts w:cs="Times New Roman"/>
          <w:sz w:val="24"/>
          <w:szCs w:val="24"/>
        </w:rPr>
        <w:t>through appropriate</w:t>
      </w:r>
      <w:r w:rsidRPr="00D06226">
        <w:rPr>
          <w:rFonts w:cs="Times New Roman"/>
          <w:kern w:val="2"/>
          <w:sz w:val="24"/>
          <w:szCs w:val="24"/>
        </w:rPr>
        <w:t xml:space="preserve"> referral resources and no</w:t>
      </w:r>
      <w:r w:rsidR="004748E1" w:rsidRPr="6CBA5896">
        <w:rPr>
          <w:rFonts w:cs="Times New Roman"/>
          <w:sz w:val="24"/>
          <w:szCs w:val="24"/>
        </w:rPr>
        <w:t xml:space="preserve">tification </w:t>
      </w:r>
      <w:r w:rsidR="001E23C9">
        <w:rPr>
          <w:rFonts w:cs="Times New Roman"/>
          <w:sz w:val="24"/>
          <w:szCs w:val="24"/>
        </w:rPr>
        <w:t>to</w:t>
      </w:r>
      <w:r w:rsidR="004748E1" w:rsidRPr="6CBA5896">
        <w:rPr>
          <w:rFonts w:cs="Times New Roman"/>
          <w:sz w:val="24"/>
          <w:szCs w:val="24"/>
        </w:rPr>
        <w:t xml:space="preserve"> the</w:t>
      </w:r>
      <w:r w:rsidRPr="00D06226">
        <w:rPr>
          <w:rFonts w:cs="Times New Roman"/>
          <w:kern w:val="2"/>
          <w:sz w:val="24"/>
          <w:szCs w:val="24"/>
        </w:rPr>
        <w:t xml:space="preserve"> patient’s primary care provider, as appropriate, to encourage necessary follow-up. </w:t>
      </w:r>
      <w:r>
        <w:rPr>
          <w:rFonts w:cs="Times New Roman"/>
          <w:kern w:val="2"/>
          <w:sz w:val="24"/>
          <w:szCs w:val="24"/>
        </w:rPr>
        <w:t>As previously discussed in Factor 1c</w:t>
      </w:r>
      <w:r w:rsidRPr="00D06226">
        <w:rPr>
          <w:rFonts w:cs="Times New Roman"/>
          <w:kern w:val="2"/>
          <w:sz w:val="24"/>
          <w:szCs w:val="24"/>
        </w:rPr>
        <w:t>, the transition to Epic will allow the Applicant to better connect patients with identified needs for internal and external supports, including community-</w:t>
      </w:r>
      <w:r w:rsidRPr="00D06226">
        <w:rPr>
          <w:rFonts w:cs="Times New Roman"/>
          <w:kern w:val="2"/>
          <w:sz w:val="24"/>
          <w:szCs w:val="24"/>
        </w:rPr>
        <w:lastRenderedPageBreak/>
        <w:t>based services. The Applicant also anticipates that its transition to Epic across its network will facilitate linkages among its hospitals to HOPDs, such as the Satellites.</w:t>
      </w:r>
    </w:p>
    <w:p w14:paraId="7EC9F9E2" w14:textId="77777777" w:rsidR="007D53F6" w:rsidRPr="00185FBE" w:rsidRDefault="007D53F6" w:rsidP="0022028B">
      <w:pPr>
        <w:spacing w:line="240" w:lineRule="auto"/>
        <w:rPr>
          <w:b/>
          <w:bCs/>
          <w:sz w:val="24"/>
          <w:szCs w:val="24"/>
          <w:highlight w:val="yellow"/>
        </w:rPr>
      </w:pPr>
    </w:p>
    <w:p w14:paraId="5B8F822F" w14:textId="0083977D" w:rsidR="003E1CDA" w:rsidRPr="00922648" w:rsidRDefault="003E1CDA" w:rsidP="00E570B0">
      <w:pPr>
        <w:spacing w:after="0" w:line="240" w:lineRule="auto"/>
        <w:rPr>
          <w:b/>
          <w:bCs/>
          <w:i/>
          <w:iCs/>
          <w:sz w:val="24"/>
          <w:szCs w:val="24"/>
        </w:rPr>
      </w:pPr>
      <w:r w:rsidRPr="00922648">
        <w:rPr>
          <w:b/>
          <w:bCs/>
          <w:i/>
          <w:iCs/>
          <w:sz w:val="24"/>
          <w:szCs w:val="24"/>
        </w:rPr>
        <w:t>Analysis: Delivery System Transformation</w:t>
      </w:r>
    </w:p>
    <w:p w14:paraId="449A046C" w14:textId="5932E668" w:rsidR="00F56096" w:rsidRPr="00922648" w:rsidRDefault="00893A07" w:rsidP="00062574">
      <w:pPr>
        <w:spacing w:after="0" w:line="240" w:lineRule="auto"/>
        <w:rPr>
          <w:rFonts w:cstheme="minorHAnsi"/>
          <w:sz w:val="24"/>
          <w:szCs w:val="24"/>
        </w:rPr>
      </w:pPr>
      <w:r>
        <w:rPr>
          <w:sz w:val="24"/>
          <w:szCs w:val="24"/>
        </w:rPr>
        <w:t>Staff find</w:t>
      </w:r>
      <w:r w:rsidR="00E32AD5">
        <w:rPr>
          <w:sz w:val="24"/>
          <w:szCs w:val="24"/>
        </w:rPr>
        <w:t>s</w:t>
      </w:r>
      <w:r>
        <w:rPr>
          <w:sz w:val="24"/>
          <w:szCs w:val="24"/>
        </w:rPr>
        <w:t xml:space="preserve"> the Applicant has demonstrated </w:t>
      </w:r>
      <w:r w:rsidR="000B0FF2">
        <w:rPr>
          <w:sz w:val="24"/>
          <w:szCs w:val="24"/>
        </w:rPr>
        <w:t xml:space="preserve">the Proposed Project will support the Delivery System Transformation component of Factor 2. The Applicant outlined the </w:t>
      </w:r>
      <w:r w:rsidR="00C12878" w:rsidRPr="00922648">
        <w:rPr>
          <w:sz w:val="24"/>
          <w:szCs w:val="24"/>
        </w:rPr>
        <w:t>integration of social services and community-based expertise</w:t>
      </w:r>
      <w:r w:rsidR="00DB1067">
        <w:rPr>
          <w:sz w:val="24"/>
          <w:szCs w:val="24"/>
        </w:rPr>
        <w:t xml:space="preserve"> in its service delivery</w:t>
      </w:r>
      <w:r w:rsidR="00C12878" w:rsidRPr="00922648">
        <w:rPr>
          <w:sz w:val="24"/>
          <w:szCs w:val="24"/>
        </w:rPr>
        <w:t xml:space="preserve">. </w:t>
      </w:r>
      <w:r w:rsidR="0039705E" w:rsidRPr="00922648">
        <w:rPr>
          <w:sz w:val="24"/>
          <w:szCs w:val="24"/>
        </w:rPr>
        <w:t xml:space="preserve">SDoH screening </w:t>
      </w:r>
      <w:r w:rsidR="00CC46A2" w:rsidRPr="00922648">
        <w:rPr>
          <w:sz w:val="24"/>
          <w:szCs w:val="24"/>
        </w:rPr>
        <w:t>is integrated in</w:t>
      </w:r>
      <w:r w:rsidR="001002AD" w:rsidRPr="00922648">
        <w:rPr>
          <w:sz w:val="24"/>
          <w:szCs w:val="24"/>
        </w:rPr>
        <w:t xml:space="preserve">to </w:t>
      </w:r>
      <w:r w:rsidR="00D63342" w:rsidRPr="00922648">
        <w:rPr>
          <w:sz w:val="24"/>
          <w:szCs w:val="24"/>
        </w:rPr>
        <w:t xml:space="preserve">the Applicant’s </w:t>
      </w:r>
      <w:r w:rsidR="0039705E" w:rsidRPr="00922648">
        <w:rPr>
          <w:sz w:val="24"/>
          <w:szCs w:val="24"/>
        </w:rPr>
        <w:t>care processes</w:t>
      </w:r>
      <w:r w:rsidR="00B35B33" w:rsidRPr="00922648">
        <w:rPr>
          <w:sz w:val="24"/>
          <w:szCs w:val="24"/>
        </w:rPr>
        <w:t xml:space="preserve"> so that </w:t>
      </w:r>
      <w:r w:rsidR="000139A7" w:rsidRPr="00922648">
        <w:rPr>
          <w:sz w:val="24"/>
          <w:szCs w:val="24"/>
        </w:rPr>
        <w:t>linkages</w:t>
      </w:r>
      <w:r w:rsidR="00B35B33" w:rsidRPr="00922648">
        <w:rPr>
          <w:sz w:val="24"/>
          <w:szCs w:val="24"/>
        </w:rPr>
        <w:t xml:space="preserve"> can be made to community resources </w:t>
      </w:r>
      <w:r w:rsidR="00ED73D4" w:rsidRPr="00922648">
        <w:rPr>
          <w:sz w:val="24"/>
          <w:szCs w:val="24"/>
        </w:rPr>
        <w:t>to</w:t>
      </w:r>
      <w:r w:rsidR="0039705E" w:rsidRPr="00922648">
        <w:rPr>
          <w:sz w:val="24"/>
          <w:szCs w:val="24"/>
        </w:rPr>
        <w:t xml:space="preserve"> address health risks and improve health outcomes</w:t>
      </w:r>
      <w:r w:rsidR="00C12878" w:rsidRPr="00922648">
        <w:rPr>
          <w:sz w:val="24"/>
          <w:szCs w:val="24"/>
        </w:rPr>
        <w:t>.</w:t>
      </w:r>
      <w:r w:rsidR="00CC46A2" w:rsidRPr="00922648">
        <w:rPr>
          <w:sz w:val="24"/>
          <w:szCs w:val="24"/>
        </w:rPr>
        <w:t xml:space="preserve"> </w:t>
      </w:r>
    </w:p>
    <w:p w14:paraId="0B5DA248" w14:textId="7BDC8FE1" w:rsidR="00F962C6" w:rsidRPr="001C778E" w:rsidRDefault="00F962C6" w:rsidP="003E1CDA">
      <w:pPr>
        <w:spacing w:after="0"/>
        <w:rPr>
          <w:b/>
          <w:bCs/>
          <w:sz w:val="28"/>
          <w:szCs w:val="28"/>
        </w:rPr>
      </w:pPr>
    </w:p>
    <w:p w14:paraId="38E2DB45" w14:textId="77777777" w:rsidR="00BB377E" w:rsidRPr="001C778E" w:rsidRDefault="00BB377E" w:rsidP="00BB377E">
      <w:pPr>
        <w:pStyle w:val="Heading1"/>
        <w:spacing w:before="0" w:line="240" w:lineRule="auto"/>
        <w:ind w:left="180"/>
        <w:rPr>
          <w:rFonts w:cstheme="minorHAnsi"/>
          <w:b w:val="0"/>
          <w:bCs/>
          <w:sz w:val="24"/>
          <w:szCs w:val="24"/>
        </w:rPr>
      </w:pPr>
      <w:bookmarkStart w:id="18" w:name="_Toc99993060"/>
      <w:bookmarkStart w:id="19" w:name="_Toc144207776"/>
      <w:bookmarkStart w:id="20" w:name="_Toc196819114"/>
      <w:r w:rsidRPr="001C778E">
        <w:rPr>
          <w:rFonts w:cstheme="minorHAnsi"/>
          <w:b w:val="0"/>
          <w:bCs/>
          <w:sz w:val="24"/>
          <w:szCs w:val="24"/>
        </w:rPr>
        <w:t>Summary, FACTOR 2</w:t>
      </w:r>
      <w:bookmarkEnd w:id="18"/>
      <w:bookmarkEnd w:id="19"/>
      <w:bookmarkEnd w:id="20"/>
      <w:r w:rsidRPr="001C778E">
        <w:rPr>
          <w:rFonts w:cstheme="minorHAnsi"/>
          <w:b w:val="0"/>
          <w:bCs/>
          <w:sz w:val="24"/>
          <w:szCs w:val="24"/>
        </w:rPr>
        <w:t xml:space="preserve"> </w:t>
      </w:r>
    </w:p>
    <w:p w14:paraId="461EA7E5" w14:textId="724FBF1D" w:rsidR="00BB377E" w:rsidRDefault="00BB377E" w:rsidP="00893A07">
      <w:pPr>
        <w:tabs>
          <w:tab w:val="left" w:pos="3240"/>
        </w:tabs>
        <w:ind w:left="180"/>
        <w:rPr>
          <w:rFonts w:cstheme="minorHAnsi"/>
        </w:rPr>
      </w:pPr>
      <w:r w:rsidRPr="001C778E">
        <w:rPr>
          <w:rFonts w:cstheme="minorHAnsi"/>
          <w:sz w:val="24"/>
          <w:szCs w:val="24"/>
        </w:rPr>
        <w:t>As a result of information provided, staff finds that the Proposed Project has sufficiently met the requirements of Factor 2</w:t>
      </w:r>
      <w:r w:rsidR="00A14FDC">
        <w:rPr>
          <w:rFonts w:cstheme="minorHAnsi"/>
          <w:sz w:val="24"/>
          <w:szCs w:val="24"/>
        </w:rPr>
        <w:t>, with the addition of Condition 3</w:t>
      </w:r>
      <w:r w:rsidRPr="001C778E">
        <w:rPr>
          <w:rFonts w:cstheme="minorHAnsi"/>
        </w:rPr>
        <w:t>.</w:t>
      </w:r>
    </w:p>
    <w:p w14:paraId="5B9F0D37" w14:textId="77777777" w:rsidR="006A5294" w:rsidRPr="00893A07" w:rsidRDefault="006A5294" w:rsidP="00893A07">
      <w:pPr>
        <w:tabs>
          <w:tab w:val="left" w:pos="3240"/>
        </w:tabs>
        <w:ind w:left="180"/>
        <w:rPr>
          <w:rFonts w:cstheme="minorHAnsi"/>
        </w:rPr>
      </w:pPr>
    </w:p>
    <w:p w14:paraId="37B182AD" w14:textId="73B9E1E1" w:rsidR="003E1CDA" w:rsidRPr="001C778E" w:rsidRDefault="003E1CDA" w:rsidP="00BB377E">
      <w:pPr>
        <w:pStyle w:val="Heading1"/>
        <w:spacing w:before="0"/>
      </w:pPr>
      <w:bookmarkStart w:id="21" w:name="_Toc196819115"/>
      <w:r w:rsidRPr="001C778E">
        <w:t>Factor 3: Relevant Licensure/Oversight Compliance</w:t>
      </w:r>
      <w:bookmarkEnd w:id="21"/>
    </w:p>
    <w:p w14:paraId="04E73BEA" w14:textId="7A7CAD73" w:rsidR="00FB4DD9" w:rsidRPr="001C778E" w:rsidRDefault="00FB4DD9" w:rsidP="00FB4DD9">
      <w:pPr>
        <w:contextualSpacing/>
        <w:rPr>
          <w:rFonts w:cstheme="minorHAnsi"/>
          <w:sz w:val="24"/>
          <w:szCs w:val="24"/>
        </w:rPr>
      </w:pPr>
      <w:r w:rsidRPr="001C778E">
        <w:rPr>
          <w:rFonts w:cstheme="minorHAnsi"/>
          <w:sz w:val="24"/>
          <w:szCs w:val="24"/>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1C16FDE7" w14:textId="77777777" w:rsidR="0056497E" w:rsidRPr="00185FBE" w:rsidRDefault="0056497E" w:rsidP="00FB4DD9">
      <w:pPr>
        <w:contextualSpacing/>
        <w:rPr>
          <w:rFonts w:cstheme="minorHAnsi"/>
          <w:sz w:val="24"/>
          <w:szCs w:val="24"/>
          <w:highlight w:val="yellow"/>
        </w:rPr>
      </w:pPr>
    </w:p>
    <w:p w14:paraId="5C31A63B" w14:textId="78FEF267" w:rsidR="00494346" w:rsidRPr="008619C3" w:rsidRDefault="003E1CDA" w:rsidP="00494346">
      <w:pPr>
        <w:pStyle w:val="Heading1"/>
      </w:pPr>
      <w:bookmarkStart w:id="22" w:name="_Toc196819116"/>
      <w:r w:rsidRPr="008619C3">
        <w:t xml:space="preserve">Factor 4: </w:t>
      </w:r>
      <w:r w:rsidR="002B05B4" w:rsidRPr="008619C3">
        <w:t>Financial Feasibility</w:t>
      </w:r>
      <w:bookmarkEnd w:id="22"/>
    </w:p>
    <w:p w14:paraId="4DE74A3C" w14:textId="0DD416CA" w:rsidR="004E6193" w:rsidRPr="008619C3" w:rsidRDefault="00A20EEE" w:rsidP="0056497E">
      <w:pPr>
        <w:spacing w:after="0"/>
        <w:rPr>
          <w:rFonts w:cstheme="minorHAnsi"/>
          <w:sz w:val="24"/>
          <w:szCs w:val="24"/>
        </w:rPr>
      </w:pPr>
      <w:r w:rsidRPr="008619C3">
        <w:rPr>
          <w:rFonts w:cstheme="minorHAnsi"/>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1C7AE9AC" w14:textId="77777777" w:rsidR="0056497E" w:rsidRPr="00185FBE" w:rsidRDefault="0056497E" w:rsidP="0056497E">
      <w:pPr>
        <w:spacing w:after="0"/>
        <w:rPr>
          <w:rFonts w:cstheme="minorHAnsi"/>
          <w:sz w:val="24"/>
          <w:szCs w:val="24"/>
          <w:highlight w:val="yellow"/>
        </w:rPr>
      </w:pPr>
    </w:p>
    <w:p w14:paraId="174CD454" w14:textId="4B162AE4" w:rsidR="00705B6C" w:rsidRPr="00F64916" w:rsidRDefault="008E4932" w:rsidP="0056497E">
      <w:pPr>
        <w:autoSpaceDE w:val="0"/>
        <w:autoSpaceDN w:val="0"/>
        <w:adjustRightInd w:val="0"/>
        <w:spacing w:after="0"/>
        <w:rPr>
          <w:rFonts w:cstheme="minorHAnsi"/>
          <w:sz w:val="24"/>
          <w:szCs w:val="24"/>
        </w:rPr>
      </w:pPr>
      <w:r w:rsidRPr="00F64916">
        <w:rPr>
          <w:rFonts w:cstheme="minorHAnsi"/>
          <w:sz w:val="24"/>
          <w:szCs w:val="24"/>
        </w:rPr>
        <w:t xml:space="preserve">The Applicant submitted a CPA report compiled by </w:t>
      </w:r>
      <w:r w:rsidR="00A41C08" w:rsidRPr="00F64916">
        <w:rPr>
          <w:rFonts w:cstheme="minorHAnsi"/>
          <w:sz w:val="24"/>
          <w:szCs w:val="24"/>
        </w:rPr>
        <w:t xml:space="preserve">Meyers Brothers Kalicka, </w:t>
      </w:r>
      <w:r w:rsidR="000C5F89" w:rsidRPr="00F64916">
        <w:rPr>
          <w:rFonts w:cstheme="minorHAnsi"/>
          <w:sz w:val="24"/>
          <w:szCs w:val="24"/>
        </w:rPr>
        <w:t>Certified Public Accountants</w:t>
      </w:r>
      <w:r w:rsidRPr="00F64916">
        <w:rPr>
          <w:rFonts w:cstheme="minorHAnsi"/>
          <w:sz w:val="24"/>
          <w:szCs w:val="24"/>
        </w:rPr>
        <w:t>. The scope of the analysis included review of the five-year financial projections</w:t>
      </w:r>
      <w:r w:rsidR="006F0202" w:rsidRPr="00F64916">
        <w:rPr>
          <w:rFonts w:cstheme="minorHAnsi"/>
          <w:sz w:val="24"/>
          <w:szCs w:val="24"/>
        </w:rPr>
        <w:t>,</w:t>
      </w:r>
      <w:r w:rsidR="003F518B" w:rsidRPr="00F64916">
        <w:rPr>
          <w:rFonts w:cstheme="minorHAnsi"/>
          <w:sz w:val="24"/>
          <w:szCs w:val="24"/>
        </w:rPr>
        <w:t xml:space="preserve"> five-year projected cash flow statements, </w:t>
      </w:r>
      <w:r w:rsidR="00ED1205" w:rsidRPr="00F64916">
        <w:rPr>
          <w:rFonts w:cstheme="minorHAnsi"/>
          <w:sz w:val="24"/>
          <w:szCs w:val="24"/>
        </w:rPr>
        <w:t>historical</w:t>
      </w:r>
      <w:r w:rsidR="00584119" w:rsidRPr="00F64916">
        <w:rPr>
          <w:rStyle w:val="FootnoteReference"/>
          <w:rFonts w:cstheme="minorHAnsi"/>
          <w:sz w:val="24"/>
          <w:szCs w:val="24"/>
        </w:rPr>
        <w:footnoteReference w:id="29"/>
      </w:r>
      <w:r w:rsidR="00EA25BE" w:rsidRPr="00F64916">
        <w:rPr>
          <w:rFonts w:cstheme="minorHAnsi"/>
          <w:sz w:val="24"/>
          <w:szCs w:val="24"/>
        </w:rPr>
        <w:t xml:space="preserve"> </w:t>
      </w:r>
      <w:r w:rsidR="00674978" w:rsidRPr="00F64916">
        <w:rPr>
          <w:rFonts w:cstheme="minorHAnsi"/>
          <w:sz w:val="24"/>
          <w:szCs w:val="24"/>
        </w:rPr>
        <w:t>volumes</w:t>
      </w:r>
      <w:r w:rsidR="00DD5045" w:rsidRPr="00F64916">
        <w:rPr>
          <w:rFonts w:cstheme="minorHAnsi"/>
          <w:sz w:val="24"/>
          <w:szCs w:val="24"/>
        </w:rPr>
        <w:t xml:space="preserve"> </w:t>
      </w:r>
      <w:r w:rsidR="00EA25BE" w:rsidRPr="00F64916">
        <w:rPr>
          <w:rFonts w:cstheme="minorHAnsi"/>
          <w:sz w:val="24"/>
          <w:szCs w:val="24"/>
        </w:rPr>
        <w:t xml:space="preserve">for </w:t>
      </w:r>
      <w:r w:rsidR="00F030E6" w:rsidRPr="00F64916">
        <w:rPr>
          <w:rFonts w:cstheme="minorHAnsi"/>
          <w:sz w:val="24"/>
          <w:szCs w:val="24"/>
        </w:rPr>
        <w:t>infusion</w:t>
      </w:r>
      <w:r w:rsidR="00F030E6" w:rsidRPr="00F64916">
        <w:rPr>
          <w:rFonts w:cstheme="minorHAnsi"/>
          <w:spacing w:val="-5"/>
          <w:sz w:val="24"/>
          <w:szCs w:val="24"/>
        </w:rPr>
        <w:t xml:space="preserve"> </w:t>
      </w:r>
      <w:r w:rsidR="00F030E6" w:rsidRPr="00F64916">
        <w:rPr>
          <w:rFonts w:cstheme="minorHAnsi"/>
          <w:sz w:val="24"/>
          <w:szCs w:val="24"/>
        </w:rPr>
        <w:t>services</w:t>
      </w:r>
      <w:r w:rsidR="00F030E6" w:rsidRPr="00F64916">
        <w:rPr>
          <w:rFonts w:cstheme="minorHAnsi"/>
          <w:spacing w:val="-4"/>
          <w:sz w:val="24"/>
          <w:szCs w:val="24"/>
        </w:rPr>
        <w:t xml:space="preserve"> </w:t>
      </w:r>
      <w:r w:rsidR="00F030E6" w:rsidRPr="00F64916">
        <w:rPr>
          <w:rFonts w:cstheme="minorHAnsi"/>
          <w:sz w:val="24"/>
          <w:szCs w:val="24"/>
        </w:rPr>
        <w:t>volume</w:t>
      </w:r>
      <w:r w:rsidR="00F030E6" w:rsidRPr="00F64916">
        <w:rPr>
          <w:rFonts w:cstheme="minorHAnsi"/>
          <w:spacing w:val="-2"/>
          <w:sz w:val="24"/>
          <w:szCs w:val="24"/>
        </w:rPr>
        <w:t xml:space="preserve"> </w:t>
      </w:r>
      <w:r w:rsidR="00F030E6" w:rsidRPr="00F64916">
        <w:rPr>
          <w:rFonts w:cstheme="minorHAnsi"/>
          <w:sz w:val="24"/>
          <w:szCs w:val="24"/>
        </w:rPr>
        <w:t>at</w:t>
      </w:r>
      <w:r w:rsidR="00F030E6" w:rsidRPr="00F64916">
        <w:rPr>
          <w:rFonts w:cstheme="minorHAnsi"/>
          <w:spacing w:val="-1"/>
          <w:sz w:val="24"/>
          <w:szCs w:val="24"/>
        </w:rPr>
        <w:t xml:space="preserve"> </w:t>
      </w:r>
      <w:r w:rsidR="00F030E6" w:rsidRPr="00F64916">
        <w:rPr>
          <w:rFonts w:cstheme="minorHAnsi"/>
          <w:sz w:val="24"/>
          <w:szCs w:val="24"/>
        </w:rPr>
        <w:t>Lahey</w:t>
      </w:r>
      <w:r w:rsidR="00F030E6" w:rsidRPr="00F64916">
        <w:rPr>
          <w:rFonts w:cstheme="minorHAnsi"/>
          <w:spacing w:val="-5"/>
          <w:sz w:val="24"/>
          <w:szCs w:val="24"/>
        </w:rPr>
        <w:t xml:space="preserve"> </w:t>
      </w:r>
      <w:r w:rsidR="00F030E6" w:rsidRPr="00F64916">
        <w:rPr>
          <w:rFonts w:cstheme="minorHAnsi"/>
          <w:sz w:val="24"/>
          <w:szCs w:val="24"/>
        </w:rPr>
        <w:t>Hospital</w:t>
      </w:r>
      <w:r w:rsidR="00F030E6" w:rsidRPr="00F64916">
        <w:rPr>
          <w:rFonts w:cstheme="minorHAnsi"/>
          <w:spacing w:val="-6"/>
          <w:sz w:val="24"/>
          <w:szCs w:val="24"/>
        </w:rPr>
        <w:t xml:space="preserve"> </w:t>
      </w:r>
      <w:r w:rsidR="00F030E6" w:rsidRPr="00F64916">
        <w:rPr>
          <w:rFonts w:cstheme="minorHAnsi"/>
          <w:sz w:val="24"/>
          <w:szCs w:val="24"/>
        </w:rPr>
        <w:t>&amp;</w:t>
      </w:r>
      <w:r w:rsidR="00F030E6" w:rsidRPr="00F64916">
        <w:rPr>
          <w:rFonts w:cstheme="minorHAnsi"/>
          <w:spacing w:val="-4"/>
          <w:sz w:val="24"/>
          <w:szCs w:val="24"/>
        </w:rPr>
        <w:t xml:space="preserve"> </w:t>
      </w:r>
      <w:r w:rsidR="00F030E6" w:rsidRPr="00F64916">
        <w:rPr>
          <w:rFonts w:cstheme="minorHAnsi"/>
          <w:sz w:val="24"/>
          <w:szCs w:val="24"/>
        </w:rPr>
        <w:t>Medical</w:t>
      </w:r>
      <w:r w:rsidR="00F030E6" w:rsidRPr="00F64916">
        <w:rPr>
          <w:rFonts w:cstheme="minorHAnsi"/>
          <w:spacing w:val="-1"/>
          <w:sz w:val="24"/>
          <w:szCs w:val="24"/>
        </w:rPr>
        <w:t xml:space="preserve"> </w:t>
      </w:r>
      <w:r w:rsidR="00F030E6" w:rsidRPr="00F64916">
        <w:rPr>
          <w:rFonts w:cstheme="minorHAnsi"/>
          <w:sz w:val="24"/>
          <w:szCs w:val="24"/>
        </w:rPr>
        <w:t>Center</w:t>
      </w:r>
      <w:r w:rsidR="00F030E6" w:rsidRPr="00F64916">
        <w:rPr>
          <w:rFonts w:cstheme="minorHAnsi"/>
          <w:spacing w:val="-4"/>
          <w:sz w:val="24"/>
          <w:szCs w:val="24"/>
        </w:rPr>
        <w:t xml:space="preserve"> </w:t>
      </w:r>
      <w:r w:rsidR="00F030E6" w:rsidRPr="00F64916">
        <w:rPr>
          <w:rFonts w:cstheme="minorHAnsi"/>
          <w:sz w:val="24"/>
          <w:szCs w:val="24"/>
        </w:rPr>
        <w:t>(Burlington”</w:t>
      </w:r>
      <w:r w:rsidR="00F030E6" w:rsidRPr="00F64916">
        <w:rPr>
          <w:rFonts w:cstheme="minorHAnsi"/>
          <w:spacing w:val="-4"/>
          <w:sz w:val="24"/>
          <w:szCs w:val="24"/>
        </w:rPr>
        <w:t xml:space="preserve"> </w:t>
      </w:r>
      <w:r w:rsidR="00F030E6" w:rsidRPr="00F64916">
        <w:rPr>
          <w:rFonts w:cstheme="minorHAnsi"/>
          <w:sz w:val="24"/>
          <w:szCs w:val="24"/>
        </w:rPr>
        <w:t>and</w:t>
      </w:r>
      <w:r w:rsidR="00F030E6" w:rsidRPr="00F64916">
        <w:rPr>
          <w:rFonts w:cstheme="minorHAnsi"/>
          <w:spacing w:val="-2"/>
          <w:sz w:val="24"/>
          <w:szCs w:val="24"/>
        </w:rPr>
        <w:t xml:space="preserve"> </w:t>
      </w:r>
      <w:r w:rsidR="00F030E6" w:rsidRPr="00F64916">
        <w:rPr>
          <w:rFonts w:cstheme="minorHAnsi"/>
          <w:sz w:val="24"/>
          <w:szCs w:val="24"/>
        </w:rPr>
        <w:t>Lahey</w:t>
      </w:r>
      <w:r w:rsidR="00F030E6" w:rsidRPr="00F64916">
        <w:rPr>
          <w:rFonts w:cstheme="minorHAnsi"/>
          <w:spacing w:val="-5"/>
          <w:sz w:val="24"/>
          <w:szCs w:val="24"/>
        </w:rPr>
        <w:t xml:space="preserve"> </w:t>
      </w:r>
      <w:r w:rsidR="00F030E6" w:rsidRPr="00F64916">
        <w:rPr>
          <w:rFonts w:cstheme="minorHAnsi"/>
          <w:sz w:val="24"/>
          <w:szCs w:val="24"/>
        </w:rPr>
        <w:t>Medical Center, Peabody</w:t>
      </w:r>
      <w:r w:rsidR="00F030E6" w:rsidRPr="00F64916">
        <w:rPr>
          <w:rFonts w:cstheme="minorHAnsi"/>
          <w:spacing w:val="-2"/>
          <w:sz w:val="24"/>
          <w:szCs w:val="24"/>
        </w:rPr>
        <w:t xml:space="preserve"> </w:t>
      </w:r>
      <w:r w:rsidR="00F030E6" w:rsidRPr="00F64916">
        <w:rPr>
          <w:rFonts w:cstheme="minorHAnsi"/>
          <w:sz w:val="24"/>
          <w:szCs w:val="24"/>
        </w:rPr>
        <w:t>(Peabody)</w:t>
      </w:r>
      <w:r w:rsidR="00546FD9" w:rsidRPr="00F64916">
        <w:rPr>
          <w:rFonts w:cstheme="minorHAnsi"/>
          <w:sz w:val="24"/>
          <w:szCs w:val="24"/>
        </w:rPr>
        <w:t>,</w:t>
      </w:r>
      <w:r w:rsidR="00F030E6" w:rsidRPr="00F64916">
        <w:rPr>
          <w:rFonts w:cstheme="minorHAnsi"/>
          <w:sz w:val="24"/>
          <w:szCs w:val="24"/>
        </w:rPr>
        <w:t xml:space="preserve"> </w:t>
      </w:r>
      <w:r w:rsidR="00891884" w:rsidRPr="00F64916">
        <w:rPr>
          <w:rFonts w:cstheme="minorHAnsi"/>
          <w:sz w:val="24"/>
          <w:szCs w:val="24"/>
        </w:rPr>
        <w:t>h</w:t>
      </w:r>
      <w:r w:rsidR="00F030E6" w:rsidRPr="00F64916">
        <w:rPr>
          <w:rFonts w:cstheme="minorHAnsi"/>
          <w:sz w:val="24"/>
          <w:szCs w:val="24"/>
        </w:rPr>
        <w:t xml:space="preserve">istorical </w:t>
      </w:r>
      <w:r w:rsidR="00DF2DBB" w:rsidRPr="00F64916">
        <w:rPr>
          <w:rFonts w:cstheme="minorHAnsi"/>
          <w:sz w:val="24"/>
          <w:szCs w:val="24"/>
        </w:rPr>
        <w:t>hematology- oncology</w:t>
      </w:r>
      <w:r w:rsidR="00DF2DBB" w:rsidRPr="00F64916">
        <w:rPr>
          <w:rFonts w:cstheme="minorHAnsi"/>
          <w:spacing w:val="-7"/>
          <w:sz w:val="24"/>
          <w:szCs w:val="24"/>
        </w:rPr>
        <w:t xml:space="preserve"> </w:t>
      </w:r>
      <w:r w:rsidR="00DF2DBB" w:rsidRPr="00F64916">
        <w:rPr>
          <w:rFonts w:cstheme="minorHAnsi"/>
          <w:sz w:val="24"/>
          <w:szCs w:val="24"/>
        </w:rPr>
        <w:t>volume</w:t>
      </w:r>
      <w:r w:rsidR="00DF2DBB" w:rsidRPr="00F64916">
        <w:rPr>
          <w:rFonts w:cstheme="minorHAnsi"/>
          <w:spacing w:val="-7"/>
          <w:sz w:val="24"/>
          <w:szCs w:val="24"/>
        </w:rPr>
        <w:t xml:space="preserve"> </w:t>
      </w:r>
      <w:r w:rsidR="00DF2DBB" w:rsidRPr="00F64916">
        <w:rPr>
          <w:rFonts w:cstheme="minorHAnsi"/>
          <w:sz w:val="24"/>
          <w:szCs w:val="24"/>
        </w:rPr>
        <w:t>at</w:t>
      </w:r>
      <w:r w:rsidR="00DF2DBB" w:rsidRPr="00F64916">
        <w:rPr>
          <w:rFonts w:cstheme="minorHAnsi"/>
          <w:spacing w:val="-6"/>
          <w:sz w:val="24"/>
          <w:szCs w:val="24"/>
        </w:rPr>
        <w:t xml:space="preserve"> </w:t>
      </w:r>
      <w:r w:rsidR="00DF2DBB" w:rsidRPr="00F64916">
        <w:rPr>
          <w:rFonts w:cstheme="minorHAnsi"/>
          <w:sz w:val="24"/>
          <w:szCs w:val="24"/>
        </w:rPr>
        <w:t>Beth</w:t>
      </w:r>
      <w:r w:rsidR="00DF2DBB" w:rsidRPr="00F64916">
        <w:rPr>
          <w:rFonts w:cstheme="minorHAnsi"/>
          <w:spacing w:val="-7"/>
          <w:sz w:val="24"/>
          <w:szCs w:val="24"/>
        </w:rPr>
        <w:t xml:space="preserve"> </w:t>
      </w:r>
      <w:r w:rsidR="00DF2DBB" w:rsidRPr="00F64916">
        <w:rPr>
          <w:rFonts w:cstheme="minorHAnsi"/>
          <w:sz w:val="24"/>
          <w:szCs w:val="24"/>
        </w:rPr>
        <w:t>Israel</w:t>
      </w:r>
      <w:r w:rsidR="00DF2DBB" w:rsidRPr="00F64916">
        <w:rPr>
          <w:rFonts w:cstheme="minorHAnsi"/>
          <w:spacing w:val="-6"/>
          <w:sz w:val="24"/>
          <w:szCs w:val="24"/>
        </w:rPr>
        <w:t xml:space="preserve"> </w:t>
      </w:r>
      <w:r w:rsidR="00DF2DBB" w:rsidRPr="00F64916">
        <w:rPr>
          <w:rFonts w:cstheme="minorHAnsi"/>
          <w:sz w:val="24"/>
          <w:szCs w:val="24"/>
        </w:rPr>
        <w:t>Deaconess</w:t>
      </w:r>
      <w:r w:rsidR="00DF2DBB" w:rsidRPr="00F64916">
        <w:rPr>
          <w:rFonts w:cstheme="minorHAnsi"/>
          <w:spacing w:val="-7"/>
          <w:sz w:val="24"/>
          <w:szCs w:val="24"/>
        </w:rPr>
        <w:t xml:space="preserve"> </w:t>
      </w:r>
      <w:r w:rsidR="00DF2DBB" w:rsidRPr="00F64916">
        <w:rPr>
          <w:rFonts w:cstheme="minorHAnsi"/>
          <w:sz w:val="24"/>
          <w:szCs w:val="24"/>
        </w:rPr>
        <w:t>Hospital</w:t>
      </w:r>
      <w:r w:rsidR="00DF2DBB" w:rsidRPr="00F64916">
        <w:rPr>
          <w:rFonts w:cstheme="minorHAnsi"/>
          <w:spacing w:val="-6"/>
          <w:sz w:val="24"/>
          <w:szCs w:val="24"/>
        </w:rPr>
        <w:t xml:space="preserve"> </w:t>
      </w:r>
      <w:r w:rsidR="00DF2DBB" w:rsidRPr="00F64916">
        <w:rPr>
          <w:rFonts w:cstheme="minorHAnsi"/>
          <w:sz w:val="24"/>
          <w:szCs w:val="24"/>
        </w:rPr>
        <w:t>–</w:t>
      </w:r>
      <w:r w:rsidR="00DF2DBB" w:rsidRPr="00F64916">
        <w:rPr>
          <w:rFonts w:cstheme="minorHAnsi"/>
          <w:spacing w:val="-9"/>
          <w:sz w:val="24"/>
          <w:szCs w:val="24"/>
        </w:rPr>
        <w:t xml:space="preserve"> </w:t>
      </w:r>
      <w:r w:rsidR="00DF2DBB" w:rsidRPr="00F64916">
        <w:rPr>
          <w:rFonts w:cstheme="minorHAnsi"/>
          <w:sz w:val="24"/>
          <w:szCs w:val="24"/>
        </w:rPr>
        <w:t>Needham</w:t>
      </w:r>
      <w:r w:rsidR="00DF2DBB" w:rsidRPr="00F64916">
        <w:rPr>
          <w:rFonts w:cstheme="minorHAnsi"/>
          <w:spacing w:val="-6"/>
          <w:sz w:val="24"/>
          <w:szCs w:val="24"/>
        </w:rPr>
        <w:t xml:space="preserve"> </w:t>
      </w:r>
      <w:r w:rsidR="00891884" w:rsidRPr="00F64916">
        <w:rPr>
          <w:rFonts w:cstheme="minorHAnsi"/>
          <w:sz w:val="24"/>
          <w:szCs w:val="24"/>
        </w:rPr>
        <w:t>(</w:t>
      </w:r>
      <w:r w:rsidR="00DF2DBB" w:rsidRPr="00F64916">
        <w:rPr>
          <w:rFonts w:cstheme="minorHAnsi"/>
          <w:sz w:val="24"/>
          <w:szCs w:val="24"/>
        </w:rPr>
        <w:t>Needham)</w:t>
      </w:r>
      <w:r w:rsidR="00DF2DBB" w:rsidRPr="00F64916">
        <w:rPr>
          <w:rFonts w:cstheme="minorHAnsi"/>
          <w:spacing w:val="-6"/>
          <w:sz w:val="24"/>
          <w:szCs w:val="24"/>
        </w:rPr>
        <w:t xml:space="preserve"> </w:t>
      </w:r>
      <w:r w:rsidR="00DF2DBB" w:rsidRPr="00F64916">
        <w:rPr>
          <w:rFonts w:cstheme="minorHAnsi"/>
          <w:sz w:val="24"/>
          <w:szCs w:val="24"/>
        </w:rPr>
        <w:t>and</w:t>
      </w:r>
      <w:r w:rsidR="00DF2DBB" w:rsidRPr="00F64916">
        <w:rPr>
          <w:rFonts w:cstheme="minorHAnsi"/>
          <w:spacing w:val="-9"/>
          <w:sz w:val="24"/>
          <w:szCs w:val="24"/>
        </w:rPr>
        <w:t xml:space="preserve"> </w:t>
      </w:r>
      <w:r w:rsidR="00DF2DBB" w:rsidRPr="00F64916">
        <w:rPr>
          <w:rFonts w:cstheme="minorHAnsi"/>
          <w:sz w:val="24"/>
          <w:szCs w:val="24"/>
        </w:rPr>
        <w:t>BID-P</w:t>
      </w:r>
      <w:r w:rsidR="00DF2DBB" w:rsidRPr="00F64916">
        <w:rPr>
          <w:rFonts w:cstheme="minorHAnsi"/>
          <w:spacing w:val="-7"/>
          <w:sz w:val="24"/>
          <w:szCs w:val="24"/>
        </w:rPr>
        <w:t xml:space="preserve"> </w:t>
      </w:r>
      <w:r w:rsidR="00DF2DBB" w:rsidRPr="00F64916">
        <w:rPr>
          <w:rFonts w:cstheme="minorHAnsi"/>
          <w:sz w:val="24"/>
          <w:szCs w:val="24"/>
        </w:rPr>
        <w:t xml:space="preserve">Oncology Cancer Center, </w:t>
      </w:r>
      <w:r w:rsidR="00891884" w:rsidRPr="00F64916">
        <w:rPr>
          <w:rFonts w:cstheme="minorHAnsi"/>
          <w:sz w:val="24"/>
          <w:szCs w:val="24"/>
        </w:rPr>
        <w:t>h</w:t>
      </w:r>
      <w:r w:rsidR="00FA7676" w:rsidRPr="00F64916">
        <w:rPr>
          <w:rFonts w:cstheme="minorHAnsi"/>
          <w:sz w:val="24"/>
          <w:szCs w:val="24"/>
        </w:rPr>
        <w:t>istorical</w:t>
      </w:r>
      <w:r w:rsidR="00FA7676" w:rsidRPr="00F64916">
        <w:rPr>
          <w:rFonts w:cstheme="minorHAnsi"/>
          <w:spacing w:val="-8"/>
          <w:sz w:val="24"/>
          <w:szCs w:val="24"/>
        </w:rPr>
        <w:t xml:space="preserve"> </w:t>
      </w:r>
      <w:r w:rsidR="00FA7676" w:rsidRPr="00F64916">
        <w:rPr>
          <w:rFonts w:cstheme="minorHAnsi"/>
          <w:sz w:val="24"/>
          <w:szCs w:val="24"/>
        </w:rPr>
        <w:t>volume</w:t>
      </w:r>
      <w:r w:rsidR="00FA7676" w:rsidRPr="00F64916">
        <w:rPr>
          <w:rFonts w:cstheme="minorHAnsi"/>
          <w:spacing w:val="-9"/>
          <w:sz w:val="24"/>
          <w:szCs w:val="24"/>
        </w:rPr>
        <w:t xml:space="preserve"> </w:t>
      </w:r>
      <w:r w:rsidR="00FA7676" w:rsidRPr="00F64916">
        <w:rPr>
          <w:rFonts w:cstheme="minorHAnsi"/>
          <w:sz w:val="24"/>
          <w:szCs w:val="24"/>
        </w:rPr>
        <w:t>at</w:t>
      </w:r>
      <w:r w:rsidR="00FA7676" w:rsidRPr="00F64916">
        <w:rPr>
          <w:rFonts w:cstheme="minorHAnsi"/>
          <w:spacing w:val="-9"/>
          <w:sz w:val="24"/>
          <w:szCs w:val="24"/>
        </w:rPr>
        <w:t xml:space="preserve"> </w:t>
      </w:r>
      <w:r w:rsidR="00FA7676" w:rsidRPr="00F64916">
        <w:rPr>
          <w:rFonts w:cstheme="minorHAnsi"/>
          <w:sz w:val="24"/>
          <w:szCs w:val="24"/>
        </w:rPr>
        <w:t>Beth</w:t>
      </w:r>
      <w:r w:rsidR="00FA7676" w:rsidRPr="00F64916">
        <w:rPr>
          <w:rFonts w:cstheme="minorHAnsi"/>
          <w:spacing w:val="-10"/>
          <w:sz w:val="24"/>
          <w:szCs w:val="24"/>
        </w:rPr>
        <w:t xml:space="preserve"> </w:t>
      </w:r>
      <w:r w:rsidR="00FA7676" w:rsidRPr="00F64916">
        <w:rPr>
          <w:rFonts w:cstheme="minorHAnsi"/>
          <w:sz w:val="24"/>
          <w:szCs w:val="24"/>
        </w:rPr>
        <w:t>Israel</w:t>
      </w:r>
      <w:r w:rsidR="00FA7676" w:rsidRPr="00F64916">
        <w:rPr>
          <w:rFonts w:cstheme="minorHAnsi"/>
          <w:spacing w:val="-9"/>
          <w:sz w:val="24"/>
          <w:szCs w:val="24"/>
        </w:rPr>
        <w:t xml:space="preserve"> </w:t>
      </w:r>
      <w:r w:rsidR="00FA7676" w:rsidRPr="00F64916">
        <w:rPr>
          <w:rFonts w:cstheme="minorHAnsi"/>
          <w:sz w:val="24"/>
          <w:szCs w:val="24"/>
        </w:rPr>
        <w:t>Lahey</w:t>
      </w:r>
      <w:r w:rsidR="00FA7676" w:rsidRPr="00F64916">
        <w:rPr>
          <w:rFonts w:cstheme="minorHAnsi"/>
          <w:spacing w:val="-10"/>
          <w:sz w:val="24"/>
          <w:szCs w:val="24"/>
        </w:rPr>
        <w:t xml:space="preserve"> </w:t>
      </w:r>
      <w:r w:rsidR="00FA7676" w:rsidRPr="00F64916">
        <w:rPr>
          <w:rFonts w:cstheme="minorHAnsi"/>
          <w:sz w:val="24"/>
          <w:szCs w:val="24"/>
        </w:rPr>
        <w:t>Health</w:t>
      </w:r>
      <w:r w:rsidR="00FA7676" w:rsidRPr="00F64916">
        <w:rPr>
          <w:rFonts w:cstheme="minorHAnsi"/>
          <w:spacing w:val="-10"/>
          <w:sz w:val="24"/>
          <w:szCs w:val="24"/>
        </w:rPr>
        <w:t xml:space="preserve"> </w:t>
      </w:r>
      <w:r w:rsidR="00FA7676" w:rsidRPr="00F64916">
        <w:rPr>
          <w:rFonts w:cstheme="minorHAnsi"/>
          <w:sz w:val="24"/>
          <w:szCs w:val="24"/>
        </w:rPr>
        <w:t>Primary</w:t>
      </w:r>
      <w:r w:rsidR="00FA7676" w:rsidRPr="00F64916">
        <w:rPr>
          <w:rFonts w:cstheme="minorHAnsi"/>
          <w:spacing w:val="-12"/>
          <w:sz w:val="24"/>
          <w:szCs w:val="24"/>
        </w:rPr>
        <w:t xml:space="preserve"> </w:t>
      </w:r>
      <w:r w:rsidR="00FA7676" w:rsidRPr="00F64916">
        <w:rPr>
          <w:rFonts w:cstheme="minorHAnsi"/>
          <w:sz w:val="24"/>
          <w:szCs w:val="24"/>
        </w:rPr>
        <w:t>Care</w:t>
      </w:r>
      <w:r w:rsidR="00FA7676" w:rsidRPr="00F64916">
        <w:rPr>
          <w:rFonts w:cstheme="minorHAnsi"/>
          <w:spacing w:val="-9"/>
          <w:sz w:val="24"/>
          <w:szCs w:val="24"/>
        </w:rPr>
        <w:t xml:space="preserve"> </w:t>
      </w:r>
      <w:r w:rsidR="00FA7676" w:rsidRPr="00F64916">
        <w:rPr>
          <w:rFonts w:cstheme="minorHAnsi"/>
          <w:sz w:val="24"/>
          <w:szCs w:val="24"/>
        </w:rPr>
        <w:t>Quincy</w:t>
      </w:r>
      <w:r w:rsidR="00FA7676" w:rsidRPr="00F64916">
        <w:rPr>
          <w:rFonts w:cstheme="minorHAnsi"/>
          <w:spacing w:val="-10"/>
          <w:sz w:val="24"/>
          <w:szCs w:val="24"/>
        </w:rPr>
        <w:t xml:space="preserve"> </w:t>
      </w:r>
      <w:r w:rsidR="00FA7676" w:rsidRPr="00F64916">
        <w:rPr>
          <w:rFonts w:cstheme="minorHAnsi"/>
          <w:sz w:val="24"/>
          <w:szCs w:val="24"/>
        </w:rPr>
        <w:t>Square</w:t>
      </w:r>
      <w:r w:rsidR="00FA7676" w:rsidRPr="00F64916">
        <w:rPr>
          <w:rFonts w:cstheme="minorHAnsi"/>
          <w:spacing w:val="-9"/>
          <w:sz w:val="24"/>
          <w:szCs w:val="24"/>
        </w:rPr>
        <w:t xml:space="preserve"> </w:t>
      </w:r>
      <w:r w:rsidR="00FA7676" w:rsidRPr="00F64916">
        <w:rPr>
          <w:rFonts w:cstheme="minorHAnsi"/>
          <w:sz w:val="24"/>
          <w:szCs w:val="24"/>
        </w:rPr>
        <w:t>(Primary</w:t>
      </w:r>
      <w:r w:rsidR="00FA7676" w:rsidRPr="00F64916">
        <w:rPr>
          <w:rFonts w:cstheme="minorHAnsi"/>
          <w:spacing w:val="-10"/>
          <w:sz w:val="24"/>
          <w:szCs w:val="24"/>
        </w:rPr>
        <w:t xml:space="preserve"> </w:t>
      </w:r>
      <w:r w:rsidR="00FA7676" w:rsidRPr="00F64916">
        <w:rPr>
          <w:rFonts w:cstheme="minorHAnsi"/>
          <w:sz w:val="24"/>
          <w:szCs w:val="24"/>
        </w:rPr>
        <w:t>Care)</w:t>
      </w:r>
      <w:r w:rsidR="00891884" w:rsidRPr="00F64916">
        <w:rPr>
          <w:rFonts w:cstheme="minorHAnsi"/>
          <w:sz w:val="24"/>
          <w:szCs w:val="24"/>
        </w:rPr>
        <w:t xml:space="preserve"> </w:t>
      </w:r>
      <w:r w:rsidR="00FA7676" w:rsidRPr="00F64916">
        <w:rPr>
          <w:rFonts w:cstheme="minorHAnsi"/>
          <w:sz w:val="24"/>
          <w:szCs w:val="24"/>
        </w:rPr>
        <w:t>and</w:t>
      </w:r>
      <w:r w:rsidR="00FA7676" w:rsidRPr="00F64916">
        <w:rPr>
          <w:rFonts w:cstheme="minorHAnsi"/>
          <w:spacing w:val="-10"/>
          <w:sz w:val="24"/>
          <w:szCs w:val="24"/>
        </w:rPr>
        <w:t xml:space="preserve"> </w:t>
      </w:r>
      <w:r w:rsidR="00FA7676" w:rsidRPr="00F64916">
        <w:rPr>
          <w:rFonts w:cstheme="minorHAnsi"/>
          <w:sz w:val="24"/>
          <w:szCs w:val="24"/>
        </w:rPr>
        <w:t>Beth</w:t>
      </w:r>
      <w:r w:rsidR="00FA7676" w:rsidRPr="00F64916">
        <w:rPr>
          <w:rFonts w:cstheme="minorHAnsi"/>
          <w:spacing w:val="-10"/>
          <w:sz w:val="24"/>
          <w:szCs w:val="24"/>
        </w:rPr>
        <w:t xml:space="preserve"> </w:t>
      </w:r>
      <w:r w:rsidR="00FA7676" w:rsidRPr="00F64916">
        <w:rPr>
          <w:rFonts w:cstheme="minorHAnsi"/>
          <w:sz w:val="24"/>
          <w:szCs w:val="24"/>
        </w:rPr>
        <w:t>Israel Lahey Health Urgent Care Quincy (Urgent Care)</w:t>
      </w:r>
      <w:r w:rsidR="005B7348" w:rsidRPr="00F64916">
        <w:rPr>
          <w:rFonts w:cstheme="minorHAnsi"/>
          <w:sz w:val="24"/>
          <w:szCs w:val="24"/>
        </w:rPr>
        <w:t xml:space="preserve">, </w:t>
      </w:r>
      <w:r w:rsidR="005D362D" w:rsidRPr="00F64916">
        <w:rPr>
          <w:rFonts w:cstheme="minorHAnsi"/>
          <w:sz w:val="24"/>
          <w:szCs w:val="24"/>
        </w:rPr>
        <w:t>historical ED revenues and expenses</w:t>
      </w:r>
      <w:r w:rsidR="005B7348" w:rsidRPr="00F64916">
        <w:rPr>
          <w:rFonts w:cstheme="minorHAnsi"/>
          <w:sz w:val="24"/>
          <w:szCs w:val="24"/>
        </w:rPr>
        <w:t xml:space="preserve"> for the above listed </w:t>
      </w:r>
      <w:r w:rsidR="00F25B0A" w:rsidRPr="00F64916">
        <w:rPr>
          <w:rFonts w:cstheme="minorHAnsi"/>
          <w:sz w:val="24"/>
          <w:szCs w:val="24"/>
        </w:rPr>
        <w:t>services</w:t>
      </w:r>
      <w:r w:rsidR="005D362D" w:rsidRPr="00F64916">
        <w:rPr>
          <w:rFonts w:cstheme="minorHAnsi"/>
          <w:sz w:val="24"/>
          <w:szCs w:val="24"/>
        </w:rPr>
        <w:t xml:space="preserve">, </w:t>
      </w:r>
      <w:r w:rsidR="00891884" w:rsidRPr="00F64916">
        <w:rPr>
          <w:rFonts w:cstheme="minorHAnsi"/>
          <w:sz w:val="24"/>
          <w:szCs w:val="24"/>
        </w:rPr>
        <w:t>h</w:t>
      </w:r>
      <w:r w:rsidR="00C71CE4" w:rsidRPr="00F64916">
        <w:rPr>
          <w:rFonts w:cstheme="minorHAnsi"/>
          <w:sz w:val="24"/>
          <w:szCs w:val="24"/>
        </w:rPr>
        <w:t>istorical revenues and expenses at Beth</w:t>
      </w:r>
      <w:r w:rsidR="00C71CE4" w:rsidRPr="00F64916">
        <w:rPr>
          <w:rFonts w:cstheme="minorHAnsi"/>
          <w:spacing w:val="-1"/>
          <w:sz w:val="24"/>
          <w:szCs w:val="24"/>
        </w:rPr>
        <w:t xml:space="preserve"> </w:t>
      </w:r>
      <w:r w:rsidR="00C71CE4" w:rsidRPr="00F64916">
        <w:rPr>
          <w:rFonts w:cstheme="minorHAnsi"/>
          <w:sz w:val="24"/>
          <w:szCs w:val="24"/>
        </w:rPr>
        <w:t>Israel Deaconess Healthcare -</w:t>
      </w:r>
      <w:r w:rsidR="00C71CE4" w:rsidRPr="00F64916">
        <w:rPr>
          <w:rFonts w:cstheme="minorHAnsi"/>
          <w:spacing w:val="-1"/>
          <w:sz w:val="24"/>
          <w:szCs w:val="24"/>
        </w:rPr>
        <w:t xml:space="preserve"> </w:t>
      </w:r>
      <w:r w:rsidR="00C71CE4" w:rsidRPr="00F64916">
        <w:rPr>
          <w:rFonts w:cstheme="minorHAnsi"/>
          <w:sz w:val="24"/>
          <w:szCs w:val="24"/>
        </w:rPr>
        <w:t xml:space="preserve">Chestnut Hill (Chestnut Hill), </w:t>
      </w:r>
      <w:r w:rsidR="00653BC2" w:rsidRPr="00F64916">
        <w:rPr>
          <w:rFonts w:cstheme="minorHAnsi"/>
          <w:sz w:val="24"/>
          <w:szCs w:val="24"/>
        </w:rPr>
        <w:t>Beth Israel Lahey Health, Inc. and Affiliates audited consolidated financial statements</w:t>
      </w:r>
      <w:r w:rsidR="006A7670" w:rsidRPr="00F64916">
        <w:rPr>
          <w:rFonts w:cstheme="minorHAnsi"/>
          <w:sz w:val="24"/>
          <w:szCs w:val="24"/>
        </w:rPr>
        <w:t xml:space="preserve"> (F</w:t>
      </w:r>
      <w:r w:rsidR="003F518B" w:rsidRPr="00F64916">
        <w:rPr>
          <w:rFonts w:cstheme="minorHAnsi"/>
          <w:sz w:val="24"/>
          <w:szCs w:val="24"/>
        </w:rPr>
        <w:t>Y</w:t>
      </w:r>
      <w:r w:rsidR="006A7670" w:rsidRPr="00F64916">
        <w:rPr>
          <w:rFonts w:cstheme="minorHAnsi"/>
          <w:sz w:val="24"/>
          <w:szCs w:val="24"/>
        </w:rPr>
        <w:t xml:space="preserve">2022 and </w:t>
      </w:r>
      <w:r w:rsidR="006A7670" w:rsidRPr="00F64916">
        <w:rPr>
          <w:rFonts w:cstheme="minorHAnsi"/>
          <w:sz w:val="24"/>
          <w:szCs w:val="24"/>
        </w:rPr>
        <w:lastRenderedPageBreak/>
        <w:t>F</w:t>
      </w:r>
      <w:r w:rsidR="003F518B" w:rsidRPr="00F64916">
        <w:rPr>
          <w:rFonts w:cstheme="minorHAnsi"/>
          <w:sz w:val="24"/>
          <w:szCs w:val="24"/>
        </w:rPr>
        <w:t>Y</w:t>
      </w:r>
      <w:r w:rsidR="006A7670" w:rsidRPr="00F64916">
        <w:rPr>
          <w:rFonts w:cstheme="minorHAnsi"/>
          <w:sz w:val="24"/>
          <w:szCs w:val="24"/>
        </w:rPr>
        <w:t>2023)</w:t>
      </w:r>
      <w:r w:rsidR="00DF1B77" w:rsidRPr="00F64916">
        <w:rPr>
          <w:rFonts w:cstheme="minorHAnsi"/>
          <w:sz w:val="24"/>
          <w:szCs w:val="24"/>
        </w:rPr>
        <w:t>,</w:t>
      </w:r>
      <w:r w:rsidRPr="00F64916">
        <w:rPr>
          <w:rFonts w:cstheme="minorHAnsi"/>
          <w:sz w:val="24"/>
          <w:szCs w:val="24"/>
        </w:rPr>
        <w:t xml:space="preserve"> </w:t>
      </w:r>
      <w:r w:rsidR="00334B93" w:rsidRPr="00F64916">
        <w:rPr>
          <w:rFonts w:cstheme="minorHAnsi"/>
          <w:sz w:val="24"/>
          <w:szCs w:val="24"/>
        </w:rPr>
        <w:t xml:space="preserve">lease agreements, </w:t>
      </w:r>
      <w:r w:rsidR="00891884" w:rsidRPr="00F64916">
        <w:rPr>
          <w:rFonts w:cstheme="minorHAnsi"/>
          <w:sz w:val="24"/>
          <w:szCs w:val="24"/>
        </w:rPr>
        <w:t xml:space="preserve">and </w:t>
      </w:r>
      <w:r w:rsidR="00AE0CAF" w:rsidRPr="00F64916">
        <w:rPr>
          <w:rFonts w:cstheme="minorHAnsi"/>
          <w:sz w:val="24"/>
          <w:szCs w:val="24"/>
        </w:rPr>
        <w:t>project costs</w:t>
      </w:r>
      <w:r w:rsidR="00891884" w:rsidRPr="00F64916">
        <w:rPr>
          <w:rFonts w:cstheme="minorHAnsi"/>
          <w:sz w:val="24"/>
          <w:szCs w:val="24"/>
        </w:rPr>
        <w:t xml:space="preserve">. </w:t>
      </w:r>
      <w:r w:rsidRPr="00F64916">
        <w:rPr>
          <w:rFonts w:cstheme="minorHAnsi"/>
          <w:sz w:val="24"/>
          <w:szCs w:val="24"/>
        </w:rPr>
        <w:t>The CPA assessed the reasonableness</w:t>
      </w:r>
      <w:r w:rsidRPr="00F64916">
        <w:rPr>
          <w:rStyle w:val="FootnoteReference"/>
          <w:rFonts w:cstheme="minorHAnsi"/>
          <w:sz w:val="24"/>
          <w:szCs w:val="24"/>
        </w:rPr>
        <w:footnoteReference w:id="30"/>
      </w:r>
      <w:r w:rsidRPr="00F64916">
        <w:rPr>
          <w:rFonts w:cstheme="minorHAnsi"/>
          <w:sz w:val="24"/>
          <w:szCs w:val="24"/>
        </w:rPr>
        <w:t xml:space="preserve"> of assumptions used in the preparation and feasibility</w:t>
      </w:r>
      <w:r w:rsidRPr="00F64916">
        <w:rPr>
          <w:rStyle w:val="FootnoteReference"/>
          <w:rFonts w:cstheme="minorHAnsi"/>
          <w:sz w:val="24"/>
          <w:szCs w:val="24"/>
        </w:rPr>
        <w:footnoteReference w:id="31"/>
      </w:r>
      <w:r w:rsidRPr="00F64916">
        <w:rPr>
          <w:rFonts w:cstheme="minorHAnsi"/>
          <w:sz w:val="24"/>
          <w:szCs w:val="24"/>
        </w:rPr>
        <w:t xml:space="preserve"> of the projections with regards to the Proposed Project. </w:t>
      </w:r>
    </w:p>
    <w:p w14:paraId="67B60F37" w14:textId="77777777" w:rsidR="0056497E" w:rsidRPr="00185FBE" w:rsidRDefault="0056497E" w:rsidP="0056497E">
      <w:pPr>
        <w:autoSpaceDE w:val="0"/>
        <w:autoSpaceDN w:val="0"/>
        <w:adjustRightInd w:val="0"/>
        <w:spacing w:after="0"/>
        <w:rPr>
          <w:rFonts w:cstheme="minorHAnsi"/>
          <w:sz w:val="24"/>
          <w:szCs w:val="24"/>
          <w:highlight w:val="yellow"/>
        </w:rPr>
      </w:pPr>
    </w:p>
    <w:p w14:paraId="30DC0D0E" w14:textId="77777777" w:rsidR="008E4932" w:rsidRPr="00BF4F77" w:rsidRDefault="008E4932" w:rsidP="00D7401D">
      <w:pPr>
        <w:spacing w:after="0"/>
        <w:rPr>
          <w:rFonts w:cstheme="minorHAnsi"/>
          <w:b/>
          <w:sz w:val="24"/>
          <w:szCs w:val="24"/>
        </w:rPr>
      </w:pPr>
      <w:r w:rsidRPr="00BF4F77">
        <w:rPr>
          <w:rFonts w:cstheme="minorHAnsi"/>
          <w:b/>
          <w:sz w:val="24"/>
          <w:szCs w:val="24"/>
        </w:rPr>
        <w:t>Revenues</w:t>
      </w:r>
    </w:p>
    <w:p w14:paraId="1792EB52" w14:textId="32182B89" w:rsidR="00166117" w:rsidRDefault="0058356D" w:rsidP="00166117">
      <w:pPr>
        <w:pStyle w:val="BodyText"/>
        <w:ind w:left="0" w:right="633"/>
        <w:rPr>
          <w:rFonts w:asciiTheme="minorHAnsi" w:hAnsiTheme="minorHAnsi" w:cstheme="minorHAnsi"/>
          <w:sz w:val="24"/>
          <w:szCs w:val="24"/>
        </w:rPr>
      </w:pPr>
      <w:r w:rsidRPr="00883A1D">
        <w:rPr>
          <w:rFonts w:asciiTheme="minorHAnsi" w:hAnsiTheme="minorHAnsi" w:cstheme="minorHAnsi"/>
          <w:sz w:val="24"/>
          <w:szCs w:val="24"/>
          <w:u w:val="single"/>
        </w:rPr>
        <w:t>Cordage Park Satellite:</w:t>
      </w:r>
      <w:r w:rsidRPr="00BF4F77">
        <w:rPr>
          <w:rFonts w:asciiTheme="minorHAnsi" w:hAnsiTheme="minorHAnsi" w:cstheme="minorHAnsi"/>
          <w:sz w:val="24"/>
          <w:szCs w:val="24"/>
        </w:rPr>
        <w:t xml:space="preserve"> </w:t>
      </w:r>
      <w:r w:rsidR="0079434E" w:rsidRPr="00BF4F77">
        <w:rPr>
          <w:rFonts w:asciiTheme="minorHAnsi" w:hAnsiTheme="minorHAnsi" w:cstheme="minorHAnsi"/>
          <w:sz w:val="24"/>
          <w:szCs w:val="24"/>
        </w:rPr>
        <w:t xml:space="preserve">The Infusion clinic is </w:t>
      </w:r>
      <w:r w:rsidRPr="00BF4F77">
        <w:rPr>
          <w:rFonts w:asciiTheme="minorHAnsi" w:hAnsiTheme="minorHAnsi" w:cstheme="minorHAnsi"/>
          <w:sz w:val="24"/>
          <w:szCs w:val="24"/>
        </w:rPr>
        <w:t xml:space="preserve">estimated </w:t>
      </w:r>
      <w:r w:rsidR="0079434E" w:rsidRPr="00BF4F77">
        <w:rPr>
          <w:rFonts w:asciiTheme="minorHAnsi" w:hAnsiTheme="minorHAnsi" w:cstheme="minorHAnsi"/>
          <w:sz w:val="24"/>
          <w:szCs w:val="24"/>
        </w:rPr>
        <w:t>to</w:t>
      </w:r>
      <w:r w:rsidRPr="00BF4F77">
        <w:rPr>
          <w:rFonts w:asciiTheme="minorHAnsi" w:hAnsiTheme="minorHAnsi" w:cstheme="minorHAnsi"/>
          <w:sz w:val="24"/>
          <w:szCs w:val="24"/>
        </w:rPr>
        <w:t xml:space="preserve"> increase</w:t>
      </w:r>
      <w:r w:rsidR="0079434E" w:rsidRPr="00BF4F77">
        <w:rPr>
          <w:rFonts w:asciiTheme="minorHAnsi" w:hAnsiTheme="minorHAnsi" w:cstheme="minorHAnsi"/>
          <w:sz w:val="24"/>
          <w:szCs w:val="24"/>
        </w:rPr>
        <w:t xml:space="preserve"> 13% to 15% annually</w:t>
      </w:r>
      <w:r w:rsidRPr="00BF4F77">
        <w:rPr>
          <w:rFonts w:asciiTheme="minorHAnsi" w:hAnsiTheme="minorHAnsi" w:cstheme="minorHAnsi"/>
          <w:sz w:val="24"/>
          <w:szCs w:val="24"/>
        </w:rPr>
        <w:t xml:space="preserve"> in total patient</w:t>
      </w:r>
      <w:r w:rsidRPr="00BF4F77">
        <w:rPr>
          <w:rFonts w:asciiTheme="minorHAnsi" w:hAnsiTheme="minorHAnsi" w:cstheme="minorHAnsi"/>
          <w:spacing w:val="-7"/>
          <w:sz w:val="24"/>
          <w:szCs w:val="24"/>
        </w:rPr>
        <w:t xml:space="preserve"> </w:t>
      </w:r>
      <w:r w:rsidRPr="00BF4F77">
        <w:rPr>
          <w:rFonts w:asciiTheme="minorHAnsi" w:hAnsiTheme="minorHAnsi" w:cstheme="minorHAnsi"/>
          <w:sz w:val="24"/>
          <w:szCs w:val="24"/>
        </w:rPr>
        <w:t>visits</w:t>
      </w:r>
      <w:r w:rsidRPr="00BF4F77">
        <w:rPr>
          <w:rFonts w:asciiTheme="minorHAnsi" w:hAnsiTheme="minorHAnsi" w:cstheme="minorHAnsi"/>
          <w:spacing w:val="-8"/>
          <w:sz w:val="24"/>
          <w:szCs w:val="24"/>
        </w:rPr>
        <w:t xml:space="preserve"> </w:t>
      </w:r>
      <w:r w:rsidR="0079434E" w:rsidRPr="00BF4F77">
        <w:rPr>
          <w:rFonts w:asciiTheme="minorHAnsi" w:hAnsiTheme="minorHAnsi" w:cstheme="minorHAnsi"/>
          <w:sz w:val="24"/>
          <w:szCs w:val="24"/>
        </w:rPr>
        <w:t>from</w:t>
      </w:r>
      <w:r w:rsidRPr="00BF4F77">
        <w:rPr>
          <w:rFonts w:asciiTheme="minorHAnsi" w:hAnsiTheme="minorHAnsi" w:cstheme="minorHAnsi"/>
          <w:sz w:val="24"/>
          <w:szCs w:val="24"/>
        </w:rPr>
        <w:t xml:space="preserve"> FY2028 through FY2030</w:t>
      </w:r>
      <w:r w:rsidR="006A3824" w:rsidRPr="00BF4F77">
        <w:rPr>
          <w:rFonts w:asciiTheme="minorHAnsi" w:hAnsiTheme="minorHAnsi" w:cstheme="minorHAnsi"/>
          <w:sz w:val="24"/>
          <w:szCs w:val="24"/>
        </w:rPr>
        <w:t xml:space="preserve"> and leveling off at an approximate 1% growth in 2031 when</w:t>
      </w:r>
      <w:r w:rsidRPr="00BF4F77">
        <w:rPr>
          <w:rFonts w:asciiTheme="minorHAnsi" w:hAnsiTheme="minorHAnsi" w:cstheme="minorHAnsi"/>
          <w:spacing w:val="-10"/>
          <w:sz w:val="24"/>
          <w:szCs w:val="24"/>
        </w:rPr>
        <w:t xml:space="preserve"> </w:t>
      </w:r>
      <w:r w:rsidRPr="00BF4F77">
        <w:rPr>
          <w:rFonts w:asciiTheme="minorHAnsi" w:hAnsiTheme="minorHAnsi" w:cstheme="minorHAnsi"/>
          <w:sz w:val="24"/>
          <w:szCs w:val="24"/>
        </w:rPr>
        <w:t>the</w:t>
      </w:r>
      <w:r w:rsidRPr="00BF4F77">
        <w:rPr>
          <w:rFonts w:asciiTheme="minorHAnsi" w:hAnsiTheme="minorHAnsi" w:cstheme="minorHAnsi"/>
          <w:spacing w:val="-8"/>
          <w:sz w:val="24"/>
          <w:szCs w:val="24"/>
        </w:rPr>
        <w:t xml:space="preserve"> </w:t>
      </w:r>
      <w:r w:rsidRPr="00BF4F77">
        <w:rPr>
          <w:rFonts w:asciiTheme="minorHAnsi" w:hAnsiTheme="minorHAnsi" w:cstheme="minorHAnsi"/>
          <w:sz w:val="24"/>
          <w:szCs w:val="24"/>
        </w:rPr>
        <w:t>clinic will operate at full efficiency</w:t>
      </w:r>
      <w:r w:rsidR="006A3824" w:rsidRPr="00BF4F77">
        <w:rPr>
          <w:rFonts w:asciiTheme="minorHAnsi" w:hAnsiTheme="minorHAnsi" w:cstheme="minorHAnsi"/>
          <w:sz w:val="24"/>
          <w:szCs w:val="24"/>
        </w:rPr>
        <w:t>.</w:t>
      </w:r>
      <w:r w:rsidR="00166117" w:rsidRPr="00BF4F77">
        <w:rPr>
          <w:rFonts w:asciiTheme="minorHAnsi" w:hAnsiTheme="minorHAnsi" w:cstheme="minorHAnsi"/>
          <w:sz w:val="24"/>
          <w:szCs w:val="24"/>
        </w:rPr>
        <w:t xml:space="preserve"> In </w:t>
      </w:r>
      <w:r w:rsidR="00922648">
        <w:rPr>
          <w:rFonts w:asciiTheme="minorHAnsi" w:hAnsiTheme="minorHAnsi" w:cstheme="minorHAnsi"/>
          <w:sz w:val="24"/>
          <w:szCs w:val="24"/>
        </w:rPr>
        <w:t>h</w:t>
      </w:r>
      <w:r w:rsidR="00166117" w:rsidRPr="00BF4F77">
        <w:rPr>
          <w:rFonts w:asciiTheme="minorHAnsi" w:hAnsiTheme="minorHAnsi" w:cstheme="minorHAnsi"/>
          <w:sz w:val="24"/>
          <w:szCs w:val="24"/>
        </w:rPr>
        <w:t>ematology-oncology, it is anticipated that, with the addition</w:t>
      </w:r>
      <w:r w:rsidR="00166117" w:rsidRPr="00BF4F77">
        <w:rPr>
          <w:rFonts w:asciiTheme="minorHAnsi" w:hAnsiTheme="minorHAnsi" w:cstheme="minorHAnsi"/>
          <w:spacing w:val="-2"/>
          <w:sz w:val="24"/>
          <w:szCs w:val="24"/>
        </w:rPr>
        <w:t xml:space="preserve"> </w:t>
      </w:r>
      <w:r w:rsidR="00166117" w:rsidRPr="00BF4F77">
        <w:rPr>
          <w:rFonts w:asciiTheme="minorHAnsi" w:hAnsiTheme="minorHAnsi" w:cstheme="minorHAnsi"/>
          <w:sz w:val="24"/>
          <w:szCs w:val="24"/>
        </w:rPr>
        <w:t>of three physicians and one nurse practitioner over the five-year projection, that patients seen will increase between 10% and 13% annually.</w:t>
      </w:r>
      <w:r w:rsidR="00724B6D" w:rsidRPr="00BF4F77">
        <w:rPr>
          <w:rFonts w:asciiTheme="minorHAnsi" w:hAnsiTheme="minorHAnsi" w:cstheme="minorHAnsi"/>
          <w:sz w:val="24"/>
          <w:szCs w:val="24"/>
        </w:rPr>
        <w:t xml:space="preserve"> The </w:t>
      </w:r>
      <w:r w:rsidR="00E56766" w:rsidRPr="00BF4F77">
        <w:rPr>
          <w:rFonts w:asciiTheme="minorHAnsi" w:hAnsiTheme="minorHAnsi" w:cstheme="minorHAnsi"/>
          <w:sz w:val="24"/>
          <w:szCs w:val="24"/>
        </w:rPr>
        <w:t xml:space="preserve">CPA </w:t>
      </w:r>
      <w:r w:rsidR="009232C0" w:rsidRPr="00BF4F77">
        <w:rPr>
          <w:rFonts w:asciiTheme="minorHAnsi" w:hAnsiTheme="minorHAnsi" w:cstheme="minorHAnsi"/>
          <w:sz w:val="24"/>
          <w:szCs w:val="24"/>
        </w:rPr>
        <w:t xml:space="preserve">Report states that </w:t>
      </w:r>
      <w:r w:rsidR="00E56766" w:rsidRPr="00BF4F77">
        <w:rPr>
          <w:rFonts w:asciiTheme="minorHAnsi" w:hAnsiTheme="minorHAnsi" w:cstheme="minorHAnsi"/>
          <w:sz w:val="24"/>
          <w:szCs w:val="24"/>
        </w:rPr>
        <w:t>projected revenue for both infusions and hematology-oncology</w:t>
      </w:r>
      <w:r w:rsidR="009232C0" w:rsidRPr="00BF4F77">
        <w:rPr>
          <w:rFonts w:asciiTheme="minorHAnsi" w:hAnsiTheme="minorHAnsi" w:cstheme="minorHAnsi"/>
          <w:sz w:val="24"/>
          <w:szCs w:val="24"/>
        </w:rPr>
        <w:t xml:space="preserve"> </w:t>
      </w:r>
      <w:r w:rsidR="006F44D4" w:rsidRPr="00BF4F77">
        <w:rPr>
          <w:rFonts w:asciiTheme="minorHAnsi" w:hAnsiTheme="minorHAnsi" w:cstheme="minorHAnsi"/>
          <w:sz w:val="24"/>
          <w:szCs w:val="24"/>
        </w:rPr>
        <w:t>is</w:t>
      </w:r>
      <w:r w:rsidR="009232C0" w:rsidRPr="00BF4F77">
        <w:rPr>
          <w:rFonts w:asciiTheme="minorHAnsi" w:hAnsiTheme="minorHAnsi" w:cstheme="minorHAnsi"/>
          <w:sz w:val="24"/>
          <w:szCs w:val="24"/>
        </w:rPr>
        <w:t xml:space="preserve"> </w:t>
      </w:r>
      <w:r w:rsidR="00BF4F77" w:rsidRPr="00BF4F77">
        <w:rPr>
          <w:rFonts w:asciiTheme="minorHAnsi" w:hAnsiTheme="minorHAnsi" w:cstheme="minorHAnsi"/>
          <w:sz w:val="24"/>
          <w:szCs w:val="24"/>
        </w:rPr>
        <w:t>consistent with historical reimbursement rates.</w:t>
      </w:r>
    </w:p>
    <w:p w14:paraId="2AA19CF3" w14:textId="77777777" w:rsidR="00BF4F77" w:rsidRPr="0045458D" w:rsidRDefault="00BF4F77" w:rsidP="00166117">
      <w:pPr>
        <w:pStyle w:val="BodyText"/>
        <w:ind w:left="0" w:right="633"/>
        <w:rPr>
          <w:rFonts w:asciiTheme="minorHAnsi" w:hAnsiTheme="minorHAnsi" w:cstheme="minorHAnsi"/>
          <w:sz w:val="24"/>
          <w:szCs w:val="24"/>
        </w:rPr>
      </w:pPr>
    </w:p>
    <w:p w14:paraId="7889074B" w14:textId="4A9AD898" w:rsidR="00BF4F77" w:rsidRPr="0045458D" w:rsidRDefault="00BF4F77" w:rsidP="00166117">
      <w:pPr>
        <w:pStyle w:val="BodyText"/>
        <w:ind w:left="0" w:right="633"/>
        <w:rPr>
          <w:rFonts w:asciiTheme="minorHAnsi" w:hAnsiTheme="minorHAnsi" w:cstheme="minorHAnsi"/>
          <w:sz w:val="24"/>
          <w:szCs w:val="24"/>
        </w:rPr>
      </w:pPr>
      <w:r w:rsidRPr="00883A1D">
        <w:rPr>
          <w:rFonts w:asciiTheme="minorHAnsi" w:hAnsiTheme="minorHAnsi" w:cstheme="minorHAnsi"/>
          <w:sz w:val="24"/>
          <w:szCs w:val="24"/>
          <w:u w:val="single"/>
        </w:rPr>
        <w:t>Quincy Satellite:</w:t>
      </w:r>
      <w:r w:rsidRPr="0045458D">
        <w:rPr>
          <w:rFonts w:asciiTheme="minorHAnsi" w:hAnsiTheme="minorHAnsi" w:cstheme="minorHAnsi"/>
          <w:sz w:val="24"/>
          <w:szCs w:val="24"/>
        </w:rPr>
        <w:t xml:space="preserve"> </w:t>
      </w:r>
      <w:r w:rsidR="0045458D">
        <w:rPr>
          <w:rFonts w:asciiTheme="minorHAnsi" w:hAnsiTheme="minorHAnsi" w:cstheme="minorHAnsi"/>
          <w:sz w:val="24"/>
          <w:szCs w:val="24"/>
        </w:rPr>
        <w:t>Using</w:t>
      </w:r>
      <w:r w:rsidR="0045458D" w:rsidRPr="0045458D">
        <w:rPr>
          <w:rFonts w:asciiTheme="minorHAnsi" w:hAnsiTheme="minorHAnsi" w:cstheme="minorHAnsi"/>
          <w:sz w:val="24"/>
          <w:szCs w:val="24"/>
        </w:rPr>
        <w:t xml:space="preserve"> historical volume levels from existing BILH locations to estimate patient volume capacity across the multispecialty services</w:t>
      </w:r>
      <w:r w:rsidR="0045458D">
        <w:rPr>
          <w:rFonts w:asciiTheme="minorHAnsi" w:hAnsiTheme="minorHAnsi" w:cstheme="minorHAnsi"/>
          <w:sz w:val="24"/>
          <w:szCs w:val="24"/>
        </w:rPr>
        <w:t xml:space="preserve">, </w:t>
      </w:r>
      <w:r w:rsidR="0045458D" w:rsidRPr="0045458D">
        <w:rPr>
          <w:rFonts w:asciiTheme="minorHAnsi" w:hAnsiTheme="minorHAnsi" w:cstheme="minorHAnsi"/>
          <w:sz w:val="24"/>
          <w:szCs w:val="24"/>
        </w:rPr>
        <w:t xml:space="preserve">the Quincy Satellite location </w:t>
      </w:r>
      <w:r w:rsidR="0045458D">
        <w:rPr>
          <w:rFonts w:asciiTheme="minorHAnsi" w:hAnsiTheme="minorHAnsi" w:cstheme="minorHAnsi"/>
          <w:sz w:val="24"/>
          <w:szCs w:val="24"/>
        </w:rPr>
        <w:t>is projected to</w:t>
      </w:r>
      <w:r w:rsidR="0045458D" w:rsidRPr="0045458D">
        <w:rPr>
          <w:rFonts w:asciiTheme="minorHAnsi" w:hAnsiTheme="minorHAnsi" w:cstheme="minorHAnsi"/>
          <w:sz w:val="24"/>
          <w:szCs w:val="24"/>
        </w:rPr>
        <w:t xml:space="preserve"> operate at 48% of projected volume capacity </w:t>
      </w:r>
      <w:r w:rsidR="0040247F">
        <w:rPr>
          <w:rFonts w:asciiTheme="minorHAnsi" w:hAnsiTheme="minorHAnsi" w:cstheme="minorHAnsi"/>
          <w:sz w:val="24"/>
          <w:szCs w:val="24"/>
        </w:rPr>
        <w:t>in FY2027</w:t>
      </w:r>
      <w:r w:rsidR="0045458D" w:rsidRPr="0045458D">
        <w:rPr>
          <w:rFonts w:asciiTheme="minorHAnsi" w:hAnsiTheme="minorHAnsi" w:cstheme="minorHAnsi"/>
          <w:sz w:val="24"/>
          <w:szCs w:val="24"/>
        </w:rPr>
        <w:t xml:space="preserve">. </w:t>
      </w:r>
      <w:r w:rsidR="0040247F">
        <w:rPr>
          <w:rFonts w:asciiTheme="minorHAnsi" w:hAnsiTheme="minorHAnsi" w:cstheme="minorHAnsi"/>
          <w:sz w:val="24"/>
          <w:szCs w:val="24"/>
        </w:rPr>
        <w:t>From</w:t>
      </w:r>
      <w:r w:rsidR="0045458D" w:rsidRPr="0045458D">
        <w:rPr>
          <w:rFonts w:asciiTheme="minorHAnsi" w:hAnsiTheme="minorHAnsi" w:cstheme="minorHAnsi"/>
          <w:sz w:val="24"/>
          <w:szCs w:val="24"/>
        </w:rPr>
        <w:t xml:space="preserve"> </w:t>
      </w:r>
      <w:r w:rsidR="0040247F">
        <w:rPr>
          <w:rFonts w:asciiTheme="minorHAnsi" w:hAnsiTheme="minorHAnsi" w:cstheme="minorHAnsi"/>
          <w:sz w:val="24"/>
          <w:szCs w:val="24"/>
        </w:rPr>
        <w:t>FY</w:t>
      </w:r>
      <w:r w:rsidR="0045458D" w:rsidRPr="0045458D">
        <w:rPr>
          <w:rFonts w:asciiTheme="minorHAnsi" w:hAnsiTheme="minorHAnsi" w:cstheme="minorHAnsi"/>
          <w:sz w:val="24"/>
          <w:szCs w:val="24"/>
        </w:rPr>
        <w:t xml:space="preserve">2028 through </w:t>
      </w:r>
      <w:r w:rsidR="0040247F">
        <w:rPr>
          <w:rFonts w:asciiTheme="minorHAnsi" w:hAnsiTheme="minorHAnsi" w:cstheme="minorHAnsi"/>
          <w:sz w:val="24"/>
          <w:szCs w:val="24"/>
        </w:rPr>
        <w:t>FY</w:t>
      </w:r>
      <w:r w:rsidR="0045458D" w:rsidRPr="0045458D">
        <w:rPr>
          <w:rFonts w:asciiTheme="minorHAnsi" w:hAnsiTheme="minorHAnsi" w:cstheme="minorHAnsi"/>
          <w:sz w:val="24"/>
          <w:szCs w:val="24"/>
        </w:rPr>
        <w:t>2031, volume is anticipated to</w:t>
      </w:r>
      <w:r w:rsidR="0045458D" w:rsidRPr="0045458D">
        <w:rPr>
          <w:rFonts w:asciiTheme="minorHAnsi" w:hAnsiTheme="minorHAnsi" w:cstheme="minorHAnsi"/>
          <w:spacing w:val="-2"/>
          <w:sz w:val="24"/>
          <w:szCs w:val="24"/>
        </w:rPr>
        <w:t xml:space="preserve"> </w:t>
      </w:r>
      <w:r w:rsidR="0040247F">
        <w:rPr>
          <w:rFonts w:asciiTheme="minorHAnsi" w:hAnsiTheme="minorHAnsi" w:cstheme="minorHAnsi"/>
          <w:sz w:val="24"/>
          <w:szCs w:val="24"/>
        </w:rPr>
        <w:t>rise from</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67%</w:t>
      </w:r>
      <w:r w:rsidR="0040247F">
        <w:rPr>
          <w:rFonts w:asciiTheme="minorHAnsi" w:hAnsiTheme="minorHAnsi" w:cstheme="minorHAnsi"/>
          <w:sz w:val="24"/>
          <w:szCs w:val="24"/>
        </w:rPr>
        <w:t xml:space="preserve"> to</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100%</w:t>
      </w:r>
      <w:r w:rsidR="0045458D" w:rsidRPr="0045458D">
        <w:rPr>
          <w:rFonts w:asciiTheme="minorHAnsi" w:hAnsiTheme="minorHAnsi" w:cstheme="minorHAnsi"/>
          <w:spacing w:val="-1"/>
          <w:sz w:val="24"/>
          <w:szCs w:val="24"/>
        </w:rPr>
        <w:t xml:space="preserve"> </w:t>
      </w:r>
      <w:r w:rsidR="0045458D" w:rsidRPr="0045458D">
        <w:rPr>
          <w:rFonts w:asciiTheme="minorHAnsi" w:hAnsiTheme="minorHAnsi" w:cstheme="minorHAnsi"/>
          <w:sz w:val="24"/>
          <w:szCs w:val="24"/>
        </w:rPr>
        <w:t>of</w:t>
      </w:r>
      <w:r w:rsidR="0045458D" w:rsidRPr="0045458D">
        <w:rPr>
          <w:rFonts w:asciiTheme="minorHAnsi" w:hAnsiTheme="minorHAnsi" w:cstheme="minorHAnsi"/>
          <w:spacing w:val="-1"/>
          <w:sz w:val="24"/>
          <w:szCs w:val="24"/>
        </w:rPr>
        <w:t xml:space="preserve"> </w:t>
      </w:r>
      <w:r w:rsidR="0045458D" w:rsidRPr="0045458D">
        <w:rPr>
          <w:rFonts w:asciiTheme="minorHAnsi" w:hAnsiTheme="minorHAnsi" w:cstheme="minorHAnsi"/>
          <w:sz w:val="24"/>
          <w:szCs w:val="24"/>
        </w:rPr>
        <w:t>projected</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volume</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capacity.</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Net</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revenue</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is</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based</w:t>
      </w:r>
      <w:r w:rsidR="0045458D" w:rsidRPr="0045458D">
        <w:rPr>
          <w:rFonts w:asciiTheme="minorHAnsi" w:hAnsiTheme="minorHAnsi" w:cstheme="minorHAnsi"/>
          <w:spacing w:val="-2"/>
          <w:sz w:val="24"/>
          <w:szCs w:val="24"/>
        </w:rPr>
        <w:t xml:space="preserve"> </w:t>
      </w:r>
      <w:r w:rsidR="0045458D" w:rsidRPr="0045458D">
        <w:rPr>
          <w:rFonts w:asciiTheme="minorHAnsi" w:hAnsiTheme="minorHAnsi" w:cstheme="minorHAnsi"/>
          <w:sz w:val="24"/>
          <w:szCs w:val="24"/>
        </w:rPr>
        <w:t>on the</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average</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of</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Commercial</w:t>
      </w:r>
      <w:r w:rsidR="0045458D" w:rsidRPr="0045458D">
        <w:rPr>
          <w:rFonts w:asciiTheme="minorHAnsi" w:hAnsiTheme="minorHAnsi" w:cstheme="minorHAnsi"/>
          <w:spacing w:val="-6"/>
          <w:sz w:val="24"/>
          <w:szCs w:val="24"/>
        </w:rPr>
        <w:t xml:space="preserve"> </w:t>
      </w:r>
      <w:r w:rsidR="0045458D" w:rsidRPr="0045458D">
        <w:rPr>
          <w:rFonts w:asciiTheme="minorHAnsi" w:hAnsiTheme="minorHAnsi" w:cstheme="minorHAnsi"/>
          <w:sz w:val="24"/>
          <w:szCs w:val="24"/>
        </w:rPr>
        <w:t>(44%),</w:t>
      </w:r>
      <w:r w:rsidR="0045458D" w:rsidRPr="0045458D">
        <w:rPr>
          <w:rFonts w:asciiTheme="minorHAnsi" w:hAnsiTheme="minorHAnsi" w:cstheme="minorHAnsi"/>
          <w:spacing w:val="-5"/>
          <w:sz w:val="24"/>
          <w:szCs w:val="24"/>
        </w:rPr>
        <w:t xml:space="preserve"> </w:t>
      </w:r>
      <w:r w:rsidR="0045458D" w:rsidRPr="0045458D">
        <w:rPr>
          <w:rFonts w:asciiTheme="minorHAnsi" w:hAnsiTheme="minorHAnsi" w:cstheme="minorHAnsi"/>
          <w:sz w:val="24"/>
          <w:szCs w:val="24"/>
        </w:rPr>
        <w:t>Medicare</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(40%),</w:t>
      </w:r>
      <w:r w:rsidR="0045458D" w:rsidRPr="0045458D">
        <w:rPr>
          <w:rFonts w:asciiTheme="minorHAnsi" w:hAnsiTheme="minorHAnsi" w:cstheme="minorHAnsi"/>
          <w:spacing w:val="-5"/>
          <w:sz w:val="24"/>
          <w:szCs w:val="24"/>
        </w:rPr>
        <w:t xml:space="preserve"> </w:t>
      </w:r>
      <w:r w:rsidR="0045458D" w:rsidRPr="0045458D">
        <w:rPr>
          <w:rFonts w:asciiTheme="minorHAnsi" w:hAnsiTheme="minorHAnsi" w:cstheme="minorHAnsi"/>
          <w:sz w:val="24"/>
          <w:szCs w:val="24"/>
        </w:rPr>
        <w:t>and</w:t>
      </w:r>
      <w:r w:rsidR="0045458D" w:rsidRPr="0045458D">
        <w:rPr>
          <w:rFonts w:asciiTheme="minorHAnsi" w:hAnsiTheme="minorHAnsi" w:cstheme="minorHAnsi"/>
          <w:spacing w:val="-5"/>
          <w:sz w:val="24"/>
          <w:szCs w:val="24"/>
        </w:rPr>
        <w:t xml:space="preserve"> </w:t>
      </w:r>
      <w:r w:rsidR="0045458D" w:rsidRPr="0045458D">
        <w:rPr>
          <w:rFonts w:asciiTheme="minorHAnsi" w:hAnsiTheme="minorHAnsi" w:cstheme="minorHAnsi"/>
          <w:sz w:val="24"/>
          <w:szCs w:val="24"/>
        </w:rPr>
        <w:t>Medicaid/other</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(16%)</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reimbursement</w:t>
      </w:r>
      <w:r w:rsidR="0045458D" w:rsidRPr="0045458D">
        <w:rPr>
          <w:rFonts w:asciiTheme="minorHAnsi" w:hAnsiTheme="minorHAnsi" w:cstheme="minorHAnsi"/>
          <w:spacing w:val="-4"/>
          <w:sz w:val="24"/>
          <w:szCs w:val="24"/>
        </w:rPr>
        <w:t xml:space="preserve"> </w:t>
      </w:r>
      <w:r w:rsidR="0045458D" w:rsidRPr="0045458D">
        <w:rPr>
          <w:rFonts w:asciiTheme="minorHAnsi" w:hAnsiTheme="minorHAnsi" w:cstheme="minorHAnsi"/>
          <w:sz w:val="24"/>
          <w:szCs w:val="24"/>
        </w:rPr>
        <w:t>rates,</w:t>
      </w:r>
      <w:r w:rsidR="0045458D" w:rsidRPr="0045458D">
        <w:rPr>
          <w:rFonts w:asciiTheme="minorHAnsi" w:hAnsiTheme="minorHAnsi" w:cstheme="minorHAnsi"/>
          <w:spacing w:val="-5"/>
          <w:sz w:val="24"/>
          <w:szCs w:val="24"/>
        </w:rPr>
        <w:t xml:space="preserve"> </w:t>
      </w:r>
      <w:r w:rsidR="0045458D" w:rsidRPr="0045458D">
        <w:rPr>
          <w:rFonts w:asciiTheme="minorHAnsi" w:hAnsiTheme="minorHAnsi" w:cstheme="minorHAnsi"/>
          <w:sz w:val="24"/>
          <w:szCs w:val="24"/>
        </w:rPr>
        <w:t>which</w:t>
      </w:r>
      <w:r w:rsidR="0045458D" w:rsidRPr="0045458D">
        <w:rPr>
          <w:rFonts w:asciiTheme="minorHAnsi" w:hAnsiTheme="minorHAnsi" w:cstheme="minorHAnsi"/>
          <w:spacing w:val="-7"/>
          <w:sz w:val="24"/>
          <w:szCs w:val="24"/>
        </w:rPr>
        <w:t xml:space="preserve"> </w:t>
      </w:r>
      <w:r w:rsidR="0045458D" w:rsidRPr="0045458D">
        <w:rPr>
          <w:rFonts w:asciiTheme="minorHAnsi" w:hAnsiTheme="minorHAnsi" w:cstheme="minorHAnsi"/>
          <w:sz w:val="24"/>
          <w:szCs w:val="24"/>
        </w:rPr>
        <w:t>is</w:t>
      </w:r>
      <w:r w:rsidR="0045458D" w:rsidRPr="0045458D">
        <w:rPr>
          <w:rFonts w:asciiTheme="minorHAnsi" w:hAnsiTheme="minorHAnsi" w:cstheme="minorHAnsi"/>
          <w:spacing w:val="-7"/>
          <w:sz w:val="24"/>
          <w:szCs w:val="24"/>
        </w:rPr>
        <w:t xml:space="preserve"> </w:t>
      </w:r>
      <w:r w:rsidR="0045458D" w:rsidRPr="0045458D">
        <w:rPr>
          <w:rFonts w:asciiTheme="minorHAnsi" w:hAnsiTheme="minorHAnsi" w:cstheme="minorHAnsi"/>
          <w:sz w:val="24"/>
          <w:szCs w:val="24"/>
        </w:rPr>
        <w:t>based on</w:t>
      </w:r>
      <w:r w:rsidR="0045458D" w:rsidRPr="0045458D">
        <w:rPr>
          <w:rFonts w:asciiTheme="minorHAnsi" w:hAnsiTheme="minorHAnsi" w:cstheme="minorHAnsi"/>
          <w:spacing w:val="-6"/>
          <w:sz w:val="24"/>
          <w:szCs w:val="24"/>
        </w:rPr>
        <w:t xml:space="preserve"> </w:t>
      </w:r>
      <w:r w:rsidR="005079AD">
        <w:rPr>
          <w:rFonts w:asciiTheme="minorHAnsi" w:hAnsiTheme="minorHAnsi" w:cstheme="minorHAnsi"/>
          <w:spacing w:val="-6"/>
          <w:sz w:val="24"/>
          <w:szCs w:val="24"/>
        </w:rPr>
        <w:t xml:space="preserve">historical </w:t>
      </w:r>
      <w:r w:rsidR="0045458D" w:rsidRPr="0045458D">
        <w:rPr>
          <w:rFonts w:asciiTheme="minorHAnsi" w:hAnsiTheme="minorHAnsi" w:cstheme="minorHAnsi"/>
          <w:sz w:val="24"/>
          <w:szCs w:val="24"/>
        </w:rPr>
        <w:t>reimbursement</w:t>
      </w:r>
      <w:r w:rsidR="0045458D" w:rsidRPr="0045458D">
        <w:rPr>
          <w:rFonts w:asciiTheme="minorHAnsi" w:hAnsiTheme="minorHAnsi" w:cstheme="minorHAnsi"/>
          <w:spacing w:val="-7"/>
          <w:sz w:val="24"/>
          <w:szCs w:val="24"/>
        </w:rPr>
        <w:t xml:space="preserve"> </w:t>
      </w:r>
      <w:r w:rsidR="0045458D" w:rsidRPr="0045458D">
        <w:rPr>
          <w:rFonts w:asciiTheme="minorHAnsi" w:hAnsiTheme="minorHAnsi" w:cstheme="minorHAnsi"/>
          <w:sz w:val="24"/>
          <w:szCs w:val="24"/>
        </w:rPr>
        <w:t>rates</w:t>
      </w:r>
      <w:r w:rsidR="0045458D" w:rsidRPr="0045458D">
        <w:rPr>
          <w:rFonts w:asciiTheme="minorHAnsi" w:hAnsiTheme="minorHAnsi" w:cstheme="minorHAnsi"/>
          <w:spacing w:val="-8"/>
          <w:sz w:val="24"/>
          <w:szCs w:val="24"/>
        </w:rPr>
        <w:t xml:space="preserve"> </w:t>
      </w:r>
      <w:r w:rsidR="0045458D" w:rsidRPr="0045458D">
        <w:rPr>
          <w:rFonts w:asciiTheme="minorHAnsi" w:hAnsiTheme="minorHAnsi" w:cstheme="minorHAnsi"/>
          <w:sz w:val="24"/>
          <w:szCs w:val="24"/>
        </w:rPr>
        <w:t>for</w:t>
      </w:r>
      <w:r w:rsidR="0045458D" w:rsidRPr="0045458D">
        <w:rPr>
          <w:rFonts w:asciiTheme="minorHAnsi" w:hAnsiTheme="minorHAnsi" w:cstheme="minorHAnsi"/>
          <w:spacing w:val="-8"/>
          <w:sz w:val="24"/>
          <w:szCs w:val="24"/>
        </w:rPr>
        <w:t xml:space="preserve"> </w:t>
      </w:r>
      <w:r w:rsidR="0045458D" w:rsidRPr="0045458D">
        <w:rPr>
          <w:rFonts w:asciiTheme="minorHAnsi" w:hAnsiTheme="minorHAnsi" w:cstheme="minorHAnsi"/>
          <w:sz w:val="24"/>
          <w:szCs w:val="24"/>
        </w:rPr>
        <w:t>existing</w:t>
      </w:r>
      <w:r w:rsidR="0045458D" w:rsidRPr="0045458D">
        <w:rPr>
          <w:rFonts w:asciiTheme="minorHAnsi" w:hAnsiTheme="minorHAnsi" w:cstheme="minorHAnsi"/>
          <w:spacing w:val="-6"/>
          <w:sz w:val="24"/>
          <w:szCs w:val="24"/>
        </w:rPr>
        <w:t xml:space="preserve"> </w:t>
      </w:r>
      <w:r w:rsidR="0045458D" w:rsidRPr="0045458D">
        <w:rPr>
          <w:rFonts w:asciiTheme="minorHAnsi" w:hAnsiTheme="minorHAnsi" w:cstheme="minorHAnsi"/>
          <w:sz w:val="24"/>
          <w:szCs w:val="24"/>
        </w:rPr>
        <w:t>BILH</w:t>
      </w:r>
      <w:r w:rsidR="0045458D" w:rsidRPr="0045458D">
        <w:rPr>
          <w:rFonts w:asciiTheme="minorHAnsi" w:hAnsiTheme="minorHAnsi" w:cstheme="minorHAnsi"/>
          <w:spacing w:val="-7"/>
          <w:sz w:val="24"/>
          <w:szCs w:val="24"/>
        </w:rPr>
        <w:t xml:space="preserve"> </w:t>
      </w:r>
      <w:r w:rsidR="0045458D" w:rsidRPr="0045458D">
        <w:rPr>
          <w:rFonts w:asciiTheme="minorHAnsi" w:hAnsiTheme="minorHAnsi" w:cstheme="minorHAnsi"/>
          <w:sz w:val="24"/>
          <w:szCs w:val="24"/>
        </w:rPr>
        <w:t>locations.</w:t>
      </w:r>
    </w:p>
    <w:p w14:paraId="69A25B43" w14:textId="7A5A6AB9" w:rsidR="00A40347" w:rsidRDefault="00A40347" w:rsidP="005C6EF4">
      <w:pPr>
        <w:spacing w:after="0"/>
        <w:textAlignment w:val="baseline"/>
        <w:rPr>
          <w:sz w:val="24"/>
          <w:szCs w:val="24"/>
          <w:highlight w:val="yellow"/>
        </w:rPr>
      </w:pPr>
    </w:p>
    <w:p w14:paraId="3CF72EAF" w14:textId="6EB53436" w:rsidR="006E7A1E" w:rsidRPr="004F5EB1" w:rsidRDefault="004F5EB1" w:rsidP="005C6EF4">
      <w:pPr>
        <w:spacing w:after="0"/>
        <w:textAlignment w:val="baseline"/>
        <w:rPr>
          <w:rFonts w:cstheme="minorHAnsi"/>
          <w:sz w:val="24"/>
          <w:szCs w:val="24"/>
        </w:rPr>
      </w:pPr>
      <w:r w:rsidRPr="004F5EB1">
        <w:rPr>
          <w:rFonts w:cstheme="minorHAnsi"/>
          <w:sz w:val="24"/>
          <w:szCs w:val="24"/>
        </w:rPr>
        <w:t>B</w:t>
      </w:r>
      <w:r w:rsidR="006E7A1E" w:rsidRPr="004F5EB1">
        <w:rPr>
          <w:rFonts w:cstheme="minorHAnsi"/>
          <w:sz w:val="24"/>
          <w:szCs w:val="24"/>
        </w:rPr>
        <w:t xml:space="preserve">oth Satellites are predicted to </w:t>
      </w:r>
      <w:r w:rsidR="003E0C6D" w:rsidRPr="004F5EB1">
        <w:rPr>
          <w:rFonts w:cstheme="minorHAnsi"/>
          <w:sz w:val="24"/>
          <w:szCs w:val="24"/>
        </w:rPr>
        <w:t xml:space="preserve">increase net patient revenue in the </w:t>
      </w:r>
      <w:r w:rsidR="0053608E" w:rsidRPr="004F5EB1">
        <w:rPr>
          <w:rFonts w:cstheme="minorHAnsi"/>
          <w:sz w:val="24"/>
          <w:szCs w:val="24"/>
        </w:rPr>
        <w:t>five-year</w:t>
      </w:r>
      <w:r w:rsidR="003E0C6D" w:rsidRPr="004F5EB1">
        <w:rPr>
          <w:rFonts w:cstheme="minorHAnsi"/>
          <w:sz w:val="24"/>
          <w:szCs w:val="24"/>
        </w:rPr>
        <w:t xml:space="preserve"> projections</w:t>
      </w:r>
      <w:r w:rsidRPr="004F5EB1">
        <w:rPr>
          <w:rFonts w:cstheme="minorHAnsi"/>
          <w:sz w:val="24"/>
          <w:szCs w:val="24"/>
        </w:rPr>
        <w:t xml:space="preserve">. The CPA Report states that </w:t>
      </w:r>
      <w:r w:rsidR="00922648">
        <w:rPr>
          <w:rFonts w:cstheme="minorHAnsi"/>
          <w:sz w:val="24"/>
          <w:szCs w:val="24"/>
        </w:rPr>
        <w:t>t</w:t>
      </w:r>
      <w:r w:rsidRPr="004F5EB1">
        <w:rPr>
          <w:rFonts w:cstheme="minorHAnsi"/>
          <w:sz w:val="24"/>
          <w:szCs w:val="24"/>
        </w:rPr>
        <w:t>he</w:t>
      </w:r>
      <w:r w:rsidRPr="004F5EB1">
        <w:rPr>
          <w:rFonts w:cstheme="minorHAnsi"/>
          <w:spacing w:val="-9"/>
          <w:sz w:val="24"/>
          <w:szCs w:val="24"/>
        </w:rPr>
        <w:t xml:space="preserve"> </w:t>
      </w:r>
      <w:r w:rsidRPr="004F5EB1">
        <w:rPr>
          <w:rFonts w:cstheme="minorHAnsi"/>
          <w:sz w:val="24"/>
          <w:szCs w:val="24"/>
        </w:rPr>
        <w:t>revenue</w:t>
      </w:r>
      <w:r w:rsidRPr="004F5EB1">
        <w:rPr>
          <w:rFonts w:cstheme="minorHAnsi"/>
          <w:spacing w:val="-9"/>
          <w:sz w:val="24"/>
          <w:szCs w:val="24"/>
        </w:rPr>
        <w:t xml:space="preserve"> </w:t>
      </w:r>
      <w:r w:rsidRPr="004F5EB1">
        <w:rPr>
          <w:rFonts w:cstheme="minorHAnsi"/>
          <w:sz w:val="24"/>
          <w:szCs w:val="24"/>
        </w:rPr>
        <w:t>projected</w:t>
      </w:r>
      <w:r w:rsidRPr="004F5EB1">
        <w:rPr>
          <w:rFonts w:cstheme="minorHAnsi"/>
          <w:spacing w:val="-10"/>
          <w:sz w:val="24"/>
          <w:szCs w:val="24"/>
        </w:rPr>
        <w:t xml:space="preserve"> </w:t>
      </w:r>
      <w:r w:rsidRPr="004F5EB1">
        <w:rPr>
          <w:rFonts w:cstheme="minorHAnsi"/>
          <w:sz w:val="24"/>
          <w:szCs w:val="24"/>
        </w:rPr>
        <w:t>by</w:t>
      </w:r>
      <w:r w:rsidRPr="004F5EB1">
        <w:rPr>
          <w:rFonts w:cstheme="minorHAnsi"/>
          <w:spacing w:val="-12"/>
          <w:sz w:val="24"/>
          <w:szCs w:val="24"/>
        </w:rPr>
        <w:t xml:space="preserve"> </w:t>
      </w:r>
      <w:r w:rsidRPr="004F5EB1">
        <w:rPr>
          <w:rFonts w:cstheme="minorHAnsi"/>
          <w:sz w:val="24"/>
          <w:szCs w:val="24"/>
        </w:rPr>
        <w:t>the Applicant</w:t>
      </w:r>
      <w:r w:rsidRPr="004F5EB1">
        <w:rPr>
          <w:rFonts w:cstheme="minorHAnsi"/>
          <w:spacing w:val="-9"/>
          <w:sz w:val="24"/>
          <w:szCs w:val="24"/>
        </w:rPr>
        <w:t xml:space="preserve"> </w:t>
      </w:r>
      <w:r w:rsidRPr="004F5EB1">
        <w:rPr>
          <w:rFonts w:cstheme="minorHAnsi"/>
          <w:sz w:val="24"/>
          <w:szCs w:val="24"/>
        </w:rPr>
        <w:t>is</w:t>
      </w:r>
      <w:r w:rsidRPr="004F5EB1">
        <w:rPr>
          <w:rFonts w:cstheme="minorHAnsi"/>
          <w:spacing w:val="-9"/>
          <w:sz w:val="24"/>
          <w:szCs w:val="24"/>
        </w:rPr>
        <w:t xml:space="preserve"> </w:t>
      </w:r>
      <w:r w:rsidRPr="004F5EB1">
        <w:rPr>
          <w:rFonts w:cstheme="minorHAnsi"/>
          <w:sz w:val="24"/>
          <w:szCs w:val="24"/>
        </w:rPr>
        <w:t>a</w:t>
      </w:r>
      <w:r w:rsidRPr="004F5EB1">
        <w:rPr>
          <w:rFonts w:cstheme="minorHAnsi"/>
          <w:spacing w:val="-9"/>
          <w:sz w:val="24"/>
          <w:szCs w:val="24"/>
        </w:rPr>
        <w:t xml:space="preserve"> </w:t>
      </w:r>
      <w:r w:rsidRPr="004F5EB1">
        <w:rPr>
          <w:rFonts w:cstheme="minorHAnsi"/>
          <w:sz w:val="24"/>
          <w:szCs w:val="24"/>
        </w:rPr>
        <w:t>reasonable</w:t>
      </w:r>
      <w:r w:rsidRPr="004F5EB1">
        <w:rPr>
          <w:rFonts w:cstheme="minorHAnsi"/>
          <w:spacing w:val="-9"/>
          <w:sz w:val="24"/>
          <w:szCs w:val="24"/>
        </w:rPr>
        <w:t xml:space="preserve"> </w:t>
      </w:r>
      <w:r w:rsidRPr="004F5EB1">
        <w:rPr>
          <w:rFonts w:cstheme="minorHAnsi"/>
          <w:sz w:val="24"/>
          <w:szCs w:val="24"/>
        </w:rPr>
        <w:t>estimation</w:t>
      </w:r>
      <w:r w:rsidRPr="004F5EB1">
        <w:rPr>
          <w:rFonts w:cstheme="minorHAnsi"/>
          <w:spacing w:val="-10"/>
          <w:sz w:val="24"/>
          <w:szCs w:val="24"/>
        </w:rPr>
        <w:t xml:space="preserve"> </w:t>
      </w:r>
      <w:r w:rsidRPr="004F5EB1">
        <w:rPr>
          <w:rFonts w:cstheme="minorHAnsi"/>
          <w:sz w:val="24"/>
          <w:szCs w:val="24"/>
        </w:rPr>
        <w:t>based</w:t>
      </w:r>
      <w:r w:rsidRPr="004F5EB1">
        <w:rPr>
          <w:rFonts w:cstheme="minorHAnsi"/>
          <w:spacing w:val="-10"/>
          <w:sz w:val="24"/>
          <w:szCs w:val="24"/>
        </w:rPr>
        <w:t xml:space="preserve"> </w:t>
      </w:r>
      <w:r w:rsidRPr="004F5EB1">
        <w:rPr>
          <w:rFonts w:cstheme="minorHAnsi"/>
          <w:sz w:val="24"/>
          <w:szCs w:val="24"/>
        </w:rPr>
        <w:t>primarily</w:t>
      </w:r>
      <w:r w:rsidRPr="004F5EB1">
        <w:rPr>
          <w:rFonts w:cstheme="minorHAnsi"/>
          <w:spacing w:val="-10"/>
          <w:sz w:val="24"/>
          <w:szCs w:val="24"/>
        </w:rPr>
        <w:t xml:space="preserve"> </w:t>
      </w:r>
      <w:r w:rsidRPr="004F5EB1">
        <w:rPr>
          <w:rFonts w:cstheme="minorHAnsi"/>
          <w:sz w:val="24"/>
          <w:szCs w:val="24"/>
        </w:rPr>
        <w:t>upon</w:t>
      </w:r>
      <w:r w:rsidRPr="004F5EB1">
        <w:rPr>
          <w:rFonts w:cstheme="minorHAnsi"/>
          <w:spacing w:val="-10"/>
          <w:sz w:val="24"/>
          <w:szCs w:val="24"/>
        </w:rPr>
        <w:t xml:space="preserve"> </w:t>
      </w:r>
      <w:r w:rsidRPr="004F5EB1">
        <w:rPr>
          <w:rFonts w:cstheme="minorHAnsi"/>
          <w:sz w:val="24"/>
          <w:szCs w:val="24"/>
        </w:rPr>
        <w:t>the historical patient volume.</w:t>
      </w:r>
    </w:p>
    <w:p w14:paraId="7A0B5E06" w14:textId="77777777" w:rsidR="00D7401D" w:rsidRPr="00185FBE" w:rsidRDefault="00D7401D" w:rsidP="00D7401D">
      <w:pPr>
        <w:spacing w:after="0"/>
        <w:textAlignment w:val="baseline"/>
        <w:rPr>
          <w:rFonts w:eastAsia="Trebuchet MS"/>
          <w:color w:val="000000"/>
          <w:sz w:val="24"/>
          <w:szCs w:val="24"/>
          <w:highlight w:val="yellow"/>
        </w:rPr>
      </w:pPr>
    </w:p>
    <w:p w14:paraId="5C9A50FD" w14:textId="77777777" w:rsidR="008E4932" w:rsidRPr="00F50250" w:rsidRDefault="008E4932" w:rsidP="00D7401D">
      <w:pPr>
        <w:spacing w:after="0"/>
        <w:rPr>
          <w:rFonts w:cstheme="minorHAnsi"/>
          <w:b/>
          <w:sz w:val="24"/>
          <w:szCs w:val="24"/>
        </w:rPr>
      </w:pPr>
      <w:r w:rsidRPr="00F50250">
        <w:rPr>
          <w:rFonts w:cstheme="minorHAnsi"/>
          <w:b/>
          <w:sz w:val="24"/>
          <w:szCs w:val="24"/>
        </w:rPr>
        <w:t>Operating Expenses</w:t>
      </w:r>
    </w:p>
    <w:p w14:paraId="5C938712" w14:textId="0BDF260C" w:rsidR="008E4932" w:rsidRPr="00F50250" w:rsidRDefault="008E4932" w:rsidP="008F0717">
      <w:pPr>
        <w:autoSpaceDE w:val="0"/>
        <w:autoSpaceDN w:val="0"/>
        <w:adjustRightInd w:val="0"/>
        <w:spacing w:after="0"/>
        <w:rPr>
          <w:rFonts w:cstheme="minorHAnsi"/>
          <w:sz w:val="24"/>
          <w:szCs w:val="24"/>
        </w:rPr>
      </w:pPr>
      <w:r w:rsidRPr="00F50250">
        <w:rPr>
          <w:rFonts w:cstheme="minorHAnsi"/>
          <w:sz w:val="24"/>
          <w:szCs w:val="24"/>
        </w:rPr>
        <w:t xml:space="preserve">The CPA analyzed Salaries and Benefits, </w:t>
      </w:r>
      <w:r w:rsidR="00C530BF" w:rsidRPr="00F50250">
        <w:rPr>
          <w:rFonts w:cstheme="minorHAnsi"/>
          <w:sz w:val="24"/>
          <w:szCs w:val="24"/>
        </w:rPr>
        <w:t xml:space="preserve">Supplies, </w:t>
      </w:r>
      <w:r w:rsidR="006F3F62" w:rsidRPr="00F50250">
        <w:rPr>
          <w:rFonts w:cstheme="minorHAnsi"/>
          <w:sz w:val="24"/>
          <w:szCs w:val="24"/>
        </w:rPr>
        <w:t>Professional Fees, Rent</w:t>
      </w:r>
      <w:r w:rsidR="006F64D3" w:rsidRPr="00F50250">
        <w:rPr>
          <w:rFonts w:cstheme="minorHAnsi"/>
          <w:sz w:val="24"/>
          <w:szCs w:val="24"/>
        </w:rPr>
        <w:t>,</w:t>
      </w:r>
      <w:r w:rsidRPr="00F50250">
        <w:rPr>
          <w:rFonts w:cstheme="minorHAnsi"/>
          <w:sz w:val="24"/>
          <w:szCs w:val="24"/>
        </w:rPr>
        <w:t xml:space="preserve"> Depreciation</w:t>
      </w:r>
      <w:r w:rsidR="006F64D3" w:rsidRPr="00F50250">
        <w:rPr>
          <w:rFonts w:cstheme="minorHAnsi"/>
          <w:sz w:val="24"/>
          <w:szCs w:val="24"/>
        </w:rPr>
        <w:t>, and Other</w:t>
      </w:r>
      <w:r w:rsidR="00F50250" w:rsidRPr="00F50250">
        <w:rPr>
          <w:rFonts w:cstheme="minorHAnsi"/>
          <w:sz w:val="24"/>
          <w:szCs w:val="24"/>
        </w:rPr>
        <w:t xml:space="preserve"> Operating</w:t>
      </w:r>
      <w:r w:rsidRPr="00F50250">
        <w:rPr>
          <w:rFonts w:cstheme="minorHAnsi"/>
          <w:sz w:val="24"/>
          <w:szCs w:val="24"/>
        </w:rPr>
        <w:t xml:space="preserve"> Expense</w:t>
      </w:r>
      <w:r w:rsidR="00F50250" w:rsidRPr="00F50250">
        <w:rPr>
          <w:rFonts w:cstheme="minorHAnsi"/>
          <w:sz w:val="24"/>
          <w:szCs w:val="24"/>
        </w:rPr>
        <w:t>s</w:t>
      </w:r>
      <w:r w:rsidRPr="00F50250">
        <w:rPr>
          <w:rFonts w:cstheme="minorHAnsi"/>
          <w:sz w:val="24"/>
          <w:szCs w:val="24"/>
        </w:rPr>
        <w:t xml:space="preserve"> for reasonableness and feasibility as related to the Proposed Project. </w:t>
      </w:r>
    </w:p>
    <w:p w14:paraId="39395352" w14:textId="77777777" w:rsidR="008F0717" w:rsidRDefault="008F0717" w:rsidP="008F0717">
      <w:pPr>
        <w:autoSpaceDE w:val="0"/>
        <w:autoSpaceDN w:val="0"/>
        <w:adjustRightInd w:val="0"/>
        <w:spacing w:after="0"/>
        <w:rPr>
          <w:rFonts w:cstheme="minorHAnsi"/>
          <w:sz w:val="24"/>
          <w:szCs w:val="24"/>
          <w:highlight w:val="yellow"/>
        </w:rPr>
      </w:pPr>
    </w:p>
    <w:p w14:paraId="001DECF9" w14:textId="0DF0093B" w:rsidR="00F50250" w:rsidRPr="00F50250" w:rsidRDefault="00F50250" w:rsidP="008F0717">
      <w:pPr>
        <w:autoSpaceDE w:val="0"/>
        <w:autoSpaceDN w:val="0"/>
        <w:adjustRightInd w:val="0"/>
        <w:spacing w:after="0"/>
        <w:rPr>
          <w:rFonts w:cstheme="minorHAnsi"/>
          <w:sz w:val="24"/>
          <w:szCs w:val="24"/>
          <w:u w:val="single"/>
        </w:rPr>
      </w:pPr>
      <w:r w:rsidRPr="00F50250">
        <w:rPr>
          <w:rFonts w:cstheme="minorHAnsi"/>
          <w:sz w:val="24"/>
          <w:szCs w:val="24"/>
          <w:u w:val="single"/>
        </w:rPr>
        <w:t>Cordage Park Satellite</w:t>
      </w:r>
    </w:p>
    <w:p w14:paraId="3CD18BC9" w14:textId="43586605" w:rsidR="0031700D" w:rsidRPr="009C1D90" w:rsidRDefault="008E4932" w:rsidP="008F0717">
      <w:pPr>
        <w:autoSpaceDE w:val="0"/>
        <w:autoSpaceDN w:val="0"/>
        <w:adjustRightInd w:val="0"/>
        <w:spacing w:after="0"/>
        <w:rPr>
          <w:rFonts w:eastAsia="Trebuchet MS" w:cstheme="minorHAnsi"/>
          <w:bCs/>
          <w:color w:val="000000"/>
          <w:spacing w:val="3"/>
          <w:sz w:val="24"/>
          <w:szCs w:val="24"/>
          <w:highlight w:val="yellow"/>
        </w:rPr>
      </w:pPr>
      <w:r w:rsidRPr="009C1D90">
        <w:rPr>
          <w:rFonts w:cstheme="minorHAnsi"/>
          <w:i/>
          <w:iCs/>
          <w:sz w:val="24"/>
          <w:szCs w:val="24"/>
        </w:rPr>
        <w:t xml:space="preserve">Salaries </w:t>
      </w:r>
      <w:r w:rsidR="004A42D5" w:rsidRPr="009C1D90">
        <w:rPr>
          <w:rFonts w:cstheme="minorHAnsi"/>
          <w:i/>
          <w:iCs/>
          <w:sz w:val="24"/>
          <w:szCs w:val="24"/>
        </w:rPr>
        <w:t xml:space="preserve">and Benefits: </w:t>
      </w:r>
      <w:r w:rsidR="00296B5B" w:rsidRPr="009C1D90">
        <w:rPr>
          <w:rFonts w:cstheme="minorHAnsi"/>
          <w:i/>
          <w:iCs/>
          <w:sz w:val="24"/>
          <w:szCs w:val="24"/>
        </w:rPr>
        <w:t>S</w:t>
      </w:r>
      <w:r w:rsidR="004A42D5" w:rsidRPr="009C1D90">
        <w:rPr>
          <w:rFonts w:eastAsia="Trebuchet MS" w:cstheme="minorHAnsi"/>
          <w:bCs/>
          <w:color w:val="000000"/>
          <w:spacing w:val="3"/>
          <w:sz w:val="24"/>
          <w:szCs w:val="24"/>
        </w:rPr>
        <w:t xml:space="preserve">alaries </w:t>
      </w:r>
      <w:r w:rsidR="0089304F" w:rsidRPr="009C1D90">
        <w:rPr>
          <w:rFonts w:eastAsia="Trebuchet MS" w:cstheme="minorHAnsi"/>
          <w:bCs/>
          <w:color w:val="000000"/>
          <w:spacing w:val="3"/>
          <w:sz w:val="24"/>
          <w:szCs w:val="24"/>
        </w:rPr>
        <w:t xml:space="preserve">were </w:t>
      </w:r>
      <w:r w:rsidR="00A61A04" w:rsidRPr="009C1D90">
        <w:rPr>
          <w:rFonts w:eastAsia="Trebuchet MS" w:cstheme="minorHAnsi"/>
          <w:bCs/>
          <w:color w:val="000000"/>
          <w:spacing w:val="3"/>
          <w:sz w:val="24"/>
          <w:szCs w:val="24"/>
        </w:rPr>
        <w:t xml:space="preserve">based on an estimate of </w:t>
      </w:r>
      <w:r w:rsidR="00D929F5" w:rsidRPr="009C1D90">
        <w:rPr>
          <w:rFonts w:eastAsia="Trebuchet MS" w:cstheme="minorHAnsi"/>
          <w:bCs/>
          <w:color w:val="000000"/>
          <w:spacing w:val="3"/>
          <w:sz w:val="24"/>
          <w:szCs w:val="24"/>
        </w:rPr>
        <w:t>71</w:t>
      </w:r>
      <w:r w:rsidR="00A61A04" w:rsidRPr="009C1D90">
        <w:rPr>
          <w:rFonts w:eastAsia="Trebuchet MS" w:cstheme="minorHAnsi"/>
          <w:bCs/>
          <w:color w:val="000000"/>
          <w:spacing w:val="3"/>
          <w:sz w:val="24"/>
          <w:szCs w:val="24"/>
        </w:rPr>
        <w:t xml:space="preserve"> full time employees (FTE) </w:t>
      </w:r>
      <w:r w:rsidR="009A4E12" w:rsidRPr="009C1D90">
        <w:rPr>
          <w:rFonts w:eastAsia="Trebuchet MS" w:cstheme="minorHAnsi"/>
          <w:bCs/>
          <w:color w:val="000000"/>
          <w:spacing w:val="3"/>
          <w:sz w:val="24"/>
          <w:szCs w:val="24"/>
        </w:rPr>
        <w:t xml:space="preserve">and </w:t>
      </w:r>
      <w:r w:rsidR="0089304F" w:rsidRPr="009C1D90">
        <w:rPr>
          <w:rFonts w:eastAsia="Trebuchet MS" w:cstheme="minorHAnsi"/>
          <w:bCs/>
          <w:color w:val="000000"/>
          <w:spacing w:val="3"/>
          <w:sz w:val="24"/>
          <w:szCs w:val="24"/>
        </w:rPr>
        <w:t xml:space="preserve">Benefits were calculated as </w:t>
      </w:r>
      <w:r w:rsidR="00485F79" w:rsidRPr="009C1D90">
        <w:rPr>
          <w:rFonts w:eastAsia="Trebuchet MS" w:cstheme="minorHAnsi"/>
          <w:bCs/>
          <w:color w:val="000000"/>
          <w:spacing w:val="3"/>
          <w:sz w:val="24"/>
          <w:szCs w:val="24"/>
        </w:rPr>
        <w:t xml:space="preserve">22% </w:t>
      </w:r>
      <w:r w:rsidR="0089304F" w:rsidRPr="009C1D90">
        <w:rPr>
          <w:rFonts w:eastAsia="Trebuchet MS" w:cstheme="minorHAnsi"/>
          <w:bCs/>
          <w:color w:val="000000"/>
          <w:spacing w:val="3"/>
          <w:sz w:val="24"/>
          <w:szCs w:val="24"/>
        </w:rPr>
        <w:t>percent of salaries using historical data</w:t>
      </w:r>
      <w:r w:rsidR="00485F79" w:rsidRPr="009C1D90">
        <w:rPr>
          <w:rFonts w:eastAsia="Trebuchet MS" w:cstheme="minorHAnsi"/>
          <w:bCs/>
          <w:color w:val="000000"/>
          <w:spacing w:val="3"/>
          <w:sz w:val="24"/>
          <w:szCs w:val="24"/>
        </w:rPr>
        <w:t xml:space="preserve"> (based on </w:t>
      </w:r>
      <w:r w:rsidR="009C1D90" w:rsidRPr="009C1D90">
        <w:rPr>
          <w:rFonts w:eastAsia="Trebuchet MS" w:cstheme="minorHAnsi"/>
          <w:bCs/>
          <w:color w:val="000000"/>
          <w:spacing w:val="3"/>
          <w:sz w:val="24"/>
          <w:szCs w:val="24"/>
        </w:rPr>
        <w:t>FY2022 BID-P fringe benefits)</w:t>
      </w:r>
      <w:r w:rsidR="009A4E12" w:rsidRPr="009C1D90">
        <w:rPr>
          <w:rFonts w:eastAsia="Trebuchet MS" w:cstheme="minorHAnsi"/>
          <w:bCs/>
          <w:color w:val="000000"/>
          <w:spacing w:val="3"/>
          <w:sz w:val="24"/>
          <w:szCs w:val="24"/>
        </w:rPr>
        <w:t xml:space="preserve">. </w:t>
      </w:r>
      <w:r w:rsidR="00683346" w:rsidRPr="009C1D90">
        <w:rPr>
          <w:rFonts w:cstheme="minorHAnsi"/>
          <w:sz w:val="24"/>
          <w:szCs w:val="24"/>
        </w:rPr>
        <w:t>Total</w:t>
      </w:r>
      <w:r w:rsidR="00683346" w:rsidRPr="009C1D90">
        <w:rPr>
          <w:rFonts w:cstheme="minorHAnsi"/>
          <w:spacing w:val="-11"/>
          <w:sz w:val="24"/>
          <w:szCs w:val="24"/>
        </w:rPr>
        <w:t xml:space="preserve"> </w:t>
      </w:r>
      <w:r w:rsidR="00683346" w:rsidRPr="009C1D90">
        <w:rPr>
          <w:rFonts w:cstheme="minorHAnsi"/>
          <w:sz w:val="24"/>
          <w:szCs w:val="24"/>
        </w:rPr>
        <w:t>FTEs</w:t>
      </w:r>
      <w:r w:rsidR="00683346" w:rsidRPr="009C1D90">
        <w:rPr>
          <w:rFonts w:cstheme="minorHAnsi"/>
          <w:spacing w:val="-11"/>
          <w:sz w:val="24"/>
          <w:szCs w:val="24"/>
        </w:rPr>
        <w:t xml:space="preserve"> </w:t>
      </w:r>
      <w:r w:rsidR="00683346" w:rsidRPr="009C1D90">
        <w:rPr>
          <w:rFonts w:cstheme="minorHAnsi"/>
          <w:sz w:val="24"/>
          <w:szCs w:val="24"/>
        </w:rPr>
        <w:t>are</w:t>
      </w:r>
      <w:r w:rsidR="00683346" w:rsidRPr="009C1D90">
        <w:rPr>
          <w:rFonts w:cstheme="minorHAnsi"/>
          <w:spacing w:val="-11"/>
          <w:sz w:val="24"/>
          <w:szCs w:val="24"/>
        </w:rPr>
        <w:t xml:space="preserve"> </w:t>
      </w:r>
      <w:r w:rsidR="00683346" w:rsidRPr="009C1D90">
        <w:rPr>
          <w:rFonts w:cstheme="minorHAnsi"/>
          <w:sz w:val="24"/>
          <w:szCs w:val="24"/>
        </w:rPr>
        <w:t>projected</w:t>
      </w:r>
      <w:r w:rsidR="00683346" w:rsidRPr="009C1D90">
        <w:rPr>
          <w:rFonts w:cstheme="minorHAnsi"/>
          <w:spacing w:val="-12"/>
          <w:sz w:val="24"/>
          <w:szCs w:val="24"/>
        </w:rPr>
        <w:t xml:space="preserve"> </w:t>
      </w:r>
      <w:r w:rsidR="00683346" w:rsidRPr="009C1D90">
        <w:rPr>
          <w:rFonts w:cstheme="minorHAnsi"/>
          <w:sz w:val="24"/>
          <w:szCs w:val="24"/>
        </w:rPr>
        <w:t>to</w:t>
      </w:r>
      <w:r w:rsidR="00683346" w:rsidRPr="009C1D90">
        <w:rPr>
          <w:rFonts w:cstheme="minorHAnsi"/>
          <w:spacing w:val="-12"/>
          <w:sz w:val="24"/>
          <w:szCs w:val="24"/>
        </w:rPr>
        <w:t xml:space="preserve"> </w:t>
      </w:r>
      <w:r w:rsidR="00683346" w:rsidRPr="009C1D90">
        <w:rPr>
          <w:rFonts w:cstheme="minorHAnsi"/>
          <w:sz w:val="24"/>
          <w:szCs w:val="24"/>
        </w:rPr>
        <w:t>increase by 8 annually through FY2031 to support an increase in volume. P</w:t>
      </w:r>
      <w:r w:rsidR="009C1D90">
        <w:rPr>
          <w:rFonts w:cstheme="minorHAnsi"/>
          <w:sz w:val="24"/>
          <w:szCs w:val="24"/>
        </w:rPr>
        <w:t>r</w:t>
      </w:r>
      <w:r w:rsidR="00683346" w:rsidRPr="009C1D90">
        <w:rPr>
          <w:rFonts w:cstheme="minorHAnsi"/>
          <w:sz w:val="24"/>
          <w:szCs w:val="24"/>
        </w:rPr>
        <w:t>ojections assumed a 2% cost of living adjustment every year. Projected salaries and wages are based on historical average salaries for BID-Plymouth for FY2022.</w:t>
      </w:r>
    </w:p>
    <w:p w14:paraId="4811ED45" w14:textId="77777777" w:rsidR="008F0717" w:rsidRPr="00185FBE" w:rsidRDefault="008F0717" w:rsidP="008F0717">
      <w:pPr>
        <w:autoSpaceDE w:val="0"/>
        <w:autoSpaceDN w:val="0"/>
        <w:adjustRightInd w:val="0"/>
        <w:spacing w:after="0"/>
        <w:rPr>
          <w:rFonts w:eastAsia="Trebuchet MS"/>
          <w:bCs/>
          <w:color w:val="000000"/>
          <w:spacing w:val="3"/>
          <w:sz w:val="24"/>
          <w:szCs w:val="24"/>
          <w:highlight w:val="yellow"/>
        </w:rPr>
      </w:pPr>
    </w:p>
    <w:p w14:paraId="2B73268A" w14:textId="64B8A144" w:rsidR="0000676E" w:rsidRPr="00A404DC" w:rsidRDefault="0031700D" w:rsidP="00A404DC">
      <w:pPr>
        <w:autoSpaceDE w:val="0"/>
        <w:autoSpaceDN w:val="0"/>
        <w:adjustRightInd w:val="0"/>
        <w:spacing w:after="0"/>
        <w:rPr>
          <w:rFonts w:cstheme="minorHAnsi"/>
          <w:sz w:val="24"/>
          <w:szCs w:val="24"/>
        </w:rPr>
      </w:pPr>
      <w:r w:rsidRPr="0019740D">
        <w:rPr>
          <w:rFonts w:cstheme="minorHAnsi"/>
          <w:i/>
          <w:iCs/>
          <w:sz w:val="24"/>
          <w:szCs w:val="24"/>
        </w:rPr>
        <w:lastRenderedPageBreak/>
        <w:t>Supplies</w:t>
      </w:r>
      <w:r w:rsidR="00184C33" w:rsidRPr="0019740D">
        <w:rPr>
          <w:rFonts w:cstheme="minorHAnsi"/>
          <w:i/>
          <w:iCs/>
          <w:sz w:val="24"/>
          <w:szCs w:val="24"/>
        </w:rPr>
        <w:t>:</w:t>
      </w:r>
      <w:r w:rsidRPr="0019740D">
        <w:rPr>
          <w:rFonts w:cstheme="minorHAnsi"/>
          <w:sz w:val="24"/>
          <w:szCs w:val="24"/>
        </w:rPr>
        <w:t xml:space="preserve"> </w:t>
      </w:r>
      <w:r w:rsidR="0019740D" w:rsidRPr="0019740D">
        <w:rPr>
          <w:rFonts w:cstheme="minorHAnsi"/>
          <w:sz w:val="24"/>
          <w:szCs w:val="24"/>
        </w:rPr>
        <w:t xml:space="preserve">Supplies include the cost of drugs and other medical supplies. Drug costs are estimated at approximately 15% of gross revenue </w:t>
      </w:r>
      <w:r w:rsidR="0019740D">
        <w:rPr>
          <w:rFonts w:cstheme="minorHAnsi"/>
          <w:sz w:val="24"/>
          <w:szCs w:val="24"/>
        </w:rPr>
        <w:t>from FY</w:t>
      </w:r>
      <w:r w:rsidR="0019740D" w:rsidRPr="0019740D">
        <w:rPr>
          <w:rFonts w:cstheme="minorHAnsi"/>
          <w:sz w:val="24"/>
          <w:szCs w:val="24"/>
        </w:rPr>
        <w:t xml:space="preserve">2027 through </w:t>
      </w:r>
      <w:r w:rsidR="0019740D">
        <w:rPr>
          <w:rFonts w:cstheme="minorHAnsi"/>
          <w:sz w:val="24"/>
          <w:szCs w:val="24"/>
        </w:rPr>
        <w:t>FY</w:t>
      </w:r>
      <w:r w:rsidR="0019740D" w:rsidRPr="0019740D">
        <w:rPr>
          <w:rFonts w:cstheme="minorHAnsi"/>
          <w:sz w:val="24"/>
          <w:szCs w:val="24"/>
        </w:rPr>
        <w:t xml:space="preserve">2031. </w:t>
      </w:r>
      <w:r w:rsidR="0019740D">
        <w:rPr>
          <w:rFonts w:cstheme="minorHAnsi"/>
          <w:sz w:val="24"/>
          <w:szCs w:val="24"/>
        </w:rPr>
        <w:t xml:space="preserve">The </w:t>
      </w:r>
      <w:r w:rsidR="0019740D" w:rsidRPr="0019740D">
        <w:rPr>
          <w:rFonts w:cstheme="minorHAnsi"/>
          <w:sz w:val="24"/>
          <w:szCs w:val="24"/>
        </w:rPr>
        <w:t xml:space="preserve">projection is based on historical drug costs of approximately 15% of gross revenue for </w:t>
      </w:r>
      <w:r w:rsidR="0019740D">
        <w:rPr>
          <w:rFonts w:cstheme="minorHAnsi"/>
          <w:sz w:val="24"/>
          <w:szCs w:val="24"/>
        </w:rPr>
        <w:t>FY</w:t>
      </w:r>
      <w:r w:rsidR="00A404DC">
        <w:rPr>
          <w:rFonts w:cstheme="minorHAnsi"/>
          <w:sz w:val="24"/>
          <w:szCs w:val="24"/>
        </w:rPr>
        <w:t>2022</w:t>
      </w:r>
      <w:r w:rsidR="0019740D" w:rsidRPr="0019740D">
        <w:rPr>
          <w:rFonts w:cstheme="minorHAnsi"/>
          <w:sz w:val="24"/>
          <w:szCs w:val="24"/>
        </w:rPr>
        <w:t xml:space="preserve"> and </w:t>
      </w:r>
      <w:r w:rsidR="00A404DC">
        <w:rPr>
          <w:rFonts w:cstheme="minorHAnsi"/>
          <w:sz w:val="24"/>
          <w:szCs w:val="24"/>
        </w:rPr>
        <w:t>FY</w:t>
      </w:r>
      <w:r w:rsidR="0019740D" w:rsidRPr="0019740D">
        <w:rPr>
          <w:rFonts w:cstheme="minorHAnsi"/>
          <w:sz w:val="24"/>
          <w:szCs w:val="24"/>
        </w:rPr>
        <w:t>2023 for Burlington and Peabody.</w:t>
      </w:r>
    </w:p>
    <w:p w14:paraId="60BE0650" w14:textId="77777777" w:rsidR="008A6285" w:rsidRPr="00185FBE" w:rsidRDefault="008A6285" w:rsidP="008F0717">
      <w:pPr>
        <w:spacing w:after="0"/>
        <w:textAlignment w:val="baseline"/>
        <w:rPr>
          <w:rFonts w:eastAsia="Trebuchet MS" w:cstheme="minorHAnsi"/>
          <w:bCs/>
          <w:color w:val="000000"/>
          <w:spacing w:val="3"/>
          <w:sz w:val="24"/>
          <w:szCs w:val="24"/>
          <w:highlight w:val="yellow"/>
        </w:rPr>
      </w:pPr>
    </w:p>
    <w:p w14:paraId="1544C332" w14:textId="7E6EFEFF" w:rsidR="00205DE3" w:rsidRPr="00205DE3" w:rsidRDefault="00802110" w:rsidP="00205DE3">
      <w:pPr>
        <w:autoSpaceDE w:val="0"/>
        <w:autoSpaceDN w:val="0"/>
        <w:adjustRightInd w:val="0"/>
        <w:spacing w:after="0"/>
        <w:rPr>
          <w:rFonts w:cstheme="minorHAnsi"/>
          <w:sz w:val="24"/>
          <w:szCs w:val="24"/>
        </w:rPr>
      </w:pPr>
      <w:r w:rsidRPr="00205DE3">
        <w:rPr>
          <w:rFonts w:cstheme="minorHAnsi"/>
          <w:i/>
          <w:iCs/>
          <w:sz w:val="24"/>
          <w:szCs w:val="24"/>
        </w:rPr>
        <w:t>Professional Fees</w:t>
      </w:r>
      <w:r w:rsidR="00267470" w:rsidRPr="00205DE3">
        <w:rPr>
          <w:rFonts w:cstheme="minorHAnsi"/>
          <w:i/>
          <w:iCs/>
          <w:sz w:val="24"/>
          <w:szCs w:val="24"/>
        </w:rPr>
        <w:t>:</w:t>
      </w:r>
      <w:r w:rsidR="00267470" w:rsidRPr="00205DE3">
        <w:rPr>
          <w:rFonts w:cstheme="minorHAnsi"/>
          <w:sz w:val="24"/>
          <w:szCs w:val="24"/>
        </w:rPr>
        <w:t xml:space="preserve"> </w:t>
      </w:r>
      <w:r w:rsidR="00205DE3" w:rsidRPr="00205DE3">
        <w:rPr>
          <w:rFonts w:cstheme="minorHAnsi"/>
          <w:sz w:val="24"/>
          <w:szCs w:val="24"/>
        </w:rPr>
        <w:t xml:space="preserve">Professional fees in </w:t>
      </w:r>
      <w:r w:rsidR="00205DE3">
        <w:rPr>
          <w:rFonts w:cstheme="minorHAnsi"/>
          <w:sz w:val="24"/>
          <w:szCs w:val="24"/>
        </w:rPr>
        <w:t>FY</w:t>
      </w:r>
      <w:r w:rsidR="00205DE3" w:rsidRPr="00205DE3">
        <w:rPr>
          <w:rFonts w:cstheme="minorHAnsi"/>
          <w:sz w:val="24"/>
          <w:szCs w:val="24"/>
        </w:rPr>
        <w:t xml:space="preserve">2027 include 7.5 FTEs for physicians, plus additional administrative costs to operate the hematology-oncology clinic. Management projects one incremental physician to be added in </w:t>
      </w:r>
      <w:r w:rsidR="00205DE3">
        <w:rPr>
          <w:rFonts w:cstheme="minorHAnsi"/>
          <w:sz w:val="24"/>
          <w:szCs w:val="24"/>
        </w:rPr>
        <w:t>FY</w:t>
      </w:r>
      <w:r w:rsidR="00205DE3" w:rsidRPr="00205DE3">
        <w:rPr>
          <w:rFonts w:cstheme="minorHAnsi"/>
          <w:sz w:val="24"/>
          <w:szCs w:val="24"/>
        </w:rPr>
        <w:t xml:space="preserve">2029 and </w:t>
      </w:r>
      <w:r w:rsidR="00205DE3">
        <w:rPr>
          <w:rFonts w:cstheme="minorHAnsi"/>
          <w:sz w:val="24"/>
          <w:szCs w:val="24"/>
        </w:rPr>
        <w:t>FY</w:t>
      </w:r>
      <w:r w:rsidR="00205DE3" w:rsidRPr="00205DE3">
        <w:rPr>
          <w:rFonts w:cstheme="minorHAnsi"/>
          <w:sz w:val="24"/>
          <w:szCs w:val="24"/>
        </w:rPr>
        <w:t xml:space="preserve">2031. </w:t>
      </w:r>
      <w:r w:rsidR="00205DE3">
        <w:rPr>
          <w:rFonts w:cstheme="minorHAnsi"/>
          <w:sz w:val="24"/>
          <w:szCs w:val="24"/>
        </w:rPr>
        <w:t>A</w:t>
      </w:r>
      <w:r w:rsidR="00205DE3" w:rsidRPr="00205DE3">
        <w:rPr>
          <w:rFonts w:cstheme="minorHAnsi"/>
          <w:sz w:val="24"/>
          <w:szCs w:val="24"/>
        </w:rPr>
        <w:t xml:space="preserve"> 7% cost of living adjustment </w:t>
      </w:r>
      <w:r w:rsidR="00205DE3">
        <w:rPr>
          <w:rFonts w:cstheme="minorHAnsi"/>
          <w:sz w:val="24"/>
          <w:szCs w:val="24"/>
        </w:rPr>
        <w:t xml:space="preserve">is </w:t>
      </w:r>
      <w:r w:rsidR="001D5723">
        <w:rPr>
          <w:rFonts w:cstheme="minorHAnsi"/>
          <w:sz w:val="24"/>
          <w:szCs w:val="24"/>
        </w:rPr>
        <w:t xml:space="preserve">predicted </w:t>
      </w:r>
      <w:r w:rsidR="00205DE3" w:rsidRPr="00205DE3">
        <w:rPr>
          <w:rFonts w:cstheme="minorHAnsi"/>
          <w:sz w:val="24"/>
          <w:szCs w:val="24"/>
        </w:rPr>
        <w:t xml:space="preserve">annually for </w:t>
      </w:r>
      <w:r w:rsidR="006F44D4">
        <w:rPr>
          <w:rFonts w:cstheme="minorHAnsi"/>
          <w:sz w:val="24"/>
          <w:szCs w:val="24"/>
        </w:rPr>
        <w:t>the period</w:t>
      </w:r>
      <w:r w:rsidR="00205DE3">
        <w:rPr>
          <w:rFonts w:cstheme="minorHAnsi"/>
          <w:sz w:val="24"/>
          <w:szCs w:val="24"/>
        </w:rPr>
        <w:t xml:space="preserve"> of the projections</w:t>
      </w:r>
      <w:r w:rsidR="00205DE3" w:rsidRPr="00205DE3">
        <w:rPr>
          <w:rFonts w:cstheme="minorHAnsi"/>
          <w:sz w:val="24"/>
          <w:szCs w:val="24"/>
        </w:rPr>
        <w:t>.</w:t>
      </w:r>
      <w:r w:rsidR="001D5723">
        <w:rPr>
          <w:rFonts w:cstheme="minorHAnsi"/>
          <w:sz w:val="24"/>
          <w:szCs w:val="24"/>
        </w:rPr>
        <w:t xml:space="preserve"> P</w:t>
      </w:r>
      <w:r w:rsidR="00205DE3" w:rsidRPr="00205DE3">
        <w:rPr>
          <w:rFonts w:cstheme="minorHAnsi"/>
          <w:sz w:val="24"/>
          <w:szCs w:val="24"/>
        </w:rPr>
        <w:t xml:space="preserve">rojected professional fee expenses are based on historical physicians and administrative costs </w:t>
      </w:r>
      <w:r w:rsidR="001D5723">
        <w:rPr>
          <w:rFonts w:cstheme="minorHAnsi"/>
          <w:sz w:val="24"/>
          <w:szCs w:val="24"/>
        </w:rPr>
        <w:t>for FY</w:t>
      </w:r>
      <w:r w:rsidR="00205DE3" w:rsidRPr="00205DE3">
        <w:rPr>
          <w:rFonts w:cstheme="minorHAnsi"/>
          <w:sz w:val="24"/>
          <w:szCs w:val="24"/>
        </w:rPr>
        <w:t xml:space="preserve">2022 </w:t>
      </w:r>
      <w:r w:rsidR="000C5353">
        <w:rPr>
          <w:rFonts w:cstheme="minorHAnsi"/>
          <w:sz w:val="24"/>
          <w:szCs w:val="24"/>
        </w:rPr>
        <w:t>at</w:t>
      </w:r>
      <w:r w:rsidR="00205DE3" w:rsidRPr="00205DE3">
        <w:rPr>
          <w:rFonts w:cstheme="minorHAnsi"/>
          <w:sz w:val="24"/>
          <w:szCs w:val="24"/>
        </w:rPr>
        <w:t xml:space="preserve"> BID-Plymouth.</w:t>
      </w:r>
    </w:p>
    <w:p w14:paraId="300B3323" w14:textId="77777777" w:rsidR="008F0717" w:rsidRDefault="008F0717" w:rsidP="008F0717">
      <w:pPr>
        <w:spacing w:after="0"/>
        <w:textAlignment w:val="baseline"/>
        <w:rPr>
          <w:rFonts w:eastAsia="Trebuchet MS"/>
          <w:bCs/>
          <w:color w:val="000000"/>
          <w:spacing w:val="3"/>
          <w:highlight w:val="yellow"/>
        </w:rPr>
      </w:pPr>
    </w:p>
    <w:p w14:paraId="314FE967" w14:textId="436263F6" w:rsidR="00EF21ED" w:rsidRPr="00EF21ED" w:rsidRDefault="00535225" w:rsidP="00EF21ED">
      <w:pPr>
        <w:autoSpaceDE w:val="0"/>
        <w:autoSpaceDN w:val="0"/>
        <w:adjustRightInd w:val="0"/>
        <w:spacing w:after="0"/>
        <w:rPr>
          <w:rFonts w:cstheme="minorHAnsi"/>
          <w:sz w:val="24"/>
          <w:szCs w:val="24"/>
        </w:rPr>
      </w:pPr>
      <w:r w:rsidRPr="00EF21ED">
        <w:rPr>
          <w:rFonts w:cstheme="minorHAnsi"/>
          <w:i/>
          <w:iCs/>
          <w:sz w:val="24"/>
          <w:szCs w:val="24"/>
        </w:rPr>
        <w:t>Rent:</w:t>
      </w:r>
      <w:r w:rsidRPr="00EF21ED">
        <w:rPr>
          <w:rFonts w:cstheme="minorHAnsi"/>
          <w:sz w:val="24"/>
          <w:szCs w:val="24"/>
        </w:rPr>
        <w:t xml:space="preserve"> </w:t>
      </w:r>
      <w:r w:rsidR="00EF21ED" w:rsidRPr="00EF21ED">
        <w:rPr>
          <w:rFonts w:cstheme="minorHAnsi"/>
          <w:sz w:val="24"/>
          <w:szCs w:val="24"/>
        </w:rPr>
        <w:t xml:space="preserve">The hematology-oncology and infusion clinics will operate in an approximately 30,000 square foot leased facility. The base rent is subject to annual increases over the prior year’s rent based on the consumer price index but in no event shall base rent increase more than 5% annually. </w:t>
      </w:r>
      <w:r w:rsidR="00EF21ED">
        <w:rPr>
          <w:rFonts w:cstheme="minorHAnsi"/>
          <w:sz w:val="24"/>
          <w:szCs w:val="24"/>
        </w:rPr>
        <w:t>Projections</w:t>
      </w:r>
      <w:r w:rsidR="00EF21ED" w:rsidRPr="00EF21ED">
        <w:rPr>
          <w:rFonts w:cstheme="minorHAnsi"/>
          <w:sz w:val="24"/>
          <w:szCs w:val="24"/>
        </w:rPr>
        <w:t xml:space="preserve"> assume a 4% increase annually </w:t>
      </w:r>
      <w:r w:rsidR="003428AE">
        <w:rPr>
          <w:rFonts w:cstheme="minorHAnsi"/>
          <w:sz w:val="24"/>
          <w:szCs w:val="24"/>
        </w:rPr>
        <w:t>from</w:t>
      </w:r>
      <w:r w:rsidR="00EF21ED" w:rsidRPr="00EF21ED">
        <w:rPr>
          <w:rFonts w:cstheme="minorHAnsi"/>
          <w:sz w:val="24"/>
          <w:szCs w:val="24"/>
        </w:rPr>
        <w:t xml:space="preserve"> </w:t>
      </w:r>
      <w:r w:rsidR="003428AE">
        <w:rPr>
          <w:rFonts w:cstheme="minorHAnsi"/>
          <w:sz w:val="24"/>
          <w:szCs w:val="24"/>
        </w:rPr>
        <w:t>FY</w:t>
      </w:r>
      <w:r w:rsidR="00EF21ED" w:rsidRPr="00EF21ED">
        <w:rPr>
          <w:rFonts w:cstheme="minorHAnsi"/>
          <w:sz w:val="24"/>
          <w:szCs w:val="24"/>
        </w:rPr>
        <w:t xml:space="preserve">2028 through </w:t>
      </w:r>
      <w:r w:rsidR="003428AE">
        <w:rPr>
          <w:rFonts w:cstheme="minorHAnsi"/>
          <w:sz w:val="24"/>
          <w:szCs w:val="24"/>
        </w:rPr>
        <w:t>FY</w:t>
      </w:r>
      <w:r w:rsidR="00EF21ED" w:rsidRPr="00EF21ED">
        <w:rPr>
          <w:rFonts w:cstheme="minorHAnsi"/>
          <w:sz w:val="24"/>
          <w:szCs w:val="24"/>
        </w:rPr>
        <w:t>2031.</w:t>
      </w:r>
    </w:p>
    <w:p w14:paraId="2B47A88F" w14:textId="61B9DBD3" w:rsidR="00535225" w:rsidRPr="00185FBE" w:rsidRDefault="00535225" w:rsidP="008F0717">
      <w:pPr>
        <w:spacing w:after="0"/>
        <w:textAlignment w:val="baseline"/>
        <w:rPr>
          <w:rFonts w:eastAsia="Trebuchet MS"/>
          <w:bCs/>
          <w:color w:val="000000"/>
          <w:spacing w:val="3"/>
          <w:highlight w:val="yellow"/>
        </w:rPr>
      </w:pPr>
    </w:p>
    <w:p w14:paraId="2FD44B26" w14:textId="5FD7C255" w:rsidR="00ED4F71" w:rsidRPr="00ED4F71" w:rsidRDefault="008E4932" w:rsidP="00ED4F71">
      <w:pPr>
        <w:autoSpaceDE w:val="0"/>
        <w:autoSpaceDN w:val="0"/>
        <w:adjustRightInd w:val="0"/>
        <w:spacing w:after="0"/>
        <w:rPr>
          <w:rFonts w:cstheme="minorHAnsi"/>
          <w:sz w:val="24"/>
          <w:szCs w:val="24"/>
        </w:rPr>
      </w:pPr>
      <w:r w:rsidRPr="00ED4F71">
        <w:rPr>
          <w:rFonts w:cstheme="minorHAnsi"/>
          <w:i/>
          <w:iCs/>
          <w:sz w:val="24"/>
          <w:szCs w:val="24"/>
        </w:rPr>
        <w:t>Depreciation</w:t>
      </w:r>
      <w:r w:rsidR="008C2783" w:rsidRPr="00ED4F71">
        <w:rPr>
          <w:rFonts w:cstheme="minorHAnsi"/>
          <w:i/>
          <w:iCs/>
          <w:sz w:val="24"/>
          <w:szCs w:val="24"/>
        </w:rPr>
        <w:t>:</w:t>
      </w:r>
      <w:r w:rsidR="008C2783" w:rsidRPr="00ED4F71">
        <w:rPr>
          <w:rFonts w:cstheme="minorHAnsi"/>
          <w:sz w:val="24"/>
          <w:szCs w:val="24"/>
        </w:rPr>
        <w:t xml:space="preserve"> </w:t>
      </w:r>
      <w:r w:rsidR="00ED4F71" w:rsidRPr="00ED4F71">
        <w:rPr>
          <w:rFonts w:cstheme="minorHAnsi"/>
          <w:sz w:val="24"/>
          <w:szCs w:val="24"/>
        </w:rPr>
        <w:t xml:space="preserve">Project costs will be depreciated over 15 years, beginning in </w:t>
      </w:r>
      <w:r w:rsidR="00ED4F71">
        <w:rPr>
          <w:rFonts w:cstheme="minorHAnsi"/>
          <w:sz w:val="24"/>
          <w:szCs w:val="24"/>
        </w:rPr>
        <w:t>FY</w:t>
      </w:r>
      <w:r w:rsidR="00ED4F71" w:rsidRPr="00ED4F71">
        <w:rPr>
          <w:rFonts w:cstheme="minorHAnsi"/>
          <w:sz w:val="24"/>
          <w:szCs w:val="24"/>
        </w:rPr>
        <w:t>2027.</w:t>
      </w:r>
    </w:p>
    <w:p w14:paraId="6A17CC2E" w14:textId="6621D6E0" w:rsidR="0000676E" w:rsidRPr="00185FBE" w:rsidRDefault="0000676E" w:rsidP="0C788ED3">
      <w:pPr>
        <w:autoSpaceDE w:val="0"/>
        <w:autoSpaceDN w:val="0"/>
        <w:adjustRightInd w:val="0"/>
        <w:spacing w:after="0"/>
        <w:rPr>
          <w:rFonts w:ascii="Times New Roman" w:hAnsi="Times New Roman" w:cs="Times New Roman"/>
          <w:spacing w:val="3"/>
          <w:highlight w:val="yellow"/>
        </w:rPr>
      </w:pPr>
    </w:p>
    <w:p w14:paraId="2F841A37" w14:textId="066F0C77" w:rsidR="007D641C" w:rsidRPr="007D641C" w:rsidRDefault="007D641C" w:rsidP="007D641C">
      <w:pPr>
        <w:autoSpaceDE w:val="0"/>
        <w:autoSpaceDN w:val="0"/>
        <w:adjustRightInd w:val="0"/>
        <w:spacing w:after="0"/>
        <w:rPr>
          <w:rFonts w:cstheme="minorHAnsi"/>
          <w:sz w:val="24"/>
          <w:szCs w:val="24"/>
        </w:rPr>
      </w:pPr>
      <w:r w:rsidRPr="007D641C">
        <w:rPr>
          <w:rFonts w:cstheme="minorHAnsi"/>
          <w:i/>
          <w:iCs/>
          <w:sz w:val="24"/>
          <w:szCs w:val="24"/>
        </w:rPr>
        <w:t>Other Operating Expenses:</w:t>
      </w:r>
      <w:r w:rsidRPr="007D641C">
        <w:rPr>
          <w:rFonts w:cstheme="minorHAnsi"/>
          <w:sz w:val="24"/>
          <w:szCs w:val="24"/>
        </w:rPr>
        <w:t xml:space="preserve"> Other operating expenses include costs for inventory, small equipment, maintenance and other contingency costs. Other operating expenses are estimated at approximately 10% of total expenses, excluding depreciation. Projected operating expenses are based on historical information </w:t>
      </w:r>
      <w:r>
        <w:rPr>
          <w:rFonts w:cstheme="minorHAnsi"/>
          <w:sz w:val="24"/>
          <w:szCs w:val="24"/>
        </w:rPr>
        <w:t>FY</w:t>
      </w:r>
      <w:r w:rsidRPr="007D641C">
        <w:rPr>
          <w:rFonts w:cstheme="minorHAnsi"/>
          <w:sz w:val="24"/>
          <w:szCs w:val="24"/>
        </w:rPr>
        <w:t xml:space="preserve">2022 and </w:t>
      </w:r>
      <w:r>
        <w:rPr>
          <w:rFonts w:cstheme="minorHAnsi"/>
          <w:sz w:val="24"/>
          <w:szCs w:val="24"/>
        </w:rPr>
        <w:t>FY</w:t>
      </w:r>
      <w:r w:rsidRPr="007D641C">
        <w:rPr>
          <w:rFonts w:cstheme="minorHAnsi"/>
          <w:sz w:val="24"/>
          <w:szCs w:val="24"/>
        </w:rPr>
        <w:t>2023 for Burlington and Peabody.</w:t>
      </w:r>
    </w:p>
    <w:p w14:paraId="0B9BBD26" w14:textId="79EE7A02" w:rsidR="008F0717" w:rsidRDefault="008F0717" w:rsidP="008F0717">
      <w:pPr>
        <w:autoSpaceDE w:val="0"/>
        <w:autoSpaceDN w:val="0"/>
        <w:adjustRightInd w:val="0"/>
        <w:spacing w:after="0"/>
        <w:rPr>
          <w:rFonts w:eastAsia="Trebuchet MS" w:cstheme="minorHAnsi"/>
          <w:bCs/>
          <w:color w:val="000000"/>
          <w:spacing w:val="3"/>
          <w:sz w:val="24"/>
          <w:szCs w:val="24"/>
          <w:highlight w:val="yellow"/>
        </w:rPr>
      </w:pPr>
    </w:p>
    <w:p w14:paraId="020042A5" w14:textId="695E259D" w:rsidR="000051DD" w:rsidRPr="00F50250" w:rsidRDefault="000051DD" w:rsidP="000051DD">
      <w:pPr>
        <w:autoSpaceDE w:val="0"/>
        <w:autoSpaceDN w:val="0"/>
        <w:adjustRightInd w:val="0"/>
        <w:spacing w:after="0"/>
        <w:rPr>
          <w:rFonts w:cstheme="minorHAnsi"/>
          <w:sz w:val="24"/>
          <w:szCs w:val="24"/>
          <w:u w:val="single"/>
        </w:rPr>
      </w:pPr>
      <w:r>
        <w:rPr>
          <w:rFonts w:cstheme="minorHAnsi"/>
          <w:sz w:val="24"/>
          <w:szCs w:val="24"/>
          <w:u w:val="single"/>
        </w:rPr>
        <w:t>Quincy</w:t>
      </w:r>
      <w:r w:rsidRPr="00F50250">
        <w:rPr>
          <w:rFonts w:cstheme="minorHAnsi"/>
          <w:sz w:val="24"/>
          <w:szCs w:val="24"/>
          <w:u w:val="single"/>
        </w:rPr>
        <w:t xml:space="preserve"> Satellite</w:t>
      </w:r>
    </w:p>
    <w:p w14:paraId="5F096099" w14:textId="5AB84E3B" w:rsidR="000051DD" w:rsidRPr="001832AE" w:rsidRDefault="000051DD" w:rsidP="000051DD">
      <w:pPr>
        <w:autoSpaceDE w:val="0"/>
        <w:autoSpaceDN w:val="0"/>
        <w:adjustRightInd w:val="0"/>
        <w:spacing w:after="0"/>
        <w:rPr>
          <w:rFonts w:eastAsia="Trebuchet MS" w:cstheme="minorHAnsi"/>
          <w:bCs/>
          <w:color w:val="000000"/>
          <w:spacing w:val="3"/>
          <w:sz w:val="24"/>
          <w:szCs w:val="24"/>
        </w:rPr>
      </w:pPr>
      <w:r w:rsidRPr="001832AE">
        <w:rPr>
          <w:rFonts w:cstheme="minorHAnsi"/>
          <w:i/>
          <w:iCs/>
          <w:sz w:val="24"/>
          <w:szCs w:val="24"/>
        </w:rPr>
        <w:t>Salaries and Benefits: S</w:t>
      </w:r>
      <w:r w:rsidRPr="001832AE">
        <w:rPr>
          <w:rFonts w:eastAsia="Trebuchet MS" w:cstheme="minorHAnsi"/>
          <w:bCs/>
          <w:color w:val="000000"/>
          <w:spacing w:val="3"/>
          <w:sz w:val="24"/>
          <w:szCs w:val="24"/>
        </w:rPr>
        <w:t xml:space="preserve">alaries were based on an estimate of </w:t>
      </w:r>
      <w:r w:rsidR="00910622" w:rsidRPr="001832AE">
        <w:rPr>
          <w:rFonts w:eastAsia="Trebuchet MS" w:cstheme="minorHAnsi"/>
          <w:bCs/>
          <w:color w:val="000000"/>
          <w:spacing w:val="3"/>
          <w:sz w:val="24"/>
          <w:szCs w:val="24"/>
        </w:rPr>
        <w:t>147</w:t>
      </w:r>
      <w:r w:rsidRPr="001832AE">
        <w:rPr>
          <w:rFonts w:eastAsia="Trebuchet MS" w:cstheme="minorHAnsi"/>
          <w:bCs/>
          <w:color w:val="000000"/>
          <w:spacing w:val="3"/>
          <w:sz w:val="24"/>
          <w:szCs w:val="24"/>
        </w:rPr>
        <w:t xml:space="preserve"> full time employees (FTE) and Benefits were calculated as 2</w:t>
      </w:r>
      <w:r w:rsidR="00C742A2" w:rsidRPr="001832AE">
        <w:rPr>
          <w:rFonts w:eastAsia="Trebuchet MS" w:cstheme="minorHAnsi"/>
          <w:bCs/>
          <w:color w:val="000000"/>
          <w:spacing w:val="3"/>
          <w:sz w:val="24"/>
          <w:szCs w:val="24"/>
        </w:rPr>
        <w:t>5</w:t>
      </w:r>
      <w:r w:rsidRPr="001832AE">
        <w:rPr>
          <w:rFonts w:eastAsia="Trebuchet MS" w:cstheme="minorHAnsi"/>
          <w:bCs/>
          <w:color w:val="000000"/>
          <w:spacing w:val="3"/>
          <w:sz w:val="24"/>
          <w:szCs w:val="24"/>
        </w:rPr>
        <w:t xml:space="preserve">% percent of salaries using historical data (based on FY2022 </w:t>
      </w:r>
      <w:r w:rsidR="007C4480" w:rsidRPr="001832AE">
        <w:rPr>
          <w:rFonts w:eastAsia="Trebuchet MS" w:cstheme="minorHAnsi"/>
          <w:bCs/>
          <w:color w:val="000000"/>
          <w:spacing w:val="3"/>
          <w:sz w:val="24"/>
          <w:szCs w:val="24"/>
        </w:rPr>
        <w:t xml:space="preserve">and FY2023 </w:t>
      </w:r>
      <w:r w:rsidRPr="001832AE">
        <w:rPr>
          <w:rFonts w:eastAsia="Trebuchet MS" w:cstheme="minorHAnsi"/>
          <w:bCs/>
          <w:color w:val="000000"/>
          <w:spacing w:val="3"/>
          <w:sz w:val="24"/>
          <w:szCs w:val="24"/>
        </w:rPr>
        <w:t>fringe benefits</w:t>
      </w:r>
      <w:r w:rsidR="007C4480" w:rsidRPr="001832AE">
        <w:rPr>
          <w:rFonts w:eastAsia="Trebuchet MS" w:cstheme="minorHAnsi"/>
          <w:bCs/>
          <w:color w:val="000000"/>
          <w:spacing w:val="3"/>
          <w:sz w:val="24"/>
          <w:szCs w:val="24"/>
        </w:rPr>
        <w:t xml:space="preserve"> at</w:t>
      </w:r>
      <w:r w:rsidR="00585F3B" w:rsidRPr="001832AE">
        <w:rPr>
          <w:rFonts w:eastAsia="Trebuchet MS" w:cstheme="minorHAnsi"/>
          <w:bCs/>
          <w:color w:val="000000"/>
          <w:spacing w:val="3"/>
          <w:sz w:val="24"/>
          <w:szCs w:val="24"/>
        </w:rPr>
        <w:t xml:space="preserve"> Primary Care and Urgent Care</w:t>
      </w:r>
      <w:r w:rsidRPr="001832AE">
        <w:rPr>
          <w:rFonts w:eastAsia="Trebuchet MS" w:cstheme="minorHAnsi"/>
          <w:bCs/>
          <w:color w:val="000000"/>
          <w:spacing w:val="3"/>
          <w:sz w:val="24"/>
          <w:szCs w:val="24"/>
        </w:rPr>
        <w:t xml:space="preserve">). </w:t>
      </w:r>
      <w:r w:rsidR="00AB504C" w:rsidRPr="001832AE">
        <w:rPr>
          <w:rFonts w:eastAsia="Trebuchet MS" w:cstheme="minorHAnsi"/>
          <w:bCs/>
          <w:color w:val="000000"/>
          <w:spacing w:val="3"/>
          <w:sz w:val="24"/>
          <w:szCs w:val="24"/>
        </w:rPr>
        <w:t xml:space="preserve">There is </w:t>
      </w:r>
      <w:r w:rsidR="00AB504C" w:rsidRPr="001832AE">
        <w:rPr>
          <w:rFonts w:cstheme="minorHAnsi"/>
          <w:sz w:val="24"/>
          <w:szCs w:val="24"/>
        </w:rPr>
        <w:t>no anticipated increase in FTEs as the Satellite increases patient volume</w:t>
      </w:r>
      <w:r w:rsidRPr="001832AE">
        <w:rPr>
          <w:rFonts w:cstheme="minorHAnsi"/>
          <w:sz w:val="24"/>
          <w:szCs w:val="24"/>
        </w:rPr>
        <w:t xml:space="preserve">. Projections assumed a </w:t>
      </w:r>
      <w:r w:rsidR="003D49C8" w:rsidRPr="001832AE">
        <w:rPr>
          <w:rFonts w:cstheme="minorHAnsi"/>
          <w:sz w:val="24"/>
          <w:szCs w:val="24"/>
        </w:rPr>
        <w:t>3</w:t>
      </w:r>
      <w:r w:rsidRPr="001832AE">
        <w:rPr>
          <w:rFonts w:cstheme="minorHAnsi"/>
          <w:sz w:val="24"/>
          <w:szCs w:val="24"/>
        </w:rPr>
        <w:t xml:space="preserve">% cost of living adjustment every year. Projected salaries and wages are based on historical average salaries </w:t>
      </w:r>
      <w:r w:rsidR="001832AE" w:rsidRPr="001832AE">
        <w:rPr>
          <w:rFonts w:cstheme="minorHAnsi"/>
          <w:sz w:val="24"/>
          <w:szCs w:val="24"/>
        </w:rPr>
        <w:t xml:space="preserve">at existing </w:t>
      </w:r>
      <w:r w:rsidRPr="001832AE">
        <w:rPr>
          <w:rFonts w:cstheme="minorHAnsi"/>
          <w:sz w:val="24"/>
          <w:szCs w:val="24"/>
        </w:rPr>
        <w:t xml:space="preserve">BID </w:t>
      </w:r>
      <w:r w:rsidR="001832AE" w:rsidRPr="001832AE">
        <w:rPr>
          <w:rFonts w:cstheme="minorHAnsi"/>
          <w:sz w:val="24"/>
          <w:szCs w:val="24"/>
        </w:rPr>
        <w:t xml:space="preserve">locations </w:t>
      </w:r>
      <w:r w:rsidRPr="001832AE">
        <w:rPr>
          <w:rFonts w:cstheme="minorHAnsi"/>
          <w:sz w:val="24"/>
          <w:szCs w:val="24"/>
        </w:rPr>
        <w:t>for FY2022.</w:t>
      </w:r>
    </w:p>
    <w:p w14:paraId="05CBB151" w14:textId="77777777" w:rsidR="000051DD" w:rsidRPr="00657677" w:rsidRDefault="000051DD" w:rsidP="000051DD">
      <w:pPr>
        <w:autoSpaceDE w:val="0"/>
        <w:autoSpaceDN w:val="0"/>
        <w:adjustRightInd w:val="0"/>
        <w:spacing w:after="0"/>
        <w:rPr>
          <w:rFonts w:cstheme="minorHAnsi"/>
          <w:sz w:val="24"/>
          <w:szCs w:val="24"/>
        </w:rPr>
      </w:pPr>
    </w:p>
    <w:p w14:paraId="22AACE8A" w14:textId="5F2A0464" w:rsidR="000051DD" w:rsidRPr="00F61267" w:rsidRDefault="000051DD" w:rsidP="00457783">
      <w:pPr>
        <w:autoSpaceDE w:val="0"/>
        <w:autoSpaceDN w:val="0"/>
        <w:adjustRightInd w:val="0"/>
        <w:spacing w:after="0"/>
        <w:rPr>
          <w:rFonts w:cstheme="minorHAnsi"/>
          <w:sz w:val="24"/>
          <w:szCs w:val="24"/>
        </w:rPr>
      </w:pPr>
      <w:r w:rsidRPr="00657677">
        <w:rPr>
          <w:rFonts w:cstheme="minorHAnsi"/>
          <w:i/>
          <w:iCs/>
          <w:sz w:val="24"/>
          <w:szCs w:val="24"/>
        </w:rPr>
        <w:t>Supplies:</w:t>
      </w:r>
      <w:r w:rsidRPr="00657677">
        <w:rPr>
          <w:rFonts w:cstheme="minorHAnsi"/>
          <w:sz w:val="24"/>
          <w:szCs w:val="24"/>
        </w:rPr>
        <w:t xml:space="preserve"> </w:t>
      </w:r>
      <w:r w:rsidR="00457783" w:rsidRPr="00657677">
        <w:rPr>
          <w:rFonts w:cstheme="minorHAnsi"/>
          <w:sz w:val="24"/>
          <w:szCs w:val="24"/>
        </w:rPr>
        <w:t>Supplies expense include costs associated with the treatment of patients. Pharmacy costs, which are related to infusion services, make up 95% of total supplies expenses annuall</w:t>
      </w:r>
      <w:r w:rsidR="00657677" w:rsidRPr="00657677">
        <w:rPr>
          <w:rFonts w:cstheme="minorHAnsi"/>
          <w:sz w:val="24"/>
          <w:szCs w:val="24"/>
        </w:rPr>
        <w:t xml:space="preserve">y. </w:t>
      </w:r>
      <w:r w:rsidR="00657677">
        <w:rPr>
          <w:rFonts w:cstheme="minorHAnsi"/>
          <w:sz w:val="24"/>
          <w:szCs w:val="24"/>
        </w:rPr>
        <w:t>The average p</w:t>
      </w:r>
      <w:r w:rsidR="00657677" w:rsidRPr="00657677">
        <w:rPr>
          <w:rFonts w:cstheme="minorHAnsi"/>
          <w:sz w:val="24"/>
          <w:szCs w:val="24"/>
        </w:rPr>
        <w:t>harmacy cost</w:t>
      </w:r>
      <w:r w:rsidR="00657677">
        <w:rPr>
          <w:rFonts w:cstheme="minorHAnsi"/>
          <w:sz w:val="24"/>
          <w:szCs w:val="24"/>
        </w:rPr>
        <w:t xml:space="preserve"> per encounter</w:t>
      </w:r>
      <w:r w:rsidR="00370A8D" w:rsidRPr="00657677">
        <w:rPr>
          <w:rFonts w:cstheme="minorHAnsi"/>
          <w:sz w:val="24"/>
          <w:szCs w:val="24"/>
        </w:rPr>
        <w:t xml:space="preserve"> is expected to increase approximately 3% annually </w:t>
      </w:r>
      <w:r w:rsidR="00F61267">
        <w:rPr>
          <w:rFonts w:cstheme="minorHAnsi"/>
          <w:sz w:val="24"/>
          <w:szCs w:val="24"/>
        </w:rPr>
        <w:t>from FY</w:t>
      </w:r>
      <w:r w:rsidR="00370A8D" w:rsidRPr="00657677">
        <w:rPr>
          <w:rFonts w:cstheme="minorHAnsi"/>
          <w:sz w:val="24"/>
          <w:szCs w:val="24"/>
        </w:rPr>
        <w:t xml:space="preserve">2028 </w:t>
      </w:r>
      <w:r w:rsidR="00F61267">
        <w:rPr>
          <w:rFonts w:cstheme="minorHAnsi"/>
          <w:sz w:val="24"/>
          <w:szCs w:val="24"/>
        </w:rPr>
        <w:t>to FY</w:t>
      </w:r>
      <w:r w:rsidR="00370A8D" w:rsidRPr="00657677">
        <w:rPr>
          <w:rFonts w:cstheme="minorHAnsi"/>
          <w:sz w:val="24"/>
          <w:szCs w:val="24"/>
        </w:rPr>
        <w:t>2031</w:t>
      </w:r>
      <w:r w:rsidR="00F61267">
        <w:rPr>
          <w:rFonts w:cstheme="minorHAnsi"/>
          <w:sz w:val="24"/>
          <w:szCs w:val="24"/>
        </w:rPr>
        <w:t xml:space="preserve">. The number of </w:t>
      </w:r>
      <w:r w:rsidR="00370A8D" w:rsidRPr="00657677">
        <w:rPr>
          <w:rFonts w:cstheme="minorHAnsi"/>
          <w:sz w:val="24"/>
          <w:szCs w:val="24"/>
        </w:rPr>
        <w:t xml:space="preserve">pharmacy encounters estimated to increase 40% </w:t>
      </w:r>
      <w:r w:rsidR="00F61267">
        <w:rPr>
          <w:rFonts w:cstheme="minorHAnsi"/>
          <w:sz w:val="24"/>
          <w:szCs w:val="24"/>
        </w:rPr>
        <w:t>in FY</w:t>
      </w:r>
      <w:r w:rsidR="00370A8D" w:rsidRPr="00657677">
        <w:rPr>
          <w:rFonts w:cstheme="minorHAnsi"/>
          <w:sz w:val="24"/>
          <w:szCs w:val="24"/>
        </w:rPr>
        <w:t xml:space="preserve">2028, 38% </w:t>
      </w:r>
      <w:r w:rsidR="00F61267">
        <w:rPr>
          <w:rFonts w:cstheme="minorHAnsi"/>
          <w:sz w:val="24"/>
          <w:szCs w:val="24"/>
        </w:rPr>
        <w:t>in FY</w:t>
      </w:r>
      <w:r w:rsidR="00370A8D" w:rsidRPr="00657677">
        <w:rPr>
          <w:rFonts w:cstheme="minorHAnsi"/>
          <w:sz w:val="24"/>
          <w:szCs w:val="24"/>
        </w:rPr>
        <w:t xml:space="preserve">2029, and </w:t>
      </w:r>
      <w:r w:rsidR="00F61267">
        <w:rPr>
          <w:rFonts w:cstheme="minorHAnsi"/>
          <w:sz w:val="24"/>
          <w:szCs w:val="24"/>
        </w:rPr>
        <w:t xml:space="preserve">leveling off at </w:t>
      </w:r>
      <w:r w:rsidR="00370A8D" w:rsidRPr="00657677">
        <w:rPr>
          <w:rFonts w:cstheme="minorHAnsi"/>
          <w:sz w:val="24"/>
          <w:szCs w:val="24"/>
        </w:rPr>
        <w:t xml:space="preserve">3% </w:t>
      </w:r>
      <w:r w:rsidR="00F61267">
        <w:rPr>
          <w:rFonts w:cstheme="minorHAnsi"/>
          <w:sz w:val="24"/>
          <w:szCs w:val="24"/>
        </w:rPr>
        <w:t>increases for FY</w:t>
      </w:r>
      <w:r w:rsidR="00370A8D" w:rsidRPr="00657677">
        <w:rPr>
          <w:rFonts w:cstheme="minorHAnsi"/>
          <w:sz w:val="24"/>
          <w:szCs w:val="24"/>
        </w:rPr>
        <w:t xml:space="preserve">2030 and </w:t>
      </w:r>
      <w:r w:rsidR="00F61267">
        <w:rPr>
          <w:rFonts w:cstheme="minorHAnsi"/>
          <w:sz w:val="24"/>
          <w:szCs w:val="24"/>
        </w:rPr>
        <w:t>FY</w:t>
      </w:r>
      <w:r w:rsidR="00370A8D" w:rsidRPr="00657677">
        <w:rPr>
          <w:rFonts w:cstheme="minorHAnsi"/>
          <w:sz w:val="24"/>
          <w:szCs w:val="24"/>
        </w:rPr>
        <w:t>2031</w:t>
      </w:r>
      <w:r w:rsidR="00F61267">
        <w:rPr>
          <w:rFonts w:cstheme="minorHAnsi"/>
          <w:sz w:val="24"/>
          <w:szCs w:val="24"/>
        </w:rPr>
        <w:t xml:space="preserve">. </w:t>
      </w:r>
      <w:r w:rsidR="00657677" w:rsidRPr="00657677">
        <w:rPr>
          <w:rFonts w:cstheme="minorHAnsi"/>
          <w:sz w:val="24"/>
          <w:szCs w:val="24"/>
        </w:rPr>
        <w:t xml:space="preserve">The average Projected pharmacy costs are based on average historical cost per encounter </w:t>
      </w:r>
      <w:r w:rsidR="00F61267">
        <w:rPr>
          <w:rFonts w:cstheme="minorHAnsi"/>
          <w:sz w:val="24"/>
          <w:szCs w:val="24"/>
        </w:rPr>
        <w:t xml:space="preserve">in FY2022 </w:t>
      </w:r>
      <w:r w:rsidR="00657677" w:rsidRPr="00657677">
        <w:rPr>
          <w:rFonts w:cstheme="minorHAnsi"/>
          <w:sz w:val="24"/>
          <w:szCs w:val="24"/>
        </w:rPr>
        <w:t>for Lahey Hospital &amp; Medical Center and Lahey Medical Center, Peabody.</w:t>
      </w:r>
    </w:p>
    <w:p w14:paraId="6EE7ACD3" w14:textId="77777777" w:rsidR="000051DD" w:rsidRPr="000051DD" w:rsidRDefault="000051DD" w:rsidP="000051DD">
      <w:pPr>
        <w:spacing w:after="0"/>
        <w:textAlignment w:val="baseline"/>
        <w:rPr>
          <w:rFonts w:eastAsia="Trebuchet MS"/>
          <w:bCs/>
          <w:color w:val="000000"/>
          <w:spacing w:val="3"/>
          <w:highlight w:val="yellow"/>
        </w:rPr>
      </w:pPr>
    </w:p>
    <w:p w14:paraId="48DE09EC" w14:textId="41DD269F" w:rsidR="000051DD" w:rsidRPr="006A4D35" w:rsidRDefault="002F7BBA" w:rsidP="000051DD">
      <w:pPr>
        <w:autoSpaceDE w:val="0"/>
        <w:autoSpaceDN w:val="0"/>
        <w:adjustRightInd w:val="0"/>
        <w:spacing w:after="0"/>
        <w:rPr>
          <w:rFonts w:cstheme="minorHAnsi"/>
          <w:sz w:val="24"/>
          <w:szCs w:val="24"/>
        </w:rPr>
      </w:pPr>
      <w:r w:rsidRPr="002F7BBA">
        <w:rPr>
          <w:rFonts w:cstheme="minorHAnsi"/>
          <w:i/>
          <w:iCs/>
          <w:sz w:val="24"/>
          <w:szCs w:val="24"/>
        </w:rPr>
        <w:t xml:space="preserve">Rent/ </w:t>
      </w:r>
      <w:r w:rsidR="006A4D35" w:rsidRPr="002F7BBA">
        <w:rPr>
          <w:rFonts w:cstheme="minorHAnsi"/>
          <w:i/>
          <w:iCs/>
          <w:sz w:val="24"/>
          <w:szCs w:val="24"/>
        </w:rPr>
        <w:t>Lease</w:t>
      </w:r>
      <w:r w:rsidR="000051DD" w:rsidRPr="002F7BBA">
        <w:rPr>
          <w:rFonts w:cstheme="minorHAnsi"/>
          <w:i/>
          <w:iCs/>
          <w:sz w:val="24"/>
          <w:szCs w:val="24"/>
        </w:rPr>
        <w:t>:</w:t>
      </w:r>
      <w:r w:rsidR="000051DD" w:rsidRPr="006A4D35">
        <w:rPr>
          <w:rFonts w:cstheme="minorHAnsi"/>
          <w:sz w:val="24"/>
          <w:szCs w:val="24"/>
        </w:rPr>
        <w:t xml:space="preserve"> </w:t>
      </w:r>
      <w:r w:rsidRPr="002F7BBA">
        <w:rPr>
          <w:rFonts w:cstheme="minorHAnsi"/>
          <w:sz w:val="24"/>
          <w:szCs w:val="24"/>
        </w:rPr>
        <w:t xml:space="preserve">Based on the provided lease agreement, base rent </w:t>
      </w:r>
      <w:r>
        <w:rPr>
          <w:rFonts w:cstheme="minorHAnsi"/>
          <w:sz w:val="24"/>
          <w:szCs w:val="24"/>
        </w:rPr>
        <w:t xml:space="preserve">anticipates </w:t>
      </w:r>
      <w:r w:rsidRPr="002F7BBA">
        <w:rPr>
          <w:rFonts w:cstheme="minorHAnsi"/>
          <w:sz w:val="24"/>
          <w:szCs w:val="24"/>
        </w:rPr>
        <w:t xml:space="preserve">increases of 2% annually for </w:t>
      </w:r>
      <w:r>
        <w:rPr>
          <w:rFonts w:cstheme="minorHAnsi"/>
          <w:sz w:val="24"/>
          <w:szCs w:val="24"/>
        </w:rPr>
        <w:t>projection years.</w:t>
      </w:r>
      <w:r w:rsidRPr="002F7BBA">
        <w:rPr>
          <w:rFonts w:cstheme="minorHAnsi"/>
          <w:sz w:val="24"/>
          <w:szCs w:val="24"/>
        </w:rPr>
        <w:t xml:space="preserve"> The City of Quincy has granted a 40-year real estate tax </w:t>
      </w:r>
      <w:r w:rsidRPr="002F7BBA">
        <w:rPr>
          <w:rFonts w:cstheme="minorHAnsi"/>
          <w:sz w:val="24"/>
          <w:szCs w:val="24"/>
        </w:rPr>
        <w:lastRenderedPageBreak/>
        <w:t>exemption for medical use of the building.</w:t>
      </w:r>
      <w:r w:rsidR="003B242C">
        <w:rPr>
          <w:rFonts w:cstheme="minorHAnsi"/>
          <w:sz w:val="24"/>
          <w:szCs w:val="24"/>
        </w:rPr>
        <w:t xml:space="preserve"> </w:t>
      </w:r>
      <w:r w:rsidR="006A4D35" w:rsidRPr="006A4D35">
        <w:rPr>
          <w:rFonts w:cstheme="minorHAnsi"/>
          <w:sz w:val="24"/>
          <w:szCs w:val="24"/>
        </w:rPr>
        <w:t xml:space="preserve">The existing operations at Beth Israel Lahey Health Primary Care Quincy Square (“Quincy Square”) will relocate to the new Quincy Satellite in </w:t>
      </w:r>
      <w:r w:rsidR="006A4D35">
        <w:rPr>
          <w:rFonts w:cstheme="minorHAnsi"/>
          <w:sz w:val="24"/>
          <w:szCs w:val="24"/>
        </w:rPr>
        <w:t>FY</w:t>
      </w:r>
      <w:r w:rsidR="006A4D35" w:rsidRPr="006A4D35">
        <w:rPr>
          <w:rFonts w:cstheme="minorHAnsi"/>
          <w:sz w:val="24"/>
          <w:szCs w:val="24"/>
        </w:rPr>
        <w:t>2027. The new Quincy Satellite will assume the annual lease payments Quincy Square until lease termination in the year ending September 30, 2029. There is no early termination option included in the lease.</w:t>
      </w:r>
    </w:p>
    <w:p w14:paraId="092F7289" w14:textId="77777777" w:rsidR="000051DD" w:rsidRPr="000051DD" w:rsidRDefault="000051DD" w:rsidP="000051DD">
      <w:pPr>
        <w:spacing w:after="0"/>
        <w:textAlignment w:val="baseline"/>
        <w:rPr>
          <w:rFonts w:eastAsia="Trebuchet MS"/>
          <w:bCs/>
          <w:color w:val="000000"/>
          <w:spacing w:val="3"/>
          <w:highlight w:val="yellow"/>
        </w:rPr>
      </w:pPr>
    </w:p>
    <w:p w14:paraId="2B37D679" w14:textId="734728B1" w:rsidR="004B2975" w:rsidRDefault="000051DD" w:rsidP="004B2975">
      <w:pPr>
        <w:autoSpaceDE w:val="0"/>
        <w:autoSpaceDN w:val="0"/>
        <w:adjustRightInd w:val="0"/>
        <w:spacing w:after="0"/>
        <w:rPr>
          <w:rFonts w:cstheme="minorHAnsi"/>
          <w:sz w:val="24"/>
          <w:szCs w:val="24"/>
        </w:rPr>
      </w:pPr>
      <w:r w:rsidRPr="004B2975">
        <w:rPr>
          <w:rFonts w:cstheme="minorHAnsi"/>
          <w:i/>
          <w:iCs/>
          <w:sz w:val="24"/>
          <w:szCs w:val="24"/>
        </w:rPr>
        <w:t>Depreciation:</w:t>
      </w:r>
      <w:r w:rsidRPr="004B2975">
        <w:rPr>
          <w:rFonts w:cstheme="minorHAnsi"/>
          <w:sz w:val="24"/>
          <w:szCs w:val="24"/>
        </w:rPr>
        <w:t xml:space="preserve"> </w:t>
      </w:r>
      <w:r w:rsidR="004B2975" w:rsidRPr="004B2975">
        <w:rPr>
          <w:rFonts w:cstheme="minorHAnsi"/>
          <w:sz w:val="24"/>
          <w:szCs w:val="24"/>
        </w:rPr>
        <w:t>To</w:t>
      </w:r>
      <w:r w:rsidR="001450AC">
        <w:rPr>
          <w:rFonts w:cstheme="minorHAnsi"/>
          <w:sz w:val="24"/>
          <w:szCs w:val="24"/>
        </w:rPr>
        <w:t>t</w:t>
      </w:r>
      <w:r w:rsidR="004B2975" w:rsidRPr="004B2975">
        <w:rPr>
          <w:rFonts w:cstheme="minorHAnsi"/>
          <w:sz w:val="24"/>
          <w:szCs w:val="24"/>
        </w:rPr>
        <w:t xml:space="preserve">al building acquisition and architectural costs, excluding the landlord’s turnkey contribution, will be depreciated over 20 years, beginning in </w:t>
      </w:r>
      <w:r w:rsidR="004603C6">
        <w:rPr>
          <w:rFonts w:cstheme="minorHAnsi"/>
          <w:sz w:val="24"/>
          <w:szCs w:val="24"/>
        </w:rPr>
        <w:t>FY</w:t>
      </w:r>
      <w:r w:rsidR="004B2975" w:rsidRPr="004B2975">
        <w:rPr>
          <w:rFonts w:cstheme="minorHAnsi"/>
          <w:sz w:val="24"/>
          <w:szCs w:val="24"/>
        </w:rPr>
        <w:t xml:space="preserve"> 2027. Total construction costs and fixed medical equipment, including a 5% community health initiative fee and a 2% filing fee to the Commonwealth of Massachusetts based on the total project costs, will be depreciated over 7 years, beginning in</w:t>
      </w:r>
      <w:r w:rsidR="004603C6">
        <w:rPr>
          <w:rFonts w:cstheme="minorHAnsi"/>
          <w:sz w:val="24"/>
          <w:szCs w:val="24"/>
        </w:rPr>
        <w:t xml:space="preserve"> FY</w:t>
      </w:r>
      <w:r w:rsidR="004B2975" w:rsidRPr="004B2975">
        <w:rPr>
          <w:rFonts w:cstheme="minorHAnsi"/>
          <w:sz w:val="24"/>
          <w:szCs w:val="24"/>
        </w:rPr>
        <w:t>2027.</w:t>
      </w:r>
    </w:p>
    <w:p w14:paraId="02AF1FAB" w14:textId="77777777" w:rsidR="00EB5725" w:rsidRDefault="00EB5725" w:rsidP="004B2975">
      <w:pPr>
        <w:autoSpaceDE w:val="0"/>
        <w:autoSpaceDN w:val="0"/>
        <w:adjustRightInd w:val="0"/>
        <w:spacing w:after="0"/>
        <w:rPr>
          <w:rFonts w:cstheme="minorHAnsi"/>
          <w:sz w:val="24"/>
          <w:szCs w:val="24"/>
        </w:rPr>
      </w:pPr>
    </w:p>
    <w:p w14:paraId="7C49B667" w14:textId="356B96F0" w:rsidR="000051DD" w:rsidRPr="00976BBE" w:rsidRDefault="00EB5725" w:rsidP="000051DD">
      <w:pPr>
        <w:autoSpaceDE w:val="0"/>
        <w:autoSpaceDN w:val="0"/>
        <w:adjustRightInd w:val="0"/>
        <w:spacing w:after="0"/>
        <w:rPr>
          <w:rFonts w:cstheme="minorHAnsi"/>
          <w:sz w:val="24"/>
          <w:szCs w:val="24"/>
        </w:rPr>
      </w:pPr>
      <w:r w:rsidRPr="00A66419">
        <w:rPr>
          <w:rFonts w:cstheme="minorHAnsi"/>
          <w:i/>
          <w:iCs/>
          <w:sz w:val="24"/>
          <w:szCs w:val="24"/>
        </w:rPr>
        <w:t>Interest Expenses:</w:t>
      </w:r>
      <w:r>
        <w:rPr>
          <w:rFonts w:cstheme="minorHAnsi"/>
          <w:sz w:val="24"/>
          <w:szCs w:val="24"/>
        </w:rPr>
        <w:t xml:space="preserve"> </w:t>
      </w:r>
      <w:r w:rsidR="00A66419" w:rsidRPr="00A66419">
        <w:rPr>
          <w:rFonts w:cstheme="minorHAnsi"/>
          <w:sz w:val="24"/>
          <w:szCs w:val="24"/>
        </w:rPr>
        <w:t>Interest expenses are related to fit out costs</w:t>
      </w:r>
      <w:r w:rsidR="00A66419">
        <w:rPr>
          <w:rFonts w:cstheme="minorHAnsi"/>
          <w:sz w:val="24"/>
          <w:szCs w:val="24"/>
        </w:rPr>
        <w:t xml:space="preserve">, </w:t>
      </w:r>
      <w:r w:rsidR="00A66419" w:rsidRPr="00A66419">
        <w:rPr>
          <w:rFonts w:cstheme="minorHAnsi"/>
          <w:sz w:val="24"/>
          <w:szCs w:val="24"/>
        </w:rPr>
        <w:t>which will be financed over 20 years with interest payable at the FHLB Boston Five Year Regular Classic Advance Rate plus 350 basis points, which is estimated at 7.74%.</w:t>
      </w:r>
    </w:p>
    <w:p w14:paraId="32E775F2" w14:textId="48D26D10" w:rsidR="000051DD" w:rsidRPr="000051DD" w:rsidRDefault="000051DD" w:rsidP="0C788ED3">
      <w:pPr>
        <w:autoSpaceDE w:val="0"/>
        <w:autoSpaceDN w:val="0"/>
        <w:adjustRightInd w:val="0"/>
        <w:spacing w:after="0"/>
        <w:rPr>
          <w:rFonts w:ascii="Times New Roman" w:hAnsi="Times New Roman" w:cs="Times New Roman"/>
          <w:spacing w:val="3"/>
          <w:highlight w:val="yellow"/>
        </w:rPr>
      </w:pPr>
    </w:p>
    <w:p w14:paraId="74A4875F" w14:textId="1A7DCE0D" w:rsidR="000051DD" w:rsidRPr="007D641C" w:rsidRDefault="000051DD" w:rsidP="000051DD">
      <w:pPr>
        <w:autoSpaceDE w:val="0"/>
        <w:autoSpaceDN w:val="0"/>
        <w:adjustRightInd w:val="0"/>
        <w:spacing w:after="0"/>
        <w:rPr>
          <w:rFonts w:cstheme="minorHAnsi"/>
          <w:sz w:val="24"/>
          <w:szCs w:val="24"/>
        </w:rPr>
      </w:pPr>
      <w:r w:rsidRPr="00817D7D">
        <w:rPr>
          <w:rFonts w:cstheme="minorHAnsi"/>
          <w:i/>
          <w:iCs/>
          <w:sz w:val="24"/>
          <w:szCs w:val="24"/>
        </w:rPr>
        <w:t>Other Operating Expenses:</w:t>
      </w:r>
      <w:r w:rsidRPr="00817D7D">
        <w:rPr>
          <w:rFonts w:cstheme="minorHAnsi"/>
          <w:sz w:val="24"/>
          <w:szCs w:val="24"/>
        </w:rPr>
        <w:t xml:space="preserve"> </w:t>
      </w:r>
      <w:r w:rsidR="00976BBE" w:rsidRPr="00817D7D">
        <w:rPr>
          <w:rFonts w:cstheme="minorHAnsi"/>
          <w:sz w:val="24"/>
          <w:szCs w:val="24"/>
        </w:rPr>
        <w:t xml:space="preserve">Utilities, repairs, and maintenance are expected to increase </w:t>
      </w:r>
      <w:r w:rsidR="00977674" w:rsidRPr="00817D7D">
        <w:rPr>
          <w:rFonts w:cstheme="minorHAnsi"/>
          <w:sz w:val="24"/>
          <w:szCs w:val="24"/>
        </w:rPr>
        <w:t>at an annual rate of 3% over the course of the projection period.</w:t>
      </w:r>
    </w:p>
    <w:p w14:paraId="6DFE5473" w14:textId="77777777" w:rsidR="00817D7D" w:rsidRPr="00185FBE" w:rsidRDefault="00817D7D" w:rsidP="008F0717">
      <w:pPr>
        <w:autoSpaceDE w:val="0"/>
        <w:autoSpaceDN w:val="0"/>
        <w:adjustRightInd w:val="0"/>
        <w:spacing w:after="0"/>
        <w:rPr>
          <w:rFonts w:eastAsia="Trebuchet MS" w:cstheme="minorHAnsi"/>
          <w:bCs/>
          <w:color w:val="000000"/>
          <w:spacing w:val="3"/>
          <w:sz w:val="24"/>
          <w:szCs w:val="24"/>
          <w:highlight w:val="yellow"/>
        </w:rPr>
      </w:pPr>
    </w:p>
    <w:p w14:paraId="0AC8A1F8" w14:textId="2934BA09" w:rsidR="008E4932" w:rsidRPr="00BF3571" w:rsidRDefault="00817D7D" w:rsidP="008F0717">
      <w:pPr>
        <w:autoSpaceDE w:val="0"/>
        <w:autoSpaceDN w:val="0"/>
        <w:adjustRightInd w:val="0"/>
        <w:spacing w:after="0"/>
        <w:rPr>
          <w:rFonts w:cstheme="minorHAnsi"/>
          <w:sz w:val="24"/>
          <w:szCs w:val="24"/>
        </w:rPr>
      </w:pPr>
      <w:r w:rsidRPr="00BF3571">
        <w:rPr>
          <w:rFonts w:cstheme="minorHAnsi"/>
          <w:sz w:val="24"/>
          <w:szCs w:val="24"/>
        </w:rPr>
        <w:t>For both Satellites, t</w:t>
      </w:r>
      <w:r w:rsidR="008E4932" w:rsidRPr="00BF3571">
        <w:rPr>
          <w:rFonts w:cstheme="minorHAnsi"/>
          <w:sz w:val="24"/>
          <w:szCs w:val="24"/>
        </w:rPr>
        <w:t>he CPA concludes that the</w:t>
      </w:r>
      <w:r w:rsidR="00AE6F76" w:rsidRPr="00BF3571">
        <w:rPr>
          <w:rFonts w:cstheme="minorHAnsi"/>
          <w:sz w:val="24"/>
          <w:szCs w:val="24"/>
        </w:rPr>
        <w:t xml:space="preserve"> total expenses projected are a reasonable estimation.</w:t>
      </w:r>
    </w:p>
    <w:p w14:paraId="3FAB0C19" w14:textId="77777777" w:rsidR="008F0717" w:rsidRPr="00185FBE" w:rsidRDefault="008F0717" w:rsidP="008F0717">
      <w:pPr>
        <w:autoSpaceDE w:val="0"/>
        <w:autoSpaceDN w:val="0"/>
        <w:adjustRightInd w:val="0"/>
        <w:spacing w:after="0"/>
        <w:rPr>
          <w:rFonts w:cstheme="minorHAnsi"/>
          <w:sz w:val="24"/>
          <w:szCs w:val="24"/>
          <w:highlight w:val="yellow"/>
        </w:rPr>
      </w:pPr>
    </w:p>
    <w:p w14:paraId="4DFA6A87" w14:textId="48A2E376" w:rsidR="008E4932" w:rsidRPr="00922648" w:rsidRDefault="00026DE6" w:rsidP="008F0717">
      <w:pPr>
        <w:spacing w:after="0"/>
        <w:rPr>
          <w:rFonts w:cstheme="minorHAnsi"/>
          <w:b/>
          <w:sz w:val="24"/>
          <w:szCs w:val="24"/>
        </w:rPr>
      </w:pPr>
      <w:r w:rsidRPr="00922648">
        <w:rPr>
          <w:rFonts w:cstheme="minorHAnsi"/>
          <w:b/>
          <w:sz w:val="24"/>
          <w:szCs w:val="24"/>
        </w:rPr>
        <w:t>Cash Flows</w:t>
      </w:r>
    </w:p>
    <w:p w14:paraId="2ECA3A6F" w14:textId="5E272AEB" w:rsidR="004D3238" w:rsidRPr="005C3448" w:rsidRDefault="008E4932" w:rsidP="005C3448">
      <w:pPr>
        <w:autoSpaceDE w:val="0"/>
        <w:autoSpaceDN w:val="0"/>
        <w:adjustRightInd w:val="0"/>
        <w:spacing w:after="0"/>
        <w:rPr>
          <w:rFonts w:cstheme="minorHAnsi"/>
          <w:sz w:val="24"/>
          <w:szCs w:val="24"/>
        </w:rPr>
      </w:pPr>
      <w:r w:rsidRPr="005C3448">
        <w:rPr>
          <w:rFonts w:cstheme="minorHAnsi"/>
          <w:sz w:val="24"/>
          <w:szCs w:val="24"/>
        </w:rPr>
        <w:t xml:space="preserve">The CPA reviewed the </w:t>
      </w:r>
      <w:r w:rsidR="008E3F2B" w:rsidRPr="005C3448">
        <w:rPr>
          <w:rFonts w:cstheme="minorHAnsi"/>
          <w:sz w:val="24"/>
          <w:szCs w:val="24"/>
        </w:rPr>
        <w:t>cash flow</w:t>
      </w:r>
      <w:r w:rsidRPr="005C3448">
        <w:rPr>
          <w:rFonts w:cstheme="minorHAnsi"/>
          <w:sz w:val="24"/>
          <w:szCs w:val="24"/>
        </w:rPr>
        <w:t xml:space="preserve"> for the project</w:t>
      </w:r>
      <w:r w:rsidR="008E3F2B" w:rsidRPr="005C3448">
        <w:rPr>
          <w:rFonts w:cstheme="minorHAnsi"/>
          <w:sz w:val="24"/>
          <w:szCs w:val="24"/>
        </w:rPr>
        <w:t xml:space="preserve">, </w:t>
      </w:r>
      <w:r w:rsidR="00673CB4" w:rsidRPr="005C3448">
        <w:rPr>
          <w:rFonts w:cstheme="minorHAnsi"/>
          <w:sz w:val="24"/>
          <w:szCs w:val="24"/>
        </w:rPr>
        <w:t xml:space="preserve">noting that </w:t>
      </w:r>
      <w:r w:rsidR="00FD01DD">
        <w:rPr>
          <w:rFonts w:cstheme="minorHAnsi"/>
          <w:sz w:val="24"/>
          <w:szCs w:val="24"/>
        </w:rPr>
        <w:t>f</w:t>
      </w:r>
      <w:r w:rsidR="002A0FB3" w:rsidRPr="005C3448">
        <w:rPr>
          <w:rFonts w:cstheme="minorHAnsi"/>
          <w:sz w:val="24"/>
          <w:szCs w:val="24"/>
        </w:rPr>
        <w:t>it</w:t>
      </w:r>
      <w:r w:rsidR="00FD01DD">
        <w:rPr>
          <w:rFonts w:cstheme="minorHAnsi"/>
          <w:spacing w:val="-14"/>
          <w:sz w:val="24"/>
          <w:szCs w:val="24"/>
        </w:rPr>
        <w:t>-</w:t>
      </w:r>
      <w:r w:rsidR="002A0FB3" w:rsidRPr="005C3448">
        <w:rPr>
          <w:rFonts w:cstheme="minorHAnsi"/>
          <w:sz w:val="24"/>
          <w:szCs w:val="24"/>
        </w:rPr>
        <w:t>out</w:t>
      </w:r>
      <w:r w:rsidR="002A0FB3" w:rsidRPr="005C3448">
        <w:rPr>
          <w:rFonts w:cstheme="minorHAnsi"/>
          <w:spacing w:val="-14"/>
          <w:sz w:val="24"/>
          <w:szCs w:val="24"/>
        </w:rPr>
        <w:t xml:space="preserve"> </w:t>
      </w:r>
      <w:r w:rsidR="002A0FB3" w:rsidRPr="005C3448">
        <w:rPr>
          <w:rFonts w:cstheme="minorHAnsi"/>
          <w:sz w:val="24"/>
          <w:szCs w:val="24"/>
        </w:rPr>
        <w:t>costs</w:t>
      </w:r>
      <w:r w:rsidR="002A0FB3" w:rsidRPr="005C3448">
        <w:rPr>
          <w:rFonts w:cstheme="minorHAnsi"/>
          <w:spacing w:val="-12"/>
          <w:sz w:val="24"/>
          <w:szCs w:val="24"/>
        </w:rPr>
        <w:t xml:space="preserve"> </w:t>
      </w:r>
      <w:r w:rsidR="002A0FB3" w:rsidRPr="005C3448">
        <w:rPr>
          <w:rFonts w:cstheme="minorHAnsi"/>
          <w:sz w:val="24"/>
          <w:szCs w:val="24"/>
        </w:rPr>
        <w:t>for</w:t>
      </w:r>
      <w:r w:rsidR="002A0FB3" w:rsidRPr="005C3448">
        <w:rPr>
          <w:rFonts w:cstheme="minorHAnsi"/>
          <w:spacing w:val="-12"/>
          <w:sz w:val="24"/>
          <w:szCs w:val="24"/>
        </w:rPr>
        <w:t xml:space="preserve"> </w:t>
      </w:r>
      <w:r w:rsidR="002A0FB3" w:rsidRPr="005C3448">
        <w:rPr>
          <w:rFonts w:cstheme="minorHAnsi"/>
          <w:sz w:val="24"/>
          <w:szCs w:val="24"/>
        </w:rPr>
        <w:t>the</w:t>
      </w:r>
      <w:r w:rsidR="002A0FB3" w:rsidRPr="005C3448">
        <w:rPr>
          <w:rFonts w:cstheme="minorHAnsi"/>
          <w:spacing w:val="-13"/>
          <w:sz w:val="24"/>
          <w:szCs w:val="24"/>
        </w:rPr>
        <w:t xml:space="preserve"> </w:t>
      </w:r>
      <w:r w:rsidR="002A0FB3" w:rsidRPr="005C3448">
        <w:rPr>
          <w:rFonts w:cstheme="minorHAnsi"/>
          <w:sz w:val="24"/>
          <w:szCs w:val="24"/>
        </w:rPr>
        <w:t>Quincy</w:t>
      </w:r>
      <w:r w:rsidR="002A0FB3" w:rsidRPr="005C3448">
        <w:rPr>
          <w:rFonts w:cstheme="minorHAnsi"/>
          <w:spacing w:val="-14"/>
          <w:sz w:val="24"/>
          <w:szCs w:val="24"/>
        </w:rPr>
        <w:t xml:space="preserve"> </w:t>
      </w:r>
      <w:r w:rsidR="002A0FB3" w:rsidRPr="005C3448">
        <w:rPr>
          <w:rFonts w:cstheme="minorHAnsi"/>
          <w:sz w:val="24"/>
          <w:szCs w:val="24"/>
        </w:rPr>
        <w:t>Satellite</w:t>
      </w:r>
      <w:r w:rsidR="002A0FB3" w:rsidRPr="005C3448">
        <w:rPr>
          <w:rFonts w:cstheme="minorHAnsi"/>
          <w:spacing w:val="-13"/>
          <w:sz w:val="24"/>
          <w:szCs w:val="24"/>
        </w:rPr>
        <w:t xml:space="preserve"> </w:t>
      </w:r>
      <w:r w:rsidR="002A0FB3" w:rsidRPr="005C3448">
        <w:rPr>
          <w:rFonts w:cstheme="minorHAnsi"/>
          <w:sz w:val="24"/>
          <w:szCs w:val="24"/>
        </w:rPr>
        <w:t>will</w:t>
      </w:r>
      <w:r w:rsidR="002A0FB3" w:rsidRPr="005C3448">
        <w:rPr>
          <w:rFonts w:cstheme="minorHAnsi"/>
          <w:spacing w:val="-12"/>
          <w:sz w:val="24"/>
          <w:szCs w:val="24"/>
        </w:rPr>
        <w:t xml:space="preserve"> </w:t>
      </w:r>
      <w:r w:rsidR="002A0FB3" w:rsidRPr="005C3448">
        <w:rPr>
          <w:rFonts w:cstheme="minorHAnsi"/>
          <w:sz w:val="24"/>
          <w:szCs w:val="24"/>
        </w:rPr>
        <w:t>be</w:t>
      </w:r>
      <w:r w:rsidR="002A0FB3" w:rsidRPr="005C3448">
        <w:rPr>
          <w:rFonts w:cstheme="minorHAnsi"/>
          <w:spacing w:val="-13"/>
          <w:sz w:val="24"/>
          <w:szCs w:val="24"/>
        </w:rPr>
        <w:t xml:space="preserve"> </w:t>
      </w:r>
      <w:r w:rsidR="002A0FB3" w:rsidRPr="005C3448">
        <w:rPr>
          <w:rFonts w:cstheme="minorHAnsi"/>
          <w:sz w:val="24"/>
          <w:szCs w:val="24"/>
        </w:rPr>
        <w:t>financed</w:t>
      </w:r>
      <w:r w:rsidR="002A0FB3" w:rsidRPr="005C3448">
        <w:rPr>
          <w:rFonts w:cstheme="minorHAnsi"/>
          <w:spacing w:val="-14"/>
          <w:sz w:val="24"/>
          <w:szCs w:val="24"/>
        </w:rPr>
        <w:t xml:space="preserve"> </w:t>
      </w:r>
      <w:r w:rsidR="002A0FB3" w:rsidRPr="005C3448">
        <w:rPr>
          <w:rFonts w:cstheme="minorHAnsi"/>
          <w:sz w:val="24"/>
          <w:szCs w:val="24"/>
        </w:rPr>
        <w:t>over</w:t>
      </w:r>
      <w:r w:rsidR="002A0FB3" w:rsidRPr="005C3448">
        <w:rPr>
          <w:rFonts w:cstheme="minorHAnsi"/>
          <w:spacing w:val="-12"/>
          <w:sz w:val="24"/>
          <w:szCs w:val="24"/>
        </w:rPr>
        <w:t xml:space="preserve"> </w:t>
      </w:r>
      <w:r w:rsidR="002A0FB3" w:rsidRPr="005C3448">
        <w:rPr>
          <w:rFonts w:cstheme="minorHAnsi"/>
          <w:sz w:val="24"/>
          <w:szCs w:val="24"/>
        </w:rPr>
        <w:t>20</w:t>
      </w:r>
      <w:r w:rsidR="002A0FB3" w:rsidRPr="005C3448">
        <w:rPr>
          <w:rFonts w:cstheme="minorHAnsi"/>
          <w:spacing w:val="-13"/>
          <w:sz w:val="24"/>
          <w:szCs w:val="24"/>
        </w:rPr>
        <w:t xml:space="preserve"> </w:t>
      </w:r>
      <w:r w:rsidR="002A0FB3" w:rsidRPr="005C3448">
        <w:rPr>
          <w:rFonts w:cstheme="minorHAnsi"/>
          <w:sz w:val="24"/>
          <w:szCs w:val="24"/>
        </w:rPr>
        <w:t>years</w:t>
      </w:r>
      <w:r w:rsidR="002A0FB3" w:rsidRPr="005C3448">
        <w:rPr>
          <w:rFonts w:cstheme="minorHAnsi"/>
          <w:spacing w:val="-13"/>
          <w:sz w:val="24"/>
          <w:szCs w:val="24"/>
        </w:rPr>
        <w:t xml:space="preserve"> </w:t>
      </w:r>
      <w:r w:rsidR="002A0FB3" w:rsidRPr="005C3448">
        <w:rPr>
          <w:rFonts w:cstheme="minorHAnsi"/>
          <w:sz w:val="24"/>
          <w:szCs w:val="24"/>
        </w:rPr>
        <w:t>with</w:t>
      </w:r>
      <w:r w:rsidR="002A0FB3" w:rsidRPr="005C3448">
        <w:rPr>
          <w:rFonts w:cstheme="minorHAnsi"/>
          <w:spacing w:val="-13"/>
          <w:sz w:val="24"/>
          <w:szCs w:val="24"/>
        </w:rPr>
        <w:t xml:space="preserve"> </w:t>
      </w:r>
      <w:r w:rsidR="002A0FB3" w:rsidRPr="005C3448">
        <w:rPr>
          <w:rFonts w:cstheme="minorHAnsi"/>
          <w:sz w:val="24"/>
          <w:szCs w:val="24"/>
        </w:rPr>
        <w:t>an</w:t>
      </w:r>
      <w:r w:rsidR="002A0FB3" w:rsidRPr="005C3448">
        <w:rPr>
          <w:rFonts w:cstheme="minorHAnsi"/>
          <w:spacing w:val="-13"/>
          <w:sz w:val="24"/>
          <w:szCs w:val="24"/>
        </w:rPr>
        <w:t xml:space="preserve"> </w:t>
      </w:r>
      <w:r w:rsidR="002A0FB3" w:rsidRPr="005C3448">
        <w:rPr>
          <w:rFonts w:cstheme="minorHAnsi"/>
          <w:sz w:val="24"/>
          <w:szCs w:val="24"/>
        </w:rPr>
        <w:t>interest rate of 7.74%</w:t>
      </w:r>
      <w:r w:rsidR="00673CB4" w:rsidRPr="005C3448">
        <w:rPr>
          <w:rFonts w:cstheme="minorHAnsi"/>
          <w:sz w:val="24"/>
          <w:szCs w:val="24"/>
        </w:rPr>
        <w:t>. Of the</w:t>
      </w:r>
      <w:r w:rsidR="00673CB4" w:rsidRPr="005C3448">
        <w:rPr>
          <w:rFonts w:cstheme="minorHAnsi"/>
          <w:spacing w:val="-8"/>
          <w:sz w:val="24"/>
          <w:szCs w:val="24"/>
        </w:rPr>
        <w:t xml:space="preserve"> </w:t>
      </w:r>
      <w:r w:rsidR="00673CB4" w:rsidRPr="005C3448">
        <w:rPr>
          <w:rFonts w:cstheme="minorHAnsi"/>
          <w:sz w:val="24"/>
          <w:szCs w:val="24"/>
        </w:rPr>
        <w:t>total</w:t>
      </w:r>
      <w:r w:rsidR="00673CB4" w:rsidRPr="005C3448">
        <w:rPr>
          <w:rFonts w:cstheme="minorHAnsi"/>
          <w:spacing w:val="-7"/>
          <w:sz w:val="24"/>
          <w:szCs w:val="24"/>
        </w:rPr>
        <w:t xml:space="preserve"> </w:t>
      </w:r>
      <w:r w:rsidR="00673CB4" w:rsidRPr="005C3448">
        <w:rPr>
          <w:rFonts w:cstheme="minorHAnsi"/>
          <w:sz w:val="24"/>
          <w:szCs w:val="24"/>
        </w:rPr>
        <w:t>capital</w:t>
      </w:r>
      <w:r w:rsidR="00673CB4" w:rsidRPr="005C3448">
        <w:rPr>
          <w:rFonts w:cstheme="minorHAnsi"/>
          <w:spacing w:val="-7"/>
          <w:sz w:val="24"/>
          <w:szCs w:val="24"/>
        </w:rPr>
        <w:t xml:space="preserve"> </w:t>
      </w:r>
      <w:r w:rsidR="00673CB4" w:rsidRPr="005C3448">
        <w:rPr>
          <w:rFonts w:cstheme="minorHAnsi"/>
          <w:sz w:val="24"/>
          <w:szCs w:val="24"/>
        </w:rPr>
        <w:t>expenditures</w:t>
      </w:r>
      <w:r w:rsidR="00673CB4" w:rsidRPr="005C3448">
        <w:rPr>
          <w:rFonts w:cstheme="minorHAnsi"/>
          <w:spacing w:val="-5"/>
          <w:sz w:val="24"/>
          <w:szCs w:val="24"/>
        </w:rPr>
        <w:t xml:space="preserve"> </w:t>
      </w:r>
      <w:r w:rsidR="00673CB4" w:rsidRPr="005C3448">
        <w:rPr>
          <w:rFonts w:cstheme="minorHAnsi"/>
          <w:sz w:val="24"/>
          <w:szCs w:val="24"/>
        </w:rPr>
        <w:t>for</w:t>
      </w:r>
      <w:r w:rsidR="00673CB4" w:rsidRPr="005C3448">
        <w:rPr>
          <w:rFonts w:cstheme="minorHAnsi"/>
          <w:spacing w:val="-7"/>
          <w:sz w:val="24"/>
          <w:szCs w:val="24"/>
        </w:rPr>
        <w:t xml:space="preserve"> </w:t>
      </w:r>
      <w:r w:rsidR="00673CB4" w:rsidRPr="005C3448">
        <w:rPr>
          <w:rFonts w:cstheme="minorHAnsi"/>
          <w:sz w:val="24"/>
          <w:szCs w:val="24"/>
        </w:rPr>
        <w:t>the</w:t>
      </w:r>
      <w:r w:rsidR="00673CB4" w:rsidRPr="005C3448">
        <w:rPr>
          <w:rFonts w:cstheme="minorHAnsi"/>
          <w:spacing w:val="-5"/>
          <w:sz w:val="24"/>
          <w:szCs w:val="24"/>
        </w:rPr>
        <w:t xml:space="preserve"> </w:t>
      </w:r>
      <w:r w:rsidR="00673CB4" w:rsidRPr="005C3448">
        <w:rPr>
          <w:rFonts w:cstheme="minorHAnsi"/>
          <w:sz w:val="24"/>
          <w:szCs w:val="24"/>
        </w:rPr>
        <w:t>Project</w:t>
      </w:r>
      <w:r w:rsidR="00673CB4" w:rsidRPr="005C3448">
        <w:rPr>
          <w:rFonts w:cstheme="minorHAnsi"/>
          <w:spacing w:val="-5"/>
          <w:sz w:val="24"/>
          <w:szCs w:val="24"/>
        </w:rPr>
        <w:t xml:space="preserve"> </w:t>
      </w:r>
      <w:r w:rsidR="00673CB4" w:rsidRPr="005C3448">
        <w:rPr>
          <w:rFonts w:cstheme="minorHAnsi"/>
          <w:sz w:val="24"/>
          <w:szCs w:val="24"/>
        </w:rPr>
        <w:t>approximately</w:t>
      </w:r>
      <w:r w:rsidR="00673CB4" w:rsidRPr="005C3448">
        <w:rPr>
          <w:rFonts w:cstheme="minorHAnsi"/>
          <w:spacing w:val="-8"/>
          <w:sz w:val="24"/>
          <w:szCs w:val="24"/>
        </w:rPr>
        <w:t xml:space="preserve"> </w:t>
      </w:r>
      <w:r w:rsidR="005C3448" w:rsidRPr="005C3448">
        <w:rPr>
          <w:rFonts w:cstheme="minorHAnsi"/>
          <w:sz w:val="24"/>
          <w:szCs w:val="24"/>
        </w:rPr>
        <w:t xml:space="preserve">36% </w:t>
      </w:r>
      <w:r w:rsidR="00673CB4" w:rsidRPr="005C3448">
        <w:rPr>
          <w:rFonts w:cstheme="minorHAnsi"/>
          <w:sz w:val="24"/>
          <w:szCs w:val="24"/>
        </w:rPr>
        <w:t>will</w:t>
      </w:r>
      <w:r w:rsidR="00673CB4" w:rsidRPr="005C3448">
        <w:rPr>
          <w:rFonts w:cstheme="minorHAnsi"/>
          <w:spacing w:val="-7"/>
          <w:sz w:val="24"/>
          <w:szCs w:val="24"/>
        </w:rPr>
        <w:t xml:space="preserve"> </w:t>
      </w:r>
      <w:r w:rsidR="00673CB4" w:rsidRPr="005C3448">
        <w:rPr>
          <w:rFonts w:cstheme="minorHAnsi"/>
          <w:sz w:val="24"/>
          <w:szCs w:val="24"/>
        </w:rPr>
        <w:t>be funded by the landlord of the Quincy lease as part of the fit out, and the remaining costs of approximately will be funded by available capital funds of the Applicant</w:t>
      </w:r>
      <w:r w:rsidR="005C3448" w:rsidRPr="005C3448">
        <w:rPr>
          <w:rFonts w:cstheme="minorHAnsi"/>
          <w:sz w:val="24"/>
          <w:szCs w:val="24"/>
        </w:rPr>
        <w:t>.</w:t>
      </w:r>
      <w:r w:rsidR="00AF15D8">
        <w:rPr>
          <w:rFonts w:cstheme="minorHAnsi"/>
          <w:sz w:val="24"/>
          <w:szCs w:val="24"/>
        </w:rPr>
        <w:t xml:space="preserve"> The CPA Report stated that</w:t>
      </w:r>
      <w:r w:rsidR="004D3238" w:rsidRPr="00AF15D8">
        <w:rPr>
          <w:rFonts w:cstheme="minorHAnsi"/>
          <w:sz w:val="24"/>
          <w:szCs w:val="24"/>
        </w:rPr>
        <w:t xml:space="preserve"> the capital needs and ongoing operating costs required for the relocation and expansion of the hematology-oncology and infusion clinics currently located at Beth Israel Deaconess Hospital – Plymouth, Inc. and the development of a new multispecialty ambulatory center are not likely to result in a scenario where there is negative cash flow over the five-year projected period. The Applicant has the resources to fund the capital needs and ongoing operating costs of the Satellites.</w:t>
      </w:r>
    </w:p>
    <w:p w14:paraId="6DBE5839" w14:textId="77777777" w:rsidR="008F0717" w:rsidRPr="00185FBE" w:rsidRDefault="008F0717" w:rsidP="008F0717">
      <w:pPr>
        <w:spacing w:after="0"/>
        <w:textAlignment w:val="baseline"/>
        <w:rPr>
          <w:rFonts w:eastAsia="Trebuchet MS"/>
          <w:color w:val="000000"/>
          <w:highlight w:val="yellow"/>
        </w:rPr>
      </w:pPr>
    </w:p>
    <w:p w14:paraId="2FA7CBA4" w14:textId="77777777" w:rsidR="008E4932" w:rsidRPr="00654B78" w:rsidRDefault="008E4932" w:rsidP="008E4932">
      <w:pPr>
        <w:rPr>
          <w:rFonts w:cstheme="minorHAnsi"/>
          <w:sz w:val="24"/>
          <w:szCs w:val="24"/>
        </w:rPr>
      </w:pPr>
      <w:r w:rsidRPr="00654B78">
        <w:rPr>
          <w:rFonts w:cstheme="minorHAnsi"/>
          <w:sz w:val="24"/>
          <w:szCs w:val="24"/>
        </w:rPr>
        <w:t xml:space="preserve">As a result of its analysis, the CPA concluded the following: </w:t>
      </w:r>
    </w:p>
    <w:p w14:paraId="3F71343D" w14:textId="74D6D8BE" w:rsidR="007A4F3A" w:rsidRPr="002C7529" w:rsidRDefault="007A4F3A" w:rsidP="00654B78">
      <w:pPr>
        <w:pStyle w:val="BodyText"/>
        <w:spacing w:before="1"/>
        <w:ind w:left="1184" w:right="635"/>
        <w:jc w:val="both"/>
        <w:rPr>
          <w:rFonts w:asciiTheme="minorHAnsi" w:hAnsiTheme="minorHAnsi" w:cstheme="minorHAnsi"/>
          <w:i/>
          <w:iCs/>
          <w:sz w:val="24"/>
          <w:szCs w:val="24"/>
        </w:rPr>
      </w:pPr>
      <w:r w:rsidRPr="002C7529">
        <w:rPr>
          <w:rFonts w:asciiTheme="minorHAnsi" w:hAnsiTheme="minorHAnsi" w:cstheme="minorHAnsi"/>
          <w:i/>
          <w:iCs/>
          <w:sz w:val="24"/>
          <w:szCs w:val="24"/>
        </w:rPr>
        <w:t xml:space="preserve">“We determined that the </w:t>
      </w:r>
      <w:r w:rsidR="00654B78" w:rsidRPr="002C7529">
        <w:rPr>
          <w:rFonts w:asciiTheme="minorHAnsi" w:hAnsiTheme="minorHAnsi" w:cstheme="minorHAnsi"/>
          <w:i/>
          <w:iCs/>
          <w:sz w:val="24"/>
          <w:szCs w:val="24"/>
        </w:rPr>
        <w:t>projections were not likely to result in insufficient funds available for ongoing operating costs necessary to support the Project.</w:t>
      </w:r>
      <w:r w:rsidR="00654B78" w:rsidRPr="002C7529">
        <w:rPr>
          <w:rFonts w:asciiTheme="minorHAnsi" w:hAnsiTheme="minorHAnsi" w:cstheme="minorHAnsi"/>
          <w:i/>
          <w:iCs/>
          <w:spacing w:val="40"/>
          <w:sz w:val="24"/>
          <w:szCs w:val="24"/>
        </w:rPr>
        <w:t xml:space="preserve"> </w:t>
      </w:r>
      <w:r w:rsidR="00654B78" w:rsidRPr="002C7529">
        <w:rPr>
          <w:rFonts w:asciiTheme="minorHAnsi" w:hAnsiTheme="minorHAnsi" w:cstheme="minorHAnsi"/>
          <w:i/>
          <w:iCs/>
          <w:sz w:val="24"/>
          <w:szCs w:val="24"/>
        </w:rPr>
        <w:t xml:space="preserve">Based upon our review of the projections and relevant supporting documentation, we determined the relocation and expansion of the hematology-oncology and infusion clinics currently located at Beth Israel Deaconess Hospital – Plymouth, Inc. and the development of a new </w:t>
      </w:r>
      <w:r w:rsidR="00654B78" w:rsidRPr="002C7529">
        <w:rPr>
          <w:rFonts w:asciiTheme="minorHAnsi" w:hAnsiTheme="minorHAnsi" w:cstheme="minorHAnsi"/>
          <w:i/>
          <w:iCs/>
          <w:sz w:val="24"/>
          <w:szCs w:val="24"/>
        </w:rPr>
        <w:lastRenderedPageBreak/>
        <w:t>multispecialty ambulatory center is financially feasible and within the financial capability of the Applicant</w:t>
      </w:r>
      <w:r w:rsidRPr="002C7529">
        <w:rPr>
          <w:rFonts w:asciiTheme="minorHAnsi" w:hAnsiTheme="minorHAnsi" w:cstheme="minorHAnsi"/>
          <w:i/>
          <w:iCs/>
          <w:sz w:val="24"/>
          <w:szCs w:val="24"/>
        </w:rPr>
        <w:t xml:space="preserve">.” </w:t>
      </w:r>
    </w:p>
    <w:p w14:paraId="5AC49CC2" w14:textId="77777777" w:rsidR="007A4F3A" w:rsidRPr="002C7529" w:rsidRDefault="007A4F3A" w:rsidP="007A4F3A">
      <w:pPr>
        <w:spacing w:after="0" w:line="240" w:lineRule="auto"/>
        <w:ind w:left="360"/>
        <w:jc w:val="both"/>
        <w:rPr>
          <w:rFonts w:ascii="Times New Roman" w:hAnsi="Times New Roman" w:cs="Times New Roman"/>
        </w:rPr>
      </w:pPr>
    </w:p>
    <w:p w14:paraId="00FA6168" w14:textId="77777777" w:rsidR="008E4932" w:rsidRPr="002C7529" w:rsidRDefault="008E4932" w:rsidP="008E4932">
      <w:pPr>
        <w:pStyle w:val="NormalWeb"/>
        <w:rPr>
          <w:rFonts w:asciiTheme="minorHAnsi" w:hAnsiTheme="minorHAnsi" w:cstheme="minorHAnsi"/>
          <w:b/>
          <w:bCs/>
          <w:i/>
          <w:iCs/>
        </w:rPr>
      </w:pPr>
      <w:r w:rsidRPr="002C7529">
        <w:rPr>
          <w:rFonts w:asciiTheme="minorHAnsi" w:hAnsiTheme="minorHAnsi" w:cstheme="minorHAnsi"/>
          <w:b/>
          <w:bCs/>
          <w:i/>
          <w:iCs/>
        </w:rPr>
        <w:t xml:space="preserve">Factor 4 Analysis </w:t>
      </w:r>
    </w:p>
    <w:p w14:paraId="54615B0E" w14:textId="29B0F4B7" w:rsidR="004E6193" w:rsidRPr="002C7529" w:rsidRDefault="008E4932" w:rsidP="008E4932">
      <w:pPr>
        <w:rPr>
          <w:rFonts w:cstheme="minorHAnsi"/>
          <w:sz w:val="24"/>
          <w:szCs w:val="24"/>
        </w:rPr>
      </w:pPr>
      <w:r w:rsidRPr="002C7529">
        <w:rPr>
          <w:sz w:val="24"/>
          <w:szCs w:val="24"/>
        </w:rPr>
        <w:t xml:space="preserve">Staff is satisfied with the CPA’s analysis of the Proposed Project’s projections. </w:t>
      </w:r>
      <w:r w:rsidRPr="002C7529">
        <w:rPr>
          <w:rFonts w:cstheme="minorHAnsi"/>
          <w:sz w:val="24"/>
          <w:szCs w:val="24"/>
        </w:rPr>
        <w:t>As a result of information provided by the Applicant and additional analysis, staff finds that the Applicant has demonstrated that the Proposed Project has met Factor 4.</w:t>
      </w:r>
    </w:p>
    <w:p w14:paraId="04A8E531" w14:textId="77777777" w:rsidR="0026036D" w:rsidRPr="00185FBE" w:rsidRDefault="0026036D" w:rsidP="008E4932">
      <w:pPr>
        <w:rPr>
          <w:rFonts w:cstheme="minorHAnsi"/>
          <w:sz w:val="24"/>
          <w:szCs w:val="24"/>
          <w:highlight w:val="yellow"/>
        </w:rPr>
      </w:pPr>
    </w:p>
    <w:p w14:paraId="610A41C9" w14:textId="5EA4B2DA" w:rsidR="006578AD" w:rsidRPr="001C778E" w:rsidRDefault="003E1CDA" w:rsidP="008F0717">
      <w:pPr>
        <w:pStyle w:val="Heading1"/>
        <w:spacing w:before="0"/>
      </w:pPr>
      <w:bookmarkStart w:id="23" w:name="_Toc196819117"/>
      <w:r w:rsidRPr="001C778E">
        <w:t>Factor 5: Assessment of the Proposed Project’s Relative Merit</w:t>
      </w:r>
      <w:bookmarkEnd w:id="23"/>
    </w:p>
    <w:p w14:paraId="5321C190" w14:textId="43C3F01A" w:rsidR="008C35B2" w:rsidRPr="001C778E" w:rsidRDefault="003E1CDA" w:rsidP="00373E72">
      <w:pPr>
        <w:spacing w:after="0" w:line="240" w:lineRule="auto"/>
        <w:rPr>
          <w:sz w:val="24"/>
          <w:szCs w:val="24"/>
        </w:rPr>
      </w:pPr>
      <w:r w:rsidRPr="001C778E">
        <w:rPr>
          <w:sz w:val="24"/>
          <w:szCs w:val="24"/>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r w:rsidR="00625877" w:rsidRPr="001C778E">
        <w:rPr>
          <w:sz w:val="24"/>
          <w:szCs w:val="24"/>
        </w:rPr>
        <w:t>The Applicant must provide sufficient evidence that the Proposed Project, on balance, is superior to alternative and substitute methods for meeting the existing Patient Panel needs identified by the Applicant pursuant to 105 CMR 100.210(A)(1).</w:t>
      </w:r>
    </w:p>
    <w:p w14:paraId="4EDF0038" w14:textId="77777777" w:rsidR="00373E72" w:rsidRPr="00D41A52" w:rsidRDefault="00373E72" w:rsidP="00373E72">
      <w:pPr>
        <w:spacing w:after="0" w:line="240" w:lineRule="auto"/>
        <w:rPr>
          <w:sz w:val="24"/>
          <w:szCs w:val="24"/>
        </w:rPr>
      </w:pPr>
    </w:p>
    <w:p w14:paraId="66F80AE7" w14:textId="55C5E2D6" w:rsidR="00D53EE1" w:rsidRPr="00D41A52" w:rsidRDefault="008C35B2" w:rsidP="00373E72">
      <w:pPr>
        <w:spacing w:after="0"/>
        <w:rPr>
          <w:rFonts w:cstheme="minorHAnsi"/>
          <w:sz w:val="24"/>
          <w:szCs w:val="24"/>
        </w:rPr>
      </w:pPr>
      <w:r w:rsidRPr="00D41A52">
        <w:rPr>
          <w:rFonts w:cstheme="minorHAnsi"/>
          <w:sz w:val="24"/>
          <w:szCs w:val="24"/>
        </w:rPr>
        <w:t xml:space="preserve">The Applicant considered and rejected </w:t>
      </w:r>
      <w:r w:rsidR="00D41A52" w:rsidRPr="00D41A52">
        <w:rPr>
          <w:rFonts w:cstheme="minorHAnsi"/>
          <w:sz w:val="24"/>
          <w:szCs w:val="24"/>
        </w:rPr>
        <w:t xml:space="preserve">two </w:t>
      </w:r>
      <w:r w:rsidRPr="00D41A52">
        <w:rPr>
          <w:rFonts w:cstheme="minorHAnsi"/>
          <w:sz w:val="24"/>
          <w:szCs w:val="24"/>
        </w:rPr>
        <w:t>alternative</w:t>
      </w:r>
      <w:r w:rsidR="00E6069E" w:rsidRPr="00D41A52">
        <w:rPr>
          <w:rFonts w:cstheme="minorHAnsi"/>
          <w:sz w:val="24"/>
          <w:szCs w:val="24"/>
        </w:rPr>
        <w:t>s</w:t>
      </w:r>
      <w:r w:rsidRPr="00D41A52">
        <w:rPr>
          <w:rFonts w:cstheme="minorHAnsi"/>
          <w:sz w:val="24"/>
          <w:szCs w:val="24"/>
        </w:rPr>
        <w:t xml:space="preserve"> to the Proposed Project:</w:t>
      </w:r>
    </w:p>
    <w:p w14:paraId="2827CD7B" w14:textId="77777777" w:rsidR="00373E72" w:rsidRPr="00185FBE" w:rsidRDefault="00373E72" w:rsidP="00373E72">
      <w:pPr>
        <w:spacing w:after="0"/>
        <w:rPr>
          <w:rFonts w:cstheme="minorHAnsi"/>
          <w:sz w:val="24"/>
          <w:szCs w:val="24"/>
          <w:highlight w:val="yellow"/>
        </w:rPr>
      </w:pPr>
    </w:p>
    <w:p w14:paraId="1BA80918" w14:textId="77777777" w:rsidR="00A24EDC" w:rsidRDefault="00D53EE1" w:rsidP="00A24EDC">
      <w:pPr>
        <w:tabs>
          <w:tab w:val="left" w:pos="720"/>
        </w:tabs>
        <w:autoSpaceDE w:val="0"/>
        <w:autoSpaceDN w:val="0"/>
        <w:adjustRightInd w:val="0"/>
        <w:spacing w:after="0" w:line="240" w:lineRule="auto"/>
        <w:ind w:left="720" w:hanging="720"/>
        <w:jc w:val="both"/>
        <w:rPr>
          <w:rFonts w:eastAsia="Calibri" w:cs="Times New Roman"/>
          <w:b/>
          <w:bCs/>
          <w:sz w:val="24"/>
          <w:szCs w:val="24"/>
        </w:rPr>
      </w:pPr>
      <w:r w:rsidRPr="00564A4F">
        <w:rPr>
          <w:rFonts w:cstheme="minorHAnsi"/>
          <w:b/>
          <w:bCs/>
          <w:color w:val="000000"/>
          <w:sz w:val="24"/>
          <w:szCs w:val="24"/>
        </w:rPr>
        <w:t xml:space="preserve">Alternative Option 1: </w:t>
      </w:r>
      <w:r w:rsidR="00272B95">
        <w:rPr>
          <w:rFonts w:eastAsia="Calibri" w:cs="Times New Roman"/>
          <w:b/>
          <w:bCs/>
          <w:sz w:val="24"/>
          <w:szCs w:val="24"/>
        </w:rPr>
        <w:t>Two Separate Sites in Quincy</w:t>
      </w:r>
    </w:p>
    <w:p w14:paraId="6A48750A" w14:textId="02C9CBA5" w:rsidR="00583D62" w:rsidRDefault="00272B95" w:rsidP="002D5C1C">
      <w:pPr>
        <w:tabs>
          <w:tab w:val="left" w:pos="0"/>
        </w:tabs>
        <w:autoSpaceDE w:val="0"/>
        <w:autoSpaceDN w:val="0"/>
        <w:adjustRightInd w:val="0"/>
        <w:spacing w:after="0" w:line="240" w:lineRule="auto"/>
        <w:rPr>
          <w:rFonts w:eastAsia="Times New Roman" w:cstheme="minorHAnsi"/>
          <w:kern w:val="2"/>
          <w:sz w:val="24"/>
          <w:szCs w:val="24"/>
        </w:rPr>
      </w:pPr>
      <w:r w:rsidRPr="00A24EDC">
        <w:rPr>
          <w:rFonts w:eastAsia="Calibri" w:cs="Times New Roman"/>
        </w:rPr>
        <w:t>T</w:t>
      </w:r>
      <w:r w:rsidRPr="00A24EDC">
        <w:rPr>
          <w:rFonts w:eastAsia="Times New Roman" w:cstheme="minorHAnsi"/>
          <w:kern w:val="2"/>
          <w:sz w:val="24"/>
          <w:szCs w:val="24"/>
        </w:rPr>
        <w:t xml:space="preserve">he Applicant considered opening two </w:t>
      </w:r>
      <w:r w:rsidR="005608AE" w:rsidRPr="00A24EDC">
        <w:rPr>
          <w:rFonts w:eastAsia="Times New Roman" w:cstheme="minorHAnsi"/>
          <w:kern w:val="2"/>
          <w:sz w:val="24"/>
          <w:szCs w:val="24"/>
        </w:rPr>
        <w:t xml:space="preserve">separate sites in Quincy. </w:t>
      </w:r>
      <w:r w:rsidR="000D5352" w:rsidRPr="00A24EDC">
        <w:rPr>
          <w:rFonts w:eastAsia="Times New Roman" w:cstheme="minorHAnsi"/>
          <w:kern w:val="2"/>
          <w:sz w:val="24"/>
          <w:szCs w:val="24"/>
        </w:rPr>
        <w:t xml:space="preserve">Four </w:t>
      </w:r>
      <w:r w:rsidR="005608AE" w:rsidRPr="00A24EDC">
        <w:rPr>
          <w:rFonts w:eastAsia="Times New Roman" w:cstheme="minorHAnsi"/>
          <w:kern w:val="2"/>
          <w:sz w:val="24"/>
          <w:szCs w:val="24"/>
        </w:rPr>
        <w:t>potential locations</w:t>
      </w:r>
      <w:r w:rsidR="000D5352" w:rsidRPr="00A24EDC">
        <w:rPr>
          <w:rFonts w:eastAsia="Times New Roman" w:cstheme="minorHAnsi"/>
          <w:kern w:val="2"/>
          <w:sz w:val="24"/>
          <w:szCs w:val="24"/>
        </w:rPr>
        <w:t xml:space="preserve"> in North and South</w:t>
      </w:r>
      <w:r w:rsidR="00460F5A" w:rsidRPr="00A24EDC">
        <w:rPr>
          <w:rFonts w:eastAsia="Times New Roman" w:cstheme="minorHAnsi"/>
          <w:kern w:val="2"/>
          <w:sz w:val="24"/>
          <w:szCs w:val="24"/>
        </w:rPr>
        <w:t xml:space="preserve"> Quincy were considered</w:t>
      </w:r>
      <w:r w:rsidR="000D5352" w:rsidRPr="00A24EDC">
        <w:rPr>
          <w:rFonts w:eastAsia="Times New Roman" w:cstheme="minorHAnsi"/>
          <w:kern w:val="2"/>
          <w:sz w:val="24"/>
          <w:szCs w:val="24"/>
        </w:rPr>
        <w:t xml:space="preserve">. These alternative locations </w:t>
      </w:r>
      <w:r w:rsidR="009852C6" w:rsidRPr="00A24EDC">
        <w:rPr>
          <w:rFonts w:eastAsia="Times New Roman" w:cstheme="minorHAnsi"/>
          <w:kern w:val="2"/>
          <w:sz w:val="24"/>
          <w:szCs w:val="24"/>
        </w:rPr>
        <w:t>presented a variety of barriers including i</w:t>
      </w:r>
      <w:r w:rsidR="00A24EDC">
        <w:rPr>
          <w:rFonts w:eastAsia="Times New Roman" w:cstheme="minorHAnsi"/>
          <w:kern w:val="2"/>
          <w:sz w:val="24"/>
          <w:szCs w:val="24"/>
        </w:rPr>
        <w:t>nsufficient</w:t>
      </w:r>
      <w:r w:rsidR="009852C6" w:rsidRPr="00A24EDC">
        <w:rPr>
          <w:rFonts w:eastAsia="Times New Roman" w:cstheme="minorHAnsi"/>
          <w:kern w:val="2"/>
          <w:sz w:val="24"/>
          <w:szCs w:val="24"/>
        </w:rPr>
        <w:t xml:space="preserve"> parking, poor access to public transportation, and </w:t>
      </w:r>
      <w:r w:rsidR="00CD3AC7" w:rsidRPr="00A24EDC">
        <w:rPr>
          <w:rFonts w:eastAsia="Times New Roman" w:cstheme="minorHAnsi"/>
          <w:kern w:val="2"/>
          <w:sz w:val="24"/>
          <w:szCs w:val="24"/>
        </w:rPr>
        <w:t xml:space="preserve">limited space to serve the projected </w:t>
      </w:r>
      <w:r w:rsidR="00E11DE0" w:rsidRPr="00A24EDC">
        <w:rPr>
          <w:rFonts w:eastAsia="Times New Roman" w:cstheme="minorHAnsi"/>
          <w:kern w:val="2"/>
          <w:sz w:val="24"/>
          <w:szCs w:val="24"/>
        </w:rPr>
        <w:t xml:space="preserve">Patient Panel. </w:t>
      </w:r>
      <w:r w:rsidR="001E327D" w:rsidRPr="00A24EDC">
        <w:rPr>
          <w:rFonts w:eastAsia="Times New Roman" w:cstheme="minorHAnsi"/>
          <w:kern w:val="2"/>
          <w:sz w:val="24"/>
          <w:szCs w:val="24"/>
        </w:rPr>
        <w:t>T</w:t>
      </w:r>
      <w:r w:rsidR="00D6583E" w:rsidRPr="00A24EDC">
        <w:rPr>
          <w:rFonts w:eastAsia="Times New Roman" w:cstheme="minorHAnsi"/>
          <w:kern w:val="2"/>
          <w:sz w:val="24"/>
          <w:szCs w:val="24"/>
        </w:rPr>
        <w:t>h</w:t>
      </w:r>
      <w:r w:rsidR="001E327D" w:rsidRPr="00A24EDC">
        <w:rPr>
          <w:rFonts w:eastAsia="Times New Roman" w:cstheme="minorHAnsi"/>
          <w:kern w:val="2"/>
          <w:sz w:val="24"/>
          <w:szCs w:val="24"/>
        </w:rPr>
        <w:t>is</w:t>
      </w:r>
      <w:r w:rsidR="00D6583E" w:rsidRPr="00A24EDC">
        <w:rPr>
          <w:rFonts w:eastAsia="Times New Roman" w:cstheme="minorHAnsi"/>
          <w:kern w:val="2"/>
          <w:sz w:val="24"/>
          <w:szCs w:val="24"/>
        </w:rPr>
        <w:t xml:space="preserve"> alternative does not provide the opportunity for the Applicant to consolidate its Quincy Square services into the new facility, resulting in duplicative overhead expenses from operating two separate sites in Quincy.</w:t>
      </w:r>
      <w:r w:rsidR="00A24EDC" w:rsidRPr="00A24EDC">
        <w:rPr>
          <w:rFonts w:eastAsia="Times New Roman" w:cstheme="minorHAnsi"/>
          <w:kern w:val="2"/>
          <w:sz w:val="24"/>
          <w:szCs w:val="24"/>
        </w:rPr>
        <w:t xml:space="preserve"> </w:t>
      </w:r>
      <w:r w:rsidR="00A24EDC">
        <w:rPr>
          <w:rFonts w:eastAsia="Times New Roman" w:cstheme="minorHAnsi"/>
          <w:kern w:val="2"/>
          <w:sz w:val="24"/>
          <w:szCs w:val="24"/>
        </w:rPr>
        <w:t>T</w:t>
      </w:r>
      <w:r w:rsidR="00A24EDC" w:rsidRPr="00A24EDC">
        <w:rPr>
          <w:rFonts w:eastAsia="Times New Roman" w:cstheme="minorHAnsi"/>
          <w:kern w:val="2"/>
          <w:sz w:val="24"/>
          <w:szCs w:val="24"/>
        </w:rPr>
        <w:t>he capital expense would be significantly higher</w:t>
      </w:r>
      <w:r w:rsidR="00EB712A">
        <w:rPr>
          <w:rFonts w:eastAsia="Times New Roman" w:cstheme="minorHAnsi"/>
          <w:kern w:val="2"/>
          <w:sz w:val="24"/>
          <w:szCs w:val="24"/>
        </w:rPr>
        <w:t xml:space="preserve"> </w:t>
      </w:r>
      <w:r w:rsidR="00A24EDC">
        <w:rPr>
          <w:rFonts w:eastAsia="Times New Roman" w:cstheme="minorHAnsi"/>
          <w:kern w:val="2"/>
          <w:sz w:val="24"/>
          <w:szCs w:val="24"/>
        </w:rPr>
        <w:t xml:space="preserve">because the </w:t>
      </w:r>
      <w:r w:rsidR="00A24EDC" w:rsidRPr="00A24EDC">
        <w:rPr>
          <w:rFonts w:eastAsia="Times New Roman" w:cstheme="minorHAnsi"/>
          <w:kern w:val="2"/>
          <w:sz w:val="24"/>
          <w:szCs w:val="24"/>
        </w:rPr>
        <w:t>Proposed Project is benefiting from the City of Quincy financing the buil</w:t>
      </w:r>
      <w:r w:rsidR="00A24EDC">
        <w:rPr>
          <w:rFonts w:eastAsia="Times New Roman" w:cstheme="minorHAnsi"/>
          <w:kern w:val="2"/>
          <w:sz w:val="24"/>
          <w:szCs w:val="24"/>
        </w:rPr>
        <w:t>d</w:t>
      </w:r>
      <w:r w:rsidR="00A24EDC" w:rsidRPr="00A24EDC">
        <w:rPr>
          <w:rFonts w:eastAsia="Times New Roman" w:cstheme="minorHAnsi"/>
          <w:kern w:val="2"/>
          <w:sz w:val="24"/>
          <w:szCs w:val="24"/>
        </w:rPr>
        <w:t xml:space="preserve"> out of the adjacent parking garage to the Applicant’s specifications, whereas the alternative </w:t>
      </w:r>
      <w:r w:rsidR="00A24EDC">
        <w:rPr>
          <w:rFonts w:eastAsia="Times New Roman" w:cstheme="minorHAnsi"/>
          <w:kern w:val="2"/>
          <w:sz w:val="24"/>
          <w:szCs w:val="24"/>
        </w:rPr>
        <w:t xml:space="preserve">sites </w:t>
      </w:r>
      <w:r w:rsidR="00F64EFE" w:rsidRPr="00A24EDC">
        <w:rPr>
          <w:rFonts w:eastAsia="Times New Roman" w:cstheme="minorHAnsi"/>
          <w:kern w:val="2"/>
          <w:sz w:val="24"/>
          <w:szCs w:val="24"/>
        </w:rPr>
        <w:t>require</w:t>
      </w:r>
      <w:r w:rsidR="00A24EDC" w:rsidRPr="00A24EDC">
        <w:rPr>
          <w:rFonts w:eastAsia="Times New Roman" w:cstheme="minorHAnsi"/>
          <w:kern w:val="2"/>
          <w:sz w:val="24"/>
          <w:szCs w:val="24"/>
        </w:rPr>
        <w:t xml:space="preserve"> expansion of existing parking facilities to meet the Applicant’s specifications. </w:t>
      </w:r>
    </w:p>
    <w:p w14:paraId="2607B87D" w14:textId="77777777" w:rsidR="002D5C1C" w:rsidRPr="002D5C1C" w:rsidRDefault="002D5C1C" w:rsidP="002D5C1C">
      <w:pPr>
        <w:tabs>
          <w:tab w:val="left" w:pos="0"/>
        </w:tabs>
        <w:autoSpaceDE w:val="0"/>
        <w:autoSpaceDN w:val="0"/>
        <w:adjustRightInd w:val="0"/>
        <w:spacing w:after="0" w:line="240" w:lineRule="auto"/>
        <w:rPr>
          <w:rFonts w:eastAsia="Times New Roman" w:cstheme="minorHAnsi"/>
          <w:kern w:val="2"/>
          <w:sz w:val="24"/>
          <w:szCs w:val="24"/>
        </w:rPr>
      </w:pPr>
    </w:p>
    <w:p w14:paraId="79D60E5F" w14:textId="6C8A5710" w:rsidR="008707E7" w:rsidRPr="008707E7" w:rsidRDefault="00583D62" w:rsidP="003D797D">
      <w:pPr>
        <w:autoSpaceDE w:val="0"/>
        <w:autoSpaceDN w:val="0"/>
        <w:adjustRightInd w:val="0"/>
        <w:spacing w:after="0"/>
        <w:rPr>
          <w:rFonts w:eastAsia="Times New Roman" w:cstheme="minorHAnsi"/>
          <w:b/>
          <w:bCs/>
          <w:kern w:val="2"/>
          <w:sz w:val="24"/>
          <w:szCs w:val="24"/>
        </w:rPr>
      </w:pPr>
      <w:r w:rsidRPr="008707E7">
        <w:rPr>
          <w:rFonts w:eastAsia="Times New Roman" w:cstheme="minorHAnsi"/>
          <w:b/>
          <w:bCs/>
          <w:kern w:val="2"/>
          <w:sz w:val="24"/>
          <w:szCs w:val="24"/>
        </w:rPr>
        <w:t xml:space="preserve">Alternative Option 2: </w:t>
      </w:r>
      <w:r w:rsidR="008707E7" w:rsidRPr="008707E7">
        <w:rPr>
          <w:rFonts w:eastAsia="Times New Roman" w:cstheme="minorHAnsi"/>
          <w:b/>
          <w:bCs/>
          <w:kern w:val="2"/>
          <w:sz w:val="24"/>
          <w:szCs w:val="24"/>
        </w:rPr>
        <w:t xml:space="preserve">Expand the </w:t>
      </w:r>
      <w:r w:rsidR="009D0B33" w:rsidRPr="008707E7">
        <w:rPr>
          <w:rFonts w:eastAsia="Times New Roman" w:cstheme="minorHAnsi"/>
          <w:b/>
          <w:bCs/>
          <w:kern w:val="2"/>
          <w:sz w:val="24"/>
          <w:szCs w:val="24"/>
        </w:rPr>
        <w:t>Hematology</w:t>
      </w:r>
      <w:r w:rsidR="008707E7" w:rsidRPr="008707E7">
        <w:rPr>
          <w:rFonts w:eastAsia="Times New Roman" w:cstheme="minorHAnsi"/>
          <w:b/>
          <w:bCs/>
          <w:kern w:val="2"/>
          <w:sz w:val="24"/>
          <w:szCs w:val="24"/>
        </w:rPr>
        <w:t xml:space="preserve">-Oncology </w:t>
      </w:r>
      <w:r w:rsidR="0091468E">
        <w:rPr>
          <w:rFonts w:eastAsia="Times New Roman" w:cstheme="minorHAnsi"/>
          <w:b/>
          <w:bCs/>
          <w:kern w:val="2"/>
          <w:sz w:val="24"/>
          <w:szCs w:val="24"/>
        </w:rPr>
        <w:t>and Infusion Clinics</w:t>
      </w:r>
      <w:r w:rsidR="008707E7" w:rsidRPr="008707E7">
        <w:rPr>
          <w:rFonts w:eastAsia="Times New Roman" w:cstheme="minorHAnsi"/>
          <w:b/>
          <w:bCs/>
          <w:kern w:val="2"/>
          <w:sz w:val="24"/>
          <w:szCs w:val="24"/>
        </w:rPr>
        <w:t xml:space="preserve"> At BID</w:t>
      </w:r>
      <w:r w:rsidR="008A4716">
        <w:rPr>
          <w:rFonts w:eastAsia="Times New Roman" w:cstheme="minorHAnsi"/>
          <w:b/>
          <w:bCs/>
          <w:kern w:val="2"/>
          <w:sz w:val="24"/>
          <w:szCs w:val="24"/>
        </w:rPr>
        <w:t xml:space="preserve"> </w:t>
      </w:r>
      <w:r w:rsidR="008707E7" w:rsidRPr="008707E7">
        <w:rPr>
          <w:rFonts w:eastAsia="Times New Roman" w:cstheme="minorHAnsi"/>
          <w:b/>
          <w:bCs/>
          <w:kern w:val="2"/>
          <w:sz w:val="24"/>
          <w:szCs w:val="24"/>
        </w:rPr>
        <w:t>P</w:t>
      </w:r>
      <w:r w:rsidR="008A4716">
        <w:rPr>
          <w:rFonts w:eastAsia="Times New Roman" w:cstheme="minorHAnsi"/>
          <w:b/>
          <w:bCs/>
          <w:kern w:val="2"/>
          <w:sz w:val="24"/>
          <w:szCs w:val="24"/>
        </w:rPr>
        <w:t>lymouth</w:t>
      </w:r>
    </w:p>
    <w:p w14:paraId="5B25523A" w14:textId="66105F75" w:rsidR="000E23CD" w:rsidRDefault="000E23CD" w:rsidP="00AA69EC">
      <w:pPr>
        <w:tabs>
          <w:tab w:val="left" w:pos="0"/>
        </w:tabs>
        <w:autoSpaceDE w:val="0"/>
        <w:autoSpaceDN w:val="0"/>
        <w:adjustRightInd w:val="0"/>
        <w:spacing w:after="0" w:line="240" w:lineRule="auto"/>
        <w:rPr>
          <w:rFonts w:eastAsia="Calibri" w:cs="Times New Roman"/>
          <w:sz w:val="24"/>
          <w:szCs w:val="24"/>
        </w:rPr>
      </w:pPr>
      <w:r w:rsidRPr="00557D93">
        <w:rPr>
          <w:rFonts w:eastAsia="Calibri" w:cs="Times New Roman"/>
          <w:sz w:val="24"/>
          <w:szCs w:val="24"/>
        </w:rPr>
        <w:t>Expanding the Hem</w:t>
      </w:r>
      <w:r w:rsidR="009D0B33" w:rsidRPr="00557D93">
        <w:rPr>
          <w:rFonts w:eastAsia="Calibri" w:cs="Times New Roman"/>
          <w:sz w:val="24"/>
          <w:szCs w:val="24"/>
        </w:rPr>
        <w:t>a</w:t>
      </w:r>
      <w:r w:rsidRPr="00557D93">
        <w:rPr>
          <w:rFonts w:eastAsia="Calibri" w:cs="Times New Roman"/>
          <w:sz w:val="24"/>
          <w:szCs w:val="24"/>
        </w:rPr>
        <w:t>to</w:t>
      </w:r>
      <w:r w:rsidR="009D0B33" w:rsidRPr="00557D93">
        <w:rPr>
          <w:rFonts w:eastAsia="Calibri" w:cs="Times New Roman"/>
          <w:sz w:val="24"/>
          <w:szCs w:val="24"/>
        </w:rPr>
        <w:t>lo</w:t>
      </w:r>
      <w:r w:rsidRPr="00557D93">
        <w:rPr>
          <w:rFonts w:eastAsia="Calibri" w:cs="Times New Roman"/>
          <w:sz w:val="24"/>
          <w:szCs w:val="24"/>
        </w:rPr>
        <w:t xml:space="preserve">gy-Oncology </w:t>
      </w:r>
      <w:r w:rsidR="0091468E" w:rsidRPr="00557D93">
        <w:rPr>
          <w:rFonts w:eastAsia="Calibri" w:cs="Times New Roman"/>
          <w:sz w:val="24"/>
          <w:szCs w:val="24"/>
        </w:rPr>
        <w:t xml:space="preserve">and Infusion </w:t>
      </w:r>
      <w:r w:rsidRPr="00557D93">
        <w:rPr>
          <w:rFonts w:eastAsia="Calibri" w:cs="Times New Roman"/>
          <w:sz w:val="24"/>
          <w:szCs w:val="24"/>
        </w:rPr>
        <w:t>Clini</w:t>
      </w:r>
      <w:r w:rsidR="0091468E" w:rsidRPr="00557D93">
        <w:rPr>
          <w:rFonts w:eastAsia="Calibri" w:cs="Times New Roman"/>
          <w:sz w:val="24"/>
          <w:szCs w:val="24"/>
        </w:rPr>
        <w:t xml:space="preserve">cs at </w:t>
      </w:r>
      <w:r w:rsidRPr="00557D93">
        <w:rPr>
          <w:rFonts w:eastAsia="Calibri" w:cs="Times New Roman"/>
          <w:sz w:val="24"/>
          <w:szCs w:val="24"/>
        </w:rPr>
        <w:t>BID</w:t>
      </w:r>
      <w:r w:rsidR="008A4716">
        <w:rPr>
          <w:rFonts w:eastAsia="Calibri" w:cs="Times New Roman"/>
          <w:sz w:val="24"/>
          <w:szCs w:val="24"/>
        </w:rPr>
        <w:t xml:space="preserve"> </w:t>
      </w:r>
      <w:r w:rsidR="0091468E" w:rsidRPr="00557D93">
        <w:rPr>
          <w:rFonts w:eastAsia="Calibri" w:cs="Times New Roman"/>
          <w:sz w:val="24"/>
          <w:szCs w:val="24"/>
        </w:rPr>
        <w:t>P</w:t>
      </w:r>
      <w:r w:rsidR="00EB712A">
        <w:rPr>
          <w:rFonts w:eastAsia="Calibri" w:cs="Times New Roman"/>
          <w:sz w:val="24"/>
          <w:szCs w:val="24"/>
        </w:rPr>
        <w:t>lym</w:t>
      </w:r>
      <w:r w:rsidR="00BD38A6">
        <w:rPr>
          <w:rFonts w:eastAsia="Calibri" w:cs="Times New Roman"/>
          <w:sz w:val="24"/>
          <w:szCs w:val="24"/>
        </w:rPr>
        <w:t>o</w:t>
      </w:r>
      <w:r w:rsidR="00EB712A">
        <w:rPr>
          <w:rFonts w:eastAsia="Calibri" w:cs="Times New Roman"/>
          <w:sz w:val="24"/>
          <w:szCs w:val="24"/>
        </w:rPr>
        <w:t>uth</w:t>
      </w:r>
      <w:r w:rsidR="0091468E" w:rsidRPr="00557D93">
        <w:rPr>
          <w:rFonts w:eastAsia="Calibri" w:cs="Times New Roman"/>
          <w:sz w:val="24"/>
          <w:szCs w:val="24"/>
        </w:rPr>
        <w:t xml:space="preserve"> poses a challenge </w:t>
      </w:r>
      <w:r w:rsidR="00DF18B4" w:rsidRPr="00557D93">
        <w:rPr>
          <w:rFonts w:eastAsia="Calibri" w:cs="Times New Roman"/>
          <w:sz w:val="24"/>
          <w:szCs w:val="24"/>
        </w:rPr>
        <w:t xml:space="preserve">due to limited space availability at the </w:t>
      </w:r>
      <w:r w:rsidR="009F7B1D">
        <w:rPr>
          <w:rFonts w:eastAsia="Calibri" w:cs="Times New Roman"/>
          <w:sz w:val="24"/>
          <w:szCs w:val="24"/>
        </w:rPr>
        <w:t>h</w:t>
      </w:r>
      <w:r w:rsidR="00DF18B4" w:rsidRPr="00557D93">
        <w:rPr>
          <w:rFonts w:eastAsia="Calibri" w:cs="Times New Roman"/>
          <w:sz w:val="24"/>
          <w:szCs w:val="24"/>
        </w:rPr>
        <w:t xml:space="preserve">ospital. </w:t>
      </w:r>
      <w:r w:rsidR="009D0B33" w:rsidRPr="00557D93">
        <w:rPr>
          <w:rFonts w:eastAsia="Calibri" w:cs="Times New Roman"/>
          <w:sz w:val="24"/>
          <w:szCs w:val="24"/>
        </w:rPr>
        <w:t>Relocating</w:t>
      </w:r>
      <w:r w:rsidR="00DF18B4" w:rsidRPr="00557D93">
        <w:rPr>
          <w:rFonts w:eastAsia="Calibri" w:cs="Times New Roman"/>
          <w:sz w:val="24"/>
          <w:szCs w:val="24"/>
        </w:rPr>
        <w:t xml:space="preserve"> the </w:t>
      </w:r>
      <w:r w:rsidR="009D0B33" w:rsidRPr="00557D93">
        <w:rPr>
          <w:rFonts w:eastAsia="Calibri" w:cs="Times New Roman"/>
          <w:sz w:val="24"/>
          <w:szCs w:val="24"/>
        </w:rPr>
        <w:t xml:space="preserve">clinic is expected to </w:t>
      </w:r>
      <w:r w:rsidRPr="00557D93">
        <w:rPr>
          <w:rFonts w:eastAsia="Calibri" w:cs="Times New Roman"/>
          <w:sz w:val="24"/>
          <w:szCs w:val="24"/>
        </w:rPr>
        <w:t xml:space="preserve">open on-campus space for </w:t>
      </w:r>
      <w:r w:rsidR="009D0B33" w:rsidRPr="00557D93">
        <w:rPr>
          <w:rFonts w:eastAsia="Calibri" w:cs="Times New Roman"/>
          <w:sz w:val="24"/>
          <w:szCs w:val="24"/>
        </w:rPr>
        <w:t xml:space="preserve">a </w:t>
      </w:r>
      <w:r w:rsidRPr="00557D93">
        <w:rPr>
          <w:rFonts w:eastAsia="Calibri" w:cs="Times New Roman"/>
          <w:sz w:val="24"/>
          <w:szCs w:val="24"/>
        </w:rPr>
        <w:t xml:space="preserve">needed expansion of the </w:t>
      </w:r>
      <w:r w:rsidR="009D0B33" w:rsidRPr="00557D93">
        <w:rPr>
          <w:rFonts w:eastAsia="Calibri" w:cs="Times New Roman"/>
          <w:sz w:val="24"/>
          <w:szCs w:val="24"/>
        </w:rPr>
        <w:t xml:space="preserve">hospital’s </w:t>
      </w:r>
      <w:r w:rsidRPr="00557D93">
        <w:rPr>
          <w:rFonts w:eastAsia="Calibri" w:cs="Times New Roman"/>
          <w:sz w:val="24"/>
          <w:szCs w:val="24"/>
        </w:rPr>
        <w:t>Emergency Department</w:t>
      </w:r>
      <w:r w:rsidR="009D0B33" w:rsidRPr="00557D93">
        <w:rPr>
          <w:rFonts w:eastAsia="Calibri" w:cs="Times New Roman"/>
          <w:sz w:val="24"/>
          <w:szCs w:val="24"/>
        </w:rPr>
        <w:t>.</w:t>
      </w:r>
      <w:r w:rsidR="00FD5513" w:rsidRPr="00557D93">
        <w:rPr>
          <w:rFonts w:eastAsia="Calibri" w:cs="Times New Roman"/>
          <w:sz w:val="24"/>
          <w:szCs w:val="24"/>
        </w:rPr>
        <w:t xml:space="preserve"> </w:t>
      </w:r>
      <w:r w:rsidR="00945A1D" w:rsidRPr="00557D93">
        <w:rPr>
          <w:rFonts w:eastAsia="Calibri" w:cs="Times New Roman"/>
          <w:sz w:val="24"/>
          <w:szCs w:val="24"/>
        </w:rPr>
        <w:t>T</w:t>
      </w:r>
      <w:r w:rsidR="00BF62D3" w:rsidRPr="00557D93">
        <w:rPr>
          <w:rFonts w:eastAsia="Times New Roman" w:cs="Times New Roman"/>
          <w:color w:val="000000" w:themeColor="text1"/>
          <w:sz w:val="24"/>
          <w:szCs w:val="24"/>
        </w:rPr>
        <w:t xml:space="preserve">he Applicant considered moving the same services into the same size footprint within a larger on-campus </w:t>
      </w:r>
      <w:r w:rsidR="00C44949" w:rsidRPr="00557D93">
        <w:rPr>
          <w:rFonts w:eastAsia="Times New Roman" w:cs="Times New Roman"/>
          <w:color w:val="000000" w:themeColor="text1"/>
          <w:sz w:val="24"/>
          <w:szCs w:val="24"/>
        </w:rPr>
        <w:t>Medical Office Building (MOB)</w:t>
      </w:r>
      <w:r w:rsidR="00BF62D3" w:rsidRPr="00557D93">
        <w:rPr>
          <w:rFonts w:eastAsia="Times New Roman" w:cs="Times New Roman"/>
          <w:color w:val="000000" w:themeColor="text1"/>
          <w:sz w:val="24"/>
          <w:szCs w:val="24"/>
        </w:rPr>
        <w:t xml:space="preserve">. However, </w:t>
      </w:r>
      <w:r w:rsidR="00C44949" w:rsidRPr="00557D93">
        <w:rPr>
          <w:rFonts w:eastAsia="Times New Roman" w:cs="Times New Roman"/>
          <w:color w:val="000000" w:themeColor="text1"/>
          <w:sz w:val="24"/>
          <w:szCs w:val="24"/>
        </w:rPr>
        <w:t xml:space="preserve">this alternative would have </w:t>
      </w:r>
      <w:r w:rsidR="00CC54B7" w:rsidRPr="00557D93">
        <w:rPr>
          <w:rFonts w:eastAsia="Times New Roman" w:cs="Times New Roman"/>
          <w:color w:val="000000" w:themeColor="text1"/>
          <w:sz w:val="24"/>
          <w:szCs w:val="24"/>
        </w:rPr>
        <w:t>extended the timeline for project completion by</w:t>
      </w:r>
      <w:r w:rsidR="00BF62D3" w:rsidRPr="00557D93">
        <w:rPr>
          <w:rFonts w:eastAsia="Times New Roman" w:cs="Times New Roman"/>
          <w:color w:val="000000" w:themeColor="text1"/>
          <w:sz w:val="24"/>
          <w:szCs w:val="24"/>
        </w:rPr>
        <w:t xml:space="preserve"> at least an additional twelve months</w:t>
      </w:r>
      <w:r w:rsidR="00CC54B7" w:rsidRPr="00557D93">
        <w:rPr>
          <w:rFonts w:eastAsia="Times New Roman" w:cs="Times New Roman"/>
          <w:color w:val="000000" w:themeColor="text1"/>
          <w:sz w:val="24"/>
          <w:szCs w:val="24"/>
        </w:rPr>
        <w:t xml:space="preserve">. Pushing </w:t>
      </w:r>
      <w:r w:rsidR="00BF62D3" w:rsidRPr="00557D93">
        <w:rPr>
          <w:rFonts w:eastAsia="Times New Roman" w:cs="Times New Roman"/>
          <w:color w:val="000000" w:themeColor="text1"/>
          <w:sz w:val="24"/>
          <w:szCs w:val="24"/>
        </w:rPr>
        <w:t xml:space="preserve">out the timeline of the Emergency Department expansion, as well as the hematology-oncology and infusion clinics expansions </w:t>
      </w:r>
      <w:r w:rsidR="00CC54B7" w:rsidRPr="00557D93">
        <w:rPr>
          <w:rFonts w:eastAsia="Times New Roman" w:cs="Times New Roman"/>
          <w:color w:val="000000" w:themeColor="text1"/>
          <w:sz w:val="24"/>
          <w:szCs w:val="24"/>
        </w:rPr>
        <w:t xml:space="preserve">would have resulted </w:t>
      </w:r>
      <w:r w:rsidR="00BF62D3" w:rsidRPr="00557D93">
        <w:rPr>
          <w:rFonts w:eastAsia="Times New Roman" w:cs="Times New Roman"/>
          <w:color w:val="000000" w:themeColor="text1"/>
          <w:sz w:val="24"/>
          <w:szCs w:val="24"/>
        </w:rPr>
        <w:t xml:space="preserve">in many more years of insufficient emergency services, and hematology-oncology and infusion services for cancer patients. </w:t>
      </w:r>
      <w:r w:rsidR="00CC54B7" w:rsidRPr="00557D93">
        <w:rPr>
          <w:rFonts w:eastAsia="Times New Roman" w:cs="Times New Roman"/>
          <w:color w:val="000000" w:themeColor="text1"/>
          <w:sz w:val="24"/>
          <w:szCs w:val="24"/>
        </w:rPr>
        <w:t>C</w:t>
      </w:r>
      <w:r w:rsidR="00BF62D3" w:rsidRPr="00557D93">
        <w:rPr>
          <w:rFonts w:eastAsia="Times New Roman" w:cs="Times New Roman"/>
          <w:color w:val="000000" w:themeColor="text1"/>
          <w:sz w:val="24"/>
          <w:szCs w:val="24"/>
        </w:rPr>
        <w:t xml:space="preserve">onstructing an on-campus MOB would be more costly than renovating an existing facility, because under the Proposed Project, this cost has been expended to finance the core and shell. </w:t>
      </w:r>
      <w:r w:rsidR="00CC54B7" w:rsidRPr="00557D93">
        <w:rPr>
          <w:rFonts w:eastAsia="Calibri" w:cs="Times New Roman"/>
          <w:sz w:val="24"/>
          <w:szCs w:val="24"/>
        </w:rPr>
        <w:t>T</w:t>
      </w:r>
      <w:r w:rsidR="00945A1D" w:rsidRPr="00557D93">
        <w:rPr>
          <w:rFonts w:eastAsia="Calibri" w:cs="Times New Roman"/>
          <w:sz w:val="24"/>
          <w:szCs w:val="24"/>
        </w:rPr>
        <w:t>h</w:t>
      </w:r>
      <w:r w:rsidR="00557D93" w:rsidRPr="00557D93">
        <w:rPr>
          <w:rFonts w:eastAsia="Calibri" w:cs="Times New Roman"/>
          <w:sz w:val="24"/>
          <w:szCs w:val="24"/>
        </w:rPr>
        <w:t xml:space="preserve">e capital expense for this </w:t>
      </w:r>
      <w:r w:rsidR="00557D93" w:rsidRPr="00557D93">
        <w:rPr>
          <w:rFonts w:eastAsia="Calibri" w:cs="Times New Roman"/>
          <w:sz w:val="24"/>
          <w:szCs w:val="24"/>
        </w:rPr>
        <w:lastRenderedPageBreak/>
        <w:t xml:space="preserve">alternative </w:t>
      </w:r>
      <w:r w:rsidR="00945A1D" w:rsidRPr="00557D93">
        <w:rPr>
          <w:rFonts w:eastAsia="Calibri" w:cs="Times New Roman"/>
          <w:sz w:val="24"/>
          <w:szCs w:val="24"/>
        </w:rPr>
        <w:t>would be approximately 30% to 40%</w:t>
      </w:r>
      <w:r w:rsidR="00557D93" w:rsidRPr="00557D93">
        <w:rPr>
          <w:rFonts w:eastAsia="Calibri" w:cs="Times New Roman"/>
          <w:sz w:val="24"/>
          <w:szCs w:val="24"/>
        </w:rPr>
        <w:t xml:space="preserve"> </w:t>
      </w:r>
      <w:r w:rsidR="00945A1D" w:rsidRPr="00557D93">
        <w:rPr>
          <w:rFonts w:eastAsia="Calibri" w:cs="Times New Roman"/>
          <w:sz w:val="24"/>
          <w:szCs w:val="24"/>
        </w:rPr>
        <w:t xml:space="preserve">higher </w:t>
      </w:r>
      <w:r w:rsidR="00557D93" w:rsidRPr="00557D93">
        <w:rPr>
          <w:rFonts w:eastAsia="Calibri" w:cs="Times New Roman"/>
          <w:sz w:val="24"/>
          <w:szCs w:val="24"/>
        </w:rPr>
        <w:t xml:space="preserve">than the proposed Cordage Park Satellite </w:t>
      </w:r>
      <w:r w:rsidR="00945A1D" w:rsidRPr="00557D93">
        <w:rPr>
          <w:rFonts w:eastAsia="Calibri" w:cs="Times New Roman"/>
          <w:sz w:val="24"/>
          <w:szCs w:val="24"/>
        </w:rPr>
        <w:t xml:space="preserve">due to </w:t>
      </w:r>
      <w:r w:rsidR="00557D93" w:rsidRPr="00557D93">
        <w:rPr>
          <w:rFonts w:eastAsia="Calibri" w:cs="Times New Roman"/>
          <w:sz w:val="24"/>
          <w:szCs w:val="24"/>
        </w:rPr>
        <w:t xml:space="preserve">the need to </w:t>
      </w:r>
      <w:r w:rsidR="00945A1D" w:rsidRPr="00557D93">
        <w:rPr>
          <w:rFonts w:eastAsia="Calibri" w:cs="Times New Roman"/>
          <w:sz w:val="24"/>
          <w:szCs w:val="24"/>
        </w:rPr>
        <w:t xml:space="preserve">construct an entirely new facility with core, shell and fit out, as opposed to the Proposed Project which will only require capital for fit out. </w:t>
      </w:r>
    </w:p>
    <w:p w14:paraId="41C471BB" w14:textId="77777777" w:rsidR="00EE6E62" w:rsidRDefault="00EE6E62" w:rsidP="00AA69EC">
      <w:pPr>
        <w:tabs>
          <w:tab w:val="left" w:pos="0"/>
        </w:tabs>
        <w:autoSpaceDE w:val="0"/>
        <w:autoSpaceDN w:val="0"/>
        <w:adjustRightInd w:val="0"/>
        <w:spacing w:after="0" w:line="240" w:lineRule="auto"/>
        <w:rPr>
          <w:rFonts w:eastAsia="Calibri" w:cs="Times New Roman"/>
          <w:sz w:val="24"/>
          <w:szCs w:val="24"/>
        </w:rPr>
      </w:pPr>
    </w:p>
    <w:p w14:paraId="04C14E5B" w14:textId="7B93A936" w:rsidR="00EE6E62" w:rsidRPr="00EA421F" w:rsidRDefault="00EE6E62" w:rsidP="00AA69EC">
      <w:pPr>
        <w:tabs>
          <w:tab w:val="left" w:pos="0"/>
        </w:tabs>
        <w:autoSpaceDE w:val="0"/>
        <w:autoSpaceDN w:val="0"/>
        <w:adjustRightInd w:val="0"/>
        <w:spacing w:after="0" w:line="240" w:lineRule="auto"/>
        <w:rPr>
          <w:rFonts w:eastAsia="Calibri" w:cs="Times New Roman"/>
          <w:b/>
          <w:bCs/>
          <w:sz w:val="24"/>
          <w:szCs w:val="24"/>
        </w:rPr>
      </w:pPr>
      <w:r w:rsidRPr="00EA421F">
        <w:rPr>
          <w:rFonts w:eastAsia="Calibri" w:cs="Times New Roman"/>
          <w:b/>
          <w:bCs/>
          <w:sz w:val="24"/>
          <w:szCs w:val="24"/>
        </w:rPr>
        <w:t xml:space="preserve">Alternative Option 3: </w:t>
      </w:r>
      <w:r w:rsidR="00C73230" w:rsidRPr="00EA421F">
        <w:rPr>
          <w:rFonts w:eastAsia="Calibri" w:cs="Times New Roman"/>
          <w:b/>
          <w:bCs/>
          <w:sz w:val="24"/>
          <w:szCs w:val="24"/>
        </w:rPr>
        <w:t xml:space="preserve">License the Satellites under </w:t>
      </w:r>
      <w:r w:rsidR="008A4716">
        <w:rPr>
          <w:rFonts w:eastAsia="Calibri" w:cs="Times New Roman"/>
          <w:b/>
          <w:bCs/>
          <w:sz w:val="24"/>
          <w:szCs w:val="24"/>
        </w:rPr>
        <w:t>the</w:t>
      </w:r>
      <w:r w:rsidR="007A61FB">
        <w:rPr>
          <w:rFonts w:eastAsia="Calibri" w:cs="Times New Roman"/>
          <w:b/>
          <w:bCs/>
          <w:sz w:val="24"/>
          <w:szCs w:val="24"/>
        </w:rPr>
        <w:t xml:space="preserve"> community hospitals BID Plymouth or BID Milton</w:t>
      </w:r>
    </w:p>
    <w:p w14:paraId="6D2E77BF" w14:textId="0124262E" w:rsidR="00C73230" w:rsidRPr="00EA421F" w:rsidRDefault="00D94B73" w:rsidP="6CBA5896">
      <w:pPr>
        <w:autoSpaceDE w:val="0"/>
        <w:autoSpaceDN w:val="0"/>
        <w:adjustRightInd w:val="0"/>
        <w:spacing w:after="0" w:line="240" w:lineRule="auto"/>
        <w:rPr>
          <w:rFonts w:eastAsia="Calibri" w:cs="Times New Roman"/>
          <w:sz w:val="24"/>
          <w:szCs w:val="24"/>
        </w:rPr>
      </w:pPr>
      <w:r w:rsidRPr="00EA421F">
        <w:rPr>
          <w:rFonts w:eastAsia="Calibri" w:cs="Times New Roman"/>
          <w:sz w:val="24"/>
          <w:szCs w:val="24"/>
        </w:rPr>
        <w:t xml:space="preserve">The Applicant considered the option of </w:t>
      </w:r>
      <w:r w:rsidR="00EA421F" w:rsidRPr="00EA421F">
        <w:rPr>
          <w:rFonts w:eastAsia="Calibri" w:cs="Times New Roman"/>
          <w:sz w:val="24"/>
          <w:szCs w:val="24"/>
        </w:rPr>
        <w:t xml:space="preserve">licensing the Satellites as HOPD’s connected to </w:t>
      </w:r>
      <w:r w:rsidR="0003640F">
        <w:rPr>
          <w:rFonts w:eastAsia="Calibri" w:cs="Times New Roman"/>
          <w:sz w:val="24"/>
          <w:szCs w:val="24"/>
        </w:rPr>
        <w:t>the</w:t>
      </w:r>
      <w:r w:rsidR="001B0D88">
        <w:rPr>
          <w:rFonts w:eastAsia="Calibri" w:cs="Times New Roman"/>
          <w:sz w:val="24"/>
          <w:szCs w:val="24"/>
        </w:rPr>
        <w:t xml:space="preserve">ir regional </w:t>
      </w:r>
      <w:r w:rsidR="001B0D88" w:rsidRPr="00B76F62">
        <w:rPr>
          <w:rFonts w:eastAsia="Calibri" w:cs="Times New Roman"/>
          <w:sz w:val="24"/>
          <w:szCs w:val="24"/>
        </w:rPr>
        <w:t>community hospitals BID Plymouth and BID Milton</w:t>
      </w:r>
      <w:r w:rsidR="00EA421F" w:rsidRPr="00B76F62">
        <w:rPr>
          <w:rFonts w:eastAsia="Calibri" w:cs="Times New Roman"/>
          <w:sz w:val="24"/>
          <w:szCs w:val="24"/>
        </w:rPr>
        <w:t xml:space="preserve">. </w:t>
      </w:r>
      <w:r w:rsidR="001B0D88" w:rsidRPr="00B76F62">
        <w:rPr>
          <w:rFonts w:eastAsia="Calibri" w:cs="Times New Roman"/>
          <w:sz w:val="24"/>
          <w:szCs w:val="24"/>
        </w:rPr>
        <w:t>T</w:t>
      </w:r>
      <w:r w:rsidR="00EA421F" w:rsidRPr="00B76F62">
        <w:rPr>
          <w:rFonts w:eastAsia="Calibri" w:cs="Times New Roman"/>
          <w:sz w:val="24"/>
          <w:szCs w:val="24"/>
        </w:rPr>
        <w:t xml:space="preserve">he Applicant determined </w:t>
      </w:r>
      <w:r w:rsidR="00F6487D" w:rsidRPr="00B76F62">
        <w:rPr>
          <w:rFonts w:eastAsia="Calibri" w:cs="Times New Roman"/>
          <w:sz w:val="24"/>
          <w:szCs w:val="24"/>
        </w:rPr>
        <w:t xml:space="preserve">that </w:t>
      </w:r>
      <w:r w:rsidR="00F6487D" w:rsidRPr="00B76F62">
        <w:rPr>
          <w:rStyle w:val="normaltextrun"/>
          <w:rFonts w:ascii="Calibri" w:hAnsi="Calibri" w:cs="Calibri"/>
          <w:sz w:val="24"/>
          <w:szCs w:val="24"/>
          <w:shd w:val="clear" w:color="auto" w:fill="FFFFFF"/>
        </w:rPr>
        <w:t>the cost structure of the Cordage Park Satellite is expected to be significantly lower under BIDMC operations due to lower pharmaceutical expenses.</w:t>
      </w:r>
      <w:r w:rsidR="00BB0D82" w:rsidRPr="00B76F62">
        <w:rPr>
          <w:rStyle w:val="normaltextrun"/>
          <w:rFonts w:ascii="Calibri" w:hAnsi="Calibri" w:cs="Calibri"/>
          <w:sz w:val="24"/>
          <w:szCs w:val="24"/>
          <w:shd w:val="clear" w:color="auto" w:fill="FFFFFF"/>
        </w:rPr>
        <w:t xml:space="preserve"> The Applicant also notes that</w:t>
      </w:r>
      <w:r w:rsidR="00B76F62" w:rsidRPr="00B76F62">
        <w:rPr>
          <w:rStyle w:val="normaltextrun"/>
          <w:rFonts w:ascii="Calibri" w:hAnsi="Calibri" w:cs="Calibri"/>
          <w:sz w:val="24"/>
          <w:szCs w:val="24"/>
          <w:shd w:val="clear" w:color="auto" w:fill="FFFFFF"/>
        </w:rPr>
        <w:t xml:space="preserve"> under BIDMC licensure,</w:t>
      </w:r>
      <w:r w:rsidR="00BB0D82" w:rsidRPr="00B76F62">
        <w:rPr>
          <w:rStyle w:val="normaltextrun"/>
          <w:rFonts w:ascii="Calibri" w:hAnsi="Calibri" w:cs="Calibri"/>
          <w:sz w:val="24"/>
          <w:szCs w:val="24"/>
          <w:shd w:val="clear" w:color="auto" w:fill="FFFFFF"/>
        </w:rPr>
        <w:t xml:space="preserve"> </w:t>
      </w:r>
      <w:r w:rsidR="00BB0D82" w:rsidRPr="00B76F62">
        <w:rPr>
          <w:sz w:val="24"/>
          <w:szCs w:val="24"/>
        </w:rPr>
        <w:t xml:space="preserve">patients being cared for at the Cordage Park Satellite will have access to </w:t>
      </w:r>
      <w:r w:rsidR="00BB0D82" w:rsidRPr="00B76F62">
        <w:rPr>
          <w:rStyle w:val="normaltextrun"/>
          <w:rFonts w:ascii="Calibri" w:hAnsi="Calibri" w:cs="Calibri"/>
          <w:sz w:val="24"/>
          <w:szCs w:val="24"/>
          <w:shd w:val="clear" w:color="auto" w:fill="FFFFFF"/>
        </w:rPr>
        <w:t xml:space="preserve">a greater number and variety of clinical offerings than BID Plymouth would be able to access on its own as an independent, community cancer </w:t>
      </w:r>
      <w:r w:rsidR="00BB0D82" w:rsidRPr="00C408B7">
        <w:rPr>
          <w:rStyle w:val="normaltextrun"/>
          <w:rFonts w:ascii="Calibri" w:hAnsi="Calibri" w:cs="Calibri"/>
          <w:sz w:val="24"/>
          <w:szCs w:val="24"/>
          <w:shd w:val="clear" w:color="auto" w:fill="FFFFFF"/>
        </w:rPr>
        <w:t xml:space="preserve">center. </w:t>
      </w:r>
      <w:r w:rsidR="00C408B7" w:rsidRPr="00C408B7">
        <w:rPr>
          <w:rStyle w:val="normaltextrun"/>
          <w:rFonts w:ascii="Calibri" w:hAnsi="Calibri" w:cs="Calibri"/>
          <w:sz w:val="24"/>
          <w:szCs w:val="24"/>
          <w:shd w:val="clear" w:color="auto" w:fill="FFFFFF"/>
        </w:rPr>
        <w:t>The Applicant states that</w:t>
      </w:r>
      <w:r w:rsidR="00C408B7">
        <w:rPr>
          <w:rStyle w:val="normaltextrun"/>
          <w:rFonts w:ascii="Calibri" w:hAnsi="Calibri" w:cs="Calibri"/>
          <w:b/>
          <w:bCs/>
          <w:shd w:val="clear" w:color="auto" w:fill="FFFFFF"/>
        </w:rPr>
        <w:t xml:space="preserve"> </w:t>
      </w:r>
      <w:r w:rsidR="00EA421F" w:rsidRPr="00EA421F">
        <w:rPr>
          <w:rFonts w:eastAsia="Calibri" w:cs="Times New Roman"/>
          <w:sz w:val="24"/>
          <w:szCs w:val="24"/>
        </w:rPr>
        <w:t xml:space="preserve">BID </w:t>
      </w:r>
      <w:r w:rsidR="00F47A68" w:rsidRPr="00EA421F">
        <w:rPr>
          <w:rFonts w:eastAsia="Calibri" w:cs="Times New Roman"/>
          <w:sz w:val="24"/>
          <w:szCs w:val="24"/>
        </w:rPr>
        <w:t>Milton</w:t>
      </w:r>
      <w:r w:rsidRPr="00EA421F">
        <w:rPr>
          <w:rFonts w:eastAsia="Calibri" w:cs="Times New Roman"/>
          <w:sz w:val="24"/>
          <w:szCs w:val="24"/>
        </w:rPr>
        <w:t xml:space="preserve"> does not have the provider resources nor operational structure to support the development of the Quincy Satellite</w:t>
      </w:r>
      <w:r w:rsidR="00496CEB">
        <w:rPr>
          <w:rFonts w:eastAsia="Calibri" w:cs="Times New Roman"/>
          <w:sz w:val="24"/>
          <w:szCs w:val="24"/>
        </w:rPr>
        <w:t>,</w:t>
      </w:r>
      <w:r w:rsidRPr="00EA421F">
        <w:rPr>
          <w:rFonts w:eastAsia="Calibri" w:cs="Times New Roman"/>
          <w:sz w:val="24"/>
          <w:szCs w:val="24"/>
        </w:rPr>
        <w:t xml:space="preserve"> which is anticipated to add significant health services capacity in a region that is forecasted to have an increase in population growth and unmet healthcare demand in a number of areas</w:t>
      </w:r>
      <w:r w:rsidR="00EA421F" w:rsidRPr="00EA421F">
        <w:rPr>
          <w:rFonts w:eastAsia="Calibri" w:cs="Times New Roman"/>
          <w:sz w:val="24"/>
          <w:szCs w:val="24"/>
        </w:rPr>
        <w:t>.</w:t>
      </w:r>
      <w:r w:rsidR="00BB6DD6">
        <w:rPr>
          <w:rFonts w:eastAsia="Calibri" w:cs="Times New Roman"/>
          <w:sz w:val="24"/>
          <w:szCs w:val="24"/>
        </w:rPr>
        <w:t xml:space="preserve"> The Applicant explains that BID </w:t>
      </w:r>
      <w:r w:rsidR="00BB6DD6" w:rsidRPr="00BB6DD6">
        <w:rPr>
          <w:rFonts w:eastAsia="Calibri" w:cs="Times New Roman"/>
          <w:sz w:val="24"/>
          <w:szCs w:val="24"/>
        </w:rPr>
        <w:t>Milton does not have the experience nor bandwidth necessary to maintain and operate large ambulatory practices in cancer, infusion, cardiology and obstetrics &amp; gynecology. Most of the subspecialty providers who currently practice at BID Milton are from BIDMC.</w:t>
      </w:r>
      <w:r w:rsidR="00496CEB">
        <w:rPr>
          <w:rFonts w:eastAsia="Calibri" w:cs="Times New Roman"/>
          <w:sz w:val="24"/>
          <w:szCs w:val="24"/>
        </w:rPr>
        <w:t xml:space="preserve"> Due to these factors, the Applicant determined that clinical and operational oversight from BIDMC was </w:t>
      </w:r>
      <w:r w:rsidR="00C851EE">
        <w:rPr>
          <w:rFonts w:eastAsia="Calibri" w:cs="Times New Roman"/>
          <w:sz w:val="24"/>
          <w:szCs w:val="24"/>
        </w:rPr>
        <w:t>the more effective manner to address both Patient Panel needs and cost effectiveness.</w:t>
      </w:r>
    </w:p>
    <w:p w14:paraId="683854D4" w14:textId="77777777" w:rsidR="00A91BA2" w:rsidRPr="005B1AC6" w:rsidRDefault="00A91BA2" w:rsidP="00AA69EC">
      <w:pPr>
        <w:tabs>
          <w:tab w:val="left" w:pos="0"/>
        </w:tabs>
        <w:autoSpaceDE w:val="0"/>
        <w:autoSpaceDN w:val="0"/>
        <w:adjustRightInd w:val="0"/>
        <w:spacing w:after="0" w:line="240" w:lineRule="auto"/>
        <w:rPr>
          <w:rFonts w:eastAsia="Calibri" w:cstheme="minorHAnsi"/>
          <w:bCs/>
          <w:kern w:val="2"/>
          <w:sz w:val="24"/>
          <w:szCs w:val="24"/>
        </w:rPr>
      </w:pPr>
    </w:p>
    <w:p w14:paraId="634575E0" w14:textId="77777777" w:rsidR="00600415" w:rsidRPr="005B1AC6" w:rsidRDefault="00600415" w:rsidP="0026036D">
      <w:pPr>
        <w:spacing w:after="0" w:line="240" w:lineRule="auto"/>
        <w:rPr>
          <w:b/>
          <w:bCs/>
          <w:i/>
          <w:iCs/>
          <w:sz w:val="24"/>
          <w:szCs w:val="24"/>
        </w:rPr>
      </w:pPr>
      <w:r w:rsidRPr="005B1AC6">
        <w:rPr>
          <w:b/>
          <w:bCs/>
          <w:i/>
          <w:iCs/>
          <w:sz w:val="24"/>
          <w:szCs w:val="24"/>
        </w:rPr>
        <w:t>Analysis</w:t>
      </w:r>
    </w:p>
    <w:p w14:paraId="634995B1" w14:textId="52CCB28F" w:rsidR="003E1CDA" w:rsidRPr="005B1AC6" w:rsidRDefault="00600415" w:rsidP="0026036D">
      <w:pPr>
        <w:spacing w:after="0" w:line="240" w:lineRule="auto"/>
        <w:rPr>
          <w:sz w:val="24"/>
          <w:szCs w:val="24"/>
        </w:rPr>
      </w:pPr>
      <w:r w:rsidRPr="005B1AC6">
        <w:rPr>
          <w:sz w:val="24"/>
          <w:szCs w:val="24"/>
        </w:rPr>
        <w:t>S</w:t>
      </w:r>
      <w:r w:rsidR="003E1CDA" w:rsidRPr="005B1AC6">
        <w:rPr>
          <w:sz w:val="24"/>
          <w:szCs w:val="24"/>
        </w:rPr>
        <w:t xml:space="preserve">taff finds that the Applicant has appropriately considered the quality, efficiency, and capital and operating costs of the Proposed Project relative to </w:t>
      </w:r>
      <w:r w:rsidR="00B630AD" w:rsidRPr="005B1AC6">
        <w:rPr>
          <w:sz w:val="24"/>
          <w:szCs w:val="24"/>
        </w:rPr>
        <w:t xml:space="preserve">the </w:t>
      </w:r>
      <w:r w:rsidR="003E1CDA" w:rsidRPr="005B1AC6">
        <w:rPr>
          <w:sz w:val="24"/>
          <w:szCs w:val="24"/>
        </w:rPr>
        <w:t>potential alternative. As a result of information provided by the Applicant and additional analysis, staff finds the Applicant has reasonably met the standards of Factor 5</w:t>
      </w:r>
      <w:r w:rsidR="00BB4901">
        <w:rPr>
          <w:sz w:val="24"/>
          <w:szCs w:val="24"/>
        </w:rPr>
        <w:t>, with the addition of Condition 3</w:t>
      </w:r>
      <w:r w:rsidR="003E1CDA" w:rsidRPr="005B1AC6">
        <w:rPr>
          <w:sz w:val="24"/>
          <w:szCs w:val="24"/>
        </w:rPr>
        <w:t>.</w:t>
      </w:r>
    </w:p>
    <w:p w14:paraId="57F0E0A7" w14:textId="77777777" w:rsidR="001D570C" w:rsidRPr="00185FBE" w:rsidRDefault="001D570C" w:rsidP="0026036D">
      <w:pPr>
        <w:spacing w:after="0" w:line="240" w:lineRule="auto"/>
        <w:rPr>
          <w:sz w:val="24"/>
          <w:szCs w:val="24"/>
          <w:highlight w:val="yellow"/>
        </w:rPr>
      </w:pPr>
    </w:p>
    <w:p w14:paraId="28CCA38F" w14:textId="17C4E6B9" w:rsidR="008213E7" w:rsidRPr="00294D5A" w:rsidRDefault="00FA6CD1" w:rsidP="0024289A">
      <w:pPr>
        <w:pStyle w:val="Heading1"/>
      </w:pPr>
      <w:bookmarkStart w:id="24" w:name="_Toc196819118"/>
      <w:r w:rsidRPr="00294D5A">
        <w:t>Factor 6: Fulfillment of DPH Community-based Health Initiatives</w:t>
      </w:r>
      <w:bookmarkEnd w:id="24"/>
    </w:p>
    <w:p w14:paraId="232C2B85"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i/>
          <w:iCs/>
          <w:sz w:val="24"/>
          <w:szCs w:val="24"/>
        </w:rPr>
        <w:t>Summary, relevant background and context for this application:</w:t>
      </w:r>
      <w:r w:rsidRPr="0037504F">
        <w:rPr>
          <w:rFonts w:eastAsia="Times New Roman" w:cstheme="minorHAnsi"/>
          <w:sz w:val="24"/>
          <w:szCs w:val="24"/>
        </w:rPr>
        <w:t xml:space="preserve"> DPH and the Applicant agreed that BIDMC will carry out local CHIs in the satellite communities of Quincy and Plymouth. The Applicant will also contribute to the Statewide Community Health and Healthy Aging Fund. </w:t>
      </w:r>
    </w:p>
    <w:p w14:paraId="708E60C9" w14:textId="78BB9BD3"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To fulfill Factor 6 requirements, the Applicant submitted required CHI forms for both BID-Plymouth (BIDP) and BID-Milton (BIDM) since Quincy is within BIDM’s service area. The Applicant provided a CHI Narrative, Self-Assessment, 2022 Community Health Needs Assessments (CHNA) and 2023-2025 Implementation Strategies (IS), Partner Assessments and a comprehensive Community Engagement Plan. DPH also agreed that the Applicant can utilize their community engagement processes for BIDP’s and BIDM’s 2025 CHNA to simultaneously fulfill community engagement requirements for CHI project implementation. </w:t>
      </w:r>
    </w:p>
    <w:p w14:paraId="2123E633"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xml:space="preserve">The Applicant will work with their community-specific Community Benefits Advisory Committees (CBAC) to select CHI health priorities and approve implementation strategies. DPH staff have determined that if the Applicant agrees to address community conditions and root </w:t>
      </w:r>
      <w:r w:rsidRPr="0037504F">
        <w:rPr>
          <w:rFonts w:eastAsia="Times New Roman" w:cstheme="minorHAnsi"/>
          <w:sz w:val="24"/>
          <w:szCs w:val="24"/>
        </w:rPr>
        <w:lastRenderedPageBreak/>
        <w:t>causes while engaging in ongoing work with their CBACs, the CHI investment will align appropriately with the Health Priorities Guideline.  </w:t>
      </w:r>
    </w:p>
    <w:p w14:paraId="7942EAA5"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1730BE05" w14:textId="77777777" w:rsid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 xml:space="preserve">BID-Plymouth’s 2022 CHNA </w:t>
      </w:r>
      <w:r w:rsidRPr="0037504F">
        <w:rPr>
          <w:rFonts w:eastAsia="Times New Roman" w:cstheme="minorHAnsi"/>
          <w:sz w:val="24"/>
          <w:szCs w:val="24"/>
        </w:rPr>
        <w:t xml:space="preserve">assessed the communities of Duxbury, Kingston, Carver and Plymouth. </w:t>
      </w:r>
      <w:r w:rsidRPr="0037504F">
        <w:rPr>
          <w:rFonts w:eastAsia="Times New Roman" w:cstheme="minorHAnsi"/>
          <w:b/>
          <w:bCs/>
          <w:sz w:val="24"/>
          <w:szCs w:val="24"/>
        </w:rPr>
        <w:t xml:space="preserve">BID-Milton’s 2022 CHNA </w:t>
      </w:r>
      <w:r w:rsidRPr="0037504F">
        <w:rPr>
          <w:rFonts w:eastAsia="Times New Roman" w:cstheme="minorHAnsi"/>
          <w:sz w:val="24"/>
          <w:szCs w:val="24"/>
        </w:rPr>
        <w:t>assessed the communities of Quincy, Milton and Randolph. Collectively, these cities and towns reflect diverse communities in terms of demographics (e.g., race, ethnicity, and age), socioeconomics (e.g., income, education, employment) and geography (e.g., suburban and semi-rural), which influences community needs. Using a health equity framework, both CHNAs focused on better understanding the needs of underserved communities, including individuals who speak a language other than English, those who are in substance use recovery and those who experience barriers and disparities due to their race, ethnicity, gender identity, age, disability status or other personal characteristics. With a focus on community engagement, the CHNAs analyzed primary and secondary quantitative and qualitative data capturing key demographics and social determinants of health. This process included community listening sessions, a community health survey, focus groups and key informant interviews.  </w:t>
      </w:r>
    </w:p>
    <w:p w14:paraId="32FA9BEA" w14:textId="77777777" w:rsidR="0037504F" w:rsidRPr="0037504F" w:rsidRDefault="0037504F" w:rsidP="0037504F">
      <w:pPr>
        <w:spacing w:after="0" w:line="240" w:lineRule="auto"/>
        <w:textAlignment w:val="baseline"/>
        <w:rPr>
          <w:rFonts w:eastAsia="Times New Roman" w:cstheme="minorHAnsi"/>
          <w:sz w:val="24"/>
          <w:szCs w:val="24"/>
        </w:rPr>
      </w:pPr>
    </w:p>
    <w:p w14:paraId="43F685E1"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Guided by the CHNA findings, BIDP and BIDM developed 2023-2025 Implementation Strategies (IS). Both IS focus on populations of young people, low resourced populations, older adults, individuals with disabilities and racially, ethnically and linguistically diverse populations. Table X presents the community-specific and shared health priorities of Plymouth and Milton’s 2022-2025 CHNA/IS.  </w:t>
      </w:r>
    </w:p>
    <w:p w14:paraId="637AEE30"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7E10A563"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5FA5D421" w14:textId="63D08F0E"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u w:val="single"/>
        </w:rPr>
        <w:t xml:space="preserve">Table </w:t>
      </w:r>
      <w:r>
        <w:rPr>
          <w:rFonts w:eastAsia="Times New Roman" w:cstheme="minorHAnsi"/>
          <w:b/>
          <w:bCs/>
          <w:sz w:val="24"/>
          <w:szCs w:val="24"/>
          <w:u w:val="single"/>
        </w:rPr>
        <w:t>12</w:t>
      </w:r>
      <w:r w:rsidRPr="0037504F">
        <w:rPr>
          <w:rFonts w:eastAsia="Times New Roman" w:cstheme="minorHAnsi"/>
          <w:b/>
          <w:bCs/>
          <w:sz w:val="24"/>
          <w:szCs w:val="24"/>
        </w:rPr>
        <w:t>: Overview of CHNA/IS Health Priorities for BID-Plymouth &amp; BID-Milton</w:t>
      </w:r>
      <w:r w:rsidRPr="0037504F">
        <w:rPr>
          <w:rFonts w:eastAsia="Times New Roman" w:cstheme="minorHAns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3450"/>
        <w:gridCol w:w="3105"/>
      </w:tblGrid>
      <w:tr w:rsidR="0037504F" w:rsidRPr="0037504F" w14:paraId="67658061" w14:textId="77777777" w:rsidTr="00B269EB">
        <w:trPr>
          <w:cantSplit/>
          <w:trHeight w:val="420"/>
          <w:tblHeader/>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7D7EB"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lastRenderedPageBreak/>
              <w:t>Plymouth-Specific</w:t>
            </w:r>
            <w:r w:rsidRPr="0037504F">
              <w:rPr>
                <w:rFonts w:eastAsia="Times New Roman" w:cstheme="minorHAnsi"/>
                <w:sz w:val="24"/>
                <w:szCs w:val="24"/>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33BB8"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Shared</w:t>
            </w:r>
            <w:r w:rsidRPr="0037504F">
              <w:rPr>
                <w:rFonts w:eastAsia="Times New Roman" w:cstheme="minorHAnsi"/>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06EAAC"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Milton-Specific</w:t>
            </w:r>
            <w:r w:rsidRPr="0037504F">
              <w:rPr>
                <w:rFonts w:eastAsia="Times New Roman" w:cstheme="minorHAnsi"/>
                <w:sz w:val="24"/>
                <w:szCs w:val="24"/>
              </w:rPr>
              <w:t> </w:t>
            </w:r>
          </w:p>
        </w:tc>
      </w:tr>
      <w:tr w:rsidR="0037504F" w:rsidRPr="0037504F" w14:paraId="19939801" w14:textId="77777777" w:rsidTr="00B269EB">
        <w:trPr>
          <w:cantSplit/>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BFAF669" w14:textId="77777777" w:rsidR="0037504F" w:rsidRPr="0037504F" w:rsidRDefault="0037504F" w:rsidP="00D44268">
            <w:pPr>
              <w:numPr>
                <w:ilvl w:val="0"/>
                <w:numId w:val="20"/>
              </w:numPr>
              <w:spacing w:after="0" w:line="240" w:lineRule="auto"/>
              <w:textAlignment w:val="baseline"/>
              <w:rPr>
                <w:rFonts w:eastAsia="Times New Roman" w:cstheme="minorHAnsi"/>
                <w:sz w:val="24"/>
                <w:szCs w:val="24"/>
              </w:rPr>
            </w:pPr>
            <w:r w:rsidRPr="0037504F">
              <w:rPr>
                <w:rFonts w:eastAsia="Times New Roman" w:cstheme="minorHAnsi"/>
                <w:sz w:val="24"/>
                <w:szCs w:val="24"/>
              </w:rPr>
              <w:t>Workforce Shortages </w:t>
            </w:r>
          </w:p>
          <w:p w14:paraId="25CBE693" w14:textId="77777777" w:rsidR="0037504F" w:rsidRPr="0037504F" w:rsidRDefault="0037504F" w:rsidP="00D44268">
            <w:pPr>
              <w:numPr>
                <w:ilvl w:val="0"/>
                <w:numId w:val="21"/>
              </w:numPr>
              <w:spacing w:after="0" w:line="240" w:lineRule="auto"/>
              <w:textAlignment w:val="baseline"/>
              <w:rPr>
                <w:rFonts w:eastAsia="Times New Roman" w:cstheme="minorHAnsi"/>
                <w:sz w:val="24"/>
                <w:szCs w:val="24"/>
              </w:rPr>
            </w:pPr>
            <w:r w:rsidRPr="0037504F">
              <w:rPr>
                <w:rFonts w:eastAsia="Times New Roman" w:cstheme="minorHAnsi"/>
                <w:sz w:val="24"/>
                <w:szCs w:val="24"/>
              </w:rPr>
              <w:t>Digital Divide </w:t>
            </w:r>
          </w:p>
          <w:p w14:paraId="1A59535F" w14:textId="77777777" w:rsidR="0037504F" w:rsidRPr="0037504F" w:rsidRDefault="0037504F" w:rsidP="00D44268">
            <w:pPr>
              <w:numPr>
                <w:ilvl w:val="0"/>
                <w:numId w:val="22"/>
              </w:numPr>
              <w:spacing w:after="0" w:line="240" w:lineRule="auto"/>
              <w:textAlignment w:val="baseline"/>
              <w:rPr>
                <w:rFonts w:eastAsia="Times New Roman" w:cstheme="minorHAnsi"/>
                <w:sz w:val="24"/>
                <w:szCs w:val="24"/>
              </w:rPr>
            </w:pPr>
            <w:r w:rsidRPr="0037504F">
              <w:rPr>
                <w:rFonts w:eastAsia="Times New Roman" w:cstheme="minorHAnsi"/>
                <w:sz w:val="24"/>
                <w:szCs w:val="24"/>
              </w:rPr>
              <w:t>Substance Use Stigma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6FE01F4D" w14:textId="77777777" w:rsidR="0037504F" w:rsidRPr="0037504F" w:rsidRDefault="0037504F" w:rsidP="00D44268">
            <w:pPr>
              <w:numPr>
                <w:ilvl w:val="0"/>
                <w:numId w:val="23"/>
              </w:numPr>
              <w:spacing w:after="0" w:line="240" w:lineRule="auto"/>
              <w:textAlignment w:val="baseline"/>
              <w:rPr>
                <w:rFonts w:eastAsia="Times New Roman" w:cstheme="minorHAnsi"/>
                <w:sz w:val="24"/>
                <w:szCs w:val="24"/>
              </w:rPr>
            </w:pPr>
            <w:r w:rsidRPr="0037504F">
              <w:rPr>
                <w:rFonts w:eastAsia="Times New Roman" w:cstheme="minorHAnsi"/>
                <w:sz w:val="24"/>
                <w:szCs w:val="24"/>
              </w:rPr>
              <w:t>Housing </w:t>
            </w:r>
          </w:p>
          <w:p w14:paraId="041DCB3B" w14:textId="77777777" w:rsidR="0037504F" w:rsidRPr="0037504F" w:rsidRDefault="0037504F" w:rsidP="00D44268">
            <w:pPr>
              <w:numPr>
                <w:ilvl w:val="0"/>
                <w:numId w:val="24"/>
              </w:numPr>
              <w:spacing w:after="0" w:line="240" w:lineRule="auto"/>
              <w:textAlignment w:val="baseline"/>
              <w:rPr>
                <w:rFonts w:eastAsia="Times New Roman" w:cstheme="minorHAnsi"/>
                <w:sz w:val="24"/>
                <w:szCs w:val="24"/>
              </w:rPr>
            </w:pPr>
            <w:r w:rsidRPr="0037504F">
              <w:rPr>
                <w:rFonts w:eastAsia="Times New Roman" w:cstheme="minorHAnsi"/>
                <w:sz w:val="24"/>
                <w:szCs w:val="24"/>
              </w:rPr>
              <w:t>Food Insecurity </w:t>
            </w:r>
          </w:p>
          <w:p w14:paraId="060A4C76" w14:textId="77777777" w:rsidR="0037504F" w:rsidRPr="0037504F" w:rsidRDefault="0037504F" w:rsidP="00D44268">
            <w:pPr>
              <w:numPr>
                <w:ilvl w:val="0"/>
                <w:numId w:val="25"/>
              </w:numPr>
              <w:spacing w:after="0" w:line="240" w:lineRule="auto"/>
              <w:textAlignment w:val="baseline"/>
              <w:rPr>
                <w:rFonts w:eastAsia="Times New Roman" w:cstheme="minorHAnsi"/>
                <w:sz w:val="24"/>
                <w:szCs w:val="24"/>
              </w:rPr>
            </w:pPr>
            <w:r w:rsidRPr="0037504F">
              <w:rPr>
                <w:rFonts w:eastAsia="Times New Roman" w:cstheme="minorHAnsi"/>
                <w:sz w:val="24"/>
                <w:szCs w:val="24"/>
              </w:rPr>
              <w:t>Transportation </w:t>
            </w:r>
          </w:p>
          <w:p w14:paraId="5423FCEB" w14:textId="77777777" w:rsidR="0037504F" w:rsidRPr="0037504F" w:rsidRDefault="0037504F" w:rsidP="00D44268">
            <w:pPr>
              <w:numPr>
                <w:ilvl w:val="0"/>
                <w:numId w:val="26"/>
              </w:numPr>
              <w:spacing w:after="0" w:line="240" w:lineRule="auto"/>
              <w:textAlignment w:val="baseline"/>
              <w:rPr>
                <w:rFonts w:eastAsia="Times New Roman" w:cstheme="minorHAnsi"/>
                <w:sz w:val="24"/>
                <w:szCs w:val="24"/>
              </w:rPr>
            </w:pPr>
            <w:r w:rsidRPr="0037504F">
              <w:rPr>
                <w:rFonts w:eastAsia="Times New Roman" w:cstheme="minorHAnsi"/>
                <w:sz w:val="24"/>
                <w:szCs w:val="24"/>
              </w:rPr>
              <w:t>Racism &amp; Discrimination </w:t>
            </w:r>
          </w:p>
          <w:p w14:paraId="03AAAA1A" w14:textId="77777777" w:rsidR="0037504F" w:rsidRPr="0037504F" w:rsidRDefault="0037504F" w:rsidP="00D44268">
            <w:pPr>
              <w:numPr>
                <w:ilvl w:val="0"/>
                <w:numId w:val="27"/>
              </w:numPr>
              <w:spacing w:after="0" w:line="240" w:lineRule="auto"/>
              <w:textAlignment w:val="baseline"/>
              <w:rPr>
                <w:rFonts w:eastAsia="Times New Roman" w:cstheme="minorHAnsi"/>
                <w:sz w:val="24"/>
                <w:szCs w:val="24"/>
              </w:rPr>
            </w:pPr>
            <w:r w:rsidRPr="0037504F">
              <w:rPr>
                <w:rFonts w:eastAsia="Times New Roman" w:cstheme="minorHAnsi"/>
                <w:sz w:val="24"/>
                <w:szCs w:val="24"/>
              </w:rPr>
              <w:t>Cost &amp; Insurance barriers </w:t>
            </w:r>
          </w:p>
          <w:p w14:paraId="454C5C0C" w14:textId="77777777" w:rsidR="0037504F" w:rsidRPr="0037504F" w:rsidRDefault="0037504F" w:rsidP="00D44268">
            <w:pPr>
              <w:numPr>
                <w:ilvl w:val="0"/>
                <w:numId w:val="28"/>
              </w:numPr>
              <w:spacing w:after="0" w:line="240" w:lineRule="auto"/>
              <w:textAlignment w:val="baseline"/>
              <w:rPr>
                <w:rFonts w:eastAsia="Times New Roman" w:cstheme="minorHAnsi"/>
                <w:sz w:val="24"/>
                <w:szCs w:val="24"/>
              </w:rPr>
            </w:pPr>
            <w:r w:rsidRPr="0037504F">
              <w:rPr>
                <w:rFonts w:eastAsia="Times New Roman" w:cstheme="minorHAnsi"/>
                <w:sz w:val="24"/>
                <w:szCs w:val="24"/>
              </w:rPr>
              <w:t>Mental health Needs &amp; Stigma </w:t>
            </w:r>
          </w:p>
          <w:p w14:paraId="1D73FF78" w14:textId="77777777" w:rsidR="0037504F" w:rsidRPr="0037504F" w:rsidRDefault="0037504F" w:rsidP="00D44268">
            <w:pPr>
              <w:numPr>
                <w:ilvl w:val="0"/>
                <w:numId w:val="29"/>
              </w:numPr>
              <w:spacing w:after="0" w:line="240" w:lineRule="auto"/>
              <w:textAlignment w:val="baseline"/>
              <w:rPr>
                <w:rFonts w:eastAsia="Times New Roman" w:cstheme="minorHAnsi"/>
                <w:sz w:val="24"/>
                <w:szCs w:val="24"/>
              </w:rPr>
            </w:pPr>
            <w:r w:rsidRPr="0037504F">
              <w:rPr>
                <w:rFonts w:eastAsia="Times New Roman" w:cstheme="minorHAnsi"/>
                <w:sz w:val="24"/>
                <w:szCs w:val="24"/>
              </w:rPr>
              <w:t>Diversifying Provider Workforce </w:t>
            </w:r>
          </w:p>
          <w:p w14:paraId="061C6089" w14:textId="77777777" w:rsidR="0037504F" w:rsidRPr="0037504F" w:rsidRDefault="0037504F" w:rsidP="00D44268">
            <w:pPr>
              <w:numPr>
                <w:ilvl w:val="0"/>
                <w:numId w:val="30"/>
              </w:numPr>
              <w:spacing w:after="0" w:line="240" w:lineRule="auto"/>
              <w:textAlignment w:val="baseline"/>
              <w:rPr>
                <w:rFonts w:eastAsia="Times New Roman" w:cstheme="minorHAnsi"/>
                <w:sz w:val="24"/>
                <w:szCs w:val="24"/>
              </w:rPr>
            </w:pPr>
            <w:r w:rsidRPr="0037504F">
              <w:rPr>
                <w:rFonts w:eastAsia="Times New Roman" w:cstheme="minorHAnsi"/>
                <w:sz w:val="24"/>
                <w:szCs w:val="24"/>
              </w:rPr>
              <w:t>Culturally Responsive Health/Community Services </w:t>
            </w:r>
          </w:p>
          <w:p w14:paraId="09B01541" w14:textId="77777777" w:rsidR="0037504F" w:rsidRPr="0037504F" w:rsidRDefault="0037504F" w:rsidP="00D44268">
            <w:pPr>
              <w:numPr>
                <w:ilvl w:val="0"/>
                <w:numId w:val="31"/>
              </w:numPr>
              <w:spacing w:after="0" w:line="240" w:lineRule="auto"/>
              <w:textAlignment w:val="baseline"/>
              <w:rPr>
                <w:rFonts w:eastAsia="Times New Roman" w:cstheme="minorHAnsi"/>
                <w:sz w:val="24"/>
                <w:szCs w:val="24"/>
              </w:rPr>
            </w:pPr>
            <w:r w:rsidRPr="0037504F">
              <w:rPr>
                <w:rFonts w:eastAsia="Times New Roman" w:cstheme="minorHAnsi"/>
                <w:sz w:val="24"/>
                <w:szCs w:val="24"/>
              </w:rPr>
              <w:t>Treatment Programs for Co-occurring Substance Use/Mental Health Needs </w:t>
            </w:r>
          </w:p>
          <w:p w14:paraId="432C1BE8" w14:textId="77777777" w:rsidR="0037504F" w:rsidRPr="0037504F" w:rsidRDefault="0037504F" w:rsidP="00D44268">
            <w:pPr>
              <w:numPr>
                <w:ilvl w:val="0"/>
                <w:numId w:val="32"/>
              </w:numPr>
              <w:spacing w:after="0" w:line="240" w:lineRule="auto"/>
              <w:textAlignment w:val="baseline"/>
              <w:rPr>
                <w:rFonts w:eastAsia="Times New Roman" w:cstheme="minorHAnsi"/>
                <w:sz w:val="24"/>
                <w:szCs w:val="24"/>
              </w:rPr>
            </w:pPr>
            <w:r w:rsidRPr="0037504F">
              <w:rPr>
                <w:rFonts w:eastAsia="Times New Roman" w:cstheme="minorHAnsi"/>
                <w:sz w:val="24"/>
                <w:szCs w:val="24"/>
              </w:rPr>
              <w:t>Language Access </w:t>
            </w:r>
          </w:p>
          <w:p w14:paraId="0E375D17" w14:textId="77777777" w:rsidR="0037504F" w:rsidRPr="0037504F" w:rsidRDefault="0037504F" w:rsidP="00D44268">
            <w:pPr>
              <w:numPr>
                <w:ilvl w:val="0"/>
                <w:numId w:val="33"/>
              </w:numPr>
              <w:spacing w:after="0" w:line="240" w:lineRule="auto"/>
              <w:textAlignment w:val="baseline"/>
              <w:rPr>
                <w:rFonts w:eastAsia="Times New Roman" w:cstheme="minorHAnsi"/>
                <w:sz w:val="24"/>
                <w:szCs w:val="24"/>
              </w:rPr>
            </w:pPr>
            <w:r w:rsidRPr="0037504F">
              <w:rPr>
                <w:rFonts w:eastAsia="Times New Roman" w:cstheme="minorHAnsi"/>
                <w:sz w:val="24"/>
                <w:szCs w:val="24"/>
              </w:rPr>
              <w:t>Navigating Healthcare System </w:t>
            </w:r>
          </w:p>
          <w:p w14:paraId="7CFAEB9B"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12D989D" w14:textId="77777777" w:rsidR="0037504F" w:rsidRPr="0037504F" w:rsidRDefault="0037504F" w:rsidP="00D44268">
            <w:pPr>
              <w:numPr>
                <w:ilvl w:val="0"/>
                <w:numId w:val="34"/>
              </w:numPr>
              <w:spacing w:after="0" w:line="240" w:lineRule="auto"/>
              <w:textAlignment w:val="baseline"/>
              <w:rPr>
                <w:rFonts w:eastAsia="Times New Roman" w:cstheme="minorHAnsi"/>
                <w:sz w:val="24"/>
                <w:szCs w:val="24"/>
              </w:rPr>
            </w:pPr>
            <w:r w:rsidRPr="0037504F">
              <w:rPr>
                <w:rFonts w:eastAsia="Times New Roman" w:cstheme="minorHAnsi"/>
                <w:sz w:val="24"/>
                <w:szCs w:val="24"/>
              </w:rPr>
              <w:t>Economic Insecurity </w:t>
            </w:r>
          </w:p>
          <w:p w14:paraId="0D4489E4" w14:textId="77777777" w:rsidR="0037504F" w:rsidRPr="0037504F" w:rsidRDefault="0037504F" w:rsidP="00D44268">
            <w:pPr>
              <w:numPr>
                <w:ilvl w:val="0"/>
                <w:numId w:val="35"/>
              </w:numPr>
              <w:spacing w:after="0" w:line="240" w:lineRule="auto"/>
              <w:textAlignment w:val="baseline"/>
              <w:rPr>
                <w:rFonts w:eastAsia="Times New Roman" w:cstheme="minorHAnsi"/>
                <w:sz w:val="24"/>
                <w:szCs w:val="24"/>
              </w:rPr>
            </w:pPr>
            <w:r w:rsidRPr="0037504F">
              <w:rPr>
                <w:rFonts w:eastAsia="Times New Roman" w:cstheme="minorHAnsi"/>
                <w:sz w:val="24"/>
                <w:szCs w:val="24"/>
              </w:rPr>
              <w:t>Navigating SDOH Resources &amp; Barriers </w:t>
            </w:r>
          </w:p>
          <w:p w14:paraId="196AB4EA" w14:textId="77777777" w:rsidR="0037504F" w:rsidRPr="0037504F" w:rsidRDefault="0037504F" w:rsidP="00D44268">
            <w:pPr>
              <w:numPr>
                <w:ilvl w:val="0"/>
                <w:numId w:val="36"/>
              </w:numPr>
              <w:spacing w:after="0" w:line="240" w:lineRule="auto"/>
              <w:textAlignment w:val="baseline"/>
              <w:rPr>
                <w:rFonts w:eastAsia="Times New Roman" w:cstheme="minorHAnsi"/>
                <w:sz w:val="24"/>
                <w:szCs w:val="24"/>
              </w:rPr>
            </w:pPr>
            <w:r w:rsidRPr="0037504F">
              <w:rPr>
                <w:rFonts w:eastAsia="Times New Roman" w:cstheme="minorHAnsi"/>
                <w:sz w:val="24"/>
                <w:szCs w:val="24"/>
              </w:rPr>
              <w:t>Building Workforce Capacity </w:t>
            </w:r>
          </w:p>
          <w:p w14:paraId="2DAB3A9E" w14:textId="77777777" w:rsidR="0037504F" w:rsidRPr="0037504F" w:rsidRDefault="0037504F" w:rsidP="00D44268">
            <w:pPr>
              <w:numPr>
                <w:ilvl w:val="0"/>
                <w:numId w:val="37"/>
              </w:numPr>
              <w:spacing w:after="0" w:line="240" w:lineRule="auto"/>
              <w:textAlignment w:val="baseline"/>
              <w:rPr>
                <w:rFonts w:eastAsia="Times New Roman" w:cstheme="minorHAnsi"/>
                <w:sz w:val="24"/>
                <w:szCs w:val="24"/>
              </w:rPr>
            </w:pPr>
            <w:r w:rsidRPr="0037504F">
              <w:rPr>
                <w:rFonts w:eastAsia="Times New Roman" w:cstheme="minorHAnsi"/>
                <w:sz w:val="24"/>
                <w:szCs w:val="24"/>
              </w:rPr>
              <w:t>Sharing Information/Resources </w:t>
            </w:r>
          </w:p>
          <w:p w14:paraId="1CF48F6D" w14:textId="77777777" w:rsidR="0037504F" w:rsidRPr="0037504F" w:rsidRDefault="0037504F" w:rsidP="00D44268">
            <w:pPr>
              <w:numPr>
                <w:ilvl w:val="0"/>
                <w:numId w:val="38"/>
              </w:numPr>
              <w:spacing w:after="0" w:line="240" w:lineRule="auto"/>
              <w:textAlignment w:val="baseline"/>
              <w:rPr>
                <w:rFonts w:eastAsia="Times New Roman" w:cstheme="minorHAnsi"/>
                <w:sz w:val="24"/>
                <w:szCs w:val="24"/>
              </w:rPr>
            </w:pPr>
            <w:r w:rsidRPr="0037504F">
              <w:rPr>
                <w:rFonts w:eastAsia="Times New Roman" w:cstheme="minorHAnsi"/>
                <w:sz w:val="24"/>
                <w:szCs w:val="24"/>
              </w:rPr>
              <w:t>Targeted Outreach &amp; Engagement in DEI Issues </w:t>
            </w:r>
          </w:p>
          <w:p w14:paraId="6D2EFBC5" w14:textId="77777777" w:rsidR="0037504F" w:rsidRPr="0037504F" w:rsidRDefault="0037504F" w:rsidP="00D44268">
            <w:pPr>
              <w:numPr>
                <w:ilvl w:val="0"/>
                <w:numId w:val="39"/>
              </w:numPr>
              <w:spacing w:after="0" w:line="240" w:lineRule="auto"/>
              <w:textAlignment w:val="baseline"/>
              <w:rPr>
                <w:rFonts w:eastAsia="Times New Roman" w:cstheme="minorHAnsi"/>
                <w:sz w:val="24"/>
                <w:szCs w:val="24"/>
              </w:rPr>
            </w:pPr>
            <w:r w:rsidRPr="0037504F">
              <w:rPr>
                <w:rFonts w:eastAsia="Times New Roman" w:cstheme="minorHAnsi"/>
                <w:sz w:val="24"/>
                <w:szCs w:val="24"/>
              </w:rPr>
              <w:t>Lack of DEI Education </w:t>
            </w:r>
          </w:p>
          <w:p w14:paraId="3E7DB718" w14:textId="77777777" w:rsidR="0037504F" w:rsidRPr="0037504F" w:rsidRDefault="0037504F" w:rsidP="00D44268">
            <w:pPr>
              <w:numPr>
                <w:ilvl w:val="0"/>
                <w:numId w:val="40"/>
              </w:numPr>
              <w:spacing w:after="0" w:line="240" w:lineRule="auto"/>
              <w:textAlignment w:val="baseline"/>
              <w:rPr>
                <w:rFonts w:eastAsia="Times New Roman" w:cstheme="minorHAnsi"/>
                <w:sz w:val="24"/>
                <w:szCs w:val="24"/>
              </w:rPr>
            </w:pPr>
            <w:r w:rsidRPr="0037504F">
              <w:rPr>
                <w:rFonts w:eastAsia="Times New Roman" w:cstheme="minorHAnsi"/>
                <w:sz w:val="24"/>
                <w:szCs w:val="24"/>
              </w:rPr>
              <w:t>Diversifying Leadership </w:t>
            </w:r>
          </w:p>
          <w:p w14:paraId="77E5D760" w14:textId="77777777" w:rsidR="0037504F" w:rsidRPr="0037504F" w:rsidRDefault="0037504F" w:rsidP="00D44268">
            <w:pPr>
              <w:numPr>
                <w:ilvl w:val="0"/>
                <w:numId w:val="41"/>
              </w:numPr>
              <w:spacing w:after="0" w:line="240" w:lineRule="auto"/>
              <w:textAlignment w:val="baseline"/>
              <w:rPr>
                <w:rFonts w:eastAsia="Times New Roman" w:cstheme="minorHAnsi"/>
                <w:sz w:val="24"/>
                <w:szCs w:val="24"/>
              </w:rPr>
            </w:pPr>
            <w:r w:rsidRPr="0037504F">
              <w:rPr>
                <w:rFonts w:eastAsia="Times New Roman" w:cstheme="minorHAnsi"/>
                <w:sz w:val="24"/>
                <w:szCs w:val="24"/>
              </w:rPr>
              <w:t>Community Engagement &amp; Prevention </w:t>
            </w:r>
          </w:p>
          <w:p w14:paraId="47847EE7" w14:textId="77777777" w:rsidR="0037504F" w:rsidRPr="0037504F" w:rsidRDefault="0037504F" w:rsidP="00D44268">
            <w:pPr>
              <w:numPr>
                <w:ilvl w:val="0"/>
                <w:numId w:val="42"/>
              </w:numPr>
              <w:spacing w:after="0" w:line="240" w:lineRule="auto"/>
              <w:textAlignment w:val="baseline"/>
              <w:rPr>
                <w:rFonts w:eastAsia="Times New Roman" w:cstheme="minorHAnsi"/>
                <w:sz w:val="24"/>
                <w:szCs w:val="24"/>
              </w:rPr>
            </w:pPr>
            <w:r w:rsidRPr="0037504F">
              <w:rPr>
                <w:rFonts w:eastAsia="Times New Roman" w:cstheme="minorHAnsi"/>
                <w:sz w:val="24"/>
                <w:szCs w:val="24"/>
              </w:rPr>
              <w:t>Caregiver support </w:t>
            </w:r>
          </w:p>
          <w:p w14:paraId="410535AA"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7FE89B1D"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tc>
      </w:tr>
    </w:tbl>
    <w:p w14:paraId="4E3B2A91"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4EDCCC19" w14:textId="77777777" w:rsid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Using the existing CHNA/IS and the upcoming 2025 CHNA findings, the Applicant will engage its Milton and Plymouth CBACs to select CHI health priorities and identify implementation strategies for the funds associated with this proposed project. </w:t>
      </w:r>
    </w:p>
    <w:p w14:paraId="331F4CC7" w14:textId="77777777" w:rsidR="0037504F" w:rsidRPr="0037504F" w:rsidRDefault="0037504F" w:rsidP="0037504F">
      <w:pPr>
        <w:spacing w:after="0" w:line="240" w:lineRule="auto"/>
        <w:textAlignment w:val="baseline"/>
        <w:rPr>
          <w:rFonts w:eastAsia="Times New Roman" w:cstheme="minorHAnsi"/>
          <w:sz w:val="24"/>
          <w:szCs w:val="24"/>
        </w:rPr>
      </w:pPr>
    </w:p>
    <w:p w14:paraId="078EC99B"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 xml:space="preserve">The Self-Assessment and Community Engagement Plan </w:t>
      </w:r>
      <w:r w:rsidRPr="0037504F">
        <w:rPr>
          <w:rFonts w:eastAsia="Times New Roman" w:cstheme="minorHAnsi"/>
          <w:sz w:val="24"/>
          <w:szCs w:val="24"/>
        </w:rPr>
        <w:t>provided a summary of comprehensive community engagement processes and socio-demographic information, data and highlights related to topics and themes of community needs related to BIDP and BIDM’s existing CHNA/IS and upcoming 2025 CHNA. Through primary data collection such as community listening sessions, a community health survey, focus groups, key informant interviews and data analysis, the Applicant and participating community partners identified the key needs outlined in the CHNA/IS. </w:t>
      </w:r>
    </w:p>
    <w:p w14:paraId="0BD8EFB7"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1C70FFFF" w14:textId="6A36482E"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Partner Assessments</w:t>
      </w:r>
      <w:r w:rsidRPr="0037504F">
        <w:rPr>
          <w:rFonts w:eastAsia="Times New Roman" w:cstheme="minorHAnsi"/>
          <w:sz w:val="24"/>
          <w:szCs w:val="24"/>
        </w:rPr>
        <w:t xml:space="preserve"> (formally known as Stakeholder Assessments) submitted from Plymouth’s and Milton’s CBACs provided information on the individuals’ engagement levels (e.g. their personal participation and role) and their analysis of how the Applicant engaged the community in community health improvement planning processes. The information provided in these forms </w:t>
      </w:r>
      <w:r w:rsidR="00042EC8" w:rsidRPr="0037504F">
        <w:rPr>
          <w:rFonts w:eastAsia="Times New Roman" w:cstheme="minorHAnsi"/>
          <w:sz w:val="24"/>
          <w:szCs w:val="24"/>
        </w:rPr>
        <w:t>was</w:t>
      </w:r>
      <w:r w:rsidRPr="0037504F">
        <w:rPr>
          <w:rFonts w:eastAsia="Times New Roman" w:cstheme="minorHAnsi"/>
          <w:sz w:val="24"/>
          <w:szCs w:val="24"/>
        </w:rPr>
        <w:t xml:space="preserve"> largely consistent with the self-assessment conducted by the Applicant. </w:t>
      </w:r>
    </w:p>
    <w:p w14:paraId="36199C2D"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0F892937"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b/>
          <w:bCs/>
          <w:sz w:val="24"/>
          <w:szCs w:val="24"/>
        </w:rPr>
        <w:t>The CHI Narrative</w:t>
      </w:r>
      <w:r w:rsidRPr="0037504F">
        <w:rPr>
          <w:rFonts w:eastAsia="Times New Roman" w:cstheme="minorHAnsi"/>
          <w:sz w:val="24"/>
          <w:szCs w:val="24"/>
        </w:rPr>
        <w:t xml:space="preserve"> provided background and overview information for the CHI processes, noting that the total local CHI contribution will be split between BIDP and BIDM. The Applicant provided a supplemental narrative that detailed how the contribution percentages will coincide with the total capital expenditure amount for each project. This means 41.5% of the local CHI </w:t>
      </w:r>
      <w:r w:rsidRPr="0037504F">
        <w:rPr>
          <w:rFonts w:eastAsia="Times New Roman" w:cstheme="minorHAnsi"/>
          <w:sz w:val="24"/>
          <w:szCs w:val="24"/>
        </w:rPr>
        <w:lastRenderedPageBreak/>
        <w:t>funds will go to BIDP and the remaining 58.5% will go to BIDM. The CHI narrative also included the anticipated timeline for CHI activities, advisory duties for both Plymouth and Milton’s CBACs, and planned use of funding for evaluation and administrative activities.  </w:t>
      </w:r>
    </w:p>
    <w:p w14:paraId="1BFEE5AB"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p>
    <w:p w14:paraId="1CBD9DED" w14:textId="77777777" w:rsidR="0037504F" w:rsidRPr="0037504F" w:rsidRDefault="0037504F" w:rsidP="0037504F">
      <w:pPr>
        <w:spacing w:after="0" w:line="240" w:lineRule="auto"/>
        <w:textAlignment w:val="baseline"/>
        <w:rPr>
          <w:rFonts w:eastAsia="Times New Roman" w:cstheme="minorHAnsi"/>
          <w:sz w:val="24"/>
          <w:szCs w:val="24"/>
        </w:rPr>
      </w:pPr>
      <w:r w:rsidRPr="0037504F">
        <w:rPr>
          <w:rFonts w:eastAsia="Times New Roman" w:cstheme="minorHAnsi"/>
          <w:sz w:val="24"/>
          <w:szCs w:val="24"/>
        </w:rPr>
        <w:t>For a Tier 3 CHI project such as this one, the Applicant may retain up to 2% of the total CHI amount for administrative costs. The Applicant plans to also split the administrative funds between BIDP and BIDM and use the administrative dollars to address community engagement barriers (e.g., childcare), develop the request for proposals (RFP), advertise grant opportunities, provide translation and interpretation, and other needs. The timeline, multi-year funding RFP processes, and use of evaluation and administrative funds are all appropriate and in line with CHI planning guidelines. </w:t>
      </w:r>
    </w:p>
    <w:p w14:paraId="625B0F1E" w14:textId="3651EB70" w:rsidR="00367D7C" w:rsidRPr="00367D7C" w:rsidRDefault="0037504F" w:rsidP="00367D7C">
      <w:pPr>
        <w:spacing w:after="0" w:line="240" w:lineRule="auto"/>
        <w:textAlignment w:val="baseline"/>
        <w:rPr>
          <w:rFonts w:eastAsia="Times New Roman" w:cstheme="minorHAnsi"/>
          <w:sz w:val="24"/>
          <w:szCs w:val="24"/>
        </w:rPr>
      </w:pPr>
      <w:r w:rsidRPr="0037504F">
        <w:rPr>
          <w:rFonts w:eastAsia="Times New Roman" w:cstheme="minorHAnsi"/>
          <w:sz w:val="24"/>
          <w:szCs w:val="24"/>
        </w:rPr>
        <w:t> </w:t>
      </w:r>
      <w:r w:rsidR="00367D7C" w:rsidRPr="00367D7C">
        <w:rPr>
          <w:rFonts w:eastAsia="Times New Roman" w:cstheme="minorHAnsi"/>
          <w:color w:val="000000"/>
          <w:sz w:val="24"/>
          <w:szCs w:val="24"/>
        </w:rPr>
        <w:t> </w:t>
      </w:r>
    </w:p>
    <w:p w14:paraId="45DD3B62" w14:textId="77777777" w:rsidR="00367D7C" w:rsidRDefault="00367D7C" w:rsidP="00367D7C">
      <w:pPr>
        <w:spacing w:after="0" w:line="240" w:lineRule="auto"/>
        <w:textAlignment w:val="baseline"/>
        <w:rPr>
          <w:rFonts w:eastAsia="Times New Roman" w:cstheme="minorHAnsi"/>
          <w:color w:val="000000"/>
          <w:sz w:val="24"/>
          <w:szCs w:val="24"/>
        </w:rPr>
      </w:pPr>
      <w:r w:rsidRPr="00367D7C">
        <w:rPr>
          <w:rFonts w:eastAsia="Times New Roman" w:cstheme="minorHAnsi"/>
          <w:b/>
          <w:bCs/>
          <w:i/>
          <w:iCs/>
          <w:color w:val="000000"/>
          <w:sz w:val="24"/>
          <w:szCs w:val="24"/>
        </w:rPr>
        <w:t>Analysis</w:t>
      </w:r>
      <w:r w:rsidRPr="00367D7C">
        <w:rPr>
          <w:rFonts w:eastAsia="Times New Roman" w:cstheme="minorHAnsi"/>
          <w:color w:val="000000"/>
          <w:sz w:val="24"/>
          <w:szCs w:val="24"/>
        </w:rPr>
        <w:t xml:space="preserve"> </w:t>
      </w:r>
    </w:p>
    <w:p w14:paraId="5A5FDAA6" w14:textId="7E3B5949" w:rsidR="00367D7C" w:rsidRPr="00367D7C" w:rsidRDefault="00367D7C" w:rsidP="00367D7C">
      <w:pPr>
        <w:spacing w:after="0" w:line="240" w:lineRule="auto"/>
        <w:textAlignment w:val="baseline"/>
        <w:rPr>
          <w:rFonts w:eastAsia="Times New Roman" w:cstheme="minorHAnsi"/>
          <w:sz w:val="24"/>
          <w:szCs w:val="24"/>
        </w:rPr>
      </w:pPr>
      <w:r w:rsidRPr="00367D7C">
        <w:rPr>
          <w:rFonts w:eastAsia="Times New Roman" w:cstheme="minorHAnsi"/>
          <w:color w:val="000000"/>
          <w:sz w:val="24"/>
          <w:szCs w:val="24"/>
        </w:rPr>
        <w:t>As a result of information provided by the Applicant and additional analysis, staff finds that with the conditions outlined below, and the ongoing communication on items for improvement outlined above, the Applicant will have demonstrated that the Proposed Project has met Factor 6.    </w:t>
      </w:r>
    </w:p>
    <w:p w14:paraId="054EC057" w14:textId="77777777" w:rsidR="000E3CCB" w:rsidRPr="00294D5A" w:rsidRDefault="000E3CCB" w:rsidP="00FA74CC">
      <w:pPr>
        <w:spacing w:after="0" w:line="240" w:lineRule="auto"/>
        <w:ind w:right="540"/>
        <w:rPr>
          <w:rFonts w:ascii="Calibri" w:eastAsia="Times New Roman" w:hAnsi="Calibri" w:cs="Times New Roman"/>
          <w:b/>
          <w:bCs/>
          <w:i/>
          <w:iCs/>
          <w:color w:val="000000"/>
          <w:sz w:val="24"/>
          <w:szCs w:val="24"/>
        </w:rPr>
      </w:pPr>
    </w:p>
    <w:p w14:paraId="36ACF3A1" w14:textId="10DCD567" w:rsidR="003E1CDA" w:rsidRPr="00185FBE" w:rsidRDefault="006578AD" w:rsidP="0024289A">
      <w:pPr>
        <w:pStyle w:val="Heading1"/>
        <w:rPr>
          <w:highlight w:val="yellow"/>
        </w:rPr>
      </w:pPr>
      <w:bookmarkStart w:id="25" w:name="_Toc196819119"/>
      <w:r w:rsidRPr="00294D5A">
        <w:t xml:space="preserve">Overall </w:t>
      </w:r>
      <w:r w:rsidR="003E1CDA" w:rsidRPr="00DE135C">
        <w:t>Findings and Recommendations</w:t>
      </w:r>
      <w:bookmarkEnd w:id="25"/>
      <w:r w:rsidR="003E1CDA" w:rsidRPr="00DE135C">
        <w:t xml:space="preserve"> </w:t>
      </w:r>
    </w:p>
    <w:p w14:paraId="6809D2AC" w14:textId="704A3B3F" w:rsidR="005F2DE7" w:rsidRPr="0072482C" w:rsidRDefault="003E1CDA" w:rsidP="0072482C">
      <w:pPr>
        <w:spacing w:after="0" w:line="240" w:lineRule="auto"/>
        <w:rPr>
          <w:sz w:val="24"/>
          <w:szCs w:val="24"/>
        </w:rPr>
      </w:pPr>
      <w:r w:rsidRPr="00DE135C">
        <w:rPr>
          <w:sz w:val="24"/>
          <w:szCs w:val="24"/>
        </w:rPr>
        <w:t xml:space="preserve">Based upon a review of the materials submitted, Staff finds that, with the addition of the recommended conditions detailed below, the Applicant has met each DoN Factor for the Proposed </w:t>
      </w:r>
      <w:r w:rsidR="003D35D8" w:rsidRPr="00DE135C">
        <w:rPr>
          <w:sz w:val="24"/>
          <w:szCs w:val="24"/>
        </w:rPr>
        <w:t>Project and</w:t>
      </w:r>
      <w:r w:rsidRPr="00DE135C">
        <w:rPr>
          <w:sz w:val="24"/>
          <w:szCs w:val="24"/>
        </w:rPr>
        <w:t xml:space="preserve"> recommends that the Department approve this Determination of Need, subject to all applicable standard and Other Conditions. </w:t>
      </w:r>
    </w:p>
    <w:p w14:paraId="4264FCD5" w14:textId="256DC7EE" w:rsidR="0088016D" w:rsidRPr="0064452A" w:rsidRDefault="00B00300" w:rsidP="0088016D">
      <w:pPr>
        <w:pStyle w:val="Heading1"/>
      </w:pPr>
      <w:bookmarkStart w:id="26" w:name="_Toc196819120"/>
      <w:r w:rsidRPr="0064452A">
        <w:t xml:space="preserve">Other </w:t>
      </w:r>
      <w:r w:rsidR="00FA6CD1" w:rsidRPr="0064452A">
        <w:t>Conditions to the DoN</w:t>
      </w:r>
      <w:bookmarkEnd w:id="26"/>
    </w:p>
    <w:p w14:paraId="5EB14D8C" w14:textId="77777777" w:rsidR="007B7D30" w:rsidRPr="00091D1E" w:rsidRDefault="0064452A" w:rsidP="00D44268">
      <w:pPr>
        <w:pStyle w:val="paragraph"/>
        <w:numPr>
          <w:ilvl w:val="0"/>
          <w:numId w:val="15"/>
        </w:numPr>
        <w:spacing w:before="0" w:beforeAutospacing="0" w:after="0" w:afterAutospacing="0"/>
        <w:ind w:left="1080" w:firstLine="0"/>
        <w:textAlignment w:val="baseline"/>
        <w:rPr>
          <w:rFonts w:ascii="Calibri" w:hAnsi="Calibri" w:cs="Calibri"/>
        </w:rPr>
      </w:pPr>
      <w:r w:rsidRPr="0064452A">
        <w:rPr>
          <w:rFonts w:ascii="Calibri" w:hAnsi="Calibri"/>
          <w:color w:val="000000"/>
        </w:rPr>
        <w:t> </w:t>
      </w:r>
      <w:r w:rsidR="007B7D30" w:rsidRPr="00091D1E">
        <w:rPr>
          <w:rStyle w:val="normaltextrun"/>
          <w:rFonts w:ascii="Calibri" w:hAnsi="Calibri" w:cs="Calibri"/>
          <w:color w:val="000000"/>
        </w:rPr>
        <w:t>Of the total required CHI contribution of $5,850,303.50</w:t>
      </w:r>
      <w:r w:rsidR="007B7D30" w:rsidRPr="00091D1E">
        <w:rPr>
          <w:rStyle w:val="eop"/>
          <w:rFonts w:ascii="Calibri" w:hAnsi="Calibri" w:cs="Calibri"/>
          <w:color w:val="000000"/>
        </w:rPr>
        <w:t> </w:t>
      </w:r>
    </w:p>
    <w:p w14:paraId="548F83F8" w14:textId="77777777" w:rsidR="00F72B94" w:rsidRPr="00091D1E" w:rsidRDefault="00F72B94" w:rsidP="00D44268">
      <w:pPr>
        <w:pStyle w:val="paragraph"/>
        <w:numPr>
          <w:ilvl w:val="0"/>
          <w:numId w:val="16"/>
        </w:numPr>
        <w:tabs>
          <w:tab w:val="left" w:pos="1890"/>
        </w:tabs>
        <w:spacing w:before="0" w:beforeAutospacing="0" w:after="0" w:afterAutospacing="0"/>
        <w:ind w:left="1890" w:firstLine="0"/>
        <w:textAlignment w:val="baseline"/>
        <w:rPr>
          <w:rFonts w:ascii="Calibri" w:hAnsi="Calibri" w:cs="Calibri"/>
        </w:rPr>
      </w:pPr>
      <w:r w:rsidRPr="00091D1E">
        <w:rPr>
          <w:rStyle w:val="normaltextrun"/>
          <w:rFonts w:ascii="Calibri" w:hAnsi="Calibri" w:cs="Calibri"/>
          <w:color w:val="000000"/>
        </w:rPr>
        <w:t>$1,433,324.36 will be directed to the CHI Statewide Initiative.</w:t>
      </w:r>
      <w:r w:rsidRPr="00091D1E">
        <w:rPr>
          <w:rStyle w:val="eop"/>
          <w:rFonts w:ascii="Calibri" w:hAnsi="Calibri" w:cs="Calibri"/>
          <w:color w:val="000000"/>
        </w:rPr>
        <w:t> </w:t>
      </w:r>
    </w:p>
    <w:p w14:paraId="20C694DE" w14:textId="77777777" w:rsidR="00F72B94" w:rsidRPr="00091D1E" w:rsidRDefault="00F72B94" w:rsidP="00D44268">
      <w:pPr>
        <w:pStyle w:val="paragraph"/>
        <w:numPr>
          <w:ilvl w:val="0"/>
          <w:numId w:val="17"/>
        </w:numPr>
        <w:tabs>
          <w:tab w:val="left" w:pos="1890"/>
        </w:tabs>
        <w:spacing w:before="0" w:beforeAutospacing="0" w:after="0" w:afterAutospacing="0"/>
        <w:ind w:left="1890" w:firstLine="0"/>
        <w:textAlignment w:val="baseline"/>
        <w:rPr>
          <w:rFonts w:ascii="Calibri" w:hAnsi="Calibri" w:cs="Calibri"/>
        </w:rPr>
      </w:pPr>
      <w:r w:rsidRPr="00091D1E">
        <w:rPr>
          <w:rStyle w:val="normaltextrun"/>
          <w:rFonts w:ascii="Calibri" w:hAnsi="Calibri" w:cs="Calibri"/>
          <w:color w:val="000000"/>
        </w:rPr>
        <w:t>$3,869,975.76 will be dedicated to local approaches to the DoN Health Priorities.  </w:t>
      </w:r>
      <w:r w:rsidRPr="00091D1E">
        <w:rPr>
          <w:rStyle w:val="eop"/>
          <w:rFonts w:ascii="Calibri" w:hAnsi="Calibri" w:cs="Calibri"/>
          <w:color w:val="000000"/>
        </w:rPr>
        <w:t> </w:t>
      </w:r>
    </w:p>
    <w:p w14:paraId="38A6E420" w14:textId="6472A0C6" w:rsidR="0064452A" w:rsidRPr="0072482C" w:rsidRDefault="00F72B94" w:rsidP="00D44268">
      <w:pPr>
        <w:pStyle w:val="paragraph"/>
        <w:numPr>
          <w:ilvl w:val="0"/>
          <w:numId w:val="18"/>
        </w:numPr>
        <w:tabs>
          <w:tab w:val="left" w:pos="1890"/>
        </w:tabs>
        <w:spacing w:before="0" w:beforeAutospacing="0" w:after="0" w:afterAutospacing="0"/>
        <w:ind w:left="1890" w:firstLine="0"/>
        <w:textAlignment w:val="baseline"/>
        <w:rPr>
          <w:rFonts w:ascii="Calibri" w:hAnsi="Calibri" w:cs="Calibri"/>
        </w:rPr>
      </w:pPr>
      <w:r w:rsidRPr="00091D1E">
        <w:rPr>
          <w:rStyle w:val="normaltextrun"/>
          <w:rFonts w:ascii="Calibri" w:hAnsi="Calibri" w:cs="Calibri"/>
          <w:color w:val="000000"/>
        </w:rPr>
        <w:t>$117,006.07 will be designated as the administrative fee. </w:t>
      </w:r>
      <w:r w:rsidRPr="00091D1E">
        <w:rPr>
          <w:rStyle w:val="eop"/>
          <w:rFonts w:ascii="Calibri" w:hAnsi="Calibri" w:cs="Calibri"/>
          <w:color w:val="000000"/>
        </w:rPr>
        <w:t> </w:t>
      </w:r>
    </w:p>
    <w:p w14:paraId="758A77F6" w14:textId="77777777" w:rsidR="0064452A" w:rsidRPr="0064452A" w:rsidRDefault="0064452A" w:rsidP="00D44268">
      <w:pPr>
        <w:pStyle w:val="paragraph"/>
        <w:numPr>
          <w:ilvl w:val="0"/>
          <w:numId w:val="15"/>
        </w:numPr>
        <w:spacing w:before="0" w:beforeAutospacing="0" w:after="0" w:afterAutospacing="0"/>
        <w:ind w:left="1080" w:firstLine="0"/>
        <w:textAlignment w:val="baseline"/>
        <w:rPr>
          <w:rStyle w:val="normaltextrun"/>
          <w:rFonts w:asciiTheme="minorHAnsi" w:hAnsiTheme="minorHAnsi" w:cstheme="minorHAnsi"/>
        </w:rPr>
      </w:pPr>
      <w:r w:rsidRPr="0064452A">
        <w:rPr>
          <w:rStyle w:val="normaltextrun"/>
          <w:rFonts w:asciiTheme="minorHAnsi" w:hAnsiTheme="minorHAnsi" w:cstheme="minorHAnsi"/>
        </w:rPr>
        <w:t>To comply with the Holder’s obligation to contribute to the CHI Statewide Initiative, the Holder must submit a check for $1,433,324.36 to Health Resources in Action (the fiscal agent for the CHI Statewide Initiative) within 30 days from the date of the Notice of Approval.   </w:t>
      </w:r>
    </w:p>
    <w:p w14:paraId="5C291E7D" w14:textId="5E20A484" w:rsidR="0064452A" w:rsidRPr="0064452A" w:rsidRDefault="0064452A" w:rsidP="00D44268">
      <w:pPr>
        <w:pStyle w:val="paragraph"/>
        <w:numPr>
          <w:ilvl w:val="2"/>
          <w:numId w:val="15"/>
        </w:numPr>
        <w:spacing w:before="0" w:beforeAutospacing="0" w:after="0" w:afterAutospacing="0"/>
        <w:textAlignment w:val="baseline"/>
        <w:rPr>
          <w:rFonts w:asciiTheme="minorHAnsi" w:hAnsiTheme="minorHAnsi" w:cstheme="minorHAnsi"/>
          <w:color w:val="000000"/>
        </w:rPr>
      </w:pPr>
      <w:r w:rsidRPr="0064452A">
        <w:rPr>
          <w:rStyle w:val="normaltextrun"/>
          <w:rFonts w:asciiTheme="minorHAnsi" w:hAnsiTheme="minorHAnsi" w:cstheme="minorHAnsi"/>
        </w:rPr>
        <w:t>Payments should be made out to: </w:t>
      </w:r>
    </w:p>
    <w:p w14:paraId="1C4DBD6C" w14:textId="77777777" w:rsidR="00081E06" w:rsidRPr="00091D1E" w:rsidRDefault="0064452A" w:rsidP="00081E06">
      <w:pPr>
        <w:pStyle w:val="paragraph"/>
        <w:spacing w:before="0" w:beforeAutospacing="0" w:after="0" w:afterAutospacing="0"/>
        <w:ind w:left="2610"/>
        <w:textAlignment w:val="baseline"/>
        <w:rPr>
          <w:rFonts w:ascii="Segoe UI" w:hAnsi="Segoe UI" w:cs="Segoe UI"/>
        </w:rPr>
      </w:pPr>
      <w:r w:rsidRPr="0064452A">
        <w:rPr>
          <w:rFonts w:ascii="Calibri" w:hAnsi="Calibri"/>
          <w:color w:val="000000"/>
        </w:rPr>
        <w:t> </w:t>
      </w:r>
      <w:r w:rsidR="00081E06" w:rsidRPr="00091D1E">
        <w:rPr>
          <w:rStyle w:val="normaltextrun"/>
          <w:rFonts w:ascii="Calibri" w:hAnsi="Calibri" w:cs="Calibri"/>
          <w:color w:val="000000"/>
        </w:rPr>
        <w:t>Health Resources in Action, Inc. (HRiA) </w:t>
      </w:r>
      <w:r w:rsidR="00081E06" w:rsidRPr="00091D1E">
        <w:rPr>
          <w:rStyle w:val="eop"/>
          <w:rFonts w:ascii="Calibri" w:hAnsi="Calibri" w:cs="Calibri"/>
          <w:color w:val="000000"/>
        </w:rPr>
        <w:t> </w:t>
      </w:r>
    </w:p>
    <w:p w14:paraId="6D689586" w14:textId="77777777" w:rsidR="00081E06" w:rsidRPr="00091D1E" w:rsidRDefault="00081E06" w:rsidP="00081E06">
      <w:pPr>
        <w:pStyle w:val="paragraph"/>
        <w:spacing w:before="0" w:beforeAutospacing="0" w:after="0" w:afterAutospacing="0"/>
        <w:ind w:left="2610"/>
        <w:textAlignment w:val="baseline"/>
        <w:rPr>
          <w:rFonts w:ascii="Segoe UI" w:hAnsi="Segoe UI" w:cs="Segoe UI"/>
        </w:rPr>
      </w:pPr>
      <w:r w:rsidRPr="00091D1E">
        <w:rPr>
          <w:rStyle w:val="normaltextrun"/>
          <w:rFonts w:ascii="Calibri" w:hAnsi="Calibri" w:cs="Calibri"/>
          <w:color w:val="000000"/>
        </w:rPr>
        <w:t>2 Boylston Street, 4th Floor </w:t>
      </w:r>
      <w:r w:rsidRPr="00091D1E">
        <w:rPr>
          <w:rStyle w:val="eop"/>
          <w:rFonts w:ascii="Calibri" w:hAnsi="Calibri" w:cs="Calibri"/>
          <w:color w:val="000000"/>
        </w:rPr>
        <w:t> </w:t>
      </w:r>
    </w:p>
    <w:p w14:paraId="603D25D9" w14:textId="77777777" w:rsidR="00081E06" w:rsidRPr="00091D1E" w:rsidRDefault="00081E06" w:rsidP="00081E06">
      <w:pPr>
        <w:pStyle w:val="paragraph"/>
        <w:spacing w:before="0" w:beforeAutospacing="0" w:after="0" w:afterAutospacing="0"/>
        <w:ind w:left="2610"/>
        <w:textAlignment w:val="baseline"/>
        <w:rPr>
          <w:rFonts w:ascii="Segoe UI" w:hAnsi="Segoe UI" w:cs="Segoe UI"/>
        </w:rPr>
      </w:pPr>
      <w:r w:rsidRPr="00091D1E">
        <w:rPr>
          <w:rStyle w:val="normaltextrun"/>
          <w:rFonts w:ascii="Calibri" w:hAnsi="Calibri" w:cs="Calibri"/>
          <w:color w:val="000000"/>
        </w:rPr>
        <w:t>Boston, MA 02116 Attn: MACHHAF c/o Bora Toro </w:t>
      </w:r>
      <w:r w:rsidRPr="00091D1E">
        <w:rPr>
          <w:rStyle w:val="eop"/>
          <w:rFonts w:ascii="Calibri" w:hAnsi="Calibri" w:cs="Calibri"/>
          <w:color w:val="000000"/>
        </w:rPr>
        <w:t> </w:t>
      </w:r>
    </w:p>
    <w:p w14:paraId="077F4085" w14:textId="46B04745" w:rsidR="0064452A" w:rsidRPr="0072482C" w:rsidRDefault="00081E06" w:rsidP="0072482C">
      <w:pPr>
        <w:pStyle w:val="paragraph"/>
        <w:spacing w:before="0" w:beforeAutospacing="0" w:after="0" w:afterAutospacing="0"/>
        <w:ind w:left="2610"/>
        <w:textAlignment w:val="baseline"/>
        <w:rPr>
          <w:rFonts w:ascii="Segoe UI" w:hAnsi="Segoe UI" w:cs="Segoe UI"/>
        </w:rPr>
      </w:pPr>
      <w:r w:rsidRPr="00091D1E">
        <w:rPr>
          <w:rStyle w:val="normaltextrun"/>
          <w:rFonts w:ascii="Calibri" w:hAnsi="Calibri" w:cs="Calibri"/>
          <w:color w:val="000000"/>
        </w:rPr>
        <w:t xml:space="preserve">DoN project #: </w:t>
      </w:r>
      <w:r w:rsidR="00872CCA" w:rsidRPr="00872CCA">
        <w:rPr>
          <w:rStyle w:val="normaltextrun"/>
          <w:rFonts w:ascii="Calibri" w:hAnsi="Calibri" w:cs="Calibri"/>
          <w:color w:val="000000"/>
        </w:rPr>
        <w:t>BILH-24080714-HE</w:t>
      </w:r>
    </w:p>
    <w:p w14:paraId="62E41C9D" w14:textId="17650BE6" w:rsidR="0064452A" w:rsidRPr="0072482C" w:rsidRDefault="0064452A" w:rsidP="00D44268">
      <w:pPr>
        <w:numPr>
          <w:ilvl w:val="0"/>
          <w:numId w:val="13"/>
        </w:numPr>
        <w:tabs>
          <w:tab w:val="clear" w:pos="1800"/>
          <w:tab w:val="num" w:pos="720"/>
        </w:tabs>
        <w:ind w:left="2160"/>
        <w:rPr>
          <w:rFonts w:ascii="Calibri" w:eastAsia="Times New Roman" w:hAnsi="Calibri" w:cs="Times New Roman"/>
          <w:color w:val="000000"/>
          <w:sz w:val="24"/>
          <w:szCs w:val="24"/>
        </w:rPr>
      </w:pPr>
      <w:r w:rsidRPr="0064452A">
        <w:rPr>
          <w:rFonts w:ascii="Calibri" w:eastAsia="Times New Roman" w:hAnsi="Calibri" w:cs="Times New Roman"/>
          <w:color w:val="000000"/>
          <w:sz w:val="24"/>
          <w:szCs w:val="24"/>
        </w:rPr>
        <w:t>Please send a PDF image of the check or</w:t>
      </w:r>
      <w:r w:rsidRPr="0064452A">
        <w:rPr>
          <w:rFonts w:ascii="Calibri" w:eastAsia="Times New Roman" w:hAnsi="Calibri" w:cs="Times New Roman"/>
          <w:b/>
          <w:bCs/>
          <w:color w:val="000000"/>
          <w:sz w:val="24"/>
          <w:szCs w:val="24"/>
        </w:rPr>
        <w:t xml:space="preserve"> confirmation of payment</w:t>
      </w:r>
      <w:r w:rsidRPr="0064452A">
        <w:rPr>
          <w:rFonts w:ascii="Calibri" w:eastAsia="Times New Roman" w:hAnsi="Calibri" w:cs="Times New Roman"/>
          <w:color w:val="000000"/>
          <w:sz w:val="24"/>
          <w:szCs w:val="24"/>
        </w:rPr>
        <w:t xml:space="preserve"> to </w:t>
      </w:r>
      <w:hyperlink r:id="rId12" w:tgtFrame="_blank" w:history="1">
        <w:r w:rsidRPr="00111538">
          <w:rPr>
            <w:rStyle w:val="Hyperlink"/>
            <w:rFonts w:ascii="Calibri" w:eastAsia="Times New Roman" w:hAnsi="Calibri" w:cs="Times New Roman"/>
            <w:color w:val="1F4E79" w:themeColor="accent5" w:themeShade="80"/>
            <w:sz w:val="24"/>
            <w:szCs w:val="24"/>
          </w:rPr>
          <w:t>DONCHI@Mass.gov</w:t>
        </w:r>
      </w:hyperlink>
      <w:r w:rsidRPr="0064452A">
        <w:rPr>
          <w:rFonts w:ascii="Calibri" w:eastAsia="Times New Roman" w:hAnsi="Calibri" w:cs="Times New Roman"/>
          <w:color w:val="2F5496" w:themeColor="accent1" w:themeShade="BF"/>
          <w:sz w:val="24"/>
          <w:szCs w:val="24"/>
        </w:rPr>
        <w:t xml:space="preserve"> </w:t>
      </w:r>
      <w:r w:rsidRPr="0064452A">
        <w:rPr>
          <w:rFonts w:ascii="Calibri" w:eastAsia="Times New Roman" w:hAnsi="Calibri" w:cs="Times New Roman"/>
          <w:color w:val="000000"/>
          <w:sz w:val="24"/>
          <w:szCs w:val="24"/>
        </w:rPr>
        <w:t>and</w:t>
      </w:r>
      <w:r w:rsidRPr="0064452A">
        <w:rPr>
          <w:rFonts w:ascii="Calibri" w:eastAsia="Times New Roman" w:hAnsi="Calibri" w:cs="Times New Roman"/>
          <w:color w:val="2F5496" w:themeColor="accent1" w:themeShade="BF"/>
          <w:sz w:val="24"/>
          <w:szCs w:val="24"/>
        </w:rPr>
        <w:t xml:space="preserve"> </w:t>
      </w:r>
      <w:hyperlink r:id="rId13" w:tgtFrame="_blank" w:history="1">
        <w:r w:rsidRPr="00111538">
          <w:rPr>
            <w:rStyle w:val="Hyperlink"/>
            <w:rFonts w:ascii="Calibri" w:eastAsia="Times New Roman" w:hAnsi="Calibri" w:cs="Times New Roman"/>
            <w:color w:val="1F4E79" w:themeColor="accent5" w:themeShade="80"/>
            <w:sz w:val="24"/>
            <w:szCs w:val="24"/>
            <w:lang w:val="fr-FR"/>
          </w:rPr>
          <w:t>dongrants@hria.org</w:t>
        </w:r>
      </w:hyperlink>
      <w:r w:rsidRPr="00111538">
        <w:rPr>
          <w:rFonts w:ascii="Calibri" w:eastAsia="Times New Roman" w:hAnsi="Calibri" w:cs="Times New Roman"/>
          <w:color w:val="1F4E79" w:themeColor="accent5" w:themeShade="80"/>
          <w:sz w:val="24"/>
          <w:szCs w:val="24"/>
        </w:rPr>
        <w:t> </w:t>
      </w:r>
    </w:p>
    <w:p w14:paraId="08DF4034" w14:textId="569E69A4" w:rsidR="007179DD" w:rsidRDefault="0064452A" w:rsidP="00260282">
      <w:pPr>
        <w:ind w:left="1440"/>
        <w:rPr>
          <w:rFonts w:ascii="Calibri" w:eastAsia="Times New Roman" w:hAnsi="Calibri" w:cs="Times New Roman"/>
          <w:color w:val="000000"/>
          <w:sz w:val="24"/>
          <w:szCs w:val="24"/>
        </w:rPr>
      </w:pPr>
      <w:r w:rsidRPr="7B66B182">
        <w:rPr>
          <w:rFonts w:ascii="Calibri" w:eastAsia="Times New Roman" w:hAnsi="Calibri" w:cs="Times New Roman"/>
          <w:color w:val="000000" w:themeColor="text1"/>
          <w:sz w:val="24"/>
          <w:szCs w:val="24"/>
        </w:rPr>
        <w:lastRenderedPageBreak/>
        <w:t xml:space="preserve">If you should have any questions or concerns regarding the payment, please contact the CHI team at </w:t>
      </w:r>
      <w:hyperlink r:id="rId14">
        <w:r w:rsidRPr="00111538">
          <w:rPr>
            <w:rStyle w:val="Hyperlink"/>
            <w:rFonts w:ascii="Calibri" w:eastAsia="Times New Roman" w:hAnsi="Calibri" w:cs="Times New Roman"/>
            <w:color w:val="1F4E79" w:themeColor="accent5" w:themeShade="80"/>
            <w:sz w:val="24"/>
            <w:szCs w:val="24"/>
          </w:rPr>
          <w:t>DONCHI@Mass.gov</w:t>
        </w:r>
      </w:hyperlink>
      <w:r w:rsidRPr="7B66B182">
        <w:rPr>
          <w:rFonts w:ascii="Calibri" w:eastAsia="Times New Roman" w:hAnsi="Calibri" w:cs="Times New Roman"/>
          <w:color w:val="000000" w:themeColor="text1"/>
          <w:sz w:val="24"/>
          <w:szCs w:val="24"/>
        </w:rPr>
        <w:t>. </w:t>
      </w:r>
    </w:p>
    <w:p w14:paraId="1AB94076" w14:textId="159D0F75" w:rsidR="006C74BF" w:rsidRPr="00E70249" w:rsidRDefault="006C74BF" w:rsidP="00877F44">
      <w:pPr>
        <w:pStyle w:val="elementtoproof"/>
        <w:numPr>
          <w:ilvl w:val="0"/>
          <w:numId w:val="14"/>
        </w:numPr>
        <w:shd w:val="clear" w:color="auto" w:fill="FFFFFF"/>
      </w:pPr>
      <w:r w:rsidRPr="00E70249">
        <w:rPr>
          <w:color w:val="000000"/>
          <w:sz w:val="24"/>
          <w:szCs w:val="24"/>
        </w:rPr>
        <w:t xml:space="preserve">The Department, working with the Applicant, shall calculate for each year of the </w:t>
      </w:r>
      <w:r>
        <w:rPr>
          <w:color w:val="000000"/>
          <w:sz w:val="24"/>
          <w:szCs w:val="24"/>
        </w:rPr>
        <w:t>R</w:t>
      </w:r>
      <w:r w:rsidRPr="00E70249">
        <w:rPr>
          <w:color w:val="000000"/>
          <w:sz w:val="24"/>
          <w:szCs w:val="24"/>
        </w:rPr>
        <w:t xml:space="preserve">eporting </w:t>
      </w:r>
      <w:r>
        <w:rPr>
          <w:color w:val="000000"/>
          <w:sz w:val="24"/>
          <w:szCs w:val="24"/>
        </w:rPr>
        <w:t>P</w:t>
      </w:r>
      <w:r w:rsidRPr="00E70249">
        <w:rPr>
          <w:color w:val="000000"/>
          <w:sz w:val="24"/>
          <w:szCs w:val="24"/>
        </w:rPr>
        <w:t>eriod, the Holder’s Cost Per Patient based on: Total Net Patient Revenue and Unit of Service, adjusted for patient volume, acuity, payer mix and service mix. </w:t>
      </w:r>
      <w:r w:rsidRPr="006C74BF">
        <w:rPr>
          <w:color w:val="000000"/>
          <w:sz w:val="24"/>
          <w:szCs w:val="24"/>
        </w:rPr>
        <w:t>Beginning with the second full fiscal year during the reporting period, the Department will compare the percentage growth, if any, in Cost Per Patient year over year (the “Cost Per Patient Growth Percentage”)</w:t>
      </w:r>
      <w:r w:rsidRPr="006C74BF">
        <w:rPr>
          <w:sz w:val="24"/>
          <w:szCs w:val="24"/>
        </w:rPr>
        <w:t xml:space="preserve">. </w:t>
      </w:r>
    </w:p>
    <w:p w14:paraId="39A95811" w14:textId="77777777" w:rsidR="00DD6057" w:rsidRDefault="00DD6057" w:rsidP="00DD6057">
      <w:pPr>
        <w:pStyle w:val="elementtoproof"/>
        <w:shd w:val="clear" w:color="auto" w:fill="FFFFFF" w:themeFill="background1"/>
        <w:ind w:left="360"/>
        <w:jc w:val="both"/>
        <w:rPr>
          <w:sz w:val="24"/>
          <w:szCs w:val="24"/>
        </w:rPr>
      </w:pPr>
    </w:p>
    <w:p w14:paraId="4FEAA50A" w14:textId="3C08A3BE" w:rsidR="006C74BF" w:rsidRDefault="006C74BF" w:rsidP="00111538">
      <w:pPr>
        <w:pStyle w:val="elementtoproof"/>
        <w:shd w:val="clear" w:color="auto" w:fill="FFFFFF" w:themeFill="background1"/>
        <w:ind w:left="720"/>
        <w:rPr>
          <w:sz w:val="24"/>
          <w:szCs w:val="24"/>
        </w:rPr>
      </w:pPr>
      <w:r w:rsidRPr="00A06FDA">
        <w:rPr>
          <w:sz w:val="24"/>
          <w:szCs w:val="24"/>
        </w:rPr>
        <w:t xml:space="preserve">If the Department determines the Holder’s Cost Per Patient </w:t>
      </w:r>
      <w:r w:rsidRPr="00521B0C">
        <w:rPr>
          <w:sz w:val="24"/>
          <w:szCs w:val="24"/>
        </w:rPr>
        <w:t xml:space="preserve">Growth Percentage </w:t>
      </w:r>
      <w:r w:rsidR="00393527" w:rsidRPr="00521B0C">
        <w:rPr>
          <w:sz w:val="24"/>
          <w:szCs w:val="24"/>
        </w:rPr>
        <w:t>has</w:t>
      </w:r>
      <w:r w:rsidR="00877F44">
        <w:rPr>
          <w:sz w:val="24"/>
          <w:szCs w:val="24"/>
        </w:rPr>
        <w:t xml:space="preserve"> materially</w:t>
      </w:r>
      <w:r>
        <w:rPr>
          <w:sz w:val="24"/>
          <w:szCs w:val="24"/>
        </w:rPr>
        <w:t xml:space="preserve"> </w:t>
      </w:r>
      <w:r w:rsidRPr="788C4989">
        <w:rPr>
          <w:sz w:val="24"/>
          <w:szCs w:val="24"/>
        </w:rPr>
        <w:t>increased year-over-year</w:t>
      </w:r>
      <w:r w:rsidRPr="00A06FDA">
        <w:rPr>
          <w:sz w:val="24"/>
          <w:szCs w:val="24"/>
        </w:rPr>
        <w:t xml:space="preserve">, the Holder will be </w:t>
      </w:r>
      <w:r w:rsidRPr="788C4989">
        <w:rPr>
          <w:sz w:val="24"/>
          <w:szCs w:val="24"/>
        </w:rPr>
        <w:t xml:space="preserve">afforded an opportunity to justify such material increases. After review of the Holder’s justification, the Department may </w:t>
      </w:r>
      <w:r w:rsidRPr="00A06FDA">
        <w:rPr>
          <w:sz w:val="24"/>
          <w:szCs w:val="24"/>
        </w:rPr>
        <w:t xml:space="preserve">require </w:t>
      </w:r>
      <w:r w:rsidRPr="788C4989">
        <w:rPr>
          <w:sz w:val="24"/>
          <w:szCs w:val="24"/>
        </w:rPr>
        <w:t xml:space="preserve">the Holder to submit </w:t>
      </w:r>
      <w:r w:rsidRPr="00A06FDA">
        <w:rPr>
          <w:sz w:val="24"/>
          <w:szCs w:val="24"/>
        </w:rPr>
        <w:t xml:space="preserve">a plan </w:t>
      </w:r>
      <w:r w:rsidRPr="788C4989">
        <w:rPr>
          <w:sz w:val="24"/>
          <w:szCs w:val="24"/>
        </w:rPr>
        <w:t>to</w:t>
      </w:r>
      <w:r w:rsidRPr="00A06FDA">
        <w:rPr>
          <w:sz w:val="24"/>
          <w:szCs w:val="24"/>
        </w:rPr>
        <w:t xml:space="preserve"> the Department to remedy the impact of the increase. </w:t>
      </w:r>
    </w:p>
    <w:p w14:paraId="16C89610" w14:textId="2831B230" w:rsidR="002D1B77" w:rsidRDefault="002D1B77">
      <w:pPr>
        <w:rPr>
          <w:rFonts w:ascii="Calibri" w:eastAsia="MS Mincho" w:hAnsi="Calibri" w:cs="Calibri"/>
          <w:sz w:val="24"/>
          <w:szCs w:val="24"/>
          <w:lang w:eastAsia="zh-CN"/>
        </w:rPr>
      </w:pPr>
      <w:r>
        <w:rPr>
          <w:sz w:val="24"/>
          <w:szCs w:val="24"/>
        </w:rPr>
        <w:br w:type="page"/>
      </w:r>
    </w:p>
    <w:p w14:paraId="158DB521" w14:textId="77777777" w:rsidR="002D1B77" w:rsidRPr="00A06FDA" w:rsidRDefault="002D1B77" w:rsidP="00877F44">
      <w:pPr>
        <w:pStyle w:val="elementtoproof"/>
        <w:shd w:val="clear" w:color="auto" w:fill="FFFFFF" w:themeFill="background1"/>
        <w:ind w:left="360"/>
        <w:rPr>
          <w:sz w:val="24"/>
          <w:szCs w:val="24"/>
        </w:rPr>
      </w:pPr>
    </w:p>
    <w:p w14:paraId="6C2BD534" w14:textId="79A9A3D9" w:rsidR="007179DD" w:rsidRPr="002735CF" w:rsidRDefault="007179DD" w:rsidP="007179DD">
      <w:pPr>
        <w:pStyle w:val="Heading1"/>
      </w:pPr>
      <w:bookmarkStart w:id="27" w:name="_Toc196819121"/>
      <w:r w:rsidRPr="002735CF">
        <w:t>Appendix I</w:t>
      </w:r>
      <w:bookmarkEnd w:id="27"/>
    </w:p>
    <w:p w14:paraId="689F1A68" w14:textId="77777777" w:rsidR="007179DD" w:rsidRPr="002735CF" w:rsidRDefault="007179DD" w:rsidP="007179DD">
      <w:pPr>
        <w:spacing w:after="0" w:line="240" w:lineRule="auto"/>
        <w:ind w:left="20"/>
        <w:jc w:val="both"/>
        <w:rPr>
          <w:rFonts w:cstheme="minorHAnsi"/>
          <w:sz w:val="24"/>
          <w:szCs w:val="24"/>
        </w:rPr>
      </w:pPr>
    </w:p>
    <w:p w14:paraId="3AC504FD" w14:textId="77777777" w:rsidR="007179DD" w:rsidRPr="002735CF" w:rsidRDefault="007179DD" w:rsidP="007179DD">
      <w:pPr>
        <w:rPr>
          <w:rFonts w:cstheme="minorHAnsi"/>
          <w:b/>
          <w:bCs/>
          <w:iCs/>
          <w:sz w:val="24"/>
          <w:szCs w:val="24"/>
        </w:rPr>
      </w:pPr>
      <w:r w:rsidRPr="002735CF">
        <w:rPr>
          <w:rFonts w:cstheme="minorHAnsi"/>
          <w:b/>
          <w:bCs/>
          <w:iCs/>
          <w:sz w:val="24"/>
          <w:szCs w:val="24"/>
        </w:rPr>
        <w:t>Outcome Measures</w:t>
      </w:r>
    </w:p>
    <w:p w14:paraId="7D690E84" w14:textId="35266355" w:rsidR="00AB4212" w:rsidRDefault="007179DD" w:rsidP="00AB4212">
      <w:pPr>
        <w:pStyle w:val="elementtoproof"/>
        <w:shd w:val="clear" w:color="auto" w:fill="FFFFFF"/>
        <w:ind w:left="720"/>
        <w:jc w:val="both"/>
      </w:pPr>
      <w:r w:rsidRPr="002735CF">
        <w:rPr>
          <w:rStyle w:val="normaltextrun"/>
          <w:rFonts w:cstheme="minorHAnsi"/>
          <w:sz w:val="24"/>
          <w:szCs w:val="24"/>
        </w:rPr>
        <w:t xml:space="preserve">Below is a list of outcome measures to assess the impact of the Proposed Project. The Applicant will report this information to the Department’s DoN Program staff as part of its annual report required by 105 CMR 100.310(A)(12) following implementation of the Proposed Project. </w:t>
      </w:r>
      <w:r w:rsidRPr="002735CF">
        <w:rPr>
          <w:rFonts w:cstheme="minorHAnsi"/>
          <w:sz w:val="24"/>
          <w:szCs w:val="24"/>
        </w:rPr>
        <w:t xml:space="preserve">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790B2883" w14:textId="4FDE1C08" w:rsidR="002D3649" w:rsidRPr="002D3649" w:rsidRDefault="002D3649" w:rsidP="00391286">
      <w:pPr>
        <w:autoSpaceDE w:val="0"/>
        <w:autoSpaceDN w:val="0"/>
        <w:adjustRightInd w:val="0"/>
        <w:spacing w:before="120" w:after="120" w:line="240" w:lineRule="auto"/>
        <w:rPr>
          <w:rFonts w:eastAsia="Times New Roman"/>
          <w:color w:val="000000" w:themeColor="text1"/>
          <w:sz w:val="24"/>
          <w:szCs w:val="24"/>
        </w:rPr>
      </w:pPr>
    </w:p>
    <w:p w14:paraId="1CDEAF9F" w14:textId="195BFD25" w:rsidR="00E73136" w:rsidRPr="007D6FED" w:rsidRDefault="00D04F77" w:rsidP="00872CCA">
      <w:pPr>
        <w:pStyle w:val="ListParagraph"/>
        <w:numPr>
          <w:ilvl w:val="0"/>
          <w:numId w:val="6"/>
        </w:numPr>
        <w:autoSpaceDE w:val="0"/>
        <w:autoSpaceDN w:val="0"/>
        <w:adjustRightInd w:val="0"/>
        <w:spacing w:before="120" w:after="120" w:line="240" w:lineRule="auto"/>
        <w:contextualSpacing w:val="0"/>
        <w:rPr>
          <w:rFonts w:eastAsia="Times New Roman" w:cstheme="minorHAnsi"/>
          <w:color w:val="000000" w:themeColor="text1"/>
          <w:sz w:val="24"/>
          <w:szCs w:val="24"/>
        </w:rPr>
      </w:pPr>
      <w:r w:rsidRPr="007D6FED">
        <w:rPr>
          <w:rFonts w:cstheme="minorHAnsi"/>
          <w:color w:val="000000" w:themeColor="text1"/>
          <w:sz w:val="24"/>
          <w:szCs w:val="24"/>
        </w:rPr>
        <w:t>P</w:t>
      </w:r>
      <w:r w:rsidR="00601C65" w:rsidRPr="007D6FED">
        <w:rPr>
          <w:rFonts w:cstheme="minorHAnsi"/>
          <w:color w:val="000000" w:themeColor="text1"/>
          <w:sz w:val="24"/>
          <w:szCs w:val="24"/>
        </w:rPr>
        <w:t xml:space="preserve">rovide the </w:t>
      </w:r>
      <w:r w:rsidR="00601C65" w:rsidRPr="007D6FED">
        <w:rPr>
          <w:rFonts w:cstheme="minorHAnsi"/>
          <w:b/>
          <w:bCs/>
          <w:color w:val="000000" w:themeColor="text1"/>
          <w:sz w:val="24"/>
          <w:szCs w:val="24"/>
        </w:rPr>
        <w:t>Average New Patient Appointment Wait Time</w:t>
      </w:r>
      <w:r w:rsidR="00601C65" w:rsidRPr="007D6FED">
        <w:rPr>
          <w:rFonts w:cstheme="minorHAnsi"/>
          <w:color w:val="000000" w:themeColor="text1"/>
          <w:sz w:val="24"/>
          <w:szCs w:val="24"/>
        </w:rPr>
        <w:t xml:space="preserve"> for the Cordage Park Satellite</w:t>
      </w:r>
      <w:r w:rsidR="00146ED3">
        <w:rPr>
          <w:rFonts w:cstheme="minorHAnsi"/>
          <w:color w:val="000000" w:themeColor="text1"/>
          <w:sz w:val="24"/>
          <w:szCs w:val="24"/>
        </w:rPr>
        <w:t>,</w:t>
      </w:r>
      <w:r w:rsidR="00601C65" w:rsidRPr="007D6FED">
        <w:rPr>
          <w:rFonts w:cstheme="minorHAnsi"/>
          <w:color w:val="000000" w:themeColor="text1"/>
          <w:sz w:val="24"/>
          <w:szCs w:val="24"/>
        </w:rPr>
        <w:t xml:space="preserve"> u</w:t>
      </w:r>
      <w:r w:rsidR="003C7959" w:rsidRPr="007D6FED">
        <w:rPr>
          <w:rFonts w:cstheme="minorHAnsi"/>
          <w:color w:val="000000" w:themeColor="text1"/>
          <w:sz w:val="24"/>
          <w:szCs w:val="24"/>
        </w:rPr>
        <w:t xml:space="preserve">sing the FY2023 average </w:t>
      </w:r>
      <w:r w:rsidR="002735CF" w:rsidRPr="007D6FED">
        <w:rPr>
          <w:rFonts w:cstheme="minorHAnsi"/>
          <w:color w:val="000000" w:themeColor="text1"/>
          <w:sz w:val="24"/>
          <w:szCs w:val="24"/>
        </w:rPr>
        <w:t>50</w:t>
      </w:r>
      <w:r w:rsidR="008369DC" w:rsidRPr="007D6FED">
        <w:rPr>
          <w:rFonts w:cstheme="minorHAnsi"/>
          <w:color w:val="000000" w:themeColor="text1"/>
          <w:sz w:val="24"/>
          <w:szCs w:val="24"/>
        </w:rPr>
        <w:t xml:space="preserve"> day wait time for</w:t>
      </w:r>
      <w:r w:rsidRPr="007D6FED">
        <w:rPr>
          <w:rFonts w:cstheme="minorHAnsi"/>
          <w:color w:val="000000" w:themeColor="text1"/>
          <w:sz w:val="24"/>
          <w:szCs w:val="24"/>
        </w:rPr>
        <w:t xml:space="preserve"> a new patient appointment at the </w:t>
      </w:r>
      <w:r w:rsidR="00990381" w:rsidRPr="007D6FED">
        <w:rPr>
          <w:rFonts w:cstheme="minorHAnsi"/>
          <w:color w:val="000000" w:themeColor="text1"/>
          <w:sz w:val="24"/>
          <w:szCs w:val="24"/>
        </w:rPr>
        <w:t>Hematology-Oncology Clinic</w:t>
      </w:r>
      <w:r w:rsidR="00146ED3">
        <w:rPr>
          <w:rFonts w:cstheme="minorHAnsi"/>
          <w:color w:val="000000" w:themeColor="text1"/>
          <w:sz w:val="24"/>
          <w:szCs w:val="24"/>
        </w:rPr>
        <w:t xml:space="preserve"> as a baseline</w:t>
      </w:r>
      <w:r w:rsidRPr="007D6FED">
        <w:rPr>
          <w:rFonts w:cstheme="minorHAnsi"/>
          <w:color w:val="000000" w:themeColor="text1"/>
          <w:sz w:val="24"/>
          <w:szCs w:val="24"/>
        </w:rPr>
        <w:t>.</w:t>
      </w:r>
    </w:p>
    <w:p w14:paraId="2934E814" w14:textId="77777777" w:rsidR="002735CF" w:rsidRPr="007D6FED" w:rsidRDefault="002735CF" w:rsidP="002735CF">
      <w:pPr>
        <w:pStyle w:val="BodyText"/>
        <w:widowControl/>
        <w:numPr>
          <w:ilvl w:val="0"/>
          <w:numId w:val="6"/>
        </w:numPr>
        <w:spacing w:before="0"/>
        <w:jc w:val="both"/>
        <w:rPr>
          <w:rFonts w:asciiTheme="minorHAnsi" w:hAnsiTheme="minorHAnsi" w:cstheme="minorHAnsi"/>
          <w:bCs/>
          <w:kern w:val="2"/>
          <w:sz w:val="24"/>
          <w:szCs w:val="24"/>
        </w:rPr>
      </w:pPr>
      <w:bookmarkStart w:id="28" w:name="_Toc144207784"/>
      <w:r w:rsidRPr="007D6FED">
        <w:rPr>
          <w:rFonts w:asciiTheme="minorHAnsi" w:hAnsiTheme="minorHAnsi" w:cstheme="minorHAnsi"/>
          <w:b/>
          <w:kern w:val="2"/>
          <w:sz w:val="24"/>
          <w:szCs w:val="24"/>
        </w:rPr>
        <w:t>Patient Satisfaction</w:t>
      </w:r>
      <w:r w:rsidRPr="007D6FED">
        <w:rPr>
          <w:rFonts w:asciiTheme="minorHAnsi" w:hAnsiTheme="minorHAnsi" w:cstheme="minorHAnsi"/>
          <w:bCs/>
          <w:kern w:val="2"/>
          <w:sz w:val="24"/>
          <w:szCs w:val="24"/>
        </w:rPr>
        <w:t xml:space="preserve">: Patients that are satisfied with their care are more likely to seek additional treatment when necessary. </w:t>
      </w:r>
    </w:p>
    <w:p w14:paraId="6DB80741" w14:textId="70628F1C" w:rsidR="002735CF" w:rsidRPr="007D6FED" w:rsidRDefault="002735CF" w:rsidP="0004667C">
      <w:pPr>
        <w:pStyle w:val="BodyText"/>
        <w:widowControl/>
        <w:numPr>
          <w:ilvl w:val="1"/>
          <w:numId w:val="6"/>
        </w:numPr>
        <w:spacing w:before="0"/>
        <w:rPr>
          <w:rFonts w:asciiTheme="minorHAnsi" w:hAnsiTheme="minorHAnsi"/>
          <w:kern w:val="2"/>
          <w:sz w:val="24"/>
          <w:szCs w:val="24"/>
        </w:rPr>
      </w:pPr>
      <w:r w:rsidRPr="6CBA5896">
        <w:rPr>
          <w:rFonts w:asciiTheme="minorHAnsi" w:hAnsiTheme="minorHAnsi"/>
          <w:b/>
          <w:kern w:val="2"/>
          <w:sz w:val="24"/>
          <w:szCs w:val="24"/>
        </w:rPr>
        <w:t>Measure</w:t>
      </w:r>
      <w:r w:rsidRPr="6CBA5896">
        <w:rPr>
          <w:rFonts w:asciiTheme="minorHAnsi" w:hAnsiTheme="minorHAnsi"/>
          <w:kern w:val="2"/>
          <w:sz w:val="24"/>
          <w:szCs w:val="24"/>
        </w:rPr>
        <w:t>: Patient satisfaction scores will be used to determine the impact of the Proposed Project on patient experience</w:t>
      </w:r>
      <w:r w:rsidR="0004667C">
        <w:rPr>
          <w:rFonts w:asciiTheme="minorHAnsi" w:hAnsiTheme="minorHAnsi"/>
          <w:kern w:val="2"/>
          <w:sz w:val="24"/>
          <w:szCs w:val="24"/>
        </w:rPr>
        <w:t xml:space="preserve"> at both Cordage Park and Quincy Satellites</w:t>
      </w:r>
      <w:r w:rsidRPr="6CBA5896">
        <w:rPr>
          <w:rFonts w:asciiTheme="minorHAnsi" w:hAnsiTheme="minorHAnsi"/>
          <w:kern w:val="2"/>
          <w:sz w:val="24"/>
          <w:szCs w:val="24"/>
        </w:rPr>
        <w:t xml:space="preserve">. </w:t>
      </w:r>
    </w:p>
    <w:p w14:paraId="47FB3299"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p>
    <w:p w14:paraId="0AD1020F"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r w:rsidRPr="007D6FED">
        <w:rPr>
          <w:rFonts w:asciiTheme="minorHAnsi" w:hAnsiTheme="minorHAnsi" w:cstheme="minorHAnsi"/>
          <w:bCs/>
          <w:kern w:val="2"/>
          <w:sz w:val="24"/>
          <w:szCs w:val="24"/>
        </w:rPr>
        <w:t>Numerator = Number of top scores, for overall visit rating, such as “likely to recommend” or “highly satisfied.”</w:t>
      </w:r>
    </w:p>
    <w:p w14:paraId="0F48B133"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p>
    <w:p w14:paraId="72C2AA65"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r w:rsidRPr="007D6FED">
        <w:rPr>
          <w:rFonts w:asciiTheme="minorHAnsi" w:hAnsiTheme="minorHAnsi" w:cstheme="minorHAnsi"/>
          <w:bCs/>
          <w:kern w:val="2"/>
          <w:sz w:val="24"/>
          <w:szCs w:val="24"/>
        </w:rPr>
        <w:t>Denominator = Total number of survey respondents</w:t>
      </w:r>
    </w:p>
    <w:p w14:paraId="310FDFBA"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p>
    <w:p w14:paraId="49069FF0"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r w:rsidRPr="007D6FED">
        <w:rPr>
          <w:rFonts w:asciiTheme="minorHAnsi" w:hAnsiTheme="minorHAnsi" w:cstheme="minorHAnsi"/>
          <w:bCs/>
          <w:kern w:val="2"/>
          <w:sz w:val="24"/>
          <w:szCs w:val="24"/>
        </w:rPr>
        <w:t xml:space="preserve">Numerator = Number of top scores for shared decision making with the clinician </w:t>
      </w:r>
    </w:p>
    <w:p w14:paraId="1E328AF6"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p>
    <w:p w14:paraId="1409D1DE"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r w:rsidRPr="007D6FED">
        <w:rPr>
          <w:rFonts w:asciiTheme="minorHAnsi" w:hAnsiTheme="minorHAnsi" w:cstheme="minorHAnsi"/>
          <w:bCs/>
          <w:kern w:val="2"/>
          <w:sz w:val="24"/>
          <w:szCs w:val="24"/>
        </w:rPr>
        <w:t>Denominator = Total number of survey respondents</w:t>
      </w:r>
    </w:p>
    <w:p w14:paraId="57C4E499" w14:textId="77777777" w:rsidR="002735CF" w:rsidRPr="007D6FED" w:rsidRDefault="002735CF" w:rsidP="002735CF">
      <w:pPr>
        <w:pStyle w:val="BodyText"/>
        <w:widowControl/>
        <w:spacing w:before="0"/>
        <w:ind w:left="1820"/>
        <w:jc w:val="both"/>
        <w:rPr>
          <w:rFonts w:asciiTheme="minorHAnsi" w:hAnsiTheme="minorHAnsi" w:cstheme="minorHAnsi"/>
          <w:bCs/>
          <w:kern w:val="2"/>
          <w:sz w:val="24"/>
          <w:szCs w:val="24"/>
        </w:rPr>
      </w:pPr>
    </w:p>
    <w:p w14:paraId="3782AF34" w14:textId="6F5A67B4" w:rsidR="002735CF" w:rsidRPr="007D6FED" w:rsidRDefault="002735CF" w:rsidP="0004667C">
      <w:pPr>
        <w:pStyle w:val="BodyText"/>
        <w:widowControl/>
        <w:numPr>
          <w:ilvl w:val="1"/>
          <w:numId w:val="6"/>
        </w:numPr>
        <w:spacing w:before="0"/>
        <w:rPr>
          <w:rFonts w:asciiTheme="minorHAnsi" w:hAnsiTheme="minorHAnsi"/>
          <w:kern w:val="2"/>
          <w:sz w:val="24"/>
          <w:szCs w:val="24"/>
        </w:rPr>
      </w:pPr>
      <w:r w:rsidRPr="0165A4D9">
        <w:rPr>
          <w:rFonts w:asciiTheme="minorHAnsi" w:hAnsiTheme="minorHAnsi"/>
          <w:b/>
          <w:kern w:val="2"/>
          <w:sz w:val="24"/>
          <w:szCs w:val="24"/>
        </w:rPr>
        <w:t>Projections</w:t>
      </w:r>
      <w:r w:rsidRPr="0165A4D9">
        <w:rPr>
          <w:rFonts w:asciiTheme="minorHAnsi" w:hAnsiTheme="minorHAnsi"/>
          <w:kern w:val="2"/>
          <w:sz w:val="24"/>
          <w:szCs w:val="24"/>
        </w:rPr>
        <w:t xml:space="preserve">: As the Proposed Project is to establish two new Satellites, the Applicant will provide baseline measures </w:t>
      </w:r>
      <w:r w:rsidR="00F85CF2">
        <w:rPr>
          <w:rFonts w:asciiTheme="minorHAnsi" w:hAnsiTheme="minorHAnsi"/>
          <w:kern w:val="2"/>
          <w:sz w:val="24"/>
          <w:szCs w:val="24"/>
        </w:rPr>
        <w:t xml:space="preserve">for Cordage Park and Quincy </w:t>
      </w:r>
      <w:r w:rsidRPr="0165A4D9">
        <w:rPr>
          <w:rFonts w:asciiTheme="minorHAnsi" w:hAnsiTheme="minorHAnsi"/>
          <w:kern w:val="2"/>
          <w:sz w:val="24"/>
          <w:szCs w:val="24"/>
        </w:rPr>
        <w:t>and three years of projections following the first fiscal year of operation</w:t>
      </w:r>
      <w:r w:rsidR="00F85CF2">
        <w:rPr>
          <w:rFonts w:asciiTheme="minorHAnsi" w:hAnsiTheme="minorHAnsi"/>
          <w:kern w:val="2"/>
          <w:sz w:val="24"/>
          <w:szCs w:val="24"/>
        </w:rPr>
        <w:t xml:space="preserve"> for each Satellite</w:t>
      </w:r>
      <w:r w:rsidRPr="0165A4D9">
        <w:rPr>
          <w:rFonts w:asciiTheme="minorHAnsi" w:hAnsiTheme="minorHAnsi"/>
          <w:kern w:val="2"/>
          <w:sz w:val="24"/>
          <w:szCs w:val="24"/>
        </w:rPr>
        <w:t>.</w:t>
      </w:r>
    </w:p>
    <w:p w14:paraId="2B882DC4" w14:textId="77777777" w:rsidR="002735CF" w:rsidRPr="007D6FED" w:rsidRDefault="002735CF" w:rsidP="002735CF">
      <w:pPr>
        <w:pStyle w:val="BodyText"/>
        <w:widowControl/>
        <w:numPr>
          <w:ilvl w:val="1"/>
          <w:numId w:val="6"/>
        </w:numPr>
        <w:spacing w:before="0"/>
        <w:jc w:val="both"/>
        <w:rPr>
          <w:rFonts w:asciiTheme="minorHAnsi" w:hAnsiTheme="minorHAnsi" w:cstheme="minorHAnsi"/>
          <w:kern w:val="2"/>
          <w:sz w:val="24"/>
          <w:szCs w:val="24"/>
        </w:rPr>
      </w:pPr>
      <w:r w:rsidRPr="007D6FED">
        <w:rPr>
          <w:rFonts w:asciiTheme="minorHAnsi" w:hAnsiTheme="minorHAnsi" w:cstheme="minorHAnsi"/>
          <w:b/>
          <w:bCs/>
          <w:kern w:val="2"/>
          <w:sz w:val="24"/>
          <w:szCs w:val="24"/>
        </w:rPr>
        <w:t>Monitoring</w:t>
      </w:r>
      <w:r w:rsidRPr="007D6FED">
        <w:rPr>
          <w:rFonts w:asciiTheme="minorHAnsi" w:hAnsiTheme="minorHAnsi" w:cstheme="minorHAnsi"/>
          <w:kern w:val="2"/>
          <w:sz w:val="24"/>
          <w:szCs w:val="24"/>
        </w:rPr>
        <w:t>: Each Satellite‘s Administrator or their designee will review survey scores monthly and report quarterly to the governing board of the Applicant.</w:t>
      </w:r>
    </w:p>
    <w:p w14:paraId="225083CF" w14:textId="77777777" w:rsidR="002735CF" w:rsidRPr="007D6FED" w:rsidRDefault="002735CF" w:rsidP="002735CF">
      <w:pPr>
        <w:pStyle w:val="BodyText"/>
        <w:widowControl/>
        <w:spacing w:before="0"/>
        <w:ind w:left="1100"/>
        <w:jc w:val="both"/>
        <w:rPr>
          <w:rFonts w:asciiTheme="minorHAnsi" w:hAnsiTheme="minorHAnsi" w:cstheme="minorHAnsi"/>
          <w:bCs/>
          <w:kern w:val="2"/>
          <w:sz w:val="24"/>
          <w:szCs w:val="24"/>
        </w:rPr>
      </w:pPr>
    </w:p>
    <w:p w14:paraId="05DD5A3E" w14:textId="77777777" w:rsidR="002735CF" w:rsidRPr="007D6FED" w:rsidRDefault="002735CF" w:rsidP="002735CF">
      <w:pPr>
        <w:pStyle w:val="ListParagraph"/>
        <w:numPr>
          <w:ilvl w:val="0"/>
          <w:numId w:val="6"/>
        </w:numPr>
        <w:rPr>
          <w:rFonts w:cstheme="minorHAnsi"/>
          <w:sz w:val="24"/>
          <w:szCs w:val="24"/>
        </w:rPr>
      </w:pPr>
      <w:r w:rsidRPr="007D6FED">
        <w:rPr>
          <w:rFonts w:cstheme="minorHAnsi"/>
          <w:b/>
          <w:bCs/>
          <w:sz w:val="24"/>
          <w:szCs w:val="24"/>
        </w:rPr>
        <w:t xml:space="preserve">Blood Pressure Control: </w:t>
      </w:r>
      <w:r w:rsidRPr="007D6FED">
        <w:rPr>
          <w:rFonts w:cstheme="minorHAnsi"/>
          <w:sz w:val="24"/>
          <w:szCs w:val="24"/>
        </w:rPr>
        <w:t>Patients with a diagnosis of high blood pressure and/or diabetes are at a higher risk of coronary artery disease if their blood pressure is not controlled.</w:t>
      </w:r>
    </w:p>
    <w:p w14:paraId="17DBBF4A" w14:textId="30EB50E1" w:rsidR="002735CF" w:rsidRPr="007D6FED" w:rsidRDefault="002735CF" w:rsidP="002735CF">
      <w:pPr>
        <w:pStyle w:val="ListParagraph"/>
        <w:numPr>
          <w:ilvl w:val="1"/>
          <w:numId w:val="6"/>
        </w:numPr>
        <w:rPr>
          <w:sz w:val="24"/>
          <w:szCs w:val="24"/>
        </w:rPr>
      </w:pPr>
      <w:r w:rsidRPr="0165A4D9">
        <w:rPr>
          <w:b/>
          <w:sz w:val="24"/>
          <w:szCs w:val="24"/>
        </w:rPr>
        <w:lastRenderedPageBreak/>
        <w:t>Measure:</w:t>
      </w:r>
      <w:r w:rsidRPr="0165A4D9">
        <w:rPr>
          <w:sz w:val="24"/>
          <w:szCs w:val="24"/>
        </w:rPr>
        <w:t xml:space="preserve"> Blood Pressure Control will be used to measure the Proposed Project’s impact on patient outcomes</w:t>
      </w:r>
      <w:r w:rsidR="00B6087E" w:rsidRPr="0165A4D9">
        <w:rPr>
          <w:sz w:val="24"/>
          <w:szCs w:val="24"/>
        </w:rPr>
        <w:t xml:space="preserve"> at </w:t>
      </w:r>
      <w:r w:rsidR="002E3383">
        <w:rPr>
          <w:sz w:val="24"/>
          <w:szCs w:val="24"/>
        </w:rPr>
        <w:t>the Quincy Satellite</w:t>
      </w:r>
      <w:r w:rsidRPr="0165A4D9">
        <w:rPr>
          <w:sz w:val="24"/>
          <w:szCs w:val="24"/>
        </w:rPr>
        <w:t>.</w:t>
      </w:r>
    </w:p>
    <w:p w14:paraId="6446274A" w14:textId="77777777" w:rsidR="002735CF" w:rsidRPr="007D6FED" w:rsidRDefault="002735CF" w:rsidP="002735CF">
      <w:pPr>
        <w:ind w:left="1440"/>
        <w:rPr>
          <w:rFonts w:cstheme="minorHAnsi"/>
          <w:sz w:val="24"/>
          <w:szCs w:val="24"/>
        </w:rPr>
      </w:pPr>
      <w:r w:rsidRPr="007D6FED">
        <w:rPr>
          <w:rFonts w:cstheme="minorHAnsi"/>
          <w:sz w:val="24"/>
          <w:szCs w:val="24"/>
        </w:rPr>
        <w:t>Numerator = Number of risk patients with high blood pressure and/or diabetes whose blood pressure is within the control range</w:t>
      </w:r>
    </w:p>
    <w:p w14:paraId="725E1E91" w14:textId="28B5A834" w:rsidR="002735CF" w:rsidRPr="007D6FED" w:rsidRDefault="002735CF" w:rsidP="00127DD1">
      <w:pPr>
        <w:ind w:left="1440"/>
        <w:rPr>
          <w:rFonts w:cstheme="minorHAnsi"/>
          <w:sz w:val="24"/>
          <w:szCs w:val="24"/>
        </w:rPr>
      </w:pPr>
      <w:r w:rsidRPr="007D6FED">
        <w:rPr>
          <w:rFonts w:cstheme="minorHAnsi"/>
          <w:sz w:val="24"/>
          <w:szCs w:val="24"/>
        </w:rPr>
        <w:t>Denominator = -Number of risk patients with high blood pressure and/or diabetes</w:t>
      </w:r>
    </w:p>
    <w:p w14:paraId="1FC794F7" w14:textId="77777777" w:rsidR="002735CF" w:rsidRPr="007D6FED" w:rsidRDefault="002735CF" w:rsidP="002735CF">
      <w:pPr>
        <w:pStyle w:val="ListParagraph"/>
        <w:numPr>
          <w:ilvl w:val="1"/>
          <w:numId w:val="6"/>
        </w:numPr>
        <w:rPr>
          <w:rFonts w:cstheme="minorHAnsi"/>
          <w:sz w:val="24"/>
          <w:szCs w:val="24"/>
        </w:rPr>
      </w:pPr>
      <w:r w:rsidRPr="007D6FED">
        <w:rPr>
          <w:rFonts w:cstheme="minorHAnsi"/>
          <w:b/>
          <w:bCs/>
          <w:sz w:val="24"/>
          <w:szCs w:val="24"/>
        </w:rPr>
        <w:t>Projections</w:t>
      </w:r>
      <w:r w:rsidRPr="007D6FED">
        <w:rPr>
          <w:rFonts w:cstheme="minorHAnsi"/>
          <w:sz w:val="24"/>
          <w:szCs w:val="24"/>
        </w:rPr>
        <w:t>: As the Proposed Project is to establish two new Satellites, the Applicant will provide baseline measures and three years of projections following the first fiscal year of operation.</w:t>
      </w:r>
    </w:p>
    <w:p w14:paraId="46AA9DF9" w14:textId="77777777" w:rsidR="002735CF" w:rsidRDefault="002735CF" w:rsidP="002735CF">
      <w:pPr>
        <w:pStyle w:val="ListParagraph"/>
        <w:numPr>
          <w:ilvl w:val="1"/>
          <w:numId w:val="6"/>
        </w:numPr>
        <w:rPr>
          <w:rFonts w:cstheme="minorHAnsi"/>
          <w:sz w:val="24"/>
          <w:szCs w:val="24"/>
        </w:rPr>
      </w:pPr>
      <w:r w:rsidRPr="007D6FED">
        <w:rPr>
          <w:rFonts w:cstheme="minorHAnsi"/>
          <w:b/>
          <w:bCs/>
          <w:sz w:val="24"/>
          <w:szCs w:val="24"/>
        </w:rPr>
        <w:t>Monitoring</w:t>
      </w:r>
      <w:r w:rsidRPr="007D6FED">
        <w:rPr>
          <w:rFonts w:cstheme="minorHAnsi"/>
          <w:sz w:val="24"/>
          <w:szCs w:val="24"/>
        </w:rPr>
        <w:t xml:space="preserve">: Each Satellite‘s Administrator or their designee will review patient outcomes monthly and report quarterly to the governing board of the Applicant. </w:t>
      </w:r>
    </w:p>
    <w:p w14:paraId="3C21FDA8" w14:textId="77777777" w:rsidR="00552429" w:rsidRPr="00552429" w:rsidRDefault="00552429" w:rsidP="00552429">
      <w:pPr>
        <w:ind w:left="1080"/>
        <w:rPr>
          <w:rFonts w:cstheme="minorHAnsi"/>
          <w:sz w:val="24"/>
          <w:szCs w:val="24"/>
        </w:rPr>
      </w:pPr>
    </w:p>
    <w:p w14:paraId="1A7B35EC" w14:textId="77777777" w:rsidR="002735CF" w:rsidRPr="007D6FED" w:rsidRDefault="002735CF" w:rsidP="002735CF">
      <w:pPr>
        <w:pStyle w:val="ListParagraph"/>
        <w:numPr>
          <w:ilvl w:val="0"/>
          <w:numId w:val="6"/>
        </w:numPr>
        <w:rPr>
          <w:rFonts w:cstheme="minorHAnsi"/>
          <w:b/>
          <w:bCs/>
          <w:sz w:val="24"/>
          <w:szCs w:val="24"/>
        </w:rPr>
      </w:pPr>
      <w:r w:rsidRPr="007D6FED">
        <w:rPr>
          <w:rFonts w:cstheme="minorHAnsi"/>
          <w:b/>
          <w:bCs/>
          <w:sz w:val="24"/>
          <w:szCs w:val="24"/>
        </w:rPr>
        <w:t xml:space="preserve">A1c Control and Compliance: </w:t>
      </w:r>
      <w:r w:rsidRPr="007D6FED">
        <w:rPr>
          <w:rFonts w:cstheme="minorHAnsi"/>
          <w:sz w:val="24"/>
          <w:szCs w:val="24"/>
        </w:rPr>
        <w:t xml:space="preserve">Patients with diabetes must control their blood sugar levels to improve their health outcome. </w:t>
      </w:r>
    </w:p>
    <w:p w14:paraId="03D057C2" w14:textId="3F3CD1C6" w:rsidR="002735CF" w:rsidRPr="007D6FED" w:rsidRDefault="002735CF" w:rsidP="002735CF">
      <w:pPr>
        <w:pStyle w:val="ListParagraph"/>
        <w:numPr>
          <w:ilvl w:val="1"/>
          <w:numId w:val="6"/>
        </w:numPr>
        <w:rPr>
          <w:b/>
          <w:sz w:val="24"/>
          <w:szCs w:val="24"/>
        </w:rPr>
      </w:pPr>
      <w:r w:rsidRPr="0165A4D9">
        <w:rPr>
          <w:b/>
          <w:sz w:val="24"/>
          <w:szCs w:val="24"/>
        </w:rPr>
        <w:t xml:space="preserve">Measure: </w:t>
      </w:r>
      <w:r w:rsidRPr="0165A4D9">
        <w:rPr>
          <w:sz w:val="24"/>
          <w:szCs w:val="24"/>
        </w:rPr>
        <w:t>A1c Control and Compliance will be used to measure the Proposed Project’s impact on patient outcomes</w:t>
      </w:r>
      <w:r w:rsidR="00D44268">
        <w:rPr>
          <w:sz w:val="24"/>
          <w:szCs w:val="24"/>
        </w:rPr>
        <w:t xml:space="preserve"> at the Quincy Satellite</w:t>
      </w:r>
      <w:r w:rsidRPr="0165A4D9">
        <w:rPr>
          <w:sz w:val="24"/>
          <w:szCs w:val="24"/>
        </w:rPr>
        <w:t xml:space="preserve">. </w:t>
      </w:r>
    </w:p>
    <w:p w14:paraId="6AC369B7" w14:textId="77777777" w:rsidR="002735CF" w:rsidRPr="007D6FED" w:rsidRDefault="002735CF" w:rsidP="002735CF">
      <w:pPr>
        <w:pStyle w:val="ListParagraph"/>
        <w:ind w:left="1100"/>
        <w:rPr>
          <w:rFonts w:cstheme="minorHAnsi"/>
          <w:b/>
          <w:bCs/>
          <w:sz w:val="24"/>
          <w:szCs w:val="24"/>
        </w:rPr>
      </w:pPr>
    </w:p>
    <w:p w14:paraId="65BB932E" w14:textId="77777777" w:rsidR="002735CF" w:rsidRPr="007D6FED" w:rsidRDefault="002735CF" w:rsidP="002735CF">
      <w:pPr>
        <w:pStyle w:val="ListParagraph"/>
        <w:ind w:left="1440"/>
        <w:rPr>
          <w:rFonts w:cstheme="minorHAnsi"/>
          <w:sz w:val="24"/>
          <w:szCs w:val="24"/>
        </w:rPr>
      </w:pPr>
      <w:r w:rsidRPr="007D6FED">
        <w:rPr>
          <w:rFonts w:cstheme="minorHAnsi"/>
          <w:sz w:val="24"/>
          <w:szCs w:val="24"/>
        </w:rPr>
        <w:t xml:space="preserve">Numerator = Number of risk patients with a diagnosis of diabetes whose A1c levels are within target range </w:t>
      </w:r>
    </w:p>
    <w:p w14:paraId="680A35A8" w14:textId="77777777" w:rsidR="002735CF" w:rsidRPr="007D6FED" w:rsidRDefault="002735CF" w:rsidP="002735CF">
      <w:pPr>
        <w:pStyle w:val="ListParagraph"/>
        <w:ind w:left="1440"/>
        <w:rPr>
          <w:rFonts w:cstheme="minorHAnsi"/>
          <w:b/>
          <w:bCs/>
          <w:sz w:val="24"/>
          <w:szCs w:val="24"/>
        </w:rPr>
      </w:pPr>
    </w:p>
    <w:p w14:paraId="6AB96816" w14:textId="77777777" w:rsidR="002735CF" w:rsidRPr="007D6FED" w:rsidRDefault="002735CF" w:rsidP="002735CF">
      <w:pPr>
        <w:pStyle w:val="ListParagraph"/>
        <w:ind w:left="1440"/>
        <w:rPr>
          <w:rFonts w:cstheme="minorHAnsi"/>
          <w:sz w:val="24"/>
          <w:szCs w:val="24"/>
        </w:rPr>
      </w:pPr>
      <w:r w:rsidRPr="007D6FED">
        <w:rPr>
          <w:rFonts w:cstheme="minorHAnsi"/>
          <w:sz w:val="24"/>
          <w:szCs w:val="24"/>
        </w:rPr>
        <w:t xml:space="preserve">Denominator = Number of risk patients with a diagnosis of diabetes </w:t>
      </w:r>
    </w:p>
    <w:p w14:paraId="65DB1012" w14:textId="77777777" w:rsidR="002735CF" w:rsidRPr="007D6FED" w:rsidRDefault="002735CF" w:rsidP="002735CF">
      <w:pPr>
        <w:pStyle w:val="ListParagraph"/>
        <w:ind w:left="1440"/>
        <w:rPr>
          <w:rFonts w:cstheme="minorHAnsi"/>
          <w:sz w:val="24"/>
          <w:szCs w:val="24"/>
        </w:rPr>
      </w:pPr>
    </w:p>
    <w:p w14:paraId="20047AF3" w14:textId="77777777" w:rsidR="002735CF" w:rsidRPr="007D6FED" w:rsidRDefault="002735CF" w:rsidP="002735CF">
      <w:pPr>
        <w:pStyle w:val="ListParagraph"/>
        <w:numPr>
          <w:ilvl w:val="1"/>
          <w:numId w:val="6"/>
        </w:numPr>
        <w:rPr>
          <w:rFonts w:cstheme="minorHAnsi"/>
          <w:b/>
          <w:bCs/>
          <w:sz w:val="24"/>
          <w:szCs w:val="24"/>
        </w:rPr>
      </w:pPr>
      <w:r w:rsidRPr="007D6FED">
        <w:rPr>
          <w:rFonts w:cstheme="minorHAnsi"/>
          <w:b/>
          <w:bCs/>
          <w:sz w:val="24"/>
          <w:szCs w:val="24"/>
        </w:rPr>
        <w:t>Projections</w:t>
      </w:r>
      <w:r w:rsidRPr="007D6FED">
        <w:rPr>
          <w:rFonts w:cstheme="minorHAnsi"/>
          <w:sz w:val="24"/>
          <w:szCs w:val="24"/>
        </w:rPr>
        <w:t>: As the Proposed Project is to establish two new Facilities, the Applicant will provide baseline measures and three years of projections following the first fiscal year of operation.</w:t>
      </w:r>
    </w:p>
    <w:p w14:paraId="5001A439" w14:textId="27565468" w:rsidR="002735CF" w:rsidRPr="007D6FED" w:rsidRDefault="002735CF" w:rsidP="002735CF">
      <w:pPr>
        <w:pStyle w:val="ListParagraph"/>
        <w:numPr>
          <w:ilvl w:val="1"/>
          <w:numId w:val="6"/>
        </w:numPr>
        <w:rPr>
          <w:rFonts w:cstheme="minorHAnsi"/>
          <w:sz w:val="24"/>
          <w:szCs w:val="24"/>
        </w:rPr>
      </w:pPr>
      <w:r w:rsidRPr="007D6FED">
        <w:rPr>
          <w:rFonts w:cstheme="minorHAnsi"/>
          <w:b/>
          <w:bCs/>
          <w:sz w:val="24"/>
          <w:szCs w:val="24"/>
        </w:rPr>
        <w:t xml:space="preserve">Monitoring: </w:t>
      </w:r>
      <w:r w:rsidRPr="007D6FED">
        <w:rPr>
          <w:rFonts w:cstheme="minorHAnsi"/>
          <w:sz w:val="24"/>
          <w:szCs w:val="24"/>
        </w:rPr>
        <w:t xml:space="preserve">Each </w:t>
      </w:r>
      <w:r w:rsidRPr="007D6FED">
        <w:rPr>
          <w:rFonts w:eastAsia="Calibri" w:cstheme="minorHAnsi"/>
          <w:sz w:val="24"/>
          <w:szCs w:val="24"/>
        </w:rPr>
        <w:t>Satellite</w:t>
      </w:r>
      <w:r w:rsidRPr="007D6FED">
        <w:rPr>
          <w:rFonts w:cstheme="minorHAnsi"/>
          <w:sz w:val="24"/>
          <w:szCs w:val="24"/>
        </w:rPr>
        <w:t>’s Administrator or their designee will review patient outcomes monthly and report quarterly to the governing board of the Applicant.</w:t>
      </w:r>
    </w:p>
    <w:p w14:paraId="6A05FF70" w14:textId="77777777" w:rsidR="002735CF" w:rsidRDefault="002735CF" w:rsidP="002735CF">
      <w:pPr>
        <w:pStyle w:val="BodyText"/>
        <w:widowControl/>
        <w:spacing w:before="0"/>
        <w:ind w:left="1440"/>
        <w:jc w:val="both"/>
        <w:rPr>
          <w:rFonts w:cs="Times New Roman"/>
          <w:b/>
          <w:kern w:val="2"/>
          <w:sz w:val="22"/>
          <w:szCs w:val="22"/>
        </w:rPr>
      </w:pPr>
    </w:p>
    <w:p w14:paraId="12F90F2E" w14:textId="77C80830" w:rsidR="00A261C4" w:rsidRDefault="00A261C4" w:rsidP="00A261C4">
      <w:pPr>
        <w:pStyle w:val="Heading1"/>
      </w:pPr>
      <w:bookmarkStart w:id="29" w:name="_Toc196819122"/>
      <w:r w:rsidRPr="002735CF">
        <w:t>Appendix I</w:t>
      </w:r>
      <w:r>
        <w:t>I</w:t>
      </w:r>
      <w:bookmarkEnd w:id="29"/>
    </w:p>
    <w:p w14:paraId="08BB1F2E" w14:textId="30522D19" w:rsidR="00A261C4" w:rsidRDefault="00A261C4" w:rsidP="00A261C4">
      <w:pPr>
        <w:spacing w:after="0" w:line="229" w:lineRule="exact"/>
        <w:jc w:val="center"/>
        <w:rPr>
          <w:rFonts w:eastAsia="Verdana" w:cstheme="minorHAnsi"/>
          <w:b/>
          <w:bCs/>
          <w:u w:val="single"/>
        </w:rPr>
      </w:pPr>
      <w:r w:rsidRPr="00393303">
        <w:rPr>
          <w:rFonts w:eastAsia="Verdana" w:cstheme="minorHAnsi"/>
          <w:b/>
          <w:bCs/>
          <w:u w:val="single"/>
        </w:rPr>
        <w:t xml:space="preserve">BILH </w:t>
      </w:r>
      <w:r>
        <w:rPr>
          <w:rFonts w:eastAsia="Verdana" w:cstheme="minorHAnsi"/>
          <w:b/>
          <w:bCs/>
          <w:u w:val="single"/>
        </w:rPr>
        <w:t xml:space="preserve">System-Wide </w:t>
      </w:r>
      <w:r w:rsidRPr="00393303">
        <w:rPr>
          <w:rFonts w:eastAsia="Verdana" w:cstheme="minorHAnsi"/>
          <w:b/>
          <w:bCs/>
          <w:u w:val="single"/>
        </w:rPr>
        <w:t>Patient Panel Demographics</w:t>
      </w:r>
      <w:r>
        <w:rPr>
          <w:rFonts w:eastAsia="Verdana" w:cstheme="minorHAnsi"/>
          <w:b/>
          <w:bCs/>
          <w:u w:val="single"/>
        </w:rPr>
        <w:t>, FY2023</w:t>
      </w:r>
    </w:p>
    <w:tbl>
      <w:tblPr>
        <w:tblStyle w:val="TableGrid"/>
        <w:tblW w:w="0" w:type="auto"/>
        <w:jc w:val="center"/>
        <w:tblLook w:val="04A0" w:firstRow="1" w:lastRow="0" w:firstColumn="1" w:lastColumn="0" w:noHBand="0" w:noVBand="1"/>
      </w:tblPr>
      <w:tblGrid>
        <w:gridCol w:w="3875"/>
        <w:gridCol w:w="1351"/>
      </w:tblGrid>
      <w:tr w:rsidR="00A261C4" w:rsidRPr="00A911E9" w14:paraId="61E7A222" w14:textId="77777777" w:rsidTr="0025437B">
        <w:trPr>
          <w:cantSplit/>
          <w:trHeight w:val="144"/>
          <w:tblHeader/>
          <w:jc w:val="center"/>
        </w:trPr>
        <w:tc>
          <w:tcPr>
            <w:tcW w:w="3875" w:type="dxa"/>
          </w:tcPr>
          <w:p w14:paraId="3B0950E4" w14:textId="77777777" w:rsidR="00A261C4" w:rsidRPr="00AA0F82" w:rsidRDefault="00A261C4" w:rsidP="00D932D9">
            <w:pPr>
              <w:rPr>
                <w:rFonts w:cstheme="minorHAnsi"/>
                <w:highlight w:val="yellow"/>
              </w:rPr>
            </w:pPr>
          </w:p>
        </w:tc>
        <w:tc>
          <w:tcPr>
            <w:tcW w:w="1351" w:type="dxa"/>
          </w:tcPr>
          <w:p w14:paraId="6F71200E" w14:textId="77777777" w:rsidR="00A261C4" w:rsidRPr="00A911E9" w:rsidRDefault="00A261C4" w:rsidP="00D932D9">
            <w:pPr>
              <w:jc w:val="center"/>
              <w:rPr>
                <w:rFonts w:eastAsia="Calibri" w:cstheme="minorHAnsi"/>
                <w:b/>
              </w:rPr>
            </w:pPr>
            <w:r w:rsidRPr="00A911E9">
              <w:rPr>
                <w:rFonts w:eastAsia="Calibri" w:cstheme="minorHAnsi"/>
                <w:b/>
              </w:rPr>
              <w:t>BILH Overall Patient Panel</w:t>
            </w:r>
          </w:p>
        </w:tc>
      </w:tr>
      <w:tr w:rsidR="00A261C4" w:rsidRPr="00AA0F82" w14:paraId="59E3AF2C" w14:textId="77777777" w:rsidTr="0025437B">
        <w:trPr>
          <w:cantSplit/>
          <w:trHeight w:val="144"/>
          <w:jc w:val="center"/>
        </w:trPr>
        <w:tc>
          <w:tcPr>
            <w:tcW w:w="3875" w:type="dxa"/>
          </w:tcPr>
          <w:p w14:paraId="0E43E5AB" w14:textId="77777777" w:rsidR="00A261C4" w:rsidRPr="00D82CD0" w:rsidRDefault="00A261C4" w:rsidP="00D932D9">
            <w:pPr>
              <w:rPr>
                <w:rFonts w:cstheme="minorHAnsi"/>
              </w:rPr>
            </w:pPr>
            <w:r w:rsidRPr="00D82CD0">
              <w:rPr>
                <w:rFonts w:eastAsia="Calibri" w:cstheme="minorHAnsi"/>
                <w:b/>
              </w:rPr>
              <w:t>Total Unique Patients</w:t>
            </w:r>
          </w:p>
        </w:tc>
        <w:tc>
          <w:tcPr>
            <w:tcW w:w="1351" w:type="dxa"/>
          </w:tcPr>
          <w:p w14:paraId="5DCE9980" w14:textId="77777777" w:rsidR="00A261C4" w:rsidRPr="00AA0F82" w:rsidRDefault="00A261C4" w:rsidP="00D932D9">
            <w:pPr>
              <w:ind w:left="720" w:hanging="557"/>
              <w:contextualSpacing/>
              <w:jc w:val="right"/>
              <w:rPr>
                <w:rFonts w:eastAsia="Calibri" w:cstheme="minorHAnsi"/>
                <w:bCs/>
                <w:highlight w:val="yellow"/>
              </w:rPr>
            </w:pPr>
            <w:r w:rsidRPr="00EA0225">
              <w:rPr>
                <w:rFonts w:ascii="Calibri" w:hAnsi="Calibri" w:cs="Calibri"/>
                <w:color w:val="000000"/>
                <w:sz w:val="24"/>
                <w:szCs w:val="24"/>
              </w:rPr>
              <w:t>1,398,921</w:t>
            </w:r>
          </w:p>
        </w:tc>
      </w:tr>
      <w:tr w:rsidR="00A261C4" w:rsidRPr="00AA0F82" w14:paraId="3E32D68F" w14:textId="77777777" w:rsidTr="0025437B">
        <w:trPr>
          <w:cantSplit/>
          <w:trHeight w:val="144"/>
          <w:jc w:val="center"/>
        </w:trPr>
        <w:tc>
          <w:tcPr>
            <w:tcW w:w="3875" w:type="dxa"/>
          </w:tcPr>
          <w:p w14:paraId="0EC40580" w14:textId="77777777" w:rsidR="00A261C4" w:rsidRPr="00D82CD0" w:rsidRDefault="00A261C4" w:rsidP="00D932D9">
            <w:pPr>
              <w:contextualSpacing/>
              <w:rPr>
                <w:rFonts w:eastAsia="Calibri" w:cstheme="minorHAnsi"/>
                <w:bCs/>
              </w:rPr>
            </w:pPr>
            <w:r w:rsidRPr="00D82CD0">
              <w:rPr>
                <w:rFonts w:eastAsia="Calibri" w:cstheme="minorHAnsi"/>
                <w:b/>
              </w:rPr>
              <w:t>Gender</w:t>
            </w:r>
          </w:p>
        </w:tc>
        <w:tc>
          <w:tcPr>
            <w:tcW w:w="1351" w:type="dxa"/>
          </w:tcPr>
          <w:p w14:paraId="1113C32A" w14:textId="77777777" w:rsidR="00A261C4" w:rsidRPr="00AA0F82" w:rsidRDefault="00A261C4" w:rsidP="00D932D9">
            <w:pPr>
              <w:contextualSpacing/>
              <w:rPr>
                <w:rFonts w:eastAsia="Calibri" w:cstheme="minorHAnsi"/>
                <w:bCs/>
                <w:highlight w:val="yellow"/>
              </w:rPr>
            </w:pPr>
          </w:p>
        </w:tc>
      </w:tr>
      <w:tr w:rsidR="00A261C4" w:rsidRPr="00635926" w14:paraId="6261BA80" w14:textId="77777777" w:rsidTr="0025437B">
        <w:trPr>
          <w:cantSplit/>
          <w:trHeight w:val="144"/>
          <w:jc w:val="center"/>
        </w:trPr>
        <w:tc>
          <w:tcPr>
            <w:tcW w:w="3875" w:type="dxa"/>
          </w:tcPr>
          <w:p w14:paraId="3F5DFD8C" w14:textId="77777777" w:rsidR="00A261C4" w:rsidRPr="00D82CD0" w:rsidRDefault="00A261C4" w:rsidP="00D932D9">
            <w:pPr>
              <w:contextualSpacing/>
              <w:rPr>
                <w:rFonts w:eastAsia="Calibri" w:cstheme="minorHAnsi"/>
                <w:b/>
              </w:rPr>
            </w:pPr>
            <w:r w:rsidRPr="00D82CD0">
              <w:rPr>
                <w:rFonts w:eastAsia="Calibri" w:cstheme="minorHAnsi"/>
                <w:bCs/>
              </w:rPr>
              <w:t xml:space="preserve">   Female</w:t>
            </w:r>
          </w:p>
        </w:tc>
        <w:tc>
          <w:tcPr>
            <w:tcW w:w="1351" w:type="dxa"/>
          </w:tcPr>
          <w:p w14:paraId="13D4B649" w14:textId="77777777" w:rsidR="00A261C4" w:rsidRPr="00635926" w:rsidRDefault="00A261C4" w:rsidP="00D932D9">
            <w:pPr>
              <w:ind w:left="720" w:hanging="557"/>
              <w:contextualSpacing/>
              <w:jc w:val="right"/>
              <w:rPr>
                <w:rFonts w:eastAsia="Calibri" w:cstheme="minorHAnsi"/>
                <w:bCs/>
                <w:sz w:val="24"/>
                <w:szCs w:val="24"/>
                <w:highlight w:val="yellow"/>
              </w:rPr>
            </w:pPr>
            <w:r w:rsidRPr="00635926">
              <w:rPr>
                <w:rFonts w:cstheme="minorHAnsi"/>
                <w:color w:val="000000"/>
                <w:sz w:val="24"/>
                <w:szCs w:val="24"/>
              </w:rPr>
              <w:t>58.6%</w:t>
            </w:r>
          </w:p>
        </w:tc>
      </w:tr>
      <w:tr w:rsidR="00A261C4" w:rsidRPr="00635926" w14:paraId="3102E94E" w14:textId="77777777" w:rsidTr="0025437B">
        <w:trPr>
          <w:cantSplit/>
          <w:trHeight w:val="144"/>
          <w:jc w:val="center"/>
        </w:trPr>
        <w:tc>
          <w:tcPr>
            <w:tcW w:w="3875" w:type="dxa"/>
          </w:tcPr>
          <w:p w14:paraId="5A3CB23D" w14:textId="77777777" w:rsidR="00A261C4" w:rsidRPr="00D82CD0" w:rsidRDefault="00A261C4" w:rsidP="00D932D9">
            <w:pPr>
              <w:ind w:left="720" w:hanging="557"/>
              <w:contextualSpacing/>
              <w:rPr>
                <w:rFonts w:eastAsia="Calibri" w:cstheme="minorHAnsi"/>
                <w:bCs/>
              </w:rPr>
            </w:pPr>
            <w:r w:rsidRPr="00D82CD0">
              <w:rPr>
                <w:rFonts w:eastAsia="Calibri" w:cstheme="minorHAnsi"/>
                <w:bCs/>
              </w:rPr>
              <w:t>Male</w:t>
            </w:r>
          </w:p>
        </w:tc>
        <w:tc>
          <w:tcPr>
            <w:tcW w:w="1351" w:type="dxa"/>
          </w:tcPr>
          <w:p w14:paraId="658EC405" w14:textId="77777777" w:rsidR="00A261C4" w:rsidRPr="00635926" w:rsidRDefault="00A261C4" w:rsidP="00D932D9">
            <w:pPr>
              <w:ind w:left="720" w:hanging="557"/>
              <w:contextualSpacing/>
              <w:jc w:val="right"/>
              <w:rPr>
                <w:rFonts w:eastAsia="Calibri" w:cstheme="minorHAnsi"/>
                <w:bCs/>
                <w:sz w:val="24"/>
                <w:szCs w:val="24"/>
                <w:highlight w:val="yellow"/>
              </w:rPr>
            </w:pPr>
            <w:r w:rsidRPr="00635926">
              <w:rPr>
                <w:rFonts w:cstheme="minorHAnsi"/>
                <w:color w:val="000000"/>
                <w:sz w:val="24"/>
                <w:szCs w:val="24"/>
              </w:rPr>
              <w:t>41.0%</w:t>
            </w:r>
          </w:p>
        </w:tc>
      </w:tr>
      <w:tr w:rsidR="00A261C4" w:rsidRPr="00635926" w14:paraId="1E5E1AB4" w14:textId="77777777" w:rsidTr="0025437B">
        <w:trPr>
          <w:cantSplit/>
          <w:trHeight w:val="144"/>
          <w:jc w:val="center"/>
        </w:trPr>
        <w:tc>
          <w:tcPr>
            <w:tcW w:w="3875" w:type="dxa"/>
          </w:tcPr>
          <w:p w14:paraId="57BD27FB" w14:textId="77777777" w:rsidR="00A261C4" w:rsidRPr="005C5FF6" w:rsidRDefault="00A261C4" w:rsidP="00D932D9">
            <w:pPr>
              <w:contextualSpacing/>
              <w:rPr>
                <w:rFonts w:eastAsia="Calibri" w:cstheme="minorHAnsi"/>
                <w:bCs/>
              </w:rPr>
            </w:pPr>
            <w:r>
              <w:rPr>
                <w:rFonts w:eastAsia="Calibri" w:cstheme="minorHAnsi"/>
                <w:b/>
              </w:rPr>
              <w:lastRenderedPageBreak/>
              <w:t xml:space="preserve">   </w:t>
            </w:r>
            <w:r w:rsidRPr="005C5FF6">
              <w:rPr>
                <w:rFonts w:eastAsia="Calibri" w:cstheme="minorHAnsi"/>
                <w:bCs/>
              </w:rPr>
              <w:t>Other</w:t>
            </w:r>
            <w:r>
              <w:rPr>
                <w:rStyle w:val="FootnoteReference"/>
                <w:rFonts w:eastAsia="Calibri" w:cstheme="minorHAnsi"/>
                <w:bCs/>
              </w:rPr>
              <w:footnoteReference w:id="32"/>
            </w:r>
          </w:p>
        </w:tc>
        <w:tc>
          <w:tcPr>
            <w:tcW w:w="1351" w:type="dxa"/>
          </w:tcPr>
          <w:p w14:paraId="0EB3AF70" w14:textId="77777777" w:rsidR="00A261C4" w:rsidRPr="00635926" w:rsidRDefault="00A261C4" w:rsidP="00D932D9">
            <w:pPr>
              <w:ind w:left="720" w:hanging="557"/>
              <w:contextualSpacing/>
              <w:jc w:val="right"/>
              <w:rPr>
                <w:rFonts w:eastAsia="Calibri" w:cstheme="minorHAnsi"/>
                <w:b/>
                <w:sz w:val="24"/>
                <w:szCs w:val="24"/>
                <w:highlight w:val="yellow"/>
              </w:rPr>
            </w:pPr>
            <w:r w:rsidRPr="00635926">
              <w:rPr>
                <w:rFonts w:cstheme="minorHAnsi"/>
                <w:color w:val="000000"/>
                <w:sz w:val="24"/>
                <w:szCs w:val="24"/>
              </w:rPr>
              <w:t>0.5%</w:t>
            </w:r>
          </w:p>
        </w:tc>
      </w:tr>
      <w:tr w:rsidR="00A261C4" w:rsidRPr="00AA0F82" w14:paraId="5D6296A5" w14:textId="77777777" w:rsidTr="0025437B">
        <w:trPr>
          <w:cantSplit/>
          <w:trHeight w:val="144"/>
          <w:jc w:val="center"/>
        </w:trPr>
        <w:tc>
          <w:tcPr>
            <w:tcW w:w="3875" w:type="dxa"/>
          </w:tcPr>
          <w:p w14:paraId="1B333C04" w14:textId="77777777" w:rsidR="00A261C4" w:rsidRPr="00D82CD0" w:rsidRDefault="00A261C4" w:rsidP="00D932D9">
            <w:pPr>
              <w:contextualSpacing/>
              <w:rPr>
                <w:rFonts w:eastAsia="Calibri" w:cstheme="minorHAnsi"/>
                <w:bCs/>
              </w:rPr>
            </w:pPr>
            <w:r w:rsidRPr="00D82CD0">
              <w:rPr>
                <w:rFonts w:eastAsia="Calibri" w:cstheme="minorHAnsi"/>
                <w:b/>
              </w:rPr>
              <w:t xml:space="preserve">   Total</w:t>
            </w:r>
          </w:p>
        </w:tc>
        <w:tc>
          <w:tcPr>
            <w:tcW w:w="1351" w:type="dxa"/>
          </w:tcPr>
          <w:p w14:paraId="17922A04" w14:textId="77777777" w:rsidR="00A261C4" w:rsidRPr="00AA0F82" w:rsidRDefault="00A261C4" w:rsidP="00D932D9">
            <w:pPr>
              <w:ind w:left="720" w:hanging="557"/>
              <w:contextualSpacing/>
              <w:jc w:val="right"/>
              <w:rPr>
                <w:rFonts w:eastAsia="Calibri" w:cstheme="minorHAnsi"/>
                <w:b/>
                <w:highlight w:val="yellow"/>
              </w:rPr>
            </w:pPr>
            <w:r w:rsidRPr="00635926">
              <w:rPr>
                <w:rFonts w:eastAsia="Calibri" w:cstheme="minorHAnsi"/>
                <w:b/>
              </w:rPr>
              <w:t>100.0%</w:t>
            </w:r>
          </w:p>
        </w:tc>
      </w:tr>
      <w:tr w:rsidR="00A261C4" w:rsidRPr="00AA0F82" w14:paraId="72A23B21" w14:textId="77777777" w:rsidTr="0025437B">
        <w:trPr>
          <w:cantSplit/>
          <w:trHeight w:val="144"/>
          <w:jc w:val="center"/>
        </w:trPr>
        <w:tc>
          <w:tcPr>
            <w:tcW w:w="3875" w:type="dxa"/>
          </w:tcPr>
          <w:p w14:paraId="2A3A24D0" w14:textId="77777777" w:rsidR="00A261C4" w:rsidRPr="00D82CD0" w:rsidRDefault="00A261C4" w:rsidP="00D932D9">
            <w:pPr>
              <w:ind w:left="520" w:hanging="557"/>
              <w:contextualSpacing/>
              <w:rPr>
                <w:rFonts w:eastAsia="Calibri" w:cstheme="minorHAnsi"/>
                <w:b/>
              </w:rPr>
            </w:pPr>
            <w:r w:rsidRPr="00D82CD0">
              <w:rPr>
                <w:rFonts w:eastAsia="Calibri" w:cstheme="minorHAnsi"/>
                <w:b/>
              </w:rPr>
              <w:t>Age</w:t>
            </w:r>
          </w:p>
        </w:tc>
        <w:tc>
          <w:tcPr>
            <w:tcW w:w="1351" w:type="dxa"/>
          </w:tcPr>
          <w:p w14:paraId="13A3167B" w14:textId="77777777" w:rsidR="00A261C4" w:rsidRPr="00AA0F82" w:rsidRDefault="00A261C4" w:rsidP="00D932D9">
            <w:pPr>
              <w:ind w:left="520" w:hanging="557"/>
              <w:contextualSpacing/>
              <w:jc w:val="right"/>
              <w:rPr>
                <w:rFonts w:eastAsia="Calibri" w:cstheme="minorHAnsi"/>
                <w:b/>
                <w:highlight w:val="yellow"/>
              </w:rPr>
            </w:pPr>
          </w:p>
        </w:tc>
      </w:tr>
      <w:tr w:rsidR="00A261C4" w:rsidRPr="00744250" w14:paraId="4D996D23" w14:textId="77777777" w:rsidTr="0025437B">
        <w:trPr>
          <w:cantSplit/>
          <w:trHeight w:val="144"/>
          <w:jc w:val="center"/>
        </w:trPr>
        <w:tc>
          <w:tcPr>
            <w:tcW w:w="3875" w:type="dxa"/>
          </w:tcPr>
          <w:p w14:paraId="54C36802" w14:textId="77777777" w:rsidR="00A261C4" w:rsidRPr="00D82CD0" w:rsidRDefault="00A261C4" w:rsidP="00D932D9">
            <w:pPr>
              <w:contextualSpacing/>
              <w:rPr>
                <w:rFonts w:eastAsia="Calibri" w:cstheme="minorHAnsi"/>
                <w:bCs/>
              </w:rPr>
            </w:pPr>
            <w:r w:rsidRPr="00D82CD0">
              <w:rPr>
                <w:rFonts w:eastAsia="Calibri" w:cstheme="minorHAnsi"/>
                <w:bCs/>
              </w:rPr>
              <w:t xml:space="preserve">    </w:t>
            </w:r>
            <w:r>
              <w:rPr>
                <w:rFonts w:cstheme="minorHAnsi"/>
              </w:rPr>
              <w:t>0 to 17</w:t>
            </w:r>
          </w:p>
        </w:tc>
        <w:tc>
          <w:tcPr>
            <w:tcW w:w="1351" w:type="dxa"/>
          </w:tcPr>
          <w:p w14:paraId="6779FADA" w14:textId="77777777" w:rsidR="00A261C4" w:rsidRPr="00744250" w:rsidRDefault="00A261C4" w:rsidP="00D932D9">
            <w:pPr>
              <w:ind w:left="720" w:hanging="557"/>
              <w:contextualSpacing/>
              <w:jc w:val="right"/>
              <w:rPr>
                <w:rFonts w:cstheme="minorHAnsi"/>
              </w:rPr>
            </w:pPr>
            <w:r w:rsidRPr="00335511">
              <w:rPr>
                <w:rFonts w:ascii="Calibri" w:hAnsi="Calibri" w:cs="Calibri"/>
              </w:rPr>
              <w:t>7.0%</w:t>
            </w:r>
          </w:p>
        </w:tc>
      </w:tr>
      <w:tr w:rsidR="00A261C4" w:rsidRPr="00744250" w14:paraId="1B866298" w14:textId="77777777" w:rsidTr="0025437B">
        <w:trPr>
          <w:cantSplit/>
          <w:trHeight w:val="144"/>
          <w:jc w:val="center"/>
        </w:trPr>
        <w:tc>
          <w:tcPr>
            <w:tcW w:w="3875" w:type="dxa"/>
          </w:tcPr>
          <w:p w14:paraId="11FCBFCB" w14:textId="77777777" w:rsidR="00A261C4" w:rsidRPr="00D82CD0" w:rsidRDefault="00A261C4" w:rsidP="00D932D9">
            <w:pPr>
              <w:contextualSpacing/>
              <w:rPr>
                <w:rFonts w:eastAsia="Calibri" w:cstheme="minorHAnsi"/>
                <w:b/>
              </w:rPr>
            </w:pPr>
            <w:r w:rsidRPr="00D82CD0">
              <w:rPr>
                <w:rFonts w:cstheme="minorHAnsi"/>
              </w:rPr>
              <w:t xml:space="preserve">   </w:t>
            </w:r>
            <w:r>
              <w:rPr>
                <w:rFonts w:cstheme="minorHAnsi"/>
              </w:rPr>
              <w:t>18 to 25</w:t>
            </w:r>
          </w:p>
        </w:tc>
        <w:tc>
          <w:tcPr>
            <w:tcW w:w="1351" w:type="dxa"/>
          </w:tcPr>
          <w:p w14:paraId="28568DB0" w14:textId="77777777" w:rsidR="00A261C4" w:rsidRPr="00744250" w:rsidRDefault="00A261C4" w:rsidP="00D932D9">
            <w:pPr>
              <w:ind w:left="720" w:hanging="557"/>
              <w:contextualSpacing/>
              <w:jc w:val="right"/>
              <w:rPr>
                <w:rFonts w:cstheme="minorHAnsi"/>
              </w:rPr>
            </w:pPr>
            <w:r w:rsidRPr="00335511">
              <w:rPr>
                <w:rFonts w:ascii="Calibri" w:hAnsi="Calibri" w:cs="Calibri"/>
              </w:rPr>
              <w:t>12.1%</w:t>
            </w:r>
          </w:p>
        </w:tc>
      </w:tr>
      <w:tr w:rsidR="00A261C4" w:rsidRPr="00744250" w14:paraId="0F1A45B1" w14:textId="77777777" w:rsidTr="0025437B">
        <w:trPr>
          <w:cantSplit/>
          <w:trHeight w:val="144"/>
          <w:jc w:val="center"/>
        </w:trPr>
        <w:tc>
          <w:tcPr>
            <w:tcW w:w="3875" w:type="dxa"/>
          </w:tcPr>
          <w:p w14:paraId="0D8129E7" w14:textId="77777777" w:rsidR="00A261C4" w:rsidRPr="00D82CD0" w:rsidRDefault="00A261C4" w:rsidP="00D932D9">
            <w:pPr>
              <w:ind w:left="720" w:hanging="557"/>
              <w:contextualSpacing/>
              <w:rPr>
                <w:rFonts w:eastAsia="Calibri" w:cstheme="minorHAnsi"/>
                <w:bCs/>
              </w:rPr>
            </w:pPr>
            <w:r>
              <w:rPr>
                <w:rFonts w:eastAsia="Calibri" w:cstheme="minorHAnsi"/>
                <w:bCs/>
              </w:rPr>
              <w:t>26 to 45</w:t>
            </w:r>
          </w:p>
        </w:tc>
        <w:tc>
          <w:tcPr>
            <w:tcW w:w="1351" w:type="dxa"/>
          </w:tcPr>
          <w:p w14:paraId="2F313DBD" w14:textId="77777777" w:rsidR="00A261C4" w:rsidRPr="00744250" w:rsidRDefault="00A261C4" w:rsidP="00D932D9">
            <w:pPr>
              <w:ind w:left="720" w:hanging="557"/>
              <w:contextualSpacing/>
              <w:jc w:val="right"/>
              <w:rPr>
                <w:rFonts w:cstheme="minorHAnsi"/>
              </w:rPr>
            </w:pPr>
            <w:r w:rsidRPr="00335511">
              <w:rPr>
                <w:rFonts w:ascii="Calibri" w:hAnsi="Calibri" w:cs="Calibri"/>
              </w:rPr>
              <w:t>30.2%</w:t>
            </w:r>
          </w:p>
        </w:tc>
      </w:tr>
      <w:tr w:rsidR="00A261C4" w:rsidRPr="00744250" w14:paraId="7516CC77" w14:textId="77777777" w:rsidTr="0025437B">
        <w:trPr>
          <w:cantSplit/>
          <w:trHeight w:val="144"/>
          <w:jc w:val="center"/>
        </w:trPr>
        <w:tc>
          <w:tcPr>
            <w:tcW w:w="3875" w:type="dxa"/>
          </w:tcPr>
          <w:p w14:paraId="7DF05C75" w14:textId="77777777" w:rsidR="00A261C4" w:rsidRPr="00D82CD0" w:rsidRDefault="00A261C4" w:rsidP="00D932D9">
            <w:pPr>
              <w:ind w:left="720" w:hanging="557"/>
              <w:contextualSpacing/>
              <w:rPr>
                <w:rFonts w:eastAsia="Calibri" w:cstheme="minorHAnsi"/>
                <w:bCs/>
              </w:rPr>
            </w:pPr>
            <w:r>
              <w:rPr>
                <w:rFonts w:cstheme="minorHAnsi"/>
              </w:rPr>
              <w:t>46 to 64</w:t>
            </w:r>
          </w:p>
        </w:tc>
        <w:tc>
          <w:tcPr>
            <w:tcW w:w="1351" w:type="dxa"/>
          </w:tcPr>
          <w:p w14:paraId="0917E773" w14:textId="77777777" w:rsidR="00A261C4" w:rsidRPr="00744250" w:rsidRDefault="00A261C4" w:rsidP="00D932D9">
            <w:pPr>
              <w:ind w:left="720" w:hanging="557"/>
              <w:contextualSpacing/>
              <w:jc w:val="right"/>
              <w:rPr>
                <w:rFonts w:cstheme="minorHAnsi"/>
              </w:rPr>
            </w:pPr>
            <w:r w:rsidRPr="00335511">
              <w:rPr>
                <w:rFonts w:ascii="Calibri" w:hAnsi="Calibri" w:cs="Calibri"/>
              </w:rPr>
              <w:t>18.3%</w:t>
            </w:r>
          </w:p>
        </w:tc>
      </w:tr>
      <w:tr w:rsidR="00A261C4" w:rsidRPr="00744250" w14:paraId="0AE1614E" w14:textId="77777777" w:rsidTr="0025437B">
        <w:trPr>
          <w:cantSplit/>
          <w:trHeight w:val="144"/>
          <w:jc w:val="center"/>
        </w:trPr>
        <w:tc>
          <w:tcPr>
            <w:tcW w:w="3875" w:type="dxa"/>
          </w:tcPr>
          <w:p w14:paraId="06AED916" w14:textId="77777777" w:rsidR="00A261C4" w:rsidRPr="00D82CD0" w:rsidRDefault="00A261C4" w:rsidP="00D932D9">
            <w:pPr>
              <w:ind w:left="720" w:hanging="557"/>
              <w:contextualSpacing/>
              <w:rPr>
                <w:rFonts w:eastAsia="Calibri" w:cstheme="minorHAnsi"/>
                <w:bCs/>
              </w:rPr>
            </w:pPr>
            <w:r>
              <w:rPr>
                <w:rFonts w:cstheme="minorHAnsi"/>
              </w:rPr>
              <w:t>65 and Older</w:t>
            </w:r>
          </w:p>
        </w:tc>
        <w:tc>
          <w:tcPr>
            <w:tcW w:w="1351" w:type="dxa"/>
          </w:tcPr>
          <w:p w14:paraId="7CCACB2C" w14:textId="77777777" w:rsidR="00A261C4" w:rsidRPr="00744250" w:rsidRDefault="00A261C4" w:rsidP="00D932D9">
            <w:pPr>
              <w:ind w:left="720" w:hanging="557"/>
              <w:contextualSpacing/>
              <w:jc w:val="right"/>
              <w:rPr>
                <w:rFonts w:cstheme="minorHAnsi"/>
              </w:rPr>
            </w:pPr>
            <w:r w:rsidRPr="00335511">
              <w:rPr>
                <w:rFonts w:ascii="Calibri" w:hAnsi="Calibri" w:cs="Calibri"/>
              </w:rPr>
              <w:t>32.4%</w:t>
            </w:r>
          </w:p>
        </w:tc>
      </w:tr>
      <w:tr w:rsidR="00A261C4" w:rsidRPr="00AA0F82" w14:paraId="4F0C8EB1" w14:textId="77777777" w:rsidTr="0025437B">
        <w:trPr>
          <w:cantSplit/>
          <w:trHeight w:val="144"/>
          <w:jc w:val="center"/>
        </w:trPr>
        <w:tc>
          <w:tcPr>
            <w:tcW w:w="3875" w:type="dxa"/>
          </w:tcPr>
          <w:p w14:paraId="035EACCE" w14:textId="77777777" w:rsidR="00A261C4" w:rsidRPr="00D82CD0" w:rsidRDefault="00A261C4" w:rsidP="00D932D9">
            <w:pPr>
              <w:ind w:left="720" w:hanging="557"/>
              <w:contextualSpacing/>
              <w:rPr>
                <w:rFonts w:eastAsia="Calibri" w:cstheme="minorHAnsi"/>
                <w:bCs/>
              </w:rPr>
            </w:pPr>
            <w:r w:rsidRPr="00D82CD0">
              <w:rPr>
                <w:rFonts w:eastAsia="Calibri" w:cstheme="minorHAnsi"/>
                <w:b/>
              </w:rPr>
              <w:t xml:space="preserve"> Total</w:t>
            </w:r>
          </w:p>
        </w:tc>
        <w:tc>
          <w:tcPr>
            <w:tcW w:w="1351" w:type="dxa"/>
          </w:tcPr>
          <w:p w14:paraId="6218088A" w14:textId="77777777" w:rsidR="00A261C4" w:rsidRPr="00AA0F82" w:rsidRDefault="00A261C4" w:rsidP="00D932D9">
            <w:pPr>
              <w:ind w:left="720" w:hanging="557"/>
              <w:contextualSpacing/>
              <w:jc w:val="right"/>
              <w:rPr>
                <w:rFonts w:cstheme="minorHAnsi"/>
                <w:highlight w:val="yellow"/>
              </w:rPr>
            </w:pPr>
            <w:r w:rsidRPr="000D67F2">
              <w:rPr>
                <w:rFonts w:eastAsia="Calibri" w:cstheme="minorHAnsi"/>
                <w:b/>
              </w:rPr>
              <w:t>100.0%</w:t>
            </w:r>
          </w:p>
        </w:tc>
      </w:tr>
      <w:tr w:rsidR="00A261C4" w:rsidRPr="00AA0F82" w14:paraId="57596699" w14:textId="77777777" w:rsidTr="0025437B">
        <w:trPr>
          <w:cantSplit/>
          <w:trHeight w:val="144"/>
          <w:jc w:val="center"/>
        </w:trPr>
        <w:tc>
          <w:tcPr>
            <w:tcW w:w="3875" w:type="dxa"/>
          </w:tcPr>
          <w:p w14:paraId="2FCB001B" w14:textId="77777777" w:rsidR="00A261C4" w:rsidRPr="00D82CD0" w:rsidRDefault="00A261C4" w:rsidP="00D932D9">
            <w:pPr>
              <w:ind w:left="520" w:hanging="557"/>
              <w:contextualSpacing/>
              <w:rPr>
                <w:rFonts w:eastAsia="Calibri" w:cstheme="minorHAnsi"/>
                <w:b/>
              </w:rPr>
            </w:pPr>
            <w:r w:rsidRPr="00D82CD0">
              <w:rPr>
                <w:rFonts w:eastAsia="Calibri" w:cstheme="minorHAnsi"/>
                <w:b/>
              </w:rPr>
              <w:t>Race</w:t>
            </w:r>
          </w:p>
        </w:tc>
        <w:tc>
          <w:tcPr>
            <w:tcW w:w="1351" w:type="dxa"/>
          </w:tcPr>
          <w:p w14:paraId="19CFE38D" w14:textId="77777777" w:rsidR="00A261C4" w:rsidRPr="00AA0F82" w:rsidRDefault="00A261C4" w:rsidP="00D932D9">
            <w:pPr>
              <w:ind w:left="720" w:hanging="557"/>
              <w:contextualSpacing/>
              <w:jc w:val="right"/>
              <w:rPr>
                <w:rFonts w:eastAsia="Calibri" w:cstheme="minorHAnsi"/>
                <w:b/>
                <w:highlight w:val="yellow"/>
              </w:rPr>
            </w:pPr>
          </w:p>
        </w:tc>
      </w:tr>
      <w:tr w:rsidR="00A261C4" w:rsidRPr="002B4156" w14:paraId="369D06E4" w14:textId="77777777" w:rsidTr="0025437B">
        <w:trPr>
          <w:cantSplit/>
          <w:trHeight w:val="144"/>
          <w:jc w:val="center"/>
        </w:trPr>
        <w:tc>
          <w:tcPr>
            <w:tcW w:w="3875" w:type="dxa"/>
          </w:tcPr>
          <w:p w14:paraId="1BC1D546" w14:textId="77777777" w:rsidR="00A261C4" w:rsidRPr="006405DF" w:rsidRDefault="00A261C4" w:rsidP="00D932D9">
            <w:pPr>
              <w:contextualSpacing/>
              <w:rPr>
                <w:rFonts w:eastAsia="Calibri" w:cstheme="minorHAnsi"/>
                <w:b/>
                <w:sz w:val="24"/>
                <w:szCs w:val="24"/>
              </w:rPr>
            </w:pPr>
            <w:r w:rsidRPr="006405DF">
              <w:rPr>
                <w:rFonts w:ascii="Calibri" w:hAnsi="Calibri" w:cs="Calibri"/>
                <w:color w:val="000000"/>
                <w:sz w:val="24"/>
                <w:szCs w:val="24"/>
              </w:rPr>
              <w:t xml:space="preserve">   White</w:t>
            </w:r>
          </w:p>
        </w:tc>
        <w:tc>
          <w:tcPr>
            <w:tcW w:w="1351" w:type="dxa"/>
          </w:tcPr>
          <w:p w14:paraId="761FA229" w14:textId="77777777" w:rsidR="00A261C4" w:rsidRPr="002B4156" w:rsidRDefault="00A261C4" w:rsidP="00D932D9">
            <w:pPr>
              <w:ind w:left="720" w:hanging="557"/>
              <w:contextualSpacing/>
              <w:jc w:val="right"/>
              <w:rPr>
                <w:rFonts w:cstheme="minorHAnsi"/>
                <w:b/>
                <w:bCs/>
                <w:color w:val="000000"/>
                <w:sz w:val="24"/>
                <w:szCs w:val="24"/>
                <w:highlight w:val="yellow"/>
              </w:rPr>
            </w:pPr>
            <w:r w:rsidRPr="002B4156">
              <w:rPr>
                <w:rFonts w:cstheme="minorHAnsi"/>
                <w:color w:val="000000"/>
                <w:sz w:val="24"/>
                <w:szCs w:val="24"/>
              </w:rPr>
              <w:t>75.6%</w:t>
            </w:r>
          </w:p>
        </w:tc>
      </w:tr>
      <w:tr w:rsidR="00A261C4" w:rsidRPr="002B4156" w14:paraId="416BBE11" w14:textId="77777777" w:rsidTr="0025437B">
        <w:trPr>
          <w:cantSplit/>
          <w:trHeight w:val="144"/>
          <w:jc w:val="center"/>
        </w:trPr>
        <w:tc>
          <w:tcPr>
            <w:tcW w:w="3875" w:type="dxa"/>
          </w:tcPr>
          <w:p w14:paraId="411E2661" w14:textId="77777777" w:rsidR="00A261C4" w:rsidRPr="006405DF" w:rsidRDefault="00A261C4" w:rsidP="00D932D9">
            <w:pPr>
              <w:ind w:left="720" w:hanging="557"/>
              <w:contextualSpacing/>
              <w:rPr>
                <w:rFonts w:cstheme="minorHAnsi"/>
                <w:spacing w:val="-2"/>
                <w:sz w:val="24"/>
                <w:szCs w:val="24"/>
              </w:rPr>
            </w:pPr>
            <w:r w:rsidRPr="006405DF">
              <w:rPr>
                <w:rFonts w:ascii="Calibri" w:hAnsi="Calibri" w:cs="Calibri"/>
                <w:color w:val="000000"/>
                <w:sz w:val="24"/>
                <w:szCs w:val="24"/>
              </w:rPr>
              <w:t>Black or African American</w:t>
            </w:r>
          </w:p>
        </w:tc>
        <w:tc>
          <w:tcPr>
            <w:tcW w:w="1351" w:type="dxa"/>
          </w:tcPr>
          <w:p w14:paraId="3CB33101" w14:textId="77777777" w:rsidR="00A261C4" w:rsidRPr="002B4156" w:rsidRDefault="00A261C4" w:rsidP="00D932D9">
            <w:pPr>
              <w:ind w:left="720" w:hanging="557"/>
              <w:contextualSpacing/>
              <w:jc w:val="right"/>
              <w:rPr>
                <w:rFonts w:cstheme="minorHAnsi"/>
                <w:sz w:val="24"/>
                <w:szCs w:val="24"/>
                <w:highlight w:val="yellow"/>
              </w:rPr>
            </w:pPr>
            <w:r w:rsidRPr="002B4156">
              <w:rPr>
                <w:rFonts w:cstheme="minorHAnsi"/>
                <w:color w:val="000000"/>
                <w:sz w:val="24"/>
                <w:szCs w:val="24"/>
              </w:rPr>
              <w:t>5.6%</w:t>
            </w:r>
          </w:p>
        </w:tc>
      </w:tr>
      <w:tr w:rsidR="00A261C4" w:rsidRPr="002B4156" w14:paraId="4D3D94A8" w14:textId="77777777" w:rsidTr="0025437B">
        <w:trPr>
          <w:cantSplit/>
          <w:trHeight w:val="144"/>
          <w:jc w:val="center"/>
        </w:trPr>
        <w:tc>
          <w:tcPr>
            <w:tcW w:w="3875" w:type="dxa"/>
          </w:tcPr>
          <w:p w14:paraId="5D676FAF"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American Indian or Alaska Native</w:t>
            </w:r>
          </w:p>
        </w:tc>
        <w:tc>
          <w:tcPr>
            <w:tcW w:w="1351" w:type="dxa"/>
          </w:tcPr>
          <w:p w14:paraId="643480C9" w14:textId="77777777" w:rsidR="00A261C4" w:rsidRPr="002B4156" w:rsidRDefault="00A261C4" w:rsidP="00D932D9">
            <w:pPr>
              <w:ind w:left="720" w:hanging="557"/>
              <w:contextualSpacing/>
              <w:jc w:val="right"/>
              <w:rPr>
                <w:rFonts w:cstheme="minorHAnsi"/>
                <w:sz w:val="24"/>
                <w:szCs w:val="24"/>
                <w:highlight w:val="yellow"/>
              </w:rPr>
            </w:pPr>
            <w:r w:rsidRPr="002B4156">
              <w:rPr>
                <w:rFonts w:cstheme="minorHAnsi"/>
                <w:color w:val="000000"/>
                <w:sz w:val="24"/>
                <w:szCs w:val="24"/>
              </w:rPr>
              <w:t>0.1%</w:t>
            </w:r>
          </w:p>
        </w:tc>
      </w:tr>
      <w:tr w:rsidR="00A261C4" w:rsidRPr="002B4156" w14:paraId="13B8B320" w14:textId="77777777" w:rsidTr="0025437B">
        <w:trPr>
          <w:cantSplit/>
          <w:trHeight w:val="144"/>
          <w:jc w:val="center"/>
        </w:trPr>
        <w:tc>
          <w:tcPr>
            <w:tcW w:w="3875" w:type="dxa"/>
          </w:tcPr>
          <w:p w14:paraId="4E7CD19D"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Asian</w:t>
            </w:r>
          </w:p>
        </w:tc>
        <w:tc>
          <w:tcPr>
            <w:tcW w:w="1351" w:type="dxa"/>
          </w:tcPr>
          <w:p w14:paraId="2582530C" w14:textId="77777777" w:rsidR="00A261C4" w:rsidRPr="002B4156" w:rsidRDefault="00A261C4" w:rsidP="00D932D9">
            <w:pPr>
              <w:ind w:left="720" w:hanging="557"/>
              <w:contextualSpacing/>
              <w:jc w:val="right"/>
              <w:rPr>
                <w:rFonts w:cstheme="minorHAnsi"/>
                <w:sz w:val="24"/>
                <w:szCs w:val="24"/>
                <w:highlight w:val="yellow"/>
              </w:rPr>
            </w:pPr>
            <w:r w:rsidRPr="002B4156">
              <w:rPr>
                <w:rFonts w:cstheme="minorHAnsi"/>
                <w:color w:val="000000"/>
                <w:sz w:val="24"/>
                <w:szCs w:val="24"/>
              </w:rPr>
              <w:t>6.8%</w:t>
            </w:r>
          </w:p>
        </w:tc>
      </w:tr>
      <w:tr w:rsidR="00A261C4" w:rsidRPr="002B4156" w14:paraId="22650F09" w14:textId="77777777" w:rsidTr="0025437B">
        <w:trPr>
          <w:cantSplit/>
          <w:trHeight w:val="144"/>
          <w:jc w:val="center"/>
        </w:trPr>
        <w:tc>
          <w:tcPr>
            <w:tcW w:w="3875" w:type="dxa"/>
          </w:tcPr>
          <w:p w14:paraId="2FBC9C35"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Native Hawaiian or Other Pacific Islander</w:t>
            </w:r>
          </w:p>
        </w:tc>
        <w:tc>
          <w:tcPr>
            <w:tcW w:w="1351" w:type="dxa"/>
          </w:tcPr>
          <w:p w14:paraId="71C15EF7" w14:textId="77777777" w:rsidR="00A261C4" w:rsidRPr="002B4156" w:rsidRDefault="00A261C4" w:rsidP="00D932D9">
            <w:pPr>
              <w:ind w:left="720" w:hanging="557"/>
              <w:contextualSpacing/>
              <w:jc w:val="right"/>
              <w:rPr>
                <w:rFonts w:cstheme="minorHAnsi"/>
                <w:sz w:val="24"/>
                <w:szCs w:val="24"/>
                <w:highlight w:val="yellow"/>
              </w:rPr>
            </w:pPr>
            <w:r w:rsidRPr="002B4156">
              <w:rPr>
                <w:rFonts w:cstheme="minorHAnsi"/>
                <w:color w:val="000000"/>
                <w:sz w:val="24"/>
                <w:szCs w:val="24"/>
              </w:rPr>
              <w:t>0.1%</w:t>
            </w:r>
          </w:p>
        </w:tc>
      </w:tr>
      <w:tr w:rsidR="00A261C4" w:rsidRPr="002B4156" w14:paraId="2EE24C7A" w14:textId="77777777" w:rsidTr="0025437B">
        <w:trPr>
          <w:cantSplit/>
          <w:trHeight w:val="144"/>
          <w:jc w:val="center"/>
        </w:trPr>
        <w:tc>
          <w:tcPr>
            <w:tcW w:w="3875" w:type="dxa"/>
          </w:tcPr>
          <w:p w14:paraId="19FE95ED"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Other</w:t>
            </w:r>
            <w:r>
              <w:rPr>
                <w:rStyle w:val="FootnoteReference"/>
                <w:rFonts w:ascii="Calibri" w:hAnsi="Calibri" w:cs="Calibri"/>
                <w:color w:val="000000"/>
                <w:sz w:val="24"/>
                <w:szCs w:val="24"/>
              </w:rPr>
              <w:footnoteReference w:id="33"/>
            </w:r>
          </w:p>
        </w:tc>
        <w:tc>
          <w:tcPr>
            <w:tcW w:w="1351" w:type="dxa"/>
          </w:tcPr>
          <w:p w14:paraId="56CA6DC7" w14:textId="77777777" w:rsidR="00A261C4" w:rsidRPr="002B4156" w:rsidRDefault="00A261C4" w:rsidP="00D932D9">
            <w:pPr>
              <w:ind w:left="720" w:hanging="557"/>
              <w:contextualSpacing/>
              <w:jc w:val="right"/>
              <w:rPr>
                <w:rFonts w:cstheme="minorHAnsi"/>
                <w:color w:val="000000"/>
                <w:sz w:val="24"/>
                <w:szCs w:val="24"/>
                <w:highlight w:val="yellow"/>
              </w:rPr>
            </w:pPr>
            <w:r w:rsidRPr="002B4156">
              <w:rPr>
                <w:rFonts w:cstheme="minorHAnsi"/>
                <w:color w:val="000000"/>
                <w:sz w:val="24"/>
                <w:szCs w:val="24"/>
              </w:rPr>
              <w:t>4.8%</w:t>
            </w:r>
          </w:p>
        </w:tc>
      </w:tr>
      <w:tr w:rsidR="00A261C4" w:rsidRPr="002B4156" w14:paraId="5CD7D922" w14:textId="77777777" w:rsidTr="0025437B">
        <w:trPr>
          <w:cantSplit/>
          <w:trHeight w:val="144"/>
          <w:jc w:val="center"/>
        </w:trPr>
        <w:tc>
          <w:tcPr>
            <w:tcW w:w="3875" w:type="dxa"/>
          </w:tcPr>
          <w:p w14:paraId="3A9CAE5A"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Unknown</w:t>
            </w:r>
          </w:p>
        </w:tc>
        <w:tc>
          <w:tcPr>
            <w:tcW w:w="1351" w:type="dxa"/>
          </w:tcPr>
          <w:p w14:paraId="27D977DB" w14:textId="77777777" w:rsidR="00A261C4" w:rsidRPr="002B4156" w:rsidRDefault="00A261C4" w:rsidP="00D932D9">
            <w:pPr>
              <w:ind w:left="720" w:hanging="557"/>
              <w:contextualSpacing/>
              <w:jc w:val="right"/>
              <w:rPr>
                <w:rFonts w:cstheme="minorHAnsi"/>
                <w:color w:val="000000"/>
                <w:sz w:val="24"/>
                <w:szCs w:val="24"/>
                <w:highlight w:val="yellow"/>
              </w:rPr>
            </w:pPr>
            <w:r w:rsidRPr="002B4156">
              <w:rPr>
                <w:rFonts w:cstheme="minorHAnsi"/>
                <w:color w:val="000000"/>
                <w:sz w:val="24"/>
                <w:szCs w:val="24"/>
              </w:rPr>
              <w:t>5.6%</w:t>
            </w:r>
          </w:p>
        </w:tc>
      </w:tr>
      <w:tr w:rsidR="00A261C4" w:rsidRPr="00F000A9" w14:paraId="38B2F7B4" w14:textId="77777777" w:rsidTr="0025437B">
        <w:trPr>
          <w:cantSplit/>
          <w:trHeight w:val="144"/>
          <w:jc w:val="center"/>
        </w:trPr>
        <w:tc>
          <w:tcPr>
            <w:tcW w:w="3875" w:type="dxa"/>
          </w:tcPr>
          <w:p w14:paraId="5FB1DF9E" w14:textId="77777777" w:rsidR="00A261C4" w:rsidRPr="006405DF" w:rsidRDefault="00A261C4" w:rsidP="00D932D9">
            <w:pPr>
              <w:ind w:left="720" w:hanging="557"/>
              <w:contextualSpacing/>
              <w:rPr>
                <w:rFonts w:cstheme="minorHAnsi"/>
                <w:color w:val="000000"/>
                <w:sz w:val="24"/>
                <w:szCs w:val="24"/>
              </w:rPr>
            </w:pPr>
            <w:r w:rsidRPr="006405DF">
              <w:rPr>
                <w:rFonts w:ascii="Calibri" w:hAnsi="Calibri" w:cs="Calibri"/>
                <w:color w:val="000000"/>
                <w:sz w:val="24"/>
                <w:szCs w:val="24"/>
              </w:rPr>
              <w:t>Patient Declined</w:t>
            </w:r>
          </w:p>
        </w:tc>
        <w:tc>
          <w:tcPr>
            <w:tcW w:w="1351" w:type="dxa"/>
          </w:tcPr>
          <w:p w14:paraId="45DC8A50" w14:textId="77777777" w:rsidR="00A261C4" w:rsidRPr="00F000A9" w:rsidRDefault="00A261C4" w:rsidP="00D932D9">
            <w:pPr>
              <w:ind w:left="720" w:hanging="557"/>
              <w:contextualSpacing/>
              <w:jc w:val="right"/>
              <w:rPr>
                <w:rFonts w:cstheme="minorHAnsi"/>
                <w:sz w:val="24"/>
                <w:szCs w:val="24"/>
                <w:highlight w:val="yellow"/>
              </w:rPr>
            </w:pPr>
            <w:r w:rsidRPr="00F000A9">
              <w:rPr>
                <w:rFonts w:cstheme="minorHAnsi"/>
                <w:color w:val="000000"/>
                <w:sz w:val="24"/>
                <w:szCs w:val="24"/>
              </w:rPr>
              <w:t>1.4%</w:t>
            </w:r>
          </w:p>
        </w:tc>
      </w:tr>
      <w:tr w:rsidR="00A261C4" w:rsidRPr="00AA0F82" w14:paraId="09C08CDF" w14:textId="77777777" w:rsidTr="0025437B">
        <w:trPr>
          <w:cantSplit/>
          <w:trHeight w:val="144"/>
          <w:jc w:val="center"/>
        </w:trPr>
        <w:tc>
          <w:tcPr>
            <w:tcW w:w="3875" w:type="dxa"/>
          </w:tcPr>
          <w:p w14:paraId="44D589A9" w14:textId="77777777" w:rsidR="00A261C4" w:rsidRPr="00D82CD0" w:rsidRDefault="00A261C4" w:rsidP="00D932D9">
            <w:pPr>
              <w:ind w:left="720" w:hanging="557"/>
              <w:contextualSpacing/>
              <w:rPr>
                <w:rFonts w:cstheme="minorHAnsi"/>
                <w:color w:val="000000"/>
              </w:rPr>
            </w:pPr>
            <w:r w:rsidRPr="00D82CD0">
              <w:rPr>
                <w:rFonts w:cstheme="minorHAnsi"/>
                <w:b/>
                <w:bCs/>
                <w:color w:val="000000"/>
              </w:rPr>
              <w:t>Total</w:t>
            </w:r>
          </w:p>
        </w:tc>
        <w:tc>
          <w:tcPr>
            <w:tcW w:w="1351" w:type="dxa"/>
          </w:tcPr>
          <w:p w14:paraId="4F0EE6FE" w14:textId="77777777" w:rsidR="00A261C4" w:rsidRPr="00AA0F82" w:rsidRDefault="00A261C4" w:rsidP="00D932D9">
            <w:pPr>
              <w:ind w:left="720" w:hanging="557"/>
              <w:contextualSpacing/>
              <w:jc w:val="right"/>
              <w:rPr>
                <w:rFonts w:cstheme="minorHAnsi"/>
                <w:highlight w:val="yellow"/>
              </w:rPr>
            </w:pPr>
            <w:r w:rsidRPr="00F000A9">
              <w:rPr>
                <w:rFonts w:cstheme="minorHAnsi"/>
                <w:b/>
                <w:bCs/>
                <w:color w:val="000000"/>
              </w:rPr>
              <w:t>100.0%</w:t>
            </w:r>
          </w:p>
        </w:tc>
      </w:tr>
      <w:tr w:rsidR="00A261C4" w:rsidRPr="00AA0F82" w14:paraId="52400455" w14:textId="77777777" w:rsidTr="0025437B">
        <w:trPr>
          <w:cantSplit/>
          <w:trHeight w:val="144"/>
          <w:jc w:val="center"/>
        </w:trPr>
        <w:tc>
          <w:tcPr>
            <w:tcW w:w="3875" w:type="dxa"/>
          </w:tcPr>
          <w:p w14:paraId="3AE8FE62" w14:textId="77777777" w:rsidR="00A261C4" w:rsidRPr="00D82CD0" w:rsidRDefault="00A261C4" w:rsidP="00D932D9">
            <w:pPr>
              <w:contextualSpacing/>
              <w:rPr>
                <w:rFonts w:eastAsia="Calibri" w:cstheme="minorHAnsi"/>
                <w:b/>
              </w:rPr>
            </w:pPr>
            <w:r>
              <w:rPr>
                <w:rFonts w:eastAsia="Calibri" w:cstheme="minorHAnsi"/>
                <w:b/>
              </w:rPr>
              <w:t>Ethnicity</w:t>
            </w:r>
          </w:p>
        </w:tc>
        <w:tc>
          <w:tcPr>
            <w:tcW w:w="1351" w:type="dxa"/>
          </w:tcPr>
          <w:p w14:paraId="1773D85C" w14:textId="77777777" w:rsidR="00A261C4" w:rsidRPr="00AA0F82" w:rsidRDefault="00A261C4" w:rsidP="00D932D9">
            <w:pPr>
              <w:ind w:left="720" w:hanging="557"/>
              <w:contextualSpacing/>
              <w:jc w:val="right"/>
              <w:rPr>
                <w:rFonts w:cstheme="minorHAnsi"/>
                <w:highlight w:val="yellow"/>
              </w:rPr>
            </w:pPr>
          </w:p>
        </w:tc>
      </w:tr>
      <w:tr w:rsidR="00A261C4" w:rsidRPr="006D3F8D" w14:paraId="31BB3DF0" w14:textId="77777777" w:rsidTr="0025437B">
        <w:trPr>
          <w:cantSplit/>
          <w:trHeight w:val="144"/>
          <w:jc w:val="center"/>
        </w:trPr>
        <w:tc>
          <w:tcPr>
            <w:tcW w:w="3875" w:type="dxa"/>
          </w:tcPr>
          <w:p w14:paraId="7CF31295" w14:textId="77777777" w:rsidR="00A261C4" w:rsidRPr="008326C8" w:rsidRDefault="00A261C4" w:rsidP="00D932D9">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Hispanic or Latino</w:t>
            </w:r>
          </w:p>
        </w:tc>
        <w:tc>
          <w:tcPr>
            <w:tcW w:w="1351" w:type="dxa"/>
          </w:tcPr>
          <w:p w14:paraId="141CD8F0" w14:textId="77777777" w:rsidR="00A261C4" w:rsidRPr="006D3F8D" w:rsidRDefault="00A261C4" w:rsidP="00D932D9">
            <w:pPr>
              <w:ind w:left="720" w:hanging="557"/>
              <w:contextualSpacing/>
              <w:jc w:val="right"/>
              <w:rPr>
                <w:rFonts w:cstheme="minorHAnsi"/>
                <w:sz w:val="24"/>
                <w:szCs w:val="24"/>
                <w:highlight w:val="yellow"/>
              </w:rPr>
            </w:pPr>
            <w:r w:rsidRPr="006D3F8D">
              <w:rPr>
                <w:rFonts w:cstheme="minorHAnsi"/>
                <w:color w:val="000000"/>
                <w:sz w:val="24"/>
                <w:szCs w:val="24"/>
              </w:rPr>
              <w:t>3.8%</w:t>
            </w:r>
          </w:p>
        </w:tc>
      </w:tr>
      <w:tr w:rsidR="00A261C4" w:rsidRPr="006D3F8D" w14:paraId="3C89C2CE" w14:textId="77777777" w:rsidTr="0025437B">
        <w:trPr>
          <w:cantSplit/>
          <w:trHeight w:val="144"/>
          <w:jc w:val="center"/>
        </w:trPr>
        <w:tc>
          <w:tcPr>
            <w:tcW w:w="3875" w:type="dxa"/>
          </w:tcPr>
          <w:p w14:paraId="7743F65A" w14:textId="77777777" w:rsidR="00A261C4" w:rsidRPr="008326C8" w:rsidRDefault="00A261C4" w:rsidP="00D932D9">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Not Hispanic or Latino</w:t>
            </w:r>
          </w:p>
        </w:tc>
        <w:tc>
          <w:tcPr>
            <w:tcW w:w="1351" w:type="dxa"/>
          </w:tcPr>
          <w:p w14:paraId="054ED68E" w14:textId="77777777" w:rsidR="00A261C4" w:rsidRPr="006D3F8D" w:rsidRDefault="00A261C4" w:rsidP="00D932D9">
            <w:pPr>
              <w:ind w:left="720" w:hanging="557"/>
              <w:contextualSpacing/>
              <w:jc w:val="right"/>
              <w:rPr>
                <w:rFonts w:cstheme="minorHAnsi"/>
                <w:sz w:val="24"/>
                <w:szCs w:val="24"/>
                <w:highlight w:val="yellow"/>
              </w:rPr>
            </w:pPr>
            <w:r w:rsidRPr="006D3F8D">
              <w:rPr>
                <w:rFonts w:cstheme="minorHAnsi"/>
                <w:color w:val="000000"/>
                <w:sz w:val="24"/>
                <w:szCs w:val="24"/>
              </w:rPr>
              <w:t>88.8%</w:t>
            </w:r>
          </w:p>
        </w:tc>
      </w:tr>
      <w:tr w:rsidR="00A261C4" w:rsidRPr="006D3F8D" w14:paraId="12631347" w14:textId="77777777" w:rsidTr="0025437B">
        <w:trPr>
          <w:cantSplit/>
          <w:trHeight w:val="144"/>
          <w:jc w:val="center"/>
        </w:trPr>
        <w:tc>
          <w:tcPr>
            <w:tcW w:w="3875" w:type="dxa"/>
          </w:tcPr>
          <w:p w14:paraId="0C031BAD" w14:textId="77777777" w:rsidR="00A261C4" w:rsidRPr="008326C8" w:rsidRDefault="00A261C4" w:rsidP="00D932D9">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Other</w:t>
            </w:r>
          </w:p>
        </w:tc>
        <w:tc>
          <w:tcPr>
            <w:tcW w:w="1351" w:type="dxa"/>
          </w:tcPr>
          <w:p w14:paraId="6E497038" w14:textId="77777777" w:rsidR="00A261C4" w:rsidRPr="006D3F8D" w:rsidRDefault="00A261C4" w:rsidP="00D932D9">
            <w:pPr>
              <w:ind w:left="720" w:hanging="557"/>
              <w:contextualSpacing/>
              <w:jc w:val="right"/>
              <w:rPr>
                <w:rFonts w:cstheme="minorHAnsi"/>
                <w:sz w:val="24"/>
                <w:szCs w:val="24"/>
                <w:highlight w:val="yellow"/>
              </w:rPr>
            </w:pPr>
            <w:r w:rsidRPr="006D3F8D">
              <w:rPr>
                <w:rFonts w:cstheme="minorHAnsi"/>
                <w:color w:val="000000"/>
                <w:sz w:val="24"/>
                <w:szCs w:val="24"/>
              </w:rPr>
              <w:t>2.2%</w:t>
            </w:r>
          </w:p>
        </w:tc>
      </w:tr>
      <w:tr w:rsidR="00A261C4" w:rsidRPr="006D3F8D" w14:paraId="3E0982D2" w14:textId="77777777" w:rsidTr="0025437B">
        <w:trPr>
          <w:cantSplit/>
          <w:trHeight w:val="144"/>
          <w:jc w:val="center"/>
        </w:trPr>
        <w:tc>
          <w:tcPr>
            <w:tcW w:w="3875" w:type="dxa"/>
          </w:tcPr>
          <w:p w14:paraId="7DE732E0" w14:textId="77777777" w:rsidR="00A261C4" w:rsidRPr="008326C8" w:rsidRDefault="00A261C4" w:rsidP="00D932D9">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Unknown</w:t>
            </w:r>
          </w:p>
        </w:tc>
        <w:tc>
          <w:tcPr>
            <w:tcW w:w="1351" w:type="dxa"/>
          </w:tcPr>
          <w:p w14:paraId="2997C266" w14:textId="77777777" w:rsidR="00A261C4" w:rsidRPr="006D3F8D" w:rsidRDefault="00A261C4" w:rsidP="00D932D9">
            <w:pPr>
              <w:ind w:left="720" w:hanging="557"/>
              <w:contextualSpacing/>
              <w:jc w:val="right"/>
              <w:rPr>
                <w:rFonts w:cstheme="minorHAnsi"/>
                <w:sz w:val="24"/>
                <w:szCs w:val="24"/>
                <w:highlight w:val="yellow"/>
              </w:rPr>
            </w:pPr>
            <w:r w:rsidRPr="006D3F8D">
              <w:rPr>
                <w:rFonts w:cstheme="minorHAnsi"/>
                <w:color w:val="000000"/>
                <w:sz w:val="24"/>
                <w:szCs w:val="24"/>
              </w:rPr>
              <w:t>4.8%</w:t>
            </w:r>
          </w:p>
        </w:tc>
      </w:tr>
      <w:tr w:rsidR="00A261C4" w:rsidRPr="006D3F8D" w14:paraId="1FF22D83" w14:textId="77777777" w:rsidTr="0025437B">
        <w:trPr>
          <w:cantSplit/>
          <w:trHeight w:val="144"/>
          <w:jc w:val="center"/>
        </w:trPr>
        <w:tc>
          <w:tcPr>
            <w:tcW w:w="3875" w:type="dxa"/>
          </w:tcPr>
          <w:p w14:paraId="0DEC7BDF" w14:textId="77777777" w:rsidR="00A261C4" w:rsidRPr="008326C8" w:rsidRDefault="00A261C4" w:rsidP="00D932D9">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Patient Declined</w:t>
            </w:r>
          </w:p>
        </w:tc>
        <w:tc>
          <w:tcPr>
            <w:tcW w:w="1351" w:type="dxa"/>
          </w:tcPr>
          <w:p w14:paraId="4458DBB9" w14:textId="77777777" w:rsidR="00A261C4" w:rsidRPr="006D3F8D" w:rsidRDefault="00A261C4" w:rsidP="00D932D9">
            <w:pPr>
              <w:ind w:left="720" w:hanging="557"/>
              <w:contextualSpacing/>
              <w:jc w:val="right"/>
              <w:rPr>
                <w:rFonts w:cstheme="minorHAnsi"/>
                <w:sz w:val="24"/>
                <w:szCs w:val="24"/>
                <w:highlight w:val="yellow"/>
              </w:rPr>
            </w:pPr>
            <w:r w:rsidRPr="006D3F8D">
              <w:rPr>
                <w:rFonts w:cstheme="minorHAnsi"/>
                <w:color w:val="000000"/>
                <w:sz w:val="24"/>
                <w:szCs w:val="24"/>
              </w:rPr>
              <w:t>0.4%</w:t>
            </w:r>
          </w:p>
        </w:tc>
      </w:tr>
      <w:tr w:rsidR="00A261C4" w:rsidRPr="00AA0F82" w14:paraId="390134DC" w14:textId="77777777" w:rsidTr="0025437B">
        <w:trPr>
          <w:cantSplit/>
          <w:trHeight w:val="144"/>
          <w:jc w:val="center"/>
        </w:trPr>
        <w:tc>
          <w:tcPr>
            <w:tcW w:w="3875" w:type="dxa"/>
          </w:tcPr>
          <w:p w14:paraId="28C8C43F" w14:textId="77777777" w:rsidR="00A261C4" w:rsidRPr="00D82CD0" w:rsidRDefault="00A261C4" w:rsidP="00D932D9">
            <w:pPr>
              <w:contextualSpacing/>
              <w:rPr>
                <w:rFonts w:eastAsia="Calibri" w:cstheme="minorHAnsi"/>
                <w:b/>
              </w:rPr>
            </w:pPr>
            <w:r>
              <w:rPr>
                <w:rFonts w:eastAsia="Calibri" w:cstheme="minorHAnsi"/>
                <w:b/>
              </w:rPr>
              <w:t xml:space="preserve">   Total</w:t>
            </w:r>
          </w:p>
        </w:tc>
        <w:tc>
          <w:tcPr>
            <w:tcW w:w="1351" w:type="dxa"/>
          </w:tcPr>
          <w:p w14:paraId="391D6D91" w14:textId="77777777" w:rsidR="00A261C4" w:rsidRPr="00AA0F82" w:rsidRDefault="00A261C4" w:rsidP="00D932D9">
            <w:pPr>
              <w:ind w:left="720" w:hanging="557"/>
              <w:contextualSpacing/>
              <w:jc w:val="right"/>
              <w:rPr>
                <w:rFonts w:cstheme="minorHAnsi"/>
                <w:highlight w:val="yellow"/>
              </w:rPr>
            </w:pPr>
            <w:r w:rsidRPr="00F000A9">
              <w:rPr>
                <w:rFonts w:cstheme="minorHAnsi"/>
                <w:b/>
                <w:bCs/>
                <w:color w:val="000000"/>
              </w:rPr>
              <w:t>100.0%</w:t>
            </w:r>
          </w:p>
        </w:tc>
      </w:tr>
      <w:tr w:rsidR="00A261C4" w:rsidRPr="00AA0F82" w14:paraId="55C4F320" w14:textId="77777777" w:rsidTr="0025437B">
        <w:trPr>
          <w:cantSplit/>
          <w:trHeight w:val="144"/>
          <w:jc w:val="center"/>
        </w:trPr>
        <w:tc>
          <w:tcPr>
            <w:tcW w:w="3875" w:type="dxa"/>
          </w:tcPr>
          <w:p w14:paraId="7E55A5F3" w14:textId="77777777" w:rsidR="00A261C4" w:rsidRPr="00D82CD0" w:rsidRDefault="00A261C4" w:rsidP="00D932D9">
            <w:pPr>
              <w:contextualSpacing/>
              <w:rPr>
                <w:rFonts w:cstheme="minorHAnsi"/>
                <w:color w:val="000000"/>
              </w:rPr>
            </w:pPr>
            <w:r w:rsidRPr="00D82CD0">
              <w:rPr>
                <w:rFonts w:eastAsia="Calibri" w:cstheme="minorHAnsi"/>
                <w:b/>
              </w:rPr>
              <w:t>Payer Mix</w:t>
            </w:r>
          </w:p>
        </w:tc>
        <w:tc>
          <w:tcPr>
            <w:tcW w:w="1351" w:type="dxa"/>
          </w:tcPr>
          <w:p w14:paraId="36CC46CD" w14:textId="77777777" w:rsidR="00A261C4" w:rsidRPr="00AA0F82" w:rsidRDefault="00A261C4" w:rsidP="00D932D9">
            <w:pPr>
              <w:ind w:left="720" w:hanging="557"/>
              <w:contextualSpacing/>
              <w:jc w:val="right"/>
              <w:rPr>
                <w:rFonts w:cstheme="minorHAnsi"/>
                <w:highlight w:val="yellow"/>
              </w:rPr>
            </w:pPr>
          </w:p>
        </w:tc>
      </w:tr>
      <w:tr w:rsidR="00A261C4" w:rsidRPr="000772F2" w14:paraId="28BD998D" w14:textId="77777777" w:rsidTr="0025437B">
        <w:trPr>
          <w:cantSplit/>
          <w:trHeight w:val="144"/>
          <w:jc w:val="center"/>
        </w:trPr>
        <w:tc>
          <w:tcPr>
            <w:tcW w:w="3875" w:type="dxa"/>
          </w:tcPr>
          <w:p w14:paraId="7FAFE57E" w14:textId="77777777" w:rsidR="00A261C4" w:rsidRPr="00BC0E2E" w:rsidRDefault="00A261C4" w:rsidP="00D932D9">
            <w:pPr>
              <w:ind w:left="720" w:hanging="557"/>
              <w:contextualSpacing/>
              <w:rPr>
                <w:rFonts w:cstheme="minorHAnsi"/>
                <w:color w:val="000000"/>
                <w:sz w:val="24"/>
                <w:szCs w:val="24"/>
              </w:rPr>
            </w:pPr>
            <w:r w:rsidRPr="00BC0E2E">
              <w:rPr>
                <w:rFonts w:eastAsia="Times New Roman" w:cstheme="minorHAnsi"/>
                <w:color w:val="000000"/>
                <w:sz w:val="24"/>
                <w:szCs w:val="24"/>
              </w:rPr>
              <w:t>Commercial</w:t>
            </w:r>
          </w:p>
        </w:tc>
        <w:tc>
          <w:tcPr>
            <w:tcW w:w="1351" w:type="dxa"/>
          </w:tcPr>
          <w:p w14:paraId="1A040EEF" w14:textId="77777777" w:rsidR="00A261C4" w:rsidRPr="000772F2" w:rsidRDefault="00A261C4" w:rsidP="00D932D9">
            <w:pPr>
              <w:ind w:left="720" w:hanging="557"/>
              <w:contextualSpacing/>
              <w:jc w:val="right"/>
              <w:rPr>
                <w:rFonts w:cstheme="minorHAnsi"/>
                <w:sz w:val="24"/>
                <w:szCs w:val="24"/>
                <w:highlight w:val="yellow"/>
              </w:rPr>
            </w:pPr>
            <w:r w:rsidRPr="000772F2">
              <w:rPr>
                <w:rFonts w:cstheme="minorHAnsi"/>
                <w:color w:val="000000"/>
                <w:sz w:val="24"/>
                <w:szCs w:val="24"/>
              </w:rPr>
              <w:t>50.5%</w:t>
            </w:r>
          </w:p>
        </w:tc>
      </w:tr>
      <w:tr w:rsidR="00A261C4" w:rsidRPr="000772F2" w14:paraId="6AE94513" w14:textId="77777777" w:rsidTr="0025437B">
        <w:trPr>
          <w:cantSplit/>
          <w:trHeight w:val="144"/>
          <w:jc w:val="center"/>
        </w:trPr>
        <w:tc>
          <w:tcPr>
            <w:tcW w:w="3875" w:type="dxa"/>
          </w:tcPr>
          <w:p w14:paraId="0CB88EF1" w14:textId="77777777" w:rsidR="00A261C4" w:rsidRPr="00BC0E2E" w:rsidRDefault="00A261C4" w:rsidP="00D932D9">
            <w:pPr>
              <w:ind w:left="720" w:hanging="557"/>
              <w:contextualSpacing/>
              <w:rPr>
                <w:rFonts w:cstheme="minorHAnsi"/>
                <w:b/>
                <w:bCs/>
                <w:sz w:val="24"/>
                <w:szCs w:val="24"/>
              </w:rPr>
            </w:pPr>
            <w:r w:rsidRPr="00BC0E2E">
              <w:rPr>
                <w:rFonts w:eastAsia="Times New Roman" w:cstheme="minorHAnsi"/>
                <w:color w:val="000000"/>
                <w:sz w:val="24"/>
                <w:szCs w:val="24"/>
              </w:rPr>
              <w:t>Medicaid</w:t>
            </w:r>
          </w:p>
        </w:tc>
        <w:tc>
          <w:tcPr>
            <w:tcW w:w="1351" w:type="dxa"/>
          </w:tcPr>
          <w:p w14:paraId="1F50696D" w14:textId="77777777" w:rsidR="00A261C4" w:rsidRPr="000772F2" w:rsidRDefault="00A261C4" w:rsidP="00D932D9">
            <w:pPr>
              <w:jc w:val="right"/>
              <w:rPr>
                <w:rFonts w:cstheme="minorHAnsi"/>
                <w:b/>
                <w:bCs/>
                <w:color w:val="000000"/>
                <w:sz w:val="24"/>
                <w:szCs w:val="24"/>
                <w:highlight w:val="yellow"/>
              </w:rPr>
            </w:pPr>
            <w:r w:rsidRPr="000772F2">
              <w:rPr>
                <w:rFonts w:cstheme="minorHAnsi"/>
                <w:color w:val="000000"/>
                <w:sz w:val="24"/>
                <w:szCs w:val="24"/>
              </w:rPr>
              <w:t>16.1%</w:t>
            </w:r>
          </w:p>
        </w:tc>
      </w:tr>
      <w:tr w:rsidR="00A261C4" w:rsidRPr="000772F2" w14:paraId="6AEA0817" w14:textId="77777777" w:rsidTr="0025437B">
        <w:trPr>
          <w:cantSplit/>
          <w:trHeight w:val="144"/>
          <w:jc w:val="center"/>
        </w:trPr>
        <w:tc>
          <w:tcPr>
            <w:tcW w:w="3875" w:type="dxa"/>
          </w:tcPr>
          <w:p w14:paraId="120BD8E0" w14:textId="77777777" w:rsidR="00A261C4" w:rsidRPr="00BC0E2E" w:rsidRDefault="00A261C4" w:rsidP="00D932D9">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Medicare</w:t>
            </w:r>
          </w:p>
        </w:tc>
        <w:tc>
          <w:tcPr>
            <w:tcW w:w="1351" w:type="dxa"/>
          </w:tcPr>
          <w:p w14:paraId="6B8BBD4C" w14:textId="77777777" w:rsidR="00A261C4" w:rsidRPr="000772F2" w:rsidRDefault="00A261C4" w:rsidP="00D932D9">
            <w:pPr>
              <w:jc w:val="right"/>
              <w:rPr>
                <w:rFonts w:eastAsia="Calibri" w:cstheme="minorHAnsi"/>
                <w:bCs/>
                <w:sz w:val="24"/>
                <w:szCs w:val="24"/>
                <w:highlight w:val="yellow"/>
              </w:rPr>
            </w:pPr>
            <w:r w:rsidRPr="000772F2">
              <w:rPr>
                <w:rFonts w:cstheme="minorHAnsi"/>
                <w:color w:val="000000"/>
                <w:sz w:val="24"/>
                <w:szCs w:val="24"/>
              </w:rPr>
              <w:t>30.0%</w:t>
            </w:r>
          </w:p>
        </w:tc>
      </w:tr>
      <w:tr w:rsidR="00A261C4" w:rsidRPr="000772F2" w14:paraId="466D1EC2" w14:textId="77777777" w:rsidTr="0025437B">
        <w:trPr>
          <w:cantSplit/>
          <w:trHeight w:val="144"/>
          <w:jc w:val="center"/>
        </w:trPr>
        <w:tc>
          <w:tcPr>
            <w:tcW w:w="3875" w:type="dxa"/>
          </w:tcPr>
          <w:p w14:paraId="2F454162" w14:textId="77777777" w:rsidR="00A261C4" w:rsidRPr="00BC0E2E" w:rsidRDefault="00A261C4" w:rsidP="00D932D9">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Other</w:t>
            </w:r>
            <w:r w:rsidRPr="00BC0E2E">
              <w:rPr>
                <w:rStyle w:val="FootnoteReference"/>
                <w:rFonts w:eastAsia="Times New Roman" w:cstheme="minorHAnsi"/>
                <w:color w:val="000000"/>
                <w:sz w:val="24"/>
                <w:szCs w:val="24"/>
              </w:rPr>
              <w:footnoteReference w:id="34"/>
            </w:r>
          </w:p>
        </w:tc>
        <w:tc>
          <w:tcPr>
            <w:tcW w:w="1351" w:type="dxa"/>
          </w:tcPr>
          <w:p w14:paraId="0EEA1D27" w14:textId="77777777" w:rsidR="00A261C4" w:rsidRPr="000772F2" w:rsidRDefault="00A261C4" w:rsidP="00D932D9">
            <w:pPr>
              <w:ind w:left="720" w:hanging="557"/>
              <w:contextualSpacing/>
              <w:jc w:val="right"/>
              <w:rPr>
                <w:rFonts w:cstheme="minorHAnsi"/>
                <w:sz w:val="24"/>
                <w:szCs w:val="24"/>
                <w:highlight w:val="yellow"/>
              </w:rPr>
            </w:pPr>
            <w:r w:rsidRPr="000772F2">
              <w:rPr>
                <w:rFonts w:cstheme="minorHAnsi"/>
                <w:color w:val="000000"/>
                <w:sz w:val="24"/>
                <w:szCs w:val="24"/>
              </w:rPr>
              <w:t>3.3%</w:t>
            </w:r>
          </w:p>
        </w:tc>
      </w:tr>
      <w:tr w:rsidR="00A261C4" w:rsidRPr="000772F2" w14:paraId="6BACD632" w14:textId="77777777" w:rsidTr="0025437B">
        <w:trPr>
          <w:cantSplit/>
          <w:trHeight w:val="144"/>
          <w:jc w:val="center"/>
        </w:trPr>
        <w:tc>
          <w:tcPr>
            <w:tcW w:w="3875" w:type="dxa"/>
          </w:tcPr>
          <w:p w14:paraId="6341DE27" w14:textId="77777777" w:rsidR="00A261C4" w:rsidRPr="00BC0E2E" w:rsidRDefault="00A261C4" w:rsidP="00D932D9">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Unknown</w:t>
            </w:r>
          </w:p>
        </w:tc>
        <w:tc>
          <w:tcPr>
            <w:tcW w:w="1351" w:type="dxa"/>
          </w:tcPr>
          <w:p w14:paraId="70F46AA9" w14:textId="77777777" w:rsidR="00A261C4" w:rsidRPr="000772F2" w:rsidRDefault="00A261C4" w:rsidP="00D932D9">
            <w:pPr>
              <w:ind w:left="720" w:hanging="557"/>
              <w:contextualSpacing/>
              <w:jc w:val="right"/>
              <w:rPr>
                <w:rFonts w:cstheme="minorHAnsi"/>
                <w:sz w:val="24"/>
                <w:szCs w:val="24"/>
                <w:highlight w:val="yellow"/>
              </w:rPr>
            </w:pPr>
            <w:r w:rsidRPr="000772F2">
              <w:rPr>
                <w:rFonts w:cstheme="minorHAnsi"/>
                <w:color w:val="000000"/>
                <w:sz w:val="24"/>
                <w:szCs w:val="24"/>
              </w:rPr>
              <w:t>0.1%</w:t>
            </w:r>
          </w:p>
        </w:tc>
      </w:tr>
      <w:tr w:rsidR="00A261C4" w:rsidRPr="000772F2" w14:paraId="3933BAF9" w14:textId="77777777" w:rsidTr="0025437B">
        <w:trPr>
          <w:cantSplit/>
          <w:trHeight w:val="144"/>
          <w:jc w:val="center"/>
        </w:trPr>
        <w:tc>
          <w:tcPr>
            <w:tcW w:w="3875" w:type="dxa"/>
          </w:tcPr>
          <w:p w14:paraId="60A21F4B" w14:textId="77777777" w:rsidR="00A261C4" w:rsidRPr="00D82CD0" w:rsidRDefault="00A261C4" w:rsidP="00D932D9">
            <w:pPr>
              <w:contextualSpacing/>
              <w:rPr>
                <w:rFonts w:eastAsia="Calibri" w:cstheme="minorHAnsi"/>
                <w:b/>
              </w:rPr>
            </w:pPr>
            <w:r w:rsidRPr="00D82CD0">
              <w:rPr>
                <w:rFonts w:cstheme="minorHAnsi"/>
                <w:b/>
                <w:spacing w:val="-2"/>
              </w:rPr>
              <w:t xml:space="preserve">   Total</w:t>
            </w:r>
          </w:p>
        </w:tc>
        <w:tc>
          <w:tcPr>
            <w:tcW w:w="1351" w:type="dxa"/>
          </w:tcPr>
          <w:p w14:paraId="46976613" w14:textId="77777777" w:rsidR="00A261C4" w:rsidRPr="000772F2" w:rsidRDefault="00A261C4" w:rsidP="00D932D9">
            <w:pPr>
              <w:ind w:left="720" w:hanging="557"/>
              <w:contextualSpacing/>
              <w:jc w:val="right"/>
              <w:rPr>
                <w:rFonts w:cstheme="minorHAnsi"/>
              </w:rPr>
            </w:pPr>
            <w:r w:rsidRPr="000772F2">
              <w:rPr>
                <w:rFonts w:eastAsia="Calibri" w:cstheme="minorHAnsi"/>
                <w:b/>
              </w:rPr>
              <w:t>100.0%</w:t>
            </w:r>
          </w:p>
        </w:tc>
      </w:tr>
    </w:tbl>
    <w:p w14:paraId="0942D582" w14:textId="77777777" w:rsidR="00A261C4" w:rsidRDefault="00A261C4" w:rsidP="002735CF">
      <w:pPr>
        <w:pStyle w:val="BodyText"/>
        <w:widowControl/>
        <w:spacing w:before="0"/>
        <w:ind w:left="1440"/>
        <w:jc w:val="both"/>
        <w:rPr>
          <w:rFonts w:cs="Times New Roman"/>
          <w:b/>
          <w:kern w:val="2"/>
          <w:sz w:val="22"/>
          <w:szCs w:val="22"/>
        </w:rPr>
      </w:pPr>
    </w:p>
    <w:p w14:paraId="65C45D6B" w14:textId="77777777" w:rsidR="00A261C4" w:rsidRPr="000153E7" w:rsidRDefault="00A261C4" w:rsidP="002735CF">
      <w:pPr>
        <w:pStyle w:val="BodyText"/>
        <w:widowControl/>
        <w:spacing w:before="0"/>
        <w:ind w:left="1440"/>
        <w:jc w:val="both"/>
        <w:rPr>
          <w:rFonts w:cs="Times New Roman"/>
          <w:b/>
          <w:kern w:val="2"/>
          <w:sz w:val="22"/>
          <w:szCs w:val="22"/>
        </w:rPr>
      </w:pPr>
    </w:p>
    <w:p w14:paraId="67F16182" w14:textId="77777777" w:rsidR="00C61435" w:rsidRDefault="00C61435">
      <w:pPr>
        <w:rPr>
          <w:rFonts w:eastAsiaTheme="majorEastAsia" w:cstheme="minorHAnsi"/>
          <w:b/>
          <w:iCs/>
          <w:color w:val="1F4E79" w:themeColor="accent5" w:themeShade="80"/>
          <w:sz w:val="28"/>
          <w:szCs w:val="32"/>
        </w:rPr>
      </w:pPr>
      <w:r>
        <w:rPr>
          <w:rFonts w:cstheme="minorHAnsi"/>
          <w:iCs/>
        </w:rPr>
        <w:br w:type="page"/>
      </w:r>
    </w:p>
    <w:p w14:paraId="0B1EB9A2" w14:textId="5E07AFD5" w:rsidR="00C41090" w:rsidRPr="007179DD" w:rsidRDefault="007179DD" w:rsidP="007179DD">
      <w:pPr>
        <w:pStyle w:val="Heading1"/>
        <w:rPr>
          <w:rFonts w:cstheme="minorHAnsi"/>
          <w:b w:val="0"/>
          <w:bCs/>
          <w:iCs/>
        </w:rPr>
      </w:pPr>
      <w:bookmarkStart w:id="30" w:name="_Toc196819123"/>
      <w:r w:rsidRPr="00DE135C">
        <w:rPr>
          <w:rFonts w:cstheme="minorHAnsi"/>
          <w:iCs/>
        </w:rPr>
        <w:lastRenderedPageBreak/>
        <w:t>REFERENCES</w:t>
      </w:r>
      <w:bookmarkEnd w:id="28"/>
      <w:bookmarkEnd w:id="30"/>
    </w:p>
    <w:sectPr w:rsidR="00C41090" w:rsidRPr="007179DD"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0FEE" w14:textId="77777777" w:rsidR="007757F4" w:rsidRDefault="007757F4" w:rsidP="0017637D">
      <w:pPr>
        <w:spacing w:after="0" w:line="240" w:lineRule="auto"/>
      </w:pPr>
      <w:r>
        <w:separator/>
      </w:r>
    </w:p>
  </w:endnote>
  <w:endnote w:type="continuationSeparator" w:id="0">
    <w:p w14:paraId="0C097E2A" w14:textId="77777777" w:rsidR="007757F4" w:rsidRDefault="007757F4" w:rsidP="0017637D">
      <w:pPr>
        <w:spacing w:after="0" w:line="240" w:lineRule="auto"/>
      </w:pPr>
      <w:r>
        <w:continuationSeparator/>
      </w:r>
    </w:p>
  </w:endnote>
  <w:endnote w:type="continuationNotice" w:id="1">
    <w:p w14:paraId="3C7EF7FA" w14:textId="77777777" w:rsidR="007757F4" w:rsidRDefault="007757F4">
      <w:pPr>
        <w:spacing w:after="0" w:line="240" w:lineRule="auto"/>
      </w:pPr>
    </w:p>
  </w:endnote>
  <w:endnote w:id="2">
    <w:p w14:paraId="76E75981" w14:textId="2BF7EDEC" w:rsidR="00CA398E" w:rsidRPr="005B4B2E" w:rsidRDefault="00CA398E" w:rsidP="00AA5C1C">
      <w:pPr>
        <w:spacing w:after="0"/>
        <w:ind w:right="213"/>
        <w:rPr>
          <w:rFonts w:cstheme="minorHAnsi"/>
          <w:sz w:val="20"/>
          <w:szCs w:val="20"/>
        </w:rPr>
      </w:pPr>
      <w:r w:rsidRPr="005B4B2E">
        <w:rPr>
          <w:rStyle w:val="EndnoteReference"/>
          <w:rFonts w:cstheme="minorHAnsi"/>
          <w:sz w:val="20"/>
          <w:szCs w:val="20"/>
        </w:rPr>
        <w:endnoteRef/>
      </w:r>
      <w:r w:rsidRPr="005B4B2E">
        <w:rPr>
          <w:rFonts w:cstheme="minorHAnsi"/>
          <w:sz w:val="20"/>
          <w:szCs w:val="20"/>
        </w:rPr>
        <w:t xml:space="preserve"> </w:t>
      </w:r>
      <w:hyperlink r:id="rId1" w:history="1">
        <w:r w:rsidRPr="00AA4699">
          <w:rPr>
            <w:rStyle w:val="Hyperlink"/>
            <w:rFonts w:cstheme="minorHAnsi"/>
            <w:color w:val="000000" w:themeColor="text1"/>
            <w:sz w:val="20"/>
            <w:szCs w:val="20"/>
            <w:u w:val="none"/>
          </w:rPr>
          <w:t>Center for Health Information and Analysis</w:t>
        </w:r>
      </w:hyperlink>
      <w:r w:rsidRPr="00AA4699">
        <w:rPr>
          <w:rFonts w:cstheme="minorHAnsi"/>
          <w:color w:val="000000" w:themeColor="text1"/>
          <w:sz w:val="20"/>
          <w:szCs w:val="20"/>
        </w:rPr>
        <w:t xml:space="preserve">. </w:t>
      </w:r>
      <w:hyperlink r:id="rId2" w:history="1">
        <w:r w:rsidRPr="005B4B2E">
          <w:rPr>
            <w:rStyle w:val="Hyperlink"/>
            <w:rFonts w:cstheme="minorHAnsi"/>
            <w:color w:val="000000" w:themeColor="text1"/>
            <w:sz w:val="20"/>
            <w:szCs w:val="20"/>
          </w:rPr>
          <w:t>Massachusetts Hospital Profiles. Technical Appendix</w:t>
        </w:r>
      </w:hyperlink>
      <w:r w:rsidRPr="005B4B2E">
        <w:rPr>
          <w:rFonts w:cstheme="minorHAnsi"/>
          <w:sz w:val="20"/>
          <w:szCs w:val="20"/>
        </w:rPr>
        <w:t xml:space="preserve">. </w:t>
      </w:r>
      <w:hyperlink r:id="rId3" w:history="1">
        <w:r w:rsidRPr="005B4B2E">
          <w:rPr>
            <w:rStyle w:val="Hyperlink"/>
            <w:rFonts w:cstheme="minorHAnsi"/>
            <w:color w:val="2F5496" w:themeColor="accent1" w:themeShade="BF"/>
            <w:sz w:val="20"/>
            <w:szCs w:val="20"/>
          </w:rPr>
          <w:t>https://www.chiamass.gov/assets/docs/r/hospital-profiles/2021/FY21-Massachusetts-Hospital-Profiles-Technical-Appendix.pdf</w:t>
        </w:r>
      </w:hyperlink>
    </w:p>
  </w:endnote>
  <w:endnote w:id="3">
    <w:p w14:paraId="0110C32D" w14:textId="6B17FAC2" w:rsidR="006E53E6" w:rsidRPr="005B4B2E" w:rsidRDefault="00CA398E" w:rsidP="00AA5C1C">
      <w:pPr>
        <w:pStyle w:val="EndnoteText"/>
        <w:rPr>
          <w:rFonts w:cstheme="minorHAnsi"/>
          <w:color w:val="2F5496" w:themeColor="accent1" w:themeShade="BF"/>
          <w:u w:val="single"/>
        </w:rPr>
      </w:pPr>
      <w:r w:rsidRPr="005B4B2E">
        <w:rPr>
          <w:rStyle w:val="EndnoteReference"/>
          <w:rFonts w:cstheme="minorHAnsi"/>
        </w:rPr>
        <w:endnoteRef/>
      </w:r>
      <w:r w:rsidRPr="005B4B2E">
        <w:rPr>
          <w:rFonts w:cstheme="minorHAnsi"/>
        </w:rPr>
        <w:t xml:space="preserve"> </w:t>
      </w:r>
      <w:hyperlink r:id="rId4" w:history="1">
        <w:r w:rsidRPr="005B4B2E">
          <w:rPr>
            <w:rStyle w:val="Hyperlink"/>
            <w:rFonts w:cstheme="minorHAnsi"/>
            <w:color w:val="000000" w:themeColor="text1"/>
          </w:rPr>
          <w:t>Center for Health Information and Analysis (CHIA). Beth Israel Lahey Health</w:t>
        </w:r>
      </w:hyperlink>
      <w:r w:rsidRPr="005B4B2E">
        <w:rPr>
          <w:rFonts w:cstheme="minorHAnsi"/>
          <w:color w:val="000000" w:themeColor="text1"/>
        </w:rPr>
        <w:t xml:space="preserve">. </w:t>
      </w:r>
      <w:hyperlink r:id="rId5" w:history="1">
        <w:r w:rsidRPr="005B4B2E">
          <w:rPr>
            <w:rStyle w:val="Hyperlink"/>
            <w:rFonts w:cstheme="minorHAnsi"/>
            <w:color w:val="2F5496" w:themeColor="accent1" w:themeShade="BF"/>
          </w:rPr>
          <w:t>https://www.chiamass.gov/assets/docs/r/hospital-profiles/2021/hospital-health-systems/Beth-Israel-Lahey.pdf</w:t>
        </w:r>
      </w:hyperlink>
    </w:p>
  </w:endnote>
  <w:endnote w:id="4">
    <w:p w14:paraId="3BFBBC96" w14:textId="268EF118" w:rsidR="00F75BD2" w:rsidRPr="005B4B2E" w:rsidRDefault="00F75BD2" w:rsidP="00AA5C1C">
      <w:pPr>
        <w:spacing w:after="0"/>
        <w:rPr>
          <w:b/>
          <w:bCs/>
          <w:sz w:val="20"/>
          <w:szCs w:val="20"/>
        </w:rPr>
      </w:pPr>
      <w:r w:rsidRPr="005B4B2E">
        <w:rPr>
          <w:rStyle w:val="EndnoteReference"/>
          <w:sz w:val="20"/>
          <w:szCs w:val="20"/>
        </w:rPr>
        <w:endnoteRef/>
      </w:r>
      <w:r w:rsidRPr="005B4B2E">
        <w:rPr>
          <w:sz w:val="20"/>
          <w:szCs w:val="20"/>
        </w:rPr>
        <w:t xml:space="preserve"> </w:t>
      </w:r>
      <w:hyperlink r:id="rId6" w:history="1">
        <w:r w:rsidR="00C96832" w:rsidRPr="005B4B2E">
          <w:rPr>
            <w:rFonts w:cstheme="minorHAnsi"/>
            <w:color w:val="202124"/>
            <w:sz w:val="20"/>
            <w:szCs w:val="20"/>
            <w:shd w:val="clear" w:color="auto" w:fill="FFFFFF"/>
          </w:rPr>
          <w:t>Miller</w:t>
        </w:r>
      </w:hyperlink>
      <w:r w:rsidR="00CA6F34" w:rsidRPr="005B4B2E">
        <w:rPr>
          <w:rFonts w:cstheme="minorHAnsi"/>
          <w:color w:val="202124"/>
          <w:sz w:val="20"/>
          <w:szCs w:val="20"/>
          <w:shd w:val="clear" w:color="auto" w:fill="FFFFFF"/>
        </w:rPr>
        <w:t xml:space="preserve">, Phillip. </w:t>
      </w:r>
      <w:hyperlink r:id="rId7" w:anchor=":~:text=The%202022%20survey%20indicates%20that,from%2021%20days%20in%202004" w:history="1">
        <w:r w:rsidR="00C96832" w:rsidRPr="002D0A2C">
          <w:rPr>
            <w:rStyle w:val="Hyperlink"/>
            <w:i/>
            <w:iCs/>
            <w:color w:val="000000" w:themeColor="text1"/>
            <w:sz w:val="20"/>
            <w:szCs w:val="20"/>
            <w:u w:val="none"/>
          </w:rPr>
          <w:t>Physician Appointment Wait Times Getting Longer,</w:t>
        </w:r>
      </w:hyperlink>
      <w:r w:rsidR="00C96832" w:rsidRPr="002D0A2C">
        <w:rPr>
          <w:b/>
          <w:bCs/>
          <w:color w:val="000000" w:themeColor="text1"/>
          <w:sz w:val="20"/>
          <w:szCs w:val="20"/>
        </w:rPr>
        <w:t xml:space="preserve"> </w:t>
      </w:r>
      <w:r w:rsidR="00C96832" w:rsidRPr="002D0A2C">
        <w:rPr>
          <w:color w:val="000000" w:themeColor="text1"/>
          <w:sz w:val="20"/>
          <w:szCs w:val="20"/>
        </w:rPr>
        <w:t xml:space="preserve">AMN </w:t>
      </w:r>
      <w:r w:rsidR="00C96832" w:rsidRPr="005B4B2E">
        <w:rPr>
          <w:sz w:val="20"/>
          <w:szCs w:val="20"/>
        </w:rPr>
        <w:t>Healthcare. September 12, 2022</w:t>
      </w:r>
      <w:r w:rsidR="00CA6F34" w:rsidRPr="005B4B2E">
        <w:rPr>
          <w:sz w:val="20"/>
          <w:szCs w:val="20"/>
        </w:rPr>
        <w:t>.</w:t>
      </w:r>
      <w:r w:rsidR="00CA6F34" w:rsidRPr="005B4B2E">
        <w:rPr>
          <w:b/>
          <w:bCs/>
          <w:sz w:val="20"/>
          <w:szCs w:val="20"/>
        </w:rPr>
        <w:t xml:space="preserve"> </w:t>
      </w:r>
      <w:hyperlink r:id="rId8" w:anchor=":~:text=The%202022%20survey%20indicates%20that,from%2021%20days%20in%202004" w:history="1">
        <w:r w:rsidR="005B4B2E" w:rsidRPr="005B4B2E">
          <w:rPr>
            <w:rStyle w:val="Hyperlink"/>
            <w:color w:val="2F5496" w:themeColor="accent1" w:themeShade="BF"/>
            <w:sz w:val="20"/>
            <w:szCs w:val="20"/>
          </w:rPr>
          <w:t>https://www.amnhealthcare.com/blog/physician/perm/physician-appointment-wait-times-getting-longer/#:~:text=The%202022%20survey%20indicates%20that,from%2021%20days%20in%202004</w:t>
        </w:r>
      </w:hyperlink>
    </w:p>
  </w:endnote>
  <w:endnote w:id="5">
    <w:p w14:paraId="6F8F44E8" w14:textId="194CAA40" w:rsidR="00341175" w:rsidRPr="005B4B2E" w:rsidRDefault="00341175" w:rsidP="00AA5C1C">
      <w:pPr>
        <w:pStyle w:val="EndnoteText"/>
        <w:rPr>
          <w:rFonts w:cs="Times New Roman"/>
        </w:rPr>
      </w:pPr>
      <w:r w:rsidRPr="005B4B2E">
        <w:rPr>
          <w:rStyle w:val="EndnoteReference"/>
          <w:rFonts w:cs="Times New Roman"/>
        </w:rPr>
        <w:endnoteRef/>
      </w:r>
      <w:r w:rsidRPr="005B4B2E">
        <w:rPr>
          <w:rFonts w:cs="Times New Roman"/>
        </w:rPr>
        <w:t xml:space="preserve"> </w:t>
      </w:r>
      <w:hyperlink r:id="rId9" w:history="1">
        <w:r w:rsidRPr="0061062C">
          <w:rPr>
            <w:rStyle w:val="Hyperlink"/>
            <w:rFonts w:cs="Times New Roman"/>
            <w:color w:val="000000" w:themeColor="text1"/>
            <w:u w:val="none"/>
          </w:rPr>
          <w:t>Cancer Incidence Estimator,</w:t>
        </w:r>
      </w:hyperlink>
      <w:r w:rsidRPr="0061062C">
        <w:rPr>
          <w:rFonts w:cs="Times New Roman"/>
          <w:color w:val="000000" w:themeColor="text1"/>
        </w:rPr>
        <w:t xml:space="preserve"> A</w:t>
      </w:r>
      <w:r w:rsidRPr="0061062C">
        <w:rPr>
          <w:rFonts w:cs="Times New Roman"/>
          <w:smallCaps/>
          <w:color w:val="000000" w:themeColor="text1"/>
        </w:rPr>
        <w:t>DVISORY BOARD</w:t>
      </w:r>
      <w:r w:rsidRPr="0061062C">
        <w:rPr>
          <w:rFonts w:cs="Times New Roman"/>
          <w:color w:val="000000" w:themeColor="text1"/>
        </w:rPr>
        <w:t xml:space="preserve">, </w:t>
      </w:r>
      <w:hyperlink r:id="rId10" w:history="1">
        <w:r w:rsidR="00304F79" w:rsidRPr="0061062C">
          <w:rPr>
            <w:rStyle w:val="Hyperlink"/>
            <w:rFonts w:cs="Times New Roman"/>
            <w:color w:val="000000" w:themeColor="text1"/>
            <w:u w:val="none"/>
          </w:rPr>
          <w:t>https://www.advisory.com/topics/oncology/2020/06/cancer-incidence-estimator</w:t>
        </w:r>
      </w:hyperlink>
      <w:r w:rsidR="00304F79" w:rsidRPr="0061062C">
        <w:rPr>
          <w:rFonts w:cs="Times New Roman"/>
          <w:color w:val="000000" w:themeColor="text1"/>
        </w:rPr>
        <w:t xml:space="preserve"> </w:t>
      </w:r>
    </w:p>
    <w:p w14:paraId="665372DD" w14:textId="77777777" w:rsidR="00341175" w:rsidRPr="005B4B2E" w:rsidRDefault="00341175" w:rsidP="00AA5C1C">
      <w:pPr>
        <w:pStyle w:val="EndnoteText"/>
        <w:rPr>
          <w:rFonts w:cs="Times New Roman"/>
        </w:rPr>
      </w:pPr>
      <w:r w:rsidRPr="005B4B2E">
        <w:rPr>
          <w:rFonts w:cs="Times New Roman"/>
        </w:rPr>
        <w:t>(</w:t>
      </w:r>
      <w:proofErr w:type="gramStart"/>
      <w:r w:rsidRPr="005B4B2E">
        <w:rPr>
          <w:rFonts w:cs="Times New Roman"/>
        </w:rPr>
        <w:t>last</w:t>
      </w:r>
      <w:proofErr w:type="gramEnd"/>
      <w:r w:rsidRPr="005B4B2E">
        <w:rPr>
          <w:rFonts w:cs="Times New Roman"/>
        </w:rPr>
        <w:t xml:space="preserve"> visited June. 6, 2024).</w:t>
      </w:r>
    </w:p>
  </w:endnote>
  <w:endnote w:id="6">
    <w:p w14:paraId="22936BAE" w14:textId="77777777" w:rsidR="00341175" w:rsidRPr="005B4B2E" w:rsidRDefault="00341175" w:rsidP="00AA5C1C">
      <w:pPr>
        <w:pStyle w:val="EndnoteText"/>
        <w:rPr>
          <w:rFonts w:cs="Times New Roman"/>
        </w:rPr>
      </w:pPr>
      <w:r w:rsidRPr="005B4B2E">
        <w:rPr>
          <w:rStyle w:val="EndnoteReference"/>
          <w:rFonts w:cs="Times New Roman"/>
        </w:rPr>
        <w:endnoteRef/>
      </w:r>
      <w:r w:rsidRPr="005B4B2E">
        <w:rPr>
          <w:rFonts w:cs="Times New Roman"/>
        </w:rPr>
        <w:t>Real Estate Strategies Ambulatory Planning Tool, STRATUS (2022).</w:t>
      </w:r>
    </w:p>
  </w:endnote>
  <w:endnote w:id="7">
    <w:p w14:paraId="2B5664CA" w14:textId="77777777" w:rsidR="000D1BB8" w:rsidRPr="005B4B2E" w:rsidRDefault="000D1BB8" w:rsidP="00AA5C1C">
      <w:pPr>
        <w:pStyle w:val="EndnoteText"/>
      </w:pPr>
      <w:r w:rsidRPr="005B4B2E">
        <w:rPr>
          <w:rStyle w:val="EndnoteReference"/>
        </w:rPr>
        <w:endnoteRef/>
      </w:r>
      <w:r w:rsidRPr="005B4B2E">
        <w:t xml:space="preserve"> </w:t>
      </w:r>
      <w:r w:rsidRPr="005B4B2E">
        <w:rPr>
          <w:i/>
          <w:iCs/>
        </w:rPr>
        <w:t>See</w:t>
      </w:r>
      <w:r w:rsidRPr="005B4B2E">
        <w:t xml:space="preserve"> Aljurf M, Majhail NS, et al.,</w:t>
      </w:r>
      <w:r w:rsidRPr="005B4B2E">
        <w:rPr>
          <w:i/>
          <w:iCs/>
        </w:rPr>
        <w:t xml:space="preserve"> </w:t>
      </w:r>
      <w:r w:rsidRPr="005B4B2E">
        <w:t>The Comprehensive Cancer Center: Development, Integration, and Implementation, Cham (CH): Springer; 2022.</w:t>
      </w:r>
    </w:p>
  </w:endnote>
  <w:endnote w:id="8">
    <w:p w14:paraId="3BB1AA5C" w14:textId="7893900C" w:rsidR="009204A0" w:rsidRPr="00D16D18" w:rsidRDefault="009204A0" w:rsidP="00AA5C1C">
      <w:pPr>
        <w:pStyle w:val="EndnoteText"/>
        <w:rPr>
          <w:rFonts w:cstheme="minorHAnsi"/>
          <w:iCs/>
          <w:color w:val="4472C4" w:themeColor="accent1"/>
        </w:rPr>
      </w:pPr>
      <w:r>
        <w:rPr>
          <w:rStyle w:val="EndnoteReference"/>
        </w:rPr>
        <w:endnoteRef/>
      </w:r>
      <w:r>
        <w:t xml:space="preserve"> </w:t>
      </w:r>
      <w:r w:rsidR="00D16D18" w:rsidRPr="001412E9">
        <w:rPr>
          <w:rFonts w:cstheme="minorHAnsi"/>
          <w:iCs/>
        </w:rPr>
        <w:t xml:space="preserve">Massimo Ambroggi, et </w:t>
      </w:r>
      <w:r w:rsidR="00D16D18" w:rsidRPr="002F1A53">
        <w:rPr>
          <w:rFonts w:cstheme="minorHAnsi"/>
          <w:iCs/>
          <w:color w:val="000000" w:themeColor="text1"/>
        </w:rPr>
        <w:t xml:space="preserve">al., </w:t>
      </w:r>
      <w:hyperlink r:id="rId11" w:history="1">
        <w:r w:rsidR="00D16D18" w:rsidRPr="002F1A53">
          <w:rPr>
            <w:rStyle w:val="Hyperlink"/>
            <w:color w:val="000000" w:themeColor="text1"/>
            <w:u w:val="none"/>
          </w:rPr>
          <w:t>Distance</w:t>
        </w:r>
        <w:r w:rsidR="00D16D18" w:rsidRPr="002F1A53">
          <w:rPr>
            <w:rStyle w:val="Hyperlink"/>
            <w:rFonts w:cstheme="minorHAnsi"/>
            <w:iCs/>
            <w:color w:val="000000" w:themeColor="text1"/>
            <w:u w:val="none"/>
          </w:rPr>
          <w:t xml:space="preserve"> as a Barrier to Cancer Diagnosis and Treatment: Review of the Literature, Oncologist</w:t>
        </w:r>
      </w:hyperlink>
      <w:r w:rsidR="00D16D18" w:rsidRPr="002F1A53">
        <w:rPr>
          <w:rFonts w:cstheme="minorHAnsi"/>
          <w:iCs/>
          <w:color w:val="000000" w:themeColor="text1"/>
        </w:rPr>
        <w:t xml:space="preserve"> (Dec</w:t>
      </w:r>
      <w:r w:rsidR="00D16D18" w:rsidRPr="001412E9">
        <w:rPr>
          <w:rFonts w:cstheme="minorHAnsi"/>
          <w:iCs/>
        </w:rPr>
        <w:t>. 20, 2015).</w:t>
      </w:r>
      <w:r w:rsidR="00D16D18" w:rsidRPr="00D16D18">
        <w:rPr>
          <w:rFonts w:cstheme="minorHAnsi"/>
          <w:b/>
          <w:bCs/>
          <w:iCs/>
        </w:rPr>
        <w:t xml:space="preserve"> </w:t>
      </w:r>
      <w:r w:rsidR="00D16D18" w:rsidRPr="00D16D18">
        <w:rPr>
          <w:rFonts w:cstheme="minorHAnsi"/>
          <w:iCs/>
          <w:color w:val="4472C4" w:themeColor="accent1"/>
        </w:rPr>
        <w:t>(</w:t>
      </w:r>
      <w:hyperlink r:id="rId12" w:history="1">
        <w:r w:rsidR="00D16D18" w:rsidRPr="001412E9">
          <w:rPr>
            <w:rStyle w:val="Hyperlink"/>
            <w:rFonts w:cstheme="minorHAnsi"/>
            <w:iCs/>
            <w:color w:val="2F5496" w:themeColor="accent1" w:themeShade="BF"/>
          </w:rPr>
          <w:t>https://pubmed.ncbi.nlm.nih.gov/26512045/</w:t>
        </w:r>
      </w:hyperlink>
      <w:r w:rsidR="00D16D18" w:rsidRPr="00D16D18">
        <w:rPr>
          <w:rFonts w:cstheme="minorHAnsi"/>
          <w:iCs/>
        </w:rPr>
        <w:t>)</w:t>
      </w:r>
    </w:p>
  </w:endnote>
  <w:endnote w:id="9">
    <w:p w14:paraId="70634EBD" w14:textId="0FC35A72" w:rsidR="00602A6F" w:rsidRPr="001412E9" w:rsidRDefault="00602A6F" w:rsidP="00AA5C1C">
      <w:pPr>
        <w:spacing w:after="0" w:line="229" w:lineRule="exact"/>
        <w:rPr>
          <w:rFonts w:cstheme="minorHAnsi"/>
          <w:iCs/>
          <w:color w:val="4472C4" w:themeColor="accent1"/>
        </w:rPr>
      </w:pPr>
      <w:r>
        <w:rPr>
          <w:rStyle w:val="EndnoteReference"/>
        </w:rPr>
        <w:endnoteRef/>
      </w:r>
      <w:r>
        <w:t xml:space="preserve"> </w:t>
      </w:r>
      <w:r w:rsidRPr="001412E9">
        <w:rPr>
          <w:rFonts w:cstheme="minorHAnsi"/>
          <w:iCs/>
          <w:sz w:val="20"/>
          <w:szCs w:val="20"/>
        </w:rPr>
        <w:t xml:space="preserve">Jewett PI, Gangnon RE, Elkin E, et </w:t>
      </w:r>
      <w:r w:rsidRPr="00892F75">
        <w:rPr>
          <w:rFonts w:cstheme="minorHAnsi"/>
          <w:iCs/>
          <w:color w:val="000000" w:themeColor="text1"/>
          <w:sz w:val="20"/>
          <w:szCs w:val="20"/>
        </w:rPr>
        <w:t xml:space="preserve">al. </w:t>
      </w:r>
      <w:hyperlink r:id="rId13" w:history="1">
        <w:r w:rsidRPr="00892F75">
          <w:rPr>
            <w:rStyle w:val="Hyperlink"/>
            <w:rFonts w:cstheme="minorHAnsi"/>
            <w:iCs/>
            <w:color w:val="000000" w:themeColor="text1"/>
            <w:sz w:val="20"/>
            <w:szCs w:val="20"/>
            <w:u w:val="none"/>
          </w:rPr>
          <w:t>Geographic access to mammography facilities and frequency of mammography screening</w:t>
        </w:r>
      </w:hyperlink>
      <w:r w:rsidRPr="00892F75">
        <w:rPr>
          <w:rFonts w:cstheme="minorHAnsi"/>
          <w:iCs/>
          <w:color w:val="000000" w:themeColor="text1"/>
          <w:sz w:val="20"/>
          <w:szCs w:val="20"/>
        </w:rPr>
        <w:t xml:space="preserve">. Ann </w:t>
      </w:r>
      <w:r w:rsidRPr="001412E9">
        <w:rPr>
          <w:rFonts w:cstheme="minorHAnsi"/>
          <w:iCs/>
          <w:sz w:val="20"/>
          <w:szCs w:val="20"/>
        </w:rPr>
        <w:t>Epidemiol. 2018;28(2):65.e2-71.e2. doi:10.1016/j.annepidem.2017.11.012.</w:t>
      </w:r>
      <w:r w:rsidRPr="00602A6F">
        <w:rPr>
          <w:rFonts w:cstheme="minorHAnsi"/>
          <w:b/>
          <w:bCs/>
          <w:iCs/>
        </w:rPr>
        <w:t xml:space="preserve"> </w:t>
      </w:r>
      <w:r w:rsidRPr="001412E9">
        <w:rPr>
          <w:rFonts w:cstheme="minorHAnsi"/>
          <w:iCs/>
          <w:color w:val="000000" w:themeColor="text1"/>
        </w:rPr>
        <w:t>(</w:t>
      </w:r>
      <w:hyperlink r:id="rId14" w:history="1">
        <w:r w:rsidRPr="001412E9">
          <w:rPr>
            <w:rStyle w:val="Hyperlink"/>
            <w:rFonts w:cstheme="minorHAnsi"/>
            <w:iCs/>
            <w:color w:val="2F5496" w:themeColor="accent1" w:themeShade="BF"/>
          </w:rPr>
          <w:t>https://pubmed.ncbi.nlm.nih.gov/29439783/</w:t>
        </w:r>
      </w:hyperlink>
      <w:r w:rsidRPr="00602A6F">
        <w:rPr>
          <w:rFonts w:cstheme="minorHAnsi"/>
          <w:iCs/>
        </w:rPr>
        <w:t xml:space="preserve">) </w:t>
      </w:r>
    </w:p>
  </w:endnote>
  <w:endnote w:id="10">
    <w:p w14:paraId="7D5B169B" w14:textId="77777777" w:rsidR="00E541E8" w:rsidRPr="005B4B2E" w:rsidRDefault="00E541E8" w:rsidP="00AA5C1C">
      <w:pPr>
        <w:pStyle w:val="EndnoteText"/>
      </w:pPr>
      <w:r w:rsidRPr="005B4B2E">
        <w:rPr>
          <w:rStyle w:val="EndnoteReference"/>
        </w:rPr>
        <w:endnoteRef/>
      </w:r>
      <w:r w:rsidRPr="005B4B2E">
        <w:t xml:space="preserve"> </w:t>
      </w:r>
      <w:r w:rsidRPr="005B4B2E">
        <w:rPr>
          <w:i/>
          <w:iCs/>
        </w:rPr>
        <w:t>See</w:t>
      </w:r>
      <w:r w:rsidRPr="005B4B2E">
        <w:t xml:space="preserve"> Herolind Jusufi &amp; Nicholas Boivin,</w:t>
      </w:r>
      <w:r w:rsidRPr="005B4B2E">
        <w:rPr>
          <w:vertAlign w:val="superscript"/>
        </w:rPr>
        <w:t xml:space="preserve"> </w:t>
      </w:r>
      <w:r w:rsidRPr="005B4B2E">
        <w:t xml:space="preserve">Navigating Access and Optimizing Medication Infusions in an Academic Medical Center: A Quality Improvement Study, Pharmacy (Basel) (Jun. 30, 2023). </w:t>
      </w:r>
    </w:p>
  </w:endnote>
  <w:endnote w:id="11">
    <w:p w14:paraId="3495D3DE" w14:textId="77777777" w:rsidR="000D1BB8" w:rsidRPr="005B4B2E" w:rsidRDefault="000D1BB8" w:rsidP="00AA5C1C">
      <w:pPr>
        <w:pStyle w:val="EndnoteText"/>
      </w:pPr>
      <w:r w:rsidRPr="005B4B2E">
        <w:rPr>
          <w:rStyle w:val="EndnoteReference"/>
        </w:rPr>
        <w:endnoteRef/>
      </w:r>
      <w:r w:rsidRPr="005B4B2E">
        <w:t xml:space="preserve"> Massimo Ambroggi, et al.,</w:t>
      </w:r>
      <w:r w:rsidRPr="005B4B2E">
        <w:rPr>
          <w:i/>
          <w:iCs/>
        </w:rPr>
        <w:t xml:space="preserve"> Distance as a Barrier to Cancer Diagnosis and Treatment: Review of the Literature</w:t>
      </w:r>
      <w:r w:rsidRPr="005B4B2E">
        <w:t xml:space="preserve">, </w:t>
      </w:r>
      <w:r w:rsidRPr="005B4B2E">
        <w:rPr>
          <w:smallCaps/>
        </w:rPr>
        <w:t>oncologist</w:t>
      </w:r>
      <w:r w:rsidRPr="005B4B2E">
        <w:t xml:space="preserve"> (Dec. 20, 2015). </w:t>
      </w:r>
    </w:p>
  </w:endnote>
  <w:endnote w:id="12">
    <w:p w14:paraId="72EDC52F" w14:textId="07770E63" w:rsidR="000D1BB8" w:rsidRPr="00A913FC" w:rsidRDefault="000D1BB8" w:rsidP="00AA5C1C">
      <w:pPr>
        <w:pStyle w:val="EndnoteText"/>
        <w:rPr>
          <w:i/>
          <w:iCs/>
        </w:rPr>
      </w:pPr>
      <w:r w:rsidRPr="00AA5C1C">
        <w:rPr>
          <w:rStyle w:val="EndnoteReference"/>
        </w:rPr>
        <w:endnoteRef/>
      </w:r>
      <w:r w:rsidRPr="00AA5C1C">
        <w:t xml:space="preserve"> </w:t>
      </w:r>
      <w:r w:rsidR="00AA5C1C" w:rsidRPr="00AA5C1C">
        <w:t xml:space="preserve">Massimo Ambroggi, et al., Distance as a Barrier to Cancer Diagnosis and Treatment: Review of the Literature, </w:t>
      </w:r>
      <w:r w:rsidR="00AA5C1C" w:rsidRPr="00A913FC">
        <w:t>oncologist (Dec. 20, 2015).</w:t>
      </w:r>
    </w:p>
  </w:endnote>
  <w:endnote w:id="13">
    <w:p w14:paraId="26B29E9A" w14:textId="77777777" w:rsidR="000D1BB8" w:rsidRPr="00A913FC" w:rsidRDefault="000D1BB8" w:rsidP="00AA5C1C">
      <w:pPr>
        <w:pStyle w:val="EndnoteText"/>
        <w:rPr>
          <w:smallCaps/>
        </w:rPr>
      </w:pPr>
      <w:r w:rsidRPr="00A913FC">
        <w:rPr>
          <w:rStyle w:val="EndnoteReference"/>
        </w:rPr>
        <w:endnoteRef/>
      </w:r>
      <w:r w:rsidRPr="00A913FC">
        <w:t xml:space="preserve"> Jennifer Tsui, PhD, MPH, et al., </w:t>
      </w:r>
      <w:r w:rsidRPr="00A913FC">
        <w:rPr>
          <w:i/>
          <w:iCs/>
        </w:rPr>
        <w:t>Patterns in Geographic Access to Health Care Facilities Across Neighborhoods in the United States Based on Data From the National Establishment Time-Series Between 2000 and 2014</w:t>
      </w:r>
      <w:r w:rsidRPr="00A913FC">
        <w:t xml:space="preserve">, </w:t>
      </w:r>
      <w:r w:rsidRPr="00A913FC">
        <w:rPr>
          <w:smallCaps/>
        </w:rPr>
        <w:t>JAMA Netw Open</w:t>
      </w:r>
      <w:r w:rsidRPr="00A913FC">
        <w:t xml:space="preserve">. 2020. </w:t>
      </w:r>
    </w:p>
  </w:endnote>
  <w:endnote w:id="14">
    <w:p w14:paraId="66C994E4" w14:textId="000D6E68" w:rsidR="004B05CF" w:rsidRPr="00A913FC" w:rsidRDefault="004B05CF" w:rsidP="00024814">
      <w:pPr>
        <w:pStyle w:val="paragraph"/>
        <w:spacing w:before="0" w:beforeAutospacing="0" w:after="0" w:afterAutospacing="0"/>
        <w:textAlignment w:val="baseline"/>
        <w:rPr>
          <w:rFonts w:asciiTheme="minorHAnsi" w:hAnsiTheme="minorHAnsi" w:cstheme="minorHAnsi"/>
          <w:color w:val="000000" w:themeColor="text1"/>
          <w:sz w:val="20"/>
          <w:szCs w:val="20"/>
        </w:rPr>
      </w:pPr>
      <w:r w:rsidRPr="00A913FC">
        <w:rPr>
          <w:rStyle w:val="EndnoteReference"/>
          <w:rFonts w:asciiTheme="minorHAnsi" w:hAnsiTheme="minorHAnsi" w:cstheme="minorHAnsi"/>
          <w:color w:val="000000" w:themeColor="text1"/>
          <w:sz w:val="20"/>
          <w:szCs w:val="20"/>
        </w:rPr>
        <w:endnoteRef/>
      </w:r>
      <w:r w:rsidRPr="00A913FC">
        <w:rPr>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 xml:space="preserve">Stephanie P. Hales, </w:t>
      </w:r>
      <w:hyperlink r:id="rId15" w:history="1">
        <w:r w:rsidRPr="009C624C">
          <w:rPr>
            <w:rStyle w:val="Hyperlink"/>
            <w:rFonts w:asciiTheme="minorHAnsi" w:hAnsiTheme="minorHAnsi" w:cstheme="minorHAnsi"/>
            <w:color w:val="000000" w:themeColor="text1"/>
            <w:sz w:val="20"/>
            <w:szCs w:val="20"/>
            <w:u w:val="none"/>
          </w:rPr>
          <w:t>The Role of Appropriate Access to Care in Reducing Health System Costs</w:t>
        </w:r>
      </w:hyperlink>
      <w:r w:rsidRPr="009C624C">
        <w:rPr>
          <w:rStyle w:val="normaltextrun"/>
          <w:rFonts w:asciiTheme="minorHAnsi" w:hAnsiTheme="minorHAnsi" w:cstheme="minorHAnsi"/>
          <w:color w:val="000000" w:themeColor="text1"/>
          <w:sz w:val="20"/>
          <w:szCs w:val="20"/>
        </w:rPr>
        <w:t xml:space="preserve">, </w:t>
      </w:r>
      <w:r w:rsidRPr="009C624C">
        <w:rPr>
          <w:rStyle w:val="normaltextrun"/>
          <w:rFonts w:asciiTheme="minorHAnsi" w:hAnsiTheme="minorHAnsi" w:cstheme="minorHAnsi"/>
          <w:smallCaps/>
          <w:color w:val="000000" w:themeColor="text1"/>
          <w:sz w:val="20"/>
          <w:szCs w:val="20"/>
        </w:rPr>
        <w:t xml:space="preserve">The </w:t>
      </w:r>
      <w:r w:rsidRPr="00A913FC">
        <w:rPr>
          <w:rStyle w:val="normaltextrun"/>
          <w:rFonts w:asciiTheme="minorHAnsi" w:hAnsiTheme="minorHAnsi" w:cstheme="minorHAnsi"/>
          <w:smallCaps/>
          <w:color w:val="000000" w:themeColor="text1"/>
          <w:sz w:val="20"/>
          <w:szCs w:val="20"/>
        </w:rPr>
        <w:t>Regulatory Rev.</w:t>
      </w:r>
      <w:r w:rsidRPr="00A913FC">
        <w:rPr>
          <w:rStyle w:val="normaltextrun"/>
          <w:rFonts w:asciiTheme="minorHAnsi" w:hAnsiTheme="minorHAnsi" w:cstheme="minorHAnsi"/>
          <w:color w:val="000000" w:themeColor="text1"/>
          <w:sz w:val="20"/>
          <w:szCs w:val="20"/>
        </w:rPr>
        <w:t xml:space="preserve">  (May 13, 2019</w:t>
      </w:r>
      <w:r w:rsidRPr="00A913FC">
        <w:rPr>
          <w:rStyle w:val="eop"/>
          <w:rFonts w:asciiTheme="minorHAnsi" w:hAnsiTheme="minorHAnsi" w:cstheme="minorHAnsi"/>
          <w:color w:val="000000" w:themeColor="text1"/>
          <w:sz w:val="20"/>
          <w:szCs w:val="20"/>
        </w:rPr>
        <w:t xml:space="preserve">), </w:t>
      </w:r>
      <w:hyperlink r:id="rId16" w:history="1">
        <w:r w:rsidR="00330034" w:rsidRPr="00330034">
          <w:rPr>
            <w:rStyle w:val="Hyperlink"/>
            <w:rFonts w:asciiTheme="minorHAnsi" w:hAnsiTheme="minorHAnsi" w:cstheme="minorHAnsi"/>
            <w:color w:val="2F5496" w:themeColor="accent1" w:themeShade="BF"/>
            <w:sz w:val="20"/>
            <w:szCs w:val="20"/>
          </w:rPr>
          <w:t>https://www.theregreview.org/2019/05/13/hales-appropriate-access-care-reducing-health-costs</w:t>
        </w:r>
      </w:hyperlink>
      <w:r w:rsidR="00330034">
        <w:rPr>
          <w:rStyle w:val="normaltextrun"/>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w:t>
      </w:r>
    </w:p>
  </w:endnote>
  <w:endnote w:id="15">
    <w:p w14:paraId="5E61D3AE" w14:textId="77777777" w:rsidR="004B05CF" w:rsidRPr="00A913FC" w:rsidRDefault="004B05CF" w:rsidP="00024814">
      <w:pPr>
        <w:pStyle w:val="paragraph"/>
        <w:spacing w:before="0" w:beforeAutospacing="0" w:after="0" w:afterAutospacing="0"/>
        <w:textAlignment w:val="baseline"/>
        <w:rPr>
          <w:rFonts w:asciiTheme="minorHAnsi" w:hAnsiTheme="minorHAnsi" w:cstheme="minorHAnsi"/>
          <w:color w:val="000000" w:themeColor="text1"/>
          <w:sz w:val="20"/>
          <w:szCs w:val="20"/>
        </w:rPr>
      </w:pPr>
      <w:r w:rsidRPr="00A913FC">
        <w:rPr>
          <w:rStyle w:val="EndnoteReference"/>
          <w:rFonts w:asciiTheme="minorHAnsi" w:hAnsiTheme="minorHAnsi" w:cstheme="minorHAnsi"/>
          <w:color w:val="000000" w:themeColor="text1"/>
          <w:sz w:val="20"/>
          <w:szCs w:val="20"/>
        </w:rPr>
        <w:endnoteRef/>
      </w:r>
      <w:r w:rsidRPr="00A913FC">
        <w:rPr>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Helen Blumen, MD, et al., C</w:t>
      </w:r>
      <w:r w:rsidRPr="00A913FC">
        <w:rPr>
          <w:rStyle w:val="normaltextrun"/>
          <w:rFonts w:asciiTheme="minorHAnsi" w:hAnsiTheme="minorHAnsi" w:cstheme="minorHAnsi"/>
          <w:i/>
          <w:iCs/>
          <w:color w:val="000000" w:themeColor="text1"/>
          <w:sz w:val="20"/>
          <w:szCs w:val="20"/>
        </w:rPr>
        <w:t>omparison of Treatment Costs for Breast Cancer by Tumor Stage and Type of Service</w:t>
      </w:r>
      <w:r w:rsidRPr="00A913FC">
        <w:rPr>
          <w:rStyle w:val="normaltextrun"/>
          <w:rFonts w:asciiTheme="minorHAnsi" w:hAnsiTheme="minorHAnsi" w:cstheme="minorHAnsi"/>
          <w:color w:val="000000" w:themeColor="text1"/>
          <w:sz w:val="20"/>
          <w:szCs w:val="20"/>
        </w:rPr>
        <w:t xml:space="preserve">. 9Am. </w:t>
      </w:r>
      <w:r w:rsidRPr="00A913FC">
        <w:rPr>
          <w:rStyle w:val="normaltextrun"/>
          <w:rFonts w:asciiTheme="minorHAnsi" w:hAnsiTheme="minorHAnsi" w:cstheme="minorHAnsi"/>
          <w:smallCaps/>
          <w:color w:val="000000" w:themeColor="text1"/>
          <w:sz w:val="20"/>
          <w:szCs w:val="20"/>
        </w:rPr>
        <w:t xml:space="preserve">Health Drug Benefits </w:t>
      </w:r>
      <w:r w:rsidRPr="00A913FC">
        <w:rPr>
          <w:rStyle w:val="normaltextrun"/>
          <w:rFonts w:asciiTheme="minorHAnsi" w:hAnsiTheme="minorHAnsi" w:cstheme="minorHAnsi"/>
          <w:color w:val="000000" w:themeColor="text1"/>
          <w:sz w:val="20"/>
          <w:szCs w:val="20"/>
        </w:rPr>
        <w:t>23, 23-32 (2016).</w:t>
      </w:r>
      <w:r w:rsidRPr="00A913FC">
        <w:rPr>
          <w:rStyle w:val="eop"/>
          <w:rFonts w:asciiTheme="minorHAnsi" w:hAnsiTheme="minorHAnsi" w:cstheme="minorHAnsi"/>
          <w:color w:val="000000" w:themeColor="text1"/>
          <w:sz w:val="20"/>
          <w:szCs w:val="20"/>
        </w:rPr>
        <w:t> </w:t>
      </w:r>
    </w:p>
  </w:endnote>
  <w:endnote w:id="16">
    <w:p w14:paraId="6A02A6C8" w14:textId="0566E58E" w:rsidR="004B05CF" w:rsidRPr="00A913FC" w:rsidRDefault="004B05CF" w:rsidP="00024814">
      <w:pPr>
        <w:pStyle w:val="paragraph"/>
        <w:spacing w:before="0" w:beforeAutospacing="0" w:after="0" w:afterAutospacing="0"/>
        <w:textAlignment w:val="baseline"/>
        <w:rPr>
          <w:rFonts w:asciiTheme="minorHAnsi" w:hAnsiTheme="minorHAnsi" w:cstheme="minorHAnsi"/>
          <w:color w:val="000000" w:themeColor="text1"/>
          <w:sz w:val="20"/>
          <w:szCs w:val="20"/>
        </w:rPr>
      </w:pPr>
      <w:r w:rsidRPr="00A913FC">
        <w:rPr>
          <w:rStyle w:val="EndnoteReference"/>
          <w:rFonts w:asciiTheme="minorHAnsi" w:hAnsiTheme="minorHAnsi" w:cstheme="minorHAnsi"/>
          <w:color w:val="000000" w:themeColor="text1"/>
          <w:sz w:val="20"/>
          <w:szCs w:val="20"/>
        </w:rPr>
        <w:endnoteRef/>
      </w:r>
      <w:r w:rsidRPr="00A913FC">
        <w:rPr>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 xml:space="preserve">Sumathi Reddy, </w:t>
      </w:r>
      <w:hyperlink r:id="rId17" w:history="1">
        <w:r w:rsidRPr="009C624C">
          <w:rPr>
            <w:rStyle w:val="Hyperlink"/>
            <w:rFonts w:asciiTheme="minorHAnsi" w:hAnsiTheme="minorHAnsi" w:cstheme="minorHAnsi"/>
            <w:i/>
            <w:iCs/>
            <w:color w:val="000000" w:themeColor="text1"/>
            <w:sz w:val="20"/>
            <w:szCs w:val="20"/>
            <w:u w:val="none"/>
          </w:rPr>
          <w:t>The consequences of skipping medical appointments during the Covid pandemic</w:t>
        </w:r>
      </w:hyperlink>
      <w:r w:rsidRPr="009C624C">
        <w:rPr>
          <w:rStyle w:val="normaltextrun"/>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smallCaps/>
          <w:color w:val="000000" w:themeColor="text1"/>
          <w:sz w:val="20"/>
          <w:szCs w:val="20"/>
        </w:rPr>
        <w:t>Wall Street Journal,</w:t>
      </w:r>
      <w:r w:rsidRPr="00A913FC">
        <w:rPr>
          <w:rStyle w:val="normaltextrun"/>
          <w:rFonts w:asciiTheme="minorHAnsi" w:hAnsiTheme="minorHAnsi" w:cstheme="minorHAnsi"/>
          <w:color w:val="000000" w:themeColor="text1"/>
          <w:sz w:val="20"/>
          <w:szCs w:val="20"/>
        </w:rPr>
        <w:t xml:space="preserve"> (May 3, 2021)</w:t>
      </w:r>
      <w:r w:rsidRPr="00A913FC">
        <w:rPr>
          <w:rStyle w:val="eop"/>
          <w:rFonts w:asciiTheme="minorHAnsi" w:hAnsiTheme="minorHAnsi" w:cstheme="minorHAnsi"/>
          <w:color w:val="000000" w:themeColor="text1"/>
          <w:sz w:val="20"/>
          <w:szCs w:val="20"/>
        </w:rPr>
        <w:t xml:space="preserve">, </w:t>
      </w:r>
      <w:hyperlink r:id="rId18" w:history="1">
        <w:r w:rsidR="00330034" w:rsidRPr="00330034">
          <w:rPr>
            <w:rStyle w:val="Hyperlink"/>
            <w:rFonts w:asciiTheme="minorHAnsi" w:hAnsiTheme="minorHAnsi" w:cstheme="minorHAnsi"/>
            <w:color w:val="2F5496" w:themeColor="accent1" w:themeShade="BF"/>
            <w:sz w:val="20"/>
            <w:szCs w:val="20"/>
          </w:rPr>
          <w:t>https://www.wsj.com/articles/the-consequences-of-skipping-doctor-appointments-during-the-covid-pandemic-11620067142</w:t>
        </w:r>
      </w:hyperlink>
      <w:r w:rsidR="00330034">
        <w:rPr>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w:t>
      </w:r>
    </w:p>
  </w:endnote>
  <w:endnote w:id="17">
    <w:p w14:paraId="02C52811" w14:textId="0A6FB1F9" w:rsidR="004B05CF" w:rsidRPr="00A913FC" w:rsidRDefault="004B05CF" w:rsidP="00024814">
      <w:pPr>
        <w:pStyle w:val="paragraph"/>
        <w:spacing w:before="0" w:beforeAutospacing="0" w:after="0" w:afterAutospacing="0"/>
        <w:textAlignment w:val="baseline"/>
        <w:rPr>
          <w:rFonts w:asciiTheme="minorHAnsi" w:hAnsiTheme="minorHAnsi" w:cstheme="minorHAnsi"/>
          <w:color w:val="000000" w:themeColor="text1"/>
          <w:sz w:val="20"/>
          <w:szCs w:val="20"/>
        </w:rPr>
      </w:pPr>
      <w:r w:rsidRPr="00A913FC">
        <w:rPr>
          <w:rStyle w:val="EndnoteReference"/>
          <w:rFonts w:asciiTheme="minorHAnsi" w:hAnsiTheme="minorHAnsi" w:cstheme="minorHAnsi"/>
          <w:color w:val="000000" w:themeColor="text1"/>
          <w:sz w:val="20"/>
          <w:szCs w:val="20"/>
        </w:rPr>
        <w:endnoteRef/>
      </w:r>
      <w:r w:rsidRPr="00A913FC">
        <w:rPr>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 xml:space="preserve">Dan Klein, </w:t>
      </w:r>
      <w:hyperlink r:id="rId19" w:history="1">
        <w:r w:rsidRPr="004434F9">
          <w:rPr>
            <w:rStyle w:val="Hyperlink"/>
            <w:rFonts w:asciiTheme="minorHAnsi" w:hAnsiTheme="minorHAnsi" w:cstheme="minorHAnsi"/>
            <w:i/>
            <w:iCs/>
            <w:color w:val="000000" w:themeColor="text1"/>
            <w:sz w:val="20"/>
            <w:szCs w:val="20"/>
            <w:u w:val="none"/>
          </w:rPr>
          <w:t>Medication non-adherence: a common and costly problem</w:t>
        </w:r>
      </w:hyperlink>
      <w:r w:rsidRPr="004434F9">
        <w:rPr>
          <w:rStyle w:val="normaltextrun"/>
          <w:rFonts w:asciiTheme="minorHAnsi" w:hAnsiTheme="minorHAnsi" w:cstheme="minorHAnsi"/>
          <w:color w:val="000000" w:themeColor="text1"/>
          <w:sz w:val="20"/>
          <w:szCs w:val="20"/>
        </w:rPr>
        <w:t xml:space="preserve">, </w:t>
      </w:r>
      <w:r w:rsidRPr="004434F9">
        <w:rPr>
          <w:rStyle w:val="normaltextrun"/>
          <w:rFonts w:asciiTheme="minorHAnsi" w:hAnsiTheme="minorHAnsi" w:cstheme="minorHAnsi"/>
          <w:smallCaps/>
          <w:color w:val="000000" w:themeColor="text1"/>
          <w:sz w:val="20"/>
          <w:szCs w:val="20"/>
        </w:rPr>
        <w:t xml:space="preserve">PAN </w:t>
      </w:r>
      <w:r w:rsidRPr="00A913FC">
        <w:rPr>
          <w:rStyle w:val="normaltextrun"/>
          <w:rFonts w:asciiTheme="minorHAnsi" w:hAnsiTheme="minorHAnsi" w:cstheme="minorHAnsi"/>
          <w:smallCaps/>
          <w:color w:val="000000" w:themeColor="text1"/>
          <w:sz w:val="20"/>
          <w:szCs w:val="20"/>
        </w:rPr>
        <w:t>Found,</w:t>
      </w:r>
      <w:r w:rsidRPr="00A913FC">
        <w:rPr>
          <w:rStyle w:val="normaltextrun"/>
          <w:rFonts w:asciiTheme="minorHAnsi" w:hAnsiTheme="minorHAnsi" w:cstheme="minorHAnsi"/>
          <w:color w:val="000000" w:themeColor="text1"/>
          <w:sz w:val="20"/>
          <w:szCs w:val="20"/>
        </w:rPr>
        <w:t xml:space="preserve"> (April 2020), </w:t>
      </w:r>
      <w:hyperlink r:id="rId20" w:history="1">
        <w:r w:rsidR="00330034" w:rsidRPr="00330034">
          <w:rPr>
            <w:rStyle w:val="Hyperlink"/>
            <w:rFonts w:asciiTheme="minorHAnsi" w:hAnsiTheme="minorHAnsi" w:cstheme="minorHAnsi"/>
            <w:color w:val="2F5496" w:themeColor="accent1" w:themeShade="BF"/>
            <w:sz w:val="20"/>
            <w:szCs w:val="20"/>
          </w:rPr>
          <w:t>https://www.panfoundation.org/medication-non-adherence/</w:t>
        </w:r>
      </w:hyperlink>
      <w:r w:rsidR="00330034">
        <w:rPr>
          <w:rStyle w:val="normaltextrun"/>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 xml:space="preserve">. </w:t>
      </w:r>
    </w:p>
  </w:endnote>
  <w:endnote w:id="18">
    <w:p w14:paraId="609ECCBF" w14:textId="0A4CF538" w:rsidR="004B05CF" w:rsidRPr="00A913FC" w:rsidRDefault="004B05CF" w:rsidP="00024814">
      <w:pPr>
        <w:pStyle w:val="EndnoteText"/>
        <w:rPr>
          <w:rFonts w:cstheme="minorHAnsi"/>
          <w:color w:val="000000" w:themeColor="text1"/>
        </w:rPr>
      </w:pPr>
      <w:r w:rsidRPr="00A913FC">
        <w:rPr>
          <w:rStyle w:val="EndnoteReference"/>
          <w:rFonts w:cstheme="minorHAnsi"/>
          <w:color w:val="000000" w:themeColor="text1"/>
        </w:rPr>
        <w:endnoteRef/>
      </w:r>
      <w:r w:rsidRPr="00A913FC">
        <w:rPr>
          <w:rFonts w:cstheme="minorHAnsi"/>
          <w:color w:val="000000" w:themeColor="text1"/>
        </w:rPr>
        <w:t xml:space="preserve"> </w:t>
      </w:r>
      <w:r w:rsidRPr="00A913FC">
        <w:rPr>
          <w:rFonts w:cstheme="minorHAnsi"/>
          <w:color w:val="000000" w:themeColor="text1"/>
          <w:shd w:val="clear" w:color="auto" w:fill="FFFFFF"/>
        </w:rPr>
        <w:t xml:space="preserve">Jonathan H Watanabe, et al., </w:t>
      </w:r>
      <w:hyperlink r:id="rId21" w:history="1">
        <w:r w:rsidRPr="004434F9">
          <w:rPr>
            <w:rStyle w:val="Hyperlink"/>
            <w:rFonts w:cstheme="minorHAnsi"/>
            <w:i/>
            <w:iCs/>
            <w:color w:val="000000" w:themeColor="text1"/>
            <w:u w:val="none"/>
            <w:shd w:val="clear" w:color="auto" w:fill="FFFFFF"/>
          </w:rPr>
          <w:t>Cost of prescription drug related morbidity and mortality</w:t>
        </w:r>
      </w:hyperlink>
      <w:r w:rsidRPr="004434F9">
        <w:rPr>
          <w:rStyle w:val="normaltextrun"/>
          <w:rFonts w:cstheme="minorHAnsi"/>
          <w:color w:val="000000" w:themeColor="text1"/>
          <w:shd w:val="clear" w:color="auto" w:fill="FFFFFF"/>
        </w:rPr>
        <w:t xml:space="preserve">, 52(9) </w:t>
      </w:r>
      <w:r w:rsidRPr="00A913FC">
        <w:rPr>
          <w:rStyle w:val="normaltextrun"/>
          <w:rFonts w:cstheme="minorHAnsi"/>
          <w:smallCaps/>
          <w:color w:val="000000" w:themeColor="text1"/>
          <w:shd w:val="clear" w:color="auto" w:fill="FFFFFF"/>
        </w:rPr>
        <w:t>Ann Pharmacother</w:t>
      </w:r>
      <w:r w:rsidRPr="00A913FC">
        <w:rPr>
          <w:rStyle w:val="normaltextrun"/>
          <w:rFonts w:cstheme="minorHAnsi"/>
          <w:color w:val="000000" w:themeColor="text1"/>
          <w:shd w:val="clear" w:color="auto" w:fill="FFFFFF"/>
        </w:rPr>
        <w:t xml:space="preserve"> 829, 829-837, (Sept. 2018), </w:t>
      </w:r>
      <w:hyperlink r:id="rId22" w:history="1">
        <w:r w:rsidR="00330034" w:rsidRPr="00330034">
          <w:rPr>
            <w:rStyle w:val="Hyperlink"/>
            <w:rFonts w:cstheme="minorHAnsi"/>
            <w:color w:val="2F5496" w:themeColor="accent1" w:themeShade="BF"/>
            <w:shd w:val="clear" w:color="auto" w:fill="FFFFFF"/>
          </w:rPr>
          <w:t>https://pubmed.ncbi.nlm.nih.gov/29577766/</w:t>
        </w:r>
      </w:hyperlink>
      <w:r w:rsidR="00330034">
        <w:rPr>
          <w:rFonts w:cstheme="minorHAnsi"/>
          <w:color w:val="000000" w:themeColor="text1"/>
          <w:shd w:val="clear" w:color="auto" w:fill="FFFFFF"/>
        </w:rPr>
        <w:t xml:space="preserve"> </w:t>
      </w:r>
      <w:r w:rsidRPr="00A913FC">
        <w:rPr>
          <w:rFonts w:cstheme="minorHAnsi"/>
          <w:color w:val="000000" w:themeColor="text1"/>
          <w:shd w:val="clear" w:color="auto" w:fill="FFFFFF"/>
        </w:rPr>
        <w:t>.</w:t>
      </w:r>
    </w:p>
  </w:endnote>
  <w:endnote w:id="19">
    <w:p w14:paraId="47219A8C" w14:textId="48616CA1" w:rsidR="004B05CF" w:rsidRPr="004D6F61" w:rsidRDefault="004B05CF" w:rsidP="00024814">
      <w:pPr>
        <w:pStyle w:val="paragraph"/>
        <w:spacing w:before="0" w:beforeAutospacing="0" w:after="0" w:afterAutospacing="0"/>
        <w:textAlignment w:val="baseline"/>
        <w:rPr>
          <w:rFonts w:asciiTheme="minorHAnsi" w:hAnsiTheme="minorHAnsi" w:cstheme="minorHAnsi"/>
          <w:color w:val="000000" w:themeColor="text1"/>
          <w:sz w:val="16"/>
          <w:szCs w:val="16"/>
        </w:rPr>
      </w:pPr>
      <w:r w:rsidRPr="00A913FC">
        <w:rPr>
          <w:rStyle w:val="EndnoteReference"/>
          <w:rFonts w:asciiTheme="minorHAnsi" w:hAnsiTheme="minorHAnsi" w:cstheme="minorHAnsi"/>
          <w:color w:val="000000" w:themeColor="text1"/>
          <w:sz w:val="20"/>
          <w:szCs w:val="20"/>
        </w:rPr>
        <w:endnoteRef/>
      </w:r>
      <w:r w:rsidRPr="00A913FC">
        <w:rPr>
          <w:rFonts w:asciiTheme="minorHAnsi" w:hAnsiTheme="minorHAnsi" w:cstheme="minorHAnsi"/>
          <w:color w:val="000000" w:themeColor="text1"/>
          <w:sz w:val="20"/>
          <w:szCs w:val="20"/>
        </w:rPr>
        <w:t xml:space="preserve"> Samina T. </w:t>
      </w:r>
      <w:r w:rsidRPr="00A913FC">
        <w:rPr>
          <w:rStyle w:val="normaltextrun"/>
          <w:rFonts w:asciiTheme="minorHAnsi" w:hAnsiTheme="minorHAnsi" w:cstheme="minorHAnsi"/>
          <w:color w:val="000000" w:themeColor="text1"/>
          <w:sz w:val="20"/>
          <w:szCs w:val="20"/>
          <w:shd w:val="clear" w:color="auto" w:fill="FFFFFF"/>
        </w:rPr>
        <w:t xml:space="preserve">Syed, et al., </w:t>
      </w:r>
      <w:hyperlink r:id="rId23" w:history="1">
        <w:r w:rsidRPr="004434F9">
          <w:rPr>
            <w:rStyle w:val="Hyperlink"/>
            <w:rFonts w:asciiTheme="minorHAnsi" w:hAnsiTheme="minorHAnsi" w:cstheme="minorHAnsi"/>
            <w:i/>
            <w:iCs/>
            <w:color w:val="000000" w:themeColor="text1"/>
            <w:sz w:val="20"/>
            <w:szCs w:val="20"/>
            <w:u w:val="none"/>
            <w:shd w:val="clear" w:color="auto" w:fill="FFFFFF"/>
          </w:rPr>
          <w:t>Traveling Towards Disease: Transportation Barriers to Health Care Access,</w:t>
        </w:r>
      </w:hyperlink>
      <w:r w:rsidRPr="004434F9">
        <w:rPr>
          <w:rStyle w:val="normaltextrun"/>
          <w:rFonts w:asciiTheme="minorHAnsi" w:hAnsiTheme="minorHAnsi" w:cstheme="minorHAnsi"/>
          <w:color w:val="000000" w:themeColor="text1"/>
          <w:sz w:val="20"/>
          <w:szCs w:val="20"/>
          <w:shd w:val="clear" w:color="auto" w:fill="FFFFFF"/>
        </w:rPr>
        <w:t> </w:t>
      </w:r>
      <w:r w:rsidRPr="004434F9">
        <w:rPr>
          <w:rStyle w:val="normaltextrun"/>
          <w:rFonts w:asciiTheme="minorHAnsi" w:hAnsiTheme="minorHAnsi" w:cstheme="minorHAnsi"/>
          <w:smallCaps/>
          <w:color w:val="000000" w:themeColor="text1"/>
          <w:sz w:val="20"/>
          <w:szCs w:val="20"/>
          <w:shd w:val="clear" w:color="auto" w:fill="FFFFFF"/>
        </w:rPr>
        <w:t xml:space="preserve">J </w:t>
      </w:r>
      <w:r w:rsidRPr="00A913FC">
        <w:rPr>
          <w:rStyle w:val="normaltextrun"/>
          <w:rFonts w:asciiTheme="minorHAnsi" w:hAnsiTheme="minorHAnsi" w:cstheme="minorHAnsi"/>
          <w:smallCaps/>
          <w:color w:val="000000" w:themeColor="text1"/>
          <w:sz w:val="20"/>
          <w:szCs w:val="20"/>
          <w:shd w:val="clear" w:color="auto" w:fill="FFFFFF"/>
        </w:rPr>
        <w:t>Community Health</w:t>
      </w:r>
      <w:r w:rsidRPr="00A913FC">
        <w:rPr>
          <w:rStyle w:val="normaltextrun"/>
          <w:rFonts w:asciiTheme="minorHAnsi" w:hAnsiTheme="minorHAnsi" w:cstheme="minorHAnsi"/>
          <w:color w:val="000000" w:themeColor="text1"/>
          <w:sz w:val="20"/>
          <w:szCs w:val="20"/>
          <w:shd w:val="clear" w:color="auto" w:fill="FFFFFF"/>
        </w:rPr>
        <w:t xml:space="preserve"> 38, 976–993 (Mar. 31, 2013), </w:t>
      </w:r>
      <w:hyperlink r:id="rId24" w:history="1">
        <w:r w:rsidR="00330034" w:rsidRPr="00330034">
          <w:rPr>
            <w:rStyle w:val="Hyperlink"/>
            <w:rFonts w:asciiTheme="minorHAnsi" w:hAnsiTheme="minorHAnsi" w:cstheme="minorHAnsi"/>
            <w:color w:val="2F5496" w:themeColor="accent1" w:themeShade="BF"/>
            <w:sz w:val="20"/>
            <w:szCs w:val="20"/>
          </w:rPr>
          <w:t>https://link.springer.com/article/10.1007/s10900-013-9681-1</w:t>
        </w:r>
      </w:hyperlink>
      <w:r w:rsidR="00330034">
        <w:rPr>
          <w:rStyle w:val="normaltextrun"/>
          <w:rFonts w:asciiTheme="minorHAnsi" w:hAnsiTheme="minorHAnsi" w:cstheme="minorHAnsi"/>
          <w:color w:val="000000" w:themeColor="text1"/>
          <w:sz w:val="20"/>
          <w:szCs w:val="20"/>
        </w:rPr>
        <w:t xml:space="preserve"> </w:t>
      </w:r>
      <w:r w:rsidRPr="00A913FC">
        <w:rPr>
          <w:rStyle w:val="normaltextrun"/>
          <w:rFonts w:asciiTheme="minorHAnsi" w:hAnsiTheme="minorHAnsi" w:cstheme="minorHAnsi"/>
          <w:color w:val="000000" w:themeColor="text1"/>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p>
    </w:sdtContent>
  </w:sdt>
  <w:p w14:paraId="5D700CC9" w14:textId="77777777" w:rsidR="00272CB1" w:rsidRDefault="002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2B6A" w14:textId="77777777" w:rsidR="007757F4" w:rsidRDefault="007757F4" w:rsidP="0017637D">
      <w:pPr>
        <w:spacing w:after="0" w:line="240" w:lineRule="auto"/>
      </w:pPr>
      <w:r>
        <w:separator/>
      </w:r>
    </w:p>
  </w:footnote>
  <w:footnote w:type="continuationSeparator" w:id="0">
    <w:p w14:paraId="63ACA800" w14:textId="77777777" w:rsidR="007757F4" w:rsidRDefault="007757F4" w:rsidP="0017637D">
      <w:pPr>
        <w:spacing w:after="0" w:line="240" w:lineRule="auto"/>
      </w:pPr>
      <w:r>
        <w:continuationSeparator/>
      </w:r>
    </w:p>
  </w:footnote>
  <w:footnote w:type="continuationNotice" w:id="1">
    <w:p w14:paraId="6CADFADC" w14:textId="77777777" w:rsidR="007757F4" w:rsidRDefault="007757F4">
      <w:pPr>
        <w:spacing w:after="0" w:line="240" w:lineRule="auto"/>
      </w:pPr>
    </w:p>
  </w:footnote>
  <w:footnote w:id="2">
    <w:p w14:paraId="2CB0FDE1" w14:textId="4D15D06B" w:rsidR="00272CB1" w:rsidRPr="00A850FE" w:rsidRDefault="00272CB1">
      <w:pPr>
        <w:pStyle w:val="FootnoteText"/>
        <w:rPr>
          <w:rFonts w:cstheme="minorHAnsi"/>
          <w:sz w:val="16"/>
          <w:szCs w:val="16"/>
        </w:rPr>
      </w:pPr>
      <w:r w:rsidRPr="00A850FE">
        <w:rPr>
          <w:rStyle w:val="FootnoteReference"/>
          <w:rFonts w:cstheme="minorHAnsi"/>
          <w:sz w:val="16"/>
          <w:szCs w:val="16"/>
        </w:rPr>
        <w:footnoteRef/>
      </w:r>
      <w:r w:rsidRPr="00A850FE">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Holder…(2) If the Proposed Project is for a new facility and there is no existing patient panel, Patient Panel means the anticipated patients.</w:t>
      </w:r>
    </w:p>
  </w:footnote>
  <w:footnote w:id="3">
    <w:p w14:paraId="1579D61C" w14:textId="77777777" w:rsidR="00A261C4" w:rsidRPr="00A850FE" w:rsidRDefault="00A261C4" w:rsidP="00A261C4">
      <w:pPr>
        <w:pStyle w:val="FootnoteText"/>
        <w:rPr>
          <w:sz w:val="16"/>
          <w:szCs w:val="16"/>
        </w:rPr>
      </w:pPr>
      <w:r w:rsidRPr="00A850FE">
        <w:rPr>
          <w:rStyle w:val="FootnoteReference"/>
          <w:sz w:val="16"/>
          <w:szCs w:val="16"/>
        </w:rPr>
        <w:footnoteRef/>
      </w:r>
      <w:r w:rsidRPr="00A850FE">
        <w:rPr>
          <w:sz w:val="16"/>
          <w:szCs w:val="16"/>
        </w:rPr>
        <w:t xml:space="preserve"> </w:t>
      </w:r>
      <w:r w:rsidRPr="00A850FE">
        <w:rPr>
          <w:rFonts w:cstheme="minorHAnsi"/>
          <w:sz w:val="16"/>
          <w:szCs w:val="16"/>
        </w:rPr>
        <w:t>This information is from the Center for Health Information and Analysis (“CHIA”) Massachusetts Acute Care Hospital Inpatient Discharge Dataset.</w:t>
      </w:r>
    </w:p>
  </w:footnote>
  <w:footnote w:id="4">
    <w:p w14:paraId="66689C4F" w14:textId="4E096B19" w:rsidR="00EB4733" w:rsidRPr="000A4BEA" w:rsidRDefault="00EB4733" w:rsidP="00EB4733">
      <w:pPr>
        <w:pStyle w:val="FootnoteText"/>
        <w:rPr>
          <w:rFonts w:cs="Times New Roman"/>
          <w:sz w:val="16"/>
          <w:szCs w:val="16"/>
        </w:rPr>
      </w:pPr>
      <w:r w:rsidRPr="008500C5">
        <w:rPr>
          <w:rStyle w:val="FootnoteReference"/>
          <w:rFonts w:cs="Times New Roman"/>
          <w:sz w:val="16"/>
          <w:szCs w:val="16"/>
        </w:rPr>
        <w:footnoteRef/>
      </w:r>
      <w:r w:rsidRPr="008500C5">
        <w:rPr>
          <w:rFonts w:cs="Times New Roman"/>
          <w:sz w:val="16"/>
          <w:szCs w:val="16"/>
        </w:rPr>
        <w:t xml:space="preserve"> </w:t>
      </w:r>
      <w:r w:rsidRPr="008500C5">
        <w:rPr>
          <w:rFonts w:eastAsia="Calibri" w:cs="Times New Roman"/>
          <w:color w:val="000000" w:themeColor="text1"/>
          <w:sz w:val="16"/>
          <w:szCs w:val="16"/>
        </w:rPr>
        <w:t xml:space="preserve">Two existing services will re-locate to the Quincy Facility, the Beth Israel Lahey Health Primary Care practice currently located at 100 Walter J. </w:t>
      </w:r>
      <w:r w:rsidRPr="000A4BEA">
        <w:rPr>
          <w:rFonts w:eastAsia="Calibri" w:cs="Times New Roman"/>
          <w:color w:val="000000" w:themeColor="text1"/>
          <w:sz w:val="16"/>
          <w:szCs w:val="16"/>
        </w:rPr>
        <w:t xml:space="preserve">Hannon Parkway and the Beth Israel Lahey Health Urgent Care Center, also currently located at 100 Walter J. Hannon Parkway. </w:t>
      </w:r>
    </w:p>
  </w:footnote>
  <w:footnote w:id="5">
    <w:p w14:paraId="43B2C3FB" w14:textId="50697C3E" w:rsidR="000A4BEA" w:rsidRDefault="000A4BEA">
      <w:pPr>
        <w:pStyle w:val="FootnoteText"/>
      </w:pPr>
      <w:r w:rsidRPr="000A4BEA">
        <w:rPr>
          <w:rStyle w:val="FootnoteReference"/>
          <w:sz w:val="16"/>
          <w:szCs w:val="16"/>
        </w:rPr>
        <w:footnoteRef/>
      </w:r>
      <w:r w:rsidRPr="000A4BEA">
        <w:rPr>
          <w:sz w:val="16"/>
          <w:szCs w:val="16"/>
        </w:rPr>
        <w:t xml:space="preserve"> BID Plymouth Hospital offered Covid testing and an injectable antiviral clinic in FY2021, both of which ended in FY2022. Additionally, BID Plymouth Hospital moved its mammography service off its hospital financials in December 2022.</w:t>
      </w:r>
    </w:p>
  </w:footnote>
  <w:footnote w:id="6">
    <w:p w14:paraId="760BA051" w14:textId="0238A907" w:rsidR="00EB1A7F" w:rsidRPr="00EB1A7F" w:rsidRDefault="00EB1A7F">
      <w:pPr>
        <w:pStyle w:val="FootnoteText"/>
        <w:rPr>
          <w:sz w:val="16"/>
          <w:szCs w:val="16"/>
        </w:rPr>
      </w:pPr>
      <w:r w:rsidRPr="00EB1A7F">
        <w:rPr>
          <w:rStyle w:val="FootnoteReference"/>
          <w:sz w:val="16"/>
          <w:szCs w:val="16"/>
        </w:rPr>
        <w:footnoteRef/>
      </w:r>
      <w:r w:rsidRPr="00EB1A7F">
        <w:rPr>
          <w:sz w:val="16"/>
          <w:szCs w:val="16"/>
        </w:rPr>
        <w:t xml:space="preserve"> </w:t>
      </w:r>
      <w:r w:rsidRPr="00EB1A7F">
        <w:rPr>
          <w:rFonts w:eastAsia="Calibri" w:cs="Times New Roman"/>
          <w:color w:val="000000" w:themeColor="text1"/>
          <w:sz w:val="16"/>
          <w:szCs w:val="16"/>
        </w:rPr>
        <w:t xml:space="preserve">Patient panel data for BILHPC Quincy represents unique patients. Patient panel data for BILH Urgent Care Quincy represents total visits. Patient panel data for BID Milton Hospital represents total encounters. </w:t>
      </w:r>
      <w:r w:rsidRPr="00EB1A7F">
        <w:rPr>
          <w:rFonts w:cs="Times New Roman"/>
          <w:sz w:val="16"/>
          <w:szCs w:val="16"/>
        </w:rPr>
        <w:t xml:space="preserve"> </w:t>
      </w:r>
    </w:p>
  </w:footnote>
  <w:footnote w:id="7">
    <w:p w14:paraId="5A846736" w14:textId="0B15D4DE" w:rsidR="00D207E0" w:rsidRPr="00ED1D56" w:rsidRDefault="00D207E0">
      <w:pPr>
        <w:pStyle w:val="FootnoteText"/>
        <w:rPr>
          <w:rFonts w:cstheme="minorHAnsi"/>
          <w:sz w:val="16"/>
          <w:szCs w:val="16"/>
        </w:rPr>
      </w:pPr>
      <w:r w:rsidRPr="00ED1D56">
        <w:rPr>
          <w:rStyle w:val="FootnoteReference"/>
          <w:sz w:val="16"/>
          <w:szCs w:val="16"/>
        </w:rPr>
        <w:footnoteRef/>
      </w:r>
      <w:r w:rsidRPr="00ED1D56">
        <w:rPr>
          <w:sz w:val="16"/>
          <w:szCs w:val="16"/>
        </w:rPr>
        <w:t xml:space="preserve"> </w:t>
      </w:r>
      <w:r w:rsidRPr="00ED1D56">
        <w:rPr>
          <w:rFonts w:cstheme="minorHAnsi"/>
          <w:iCs/>
          <w:sz w:val="16"/>
          <w:szCs w:val="16"/>
        </w:rPr>
        <w:t>B</w:t>
      </w:r>
      <w:r w:rsidRPr="00ED1D56">
        <w:rPr>
          <w:rFonts w:cstheme="minorHAnsi"/>
          <w:sz w:val="16"/>
          <w:szCs w:val="16"/>
        </w:rPr>
        <w:t>ILHPC Quincy site was acquired in FY2021. As such, the Applicant does not have data prior to FY2021.</w:t>
      </w:r>
    </w:p>
  </w:footnote>
  <w:footnote w:id="8">
    <w:p w14:paraId="1543DD13" w14:textId="0A762A10" w:rsidR="00363DC5" w:rsidRPr="00ED1D56" w:rsidRDefault="00363DC5" w:rsidP="000D03AB">
      <w:pPr>
        <w:spacing w:after="0" w:line="240" w:lineRule="auto"/>
        <w:jc w:val="both"/>
        <w:rPr>
          <w:rFonts w:cstheme="minorHAnsi"/>
          <w:iCs/>
          <w:sz w:val="16"/>
          <w:szCs w:val="16"/>
        </w:rPr>
      </w:pPr>
      <w:r w:rsidRPr="00ED1D56">
        <w:rPr>
          <w:rStyle w:val="FootnoteReference"/>
          <w:sz w:val="16"/>
          <w:szCs w:val="16"/>
        </w:rPr>
        <w:footnoteRef/>
      </w:r>
      <w:r w:rsidRPr="00ED1D56">
        <w:rPr>
          <w:sz w:val="16"/>
          <w:szCs w:val="16"/>
        </w:rPr>
        <w:t xml:space="preserve"> </w:t>
      </w:r>
      <w:r w:rsidR="00ED1D56" w:rsidRPr="00ED1D56">
        <w:rPr>
          <w:rFonts w:cstheme="minorHAnsi"/>
          <w:iCs/>
          <w:sz w:val="16"/>
          <w:szCs w:val="16"/>
        </w:rPr>
        <w:t xml:space="preserve">The BILH Urgent Care Quincy center opened in October 2020, which is FY2021. As such, the Applicant does not have data for this site prior to FY2021. </w:t>
      </w:r>
    </w:p>
  </w:footnote>
  <w:footnote w:id="9">
    <w:p w14:paraId="2DA0696C" w14:textId="63D90C31" w:rsidR="00630C10" w:rsidRDefault="00630C10">
      <w:pPr>
        <w:pStyle w:val="FootnoteText"/>
      </w:pPr>
      <w:r>
        <w:rPr>
          <w:rStyle w:val="FootnoteReference"/>
        </w:rPr>
        <w:footnoteRef/>
      </w:r>
      <w:r>
        <w:t xml:space="preserve"> </w:t>
      </w:r>
      <w:r w:rsidRPr="0047533B">
        <w:rPr>
          <w:sz w:val="16"/>
          <w:szCs w:val="16"/>
        </w:rPr>
        <w:t xml:space="preserve">The Applicant notes that </w:t>
      </w:r>
      <w:r w:rsidRPr="0047533B">
        <w:rPr>
          <w:rFonts w:ascii="Calibri" w:eastAsia="Times New Roman" w:hAnsi="Calibri" w:cs="Calibri"/>
          <w:color w:val="000000" w:themeColor="text1"/>
          <w:sz w:val="16"/>
          <w:szCs w:val="16"/>
        </w:rPr>
        <w:t>3 of the 4 providers in the BILH Primary Care Quincy practice are female</w:t>
      </w:r>
      <w:r>
        <w:rPr>
          <w:rFonts w:ascii="Calibri" w:eastAsia="Times New Roman" w:hAnsi="Calibri" w:cs="Calibri"/>
          <w:color w:val="000000" w:themeColor="text1"/>
          <w:sz w:val="16"/>
          <w:szCs w:val="16"/>
        </w:rPr>
        <w:t>, which explains the higher percentage of female patients served.</w:t>
      </w:r>
    </w:p>
  </w:footnote>
  <w:footnote w:id="10">
    <w:p w14:paraId="23F5A1E5" w14:textId="41AC7A76" w:rsidR="002B7A3C" w:rsidRPr="0047533B" w:rsidRDefault="002B7A3C" w:rsidP="000D03AB">
      <w:pPr>
        <w:pStyle w:val="FootnoteText"/>
        <w:rPr>
          <w:sz w:val="16"/>
          <w:szCs w:val="16"/>
        </w:rPr>
      </w:pPr>
      <w:r>
        <w:rPr>
          <w:rStyle w:val="FootnoteReference"/>
        </w:rPr>
        <w:footnoteRef/>
      </w:r>
      <w:r>
        <w:t xml:space="preserve"> </w:t>
      </w:r>
      <w:r w:rsidRPr="008500C5">
        <w:rPr>
          <w:sz w:val="16"/>
          <w:szCs w:val="16"/>
        </w:rPr>
        <w:t xml:space="preserve">The Applicant is not able to provide more detailed information regarding gender, race, or ethnicity of the patient panel receiving urgent care </w:t>
      </w:r>
      <w:r w:rsidRPr="0047533B">
        <w:rPr>
          <w:sz w:val="16"/>
          <w:szCs w:val="16"/>
        </w:rPr>
        <w:t>in Quincy based on the source data.</w:t>
      </w:r>
    </w:p>
  </w:footnote>
  <w:footnote w:id="11">
    <w:p w14:paraId="117BAFF4" w14:textId="00691136" w:rsidR="002B7A3C" w:rsidRPr="000F6AC4" w:rsidRDefault="002B7A3C" w:rsidP="0047533B">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w:t>
      </w:r>
      <w:r w:rsidRPr="000F6AC4">
        <w:rPr>
          <w:rFonts w:eastAsia="Times New Roman" w:cstheme="minorHAnsi"/>
          <w:color w:val="000000"/>
          <w:sz w:val="16"/>
          <w:szCs w:val="16"/>
        </w:rPr>
        <w:t>Includes genders other than male/female, as well as patients for whom a gender is not specified, and whose gender varies across visits over the time period.</w:t>
      </w:r>
    </w:p>
  </w:footnote>
  <w:footnote w:id="12">
    <w:p w14:paraId="712503DD" w14:textId="3C1F596E" w:rsidR="002B7A3C" w:rsidRPr="000F6AC4" w:rsidRDefault="002B7A3C">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“Other” is a choice for patients to select if they do not feel that their race/ethnicity is reflected in the list of choices.</w:t>
      </w:r>
    </w:p>
  </w:footnote>
  <w:footnote w:id="13">
    <w:p w14:paraId="00CD8494" w14:textId="77777777" w:rsidR="002B7A3C" w:rsidRPr="0074205E" w:rsidRDefault="002B7A3C">
      <w:pPr>
        <w:pStyle w:val="FootnoteText"/>
        <w:rPr>
          <w:rFonts w:cstheme="minorHAnsi"/>
          <w:sz w:val="16"/>
          <w:szCs w:val="16"/>
        </w:rPr>
      </w:pPr>
      <w:r w:rsidRPr="0074205E">
        <w:rPr>
          <w:rStyle w:val="FootnoteReference"/>
          <w:rFonts w:cstheme="minorHAnsi"/>
          <w:sz w:val="16"/>
          <w:szCs w:val="16"/>
        </w:rPr>
        <w:footnoteRef/>
      </w:r>
      <w:r w:rsidRPr="0074205E">
        <w:rPr>
          <w:rFonts w:cstheme="minorHAnsi"/>
          <w:sz w:val="16"/>
          <w:szCs w:val="16"/>
        </w:rPr>
        <w:t xml:space="preserve"> Includes self-pay, health safety net, and liability coverage other than worker’s compensation for an injury event.</w:t>
      </w:r>
    </w:p>
  </w:footnote>
  <w:footnote w:id="14">
    <w:p w14:paraId="76D2F6AC" w14:textId="77777777" w:rsidR="00C62850" w:rsidRPr="008500C5" w:rsidRDefault="00C62850" w:rsidP="00C62850">
      <w:pPr>
        <w:pStyle w:val="FootnoteText"/>
        <w:rPr>
          <w:rFonts w:cs="Times New Roman"/>
          <w:sz w:val="16"/>
          <w:szCs w:val="16"/>
        </w:rPr>
      </w:pPr>
      <w:r w:rsidRPr="008500C5">
        <w:rPr>
          <w:rStyle w:val="FootnoteReference"/>
          <w:rFonts w:cs="Times New Roman"/>
          <w:sz w:val="16"/>
          <w:szCs w:val="16"/>
        </w:rPr>
        <w:footnoteRef/>
      </w:r>
      <w:r w:rsidRPr="008500C5">
        <w:rPr>
          <w:rFonts w:cs="Times New Roman"/>
          <w:sz w:val="16"/>
          <w:szCs w:val="16"/>
        </w:rPr>
        <w:t xml:space="preserve"> </w:t>
      </w:r>
      <w:r w:rsidRPr="008500C5">
        <w:rPr>
          <w:rFonts w:eastAsia="Calibri" w:cs="Times New Roman"/>
          <w:color w:val="000000" w:themeColor="text1"/>
          <w:sz w:val="16"/>
          <w:szCs w:val="16"/>
        </w:rPr>
        <w:t xml:space="preserve">MA Centers for Healthcare Information &amp; Analysis (2015-2021). This includes med/surg inpatient discharges from BID-Plymouth’s total service area. This data only includes individuals 18 and older, and excludes psych and obstetrics. </w:t>
      </w:r>
    </w:p>
  </w:footnote>
  <w:footnote w:id="15">
    <w:p w14:paraId="272BA07B" w14:textId="77777777" w:rsidR="003D7E29" w:rsidRPr="008500C5" w:rsidRDefault="003D7E29" w:rsidP="003D7E29">
      <w:pPr>
        <w:pStyle w:val="FootnoteText"/>
        <w:rPr>
          <w:rFonts w:cs="Times New Roman"/>
          <w:sz w:val="16"/>
          <w:szCs w:val="16"/>
        </w:rPr>
      </w:pPr>
      <w:r w:rsidRPr="008500C5">
        <w:rPr>
          <w:rStyle w:val="FootnoteReference"/>
          <w:rFonts w:cs="Times New Roman"/>
          <w:sz w:val="16"/>
          <w:szCs w:val="16"/>
        </w:rPr>
        <w:footnoteRef/>
      </w:r>
      <w:r w:rsidRPr="008500C5">
        <w:rPr>
          <w:rFonts w:cs="Times New Roman"/>
          <w:sz w:val="16"/>
          <w:szCs w:val="16"/>
        </w:rPr>
        <w:t xml:space="preserve"> This projection was derived by using current state scheduling data and projecting out based on incremental addition of physicians and advanced practice practitioners. </w:t>
      </w:r>
    </w:p>
  </w:footnote>
  <w:footnote w:id="16">
    <w:p w14:paraId="4FB849F4" w14:textId="77777777" w:rsidR="003D7E29" w:rsidRPr="008500C5" w:rsidRDefault="003D7E29" w:rsidP="003D7E29">
      <w:pPr>
        <w:pStyle w:val="FootnoteText"/>
        <w:rPr>
          <w:rFonts w:cs="Times New Roman"/>
          <w:sz w:val="16"/>
          <w:szCs w:val="16"/>
        </w:rPr>
      </w:pPr>
      <w:r w:rsidRPr="008500C5">
        <w:rPr>
          <w:rStyle w:val="FootnoteReference"/>
          <w:rFonts w:cs="Times New Roman"/>
          <w:sz w:val="16"/>
          <w:szCs w:val="16"/>
        </w:rPr>
        <w:footnoteRef/>
      </w:r>
      <w:r w:rsidRPr="008500C5">
        <w:rPr>
          <w:rFonts w:cs="Times New Roman"/>
          <w:sz w:val="16"/>
          <w:szCs w:val="16"/>
        </w:rPr>
        <w:t xml:space="preserve"> This projection was derived based on the benchmark of two infusions per chair per day in the first year that the clinic is in service, and ramping up to three infusions per chair per day in the clinics fifth year in service. </w:t>
      </w:r>
    </w:p>
  </w:footnote>
  <w:footnote w:id="17">
    <w:p w14:paraId="78A12DAA" w14:textId="77777777" w:rsidR="002C0E22" w:rsidRPr="00057852" w:rsidRDefault="002C0E22" w:rsidP="002C0E22">
      <w:pPr>
        <w:pStyle w:val="ListParagraph"/>
        <w:spacing w:after="0" w:line="240" w:lineRule="auto"/>
        <w:ind w:left="0"/>
        <w:rPr>
          <w:rFonts w:cstheme="minorHAnsi"/>
          <w:iCs/>
          <w:sz w:val="16"/>
          <w:szCs w:val="16"/>
        </w:rPr>
      </w:pPr>
      <w:r w:rsidRPr="00057852">
        <w:rPr>
          <w:rStyle w:val="FootnoteReference"/>
          <w:sz w:val="16"/>
          <w:szCs w:val="16"/>
        </w:rPr>
        <w:footnoteRef/>
      </w:r>
      <w:r w:rsidRPr="00057852">
        <w:rPr>
          <w:sz w:val="16"/>
          <w:szCs w:val="16"/>
        </w:rPr>
        <w:t xml:space="preserve"> </w:t>
      </w:r>
      <w:r w:rsidRPr="00057852">
        <w:rPr>
          <w:rFonts w:cstheme="minorHAnsi"/>
          <w:iCs/>
          <w:sz w:val="16"/>
          <w:szCs w:val="16"/>
        </w:rPr>
        <w:t>Market Demand reflects the 5-year forecasted demand for Hematology-Oncology outpatient services in the BID Plymouth service area. The calculation(s) used to forecast future demand is based on a proprietary methodology created by RES.</w:t>
      </w:r>
    </w:p>
  </w:footnote>
  <w:footnote w:id="18">
    <w:p w14:paraId="73E75022" w14:textId="5B507048" w:rsidR="002C0E22" w:rsidRPr="007F7EBE" w:rsidRDefault="002C0E22" w:rsidP="007F7EBE">
      <w:pPr>
        <w:pStyle w:val="ListParagraph"/>
        <w:spacing w:before="240" w:after="0" w:line="229" w:lineRule="exact"/>
        <w:ind w:left="0"/>
        <w:rPr>
          <w:rFonts w:cstheme="minorHAnsi"/>
          <w:b/>
          <w:bCs/>
          <w:iCs/>
        </w:rPr>
      </w:pPr>
      <w:r w:rsidRPr="00057852">
        <w:rPr>
          <w:rStyle w:val="FootnoteReference"/>
          <w:sz w:val="16"/>
          <w:szCs w:val="16"/>
        </w:rPr>
        <w:footnoteRef/>
      </w:r>
      <w:r w:rsidRPr="00057852">
        <w:rPr>
          <w:sz w:val="16"/>
          <w:szCs w:val="16"/>
        </w:rPr>
        <w:t xml:space="preserve"> </w:t>
      </w:r>
      <w:r w:rsidRPr="00057852">
        <w:rPr>
          <w:rFonts w:cstheme="minorHAnsi"/>
          <w:iCs/>
          <w:sz w:val="16"/>
          <w:szCs w:val="16"/>
        </w:rPr>
        <w:t>Market Physician Need reflects the FTE Hematology-Oncology physician need in order to accommodate the Market Demand defined above in the BID Plymouth service area. This is calculated applying the above defined 5-year forecasted Market Demand against a proprietary methodology of physician productivity by specialty created by RES.</w:t>
      </w:r>
    </w:p>
  </w:footnote>
  <w:footnote w:id="19">
    <w:p w14:paraId="1B6B182D" w14:textId="50208015" w:rsidR="00717101" w:rsidRPr="003A1FB6" w:rsidRDefault="00717101">
      <w:pPr>
        <w:pStyle w:val="FootnoteText"/>
        <w:rPr>
          <w:sz w:val="16"/>
          <w:szCs w:val="16"/>
        </w:rPr>
      </w:pPr>
      <w:r w:rsidRPr="003A1FB6">
        <w:rPr>
          <w:rStyle w:val="FootnoteReference"/>
          <w:sz w:val="16"/>
          <w:szCs w:val="16"/>
        </w:rPr>
        <w:footnoteRef/>
      </w:r>
      <w:r w:rsidRPr="003A1FB6">
        <w:rPr>
          <w:sz w:val="16"/>
          <w:szCs w:val="16"/>
        </w:rPr>
        <w:t xml:space="preserve"> </w:t>
      </w:r>
      <w:r w:rsidR="00781E93" w:rsidRPr="003A1FB6">
        <w:rPr>
          <w:sz w:val="16"/>
          <w:szCs w:val="16"/>
        </w:rPr>
        <w:t>Staff notes that while there is not a hospital within Quincy city limits, there are hospitals within driving distance</w:t>
      </w:r>
      <w:r w:rsidR="009C7D3F" w:rsidRPr="003A1FB6">
        <w:rPr>
          <w:sz w:val="16"/>
          <w:szCs w:val="16"/>
        </w:rPr>
        <w:t xml:space="preserve"> of Quincy.</w:t>
      </w:r>
    </w:p>
  </w:footnote>
  <w:footnote w:id="20">
    <w:p w14:paraId="6BD680DD" w14:textId="77777777" w:rsidR="00FB672D" w:rsidRPr="008500C5" w:rsidRDefault="00FB672D" w:rsidP="00FB672D">
      <w:pPr>
        <w:pStyle w:val="FootnoteText"/>
        <w:rPr>
          <w:rFonts w:cs="Times New Roman"/>
          <w:sz w:val="16"/>
          <w:szCs w:val="16"/>
        </w:rPr>
      </w:pPr>
      <w:r w:rsidRPr="008500C5">
        <w:rPr>
          <w:rStyle w:val="FootnoteReference"/>
          <w:rFonts w:cs="Times New Roman"/>
          <w:sz w:val="16"/>
          <w:szCs w:val="16"/>
        </w:rPr>
        <w:footnoteRef/>
      </w:r>
      <w:r w:rsidRPr="008500C5">
        <w:rPr>
          <w:rFonts w:cs="Times New Roman"/>
          <w:sz w:val="16"/>
          <w:szCs w:val="16"/>
        </w:rPr>
        <w:t>The Quincy region includes Avon, Braintree, Canton, Cohasset, Hanover, Hingham, Holbrook, Marshfield, Milton, Norwell, Quincy, Randolph, Rockland, Scituate, and Weymouth Population statistics from 2024 Sg2 Claritas Pop Facts. Population growth forecasted for 5-Years (2021 – 2026).</w:t>
      </w:r>
    </w:p>
  </w:footnote>
  <w:footnote w:id="21">
    <w:p w14:paraId="0EA50E5F" w14:textId="77777777" w:rsidR="002D1EF1" w:rsidRPr="002D1EF1" w:rsidRDefault="002D1EF1" w:rsidP="002D1EF1">
      <w:pPr>
        <w:spacing w:after="0" w:line="240" w:lineRule="auto"/>
        <w:rPr>
          <w:rFonts w:cs="Times New Roman"/>
          <w:sz w:val="16"/>
          <w:szCs w:val="16"/>
        </w:rPr>
      </w:pPr>
      <w:r>
        <w:rPr>
          <w:rStyle w:val="FootnoteReference"/>
        </w:rPr>
        <w:footnoteRef/>
      </w:r>
      <w:r>
        <w:t xml:space="preserve"> </w:t>
      </w:r>
      <w:r w:rsidRPr="002D1EF1">
        <w:rPr>
          <w:rFonts w:cs="Times New Roman"/>
          <w:sz w:val="16"/>
          <w:szCs w:val="16"/>
        </w:rPr>
        <w:t>The applicant notes that decisions to recruit new providers (e.g., physicians, PAs and NPs) or transition/rotate existing specialty providers are still under development. Additionally, over 100 physicians who provide rotating shift coverage for the current Quincy urgent care center will transition and continue to provide rotating shift coverage at the new Quincy Satellite and are not included in the above count. Lastly, the Applicant anticipates that the Quincy Satellite will serve as a destination site for services including imaging, infusion, lab and pharmacy which comprise 44% of new hires.</w:t>
      </w:r>
    </w:p>
    <w:p w14:paraId="00674D70" w14:textId="6D24FF04" w:rsidR="002D1EF1" w:rsidRDefault="002D1EF1">
      <w:pPr>
        <w:pStyle w:val="FootnoteText"/>
      </w:pPr>
    </w:p>
  </w:footnote>
  <w:footnote w:id="22">
    <w:p w14:paraId="7A146402" w14:textId="348E38E8" w:rsidR="00054DE4" w:rsidRPr="00B623DC" w:rsidRDefault="00054DE4">
      <w:pPr>
        <w:pStyle w:val="FootnoteText"/>
        <w:rPr>
          <w:sz w:val="16"/>
          <w:szCs w:val="16"/>
        </w:rPr>
      </w:pPr>
      <w:r w:rsidRPr="00B623DC">
        <w:rPr>
          <w:rStyle w:val="FootnoteReference"/>
          <w:sz w:val="16"/>
          <w:szCs w:val="16"/>
        </w:rPr>
        <w:footnoteRef/>
      </w:r>
      <w:r w:rsidRPr="00B623DC">
        <w:rPr>
          <w:sz w:val="16"/>
          <w:szCs w:val="16"/>
        </w:rPr>
        <w:t xml:space="preserve"> </w:t>
      </w:r>
      <w:r w:rsidR="00B623DC" w:rsidRPr="00B623DC">
        <w:rPr>
          <w:rFonts w:cstheme="minorHAnsi"/>
          <w:iCs/>
          <w:sz w:val="16"/>
          <w:szCs w:val="16"/>
        </w:rPr>
        <w:t>Travel distances and times are based on GlobeFeed.com Distance Calculator.</w:t>
      </w:r>
    </w:p>
  </w:footnote>
  <w:footnote w:id="23">
    <w:p w14:paraId="385CC10D" w14:textId="77777777" w:rsidR="00272CB1" w:rsidRPr="00B44DD3" w:rsidRDefault="00272CB1" w:rsidP="003E1CDA">
      <w:pPr>
        <w:pStyle w:val="FootnoteText"/>
        <w:rPr>
          <w:sz w:val="16"/>
          <w:szCs w:val="16"/>
        </w:rPr>
      </w:pPr>
      <w:r w:rsidRPr="00B44DD3">
        <w:rPr>
          <w:rStyle w:val="FootnoteReference"/>
          <w:sz w:val="16"/>
          <w:szCs w:val="16"/>
        </w:rPr>
        <w:footnoteRef/>
      </w:r>
      <w:r w:rsidRPr="00B44DD3">
        <w:rPr>
          <w:sz w:val="16"/>
          <w:szCs w:val="16"/>
        </w:rPr>
        <w:t xml:space="preserve"> Community Engagement Standards for Community Health Planning Guideline</w:t>
      </w:r>
    </w:p>
  </w:footnote>
  <w:footnote w:id="24">
    <w:p w14:paraId="5966E8BC" w14:textId="7980A61D" w:rsidR="00272CB1" w:rsidRPr="0010344C" w:rsidRDefault="00272CB1" w:rsidP="003E1CDA">
      <w:pPr>
        <w:pStyle w:val="FootnoteText"/>
        <w:rPr>
          <w:sz w:val="18"/>
          <w:szCs w:val="18"/>
        </w:rPr>
      </w:pPr>
      <w:r w:rsidRPr="00B44DD3">
        <w:rPr>
          <w:rStyle w:val="FootnoteReference"/>
          <w:sz w:val="16"/>
          <w:szCs w:val="16"/>
        </w:rPr>
        <w:footnoteRef/>
      </w:r>
      <w:r w:rsidRPr="00B44DD3">
        <w:rPr>
          <w:sz w:val="16"/>
          <w:szCs w:val="16"/>
        </w:rPr>
        <w:t xml:space="preserve"> </w:t>
      </w:r>
      <w:hyperlink r:id="rId1" w:history="1">
        <w:r w:rsidRPr="008847B5">
          <w:rPr>
            <w:rStyle w:val="Hyperlink"/>
            <w:color w:val="000000" w:themeColor="text1"/>
            <w:sz w:val="16"/>
            <w:szCs w:val="16"/>
            <w:u w:val="none"/>
          </w:rPr>
          <w:t>DoN Regulation 100.210 (A)(1)(e).</w:t>
        </w:r>
      </w:hyperlink>
      <w:r w:rsidRPr="00B44DD3">
        <w:rPr>
          <w:sz w:val="16"/>
          <w:szCs w:val="16"/>
        </w:rPr>
        <w:t xml:space="preserve"> </w:t>
      </w:r>
      <w:hyperlink r:id="rId2" w:history="1">
        <w:r w:rsidRPr="00B44DD3">
          <w:rPr>
            <w:rStyle w:val="Hyperlink"/>
            <w:sz w:val="16"/>
            <w:szCs w:val="16"/>
          </w:rPr>
          <w:t>Available at https://www.mass.gov/files/documents/2018/12/31/jud-lib-105cmr100.pdf</w:t>
        </w:r>
      </w:hyperlink>
      <w:r w:rsidRPr="0010344C">
        <w:rPr>
          <w:sz w:val="18"/>
          <w:szCs w:val="18"/>
        </w:rPr>
        <w:t xml:space="preserve"> </w:t>
      </w:r>
    </w:p>
  </w:footnote>
  <w:footnote w:id="25">
    <w:p w14:paraId="389B4D68" w14:textId="244E46DE" w:rsidR="000B534E" w:rsidRPr="00B8454F" w:rsidRDefault="000B534E">
      <w:pPr>
        <w:pStyle w:val="FootnoteText"/>
        <w:rPr>
          <w:sz w:val="16"/>
          <w:szCs w:val="16"/>
        </w:rPr>
      </w:pPr>
      <w:r w:rsidRPr="00B8454F">
        <w:rPr>
          <w:rStyle w:val="FootnoteReference"/>
          <w:sz w:val="16"/>
          <w:szCs w:val="16"/>
        </w:rPr>
        <w:footnoteRef/>
      </w:r>
      <w:r w:rsidRPr="00B8454F">
        <w:rPr>
          <w:sz w:val="16"/>
          <w:szCs w:val="16"/>
        </w:rPr>
        <w:t xml:space="preserve"> The Applicant notes that these</w:t>
      </w:r>
      <w:r w:rsidR="00B8454F" w:rsidRPr="00B8454F">
        <w:rPr>
          <w:sz w:val="16"/>
          <w:szCs w:val="16"/>
        </w:rPr>
        <w:t xml:space="preserve"> Community Sites are </w:t>
      </w:r>
      <w:r w:rsidRPr="00B8454F">
        <w:rPr>
          <w:rStyle w:val="normaltextrun"/>
          <w:rFonts w:ascii="Calibri" w:hAnsi="Calibri" w:cs="Calibri"/>
          <w:bCs/>
          <w:sz w:val="16"/>
          <w:szCs w:val="16"/>
          <w:shd w:val="clear" w:color="auto" w:fill="FFFFFF"/>
        </w:rPr>
        <w:t>licensed as either an off-campus hospital outpatient department or a physician office billing for urgent care services</w:t>
      </w:r>
    </w:p>
  </w:footnote>
  <w:footnote w:id="26">
    <w:p w14:paraId="63CFE79C" w14:textId="3BED3431" w:rsidR="009B5A49" w:rsidRPr="009B5A49" w:rsidRDefault="009B5A49">
      <w:pPr>
        <w:pStyle w:val="FootnoteText"/>
        <w:rPr>
          <w:sz w:val="16"/>
          <w:szCs w:val="16"/>
        </w:rPr>
      </w:pPr>
      <w:r w:rsidRPr="009B5A49">
        <w:rPr>
          <w:rStyle w:val="FootnoteReference"/>
          <w:sz w:val="16"/>
          <w:szCs w:val="16"/>
        </w:rPr>
        <w:footnoteRef/>
      </w:r>
      <w:r w:rsidRPr="009B5A49">
        <w:rPr>
          <w:sz w:val="16"/>
          <w:szCs w:val="16"/>
        </w:rPr>
        <w:t xml:space="preserve"> </w:t>
      </w:r>
      <w:r w:rsidRPr="009B5A49">
        <w:rPr>
          <w:rFonts w:cs="Times New Roman"/>
          <w:sz w:val="16"/>
          <w:szCs w:val="16"/>
        </w:rPr>
        <w:t>The Quincy pro forma assumes a 40% reduction in average net patient service revenue at the Quincy satellite as compared to the cost for the same services delivered at BIDMC-licensed outpatient centers in Chestnut Hill (200 Boylston Street), Lexington (482 Bedford Street) and Needham (310 Chestnut Street).</w:t>
      </w:r>
    </w:p>
  </w:footnote>
  <w:footnote w:id="27">
    <w:p w14:paraId="32114A2D" w14:textId="77777777" w:rsidR="0081104F" w:rsidRPr="00897FA5" w:rsidRDefault="0081104F" w:rsidP="0081104F">
      <w:pPr>
        <w:tabs>
          <w:tab w:val="left" w:pos="1440"/>
        </w:tabs>
        <w:autoSpaceDE w:val="0"/>
        <w:autoSpaceDN w:val="0"/>
        <w:adjustRightInd w:val="0"/>
        <w:spacing w:after="0" w:line="240" w:lineRule="auto"/>
        <w:rPr>
          <w:rFonts w:cstheme="minorHAnsi"/>
          <w:color w:val="000000" w:themeColor="text1"/>
          <w:sz w:val="16"/>
          <w:szCs w:val="16"/>
        </w:rPr>
      </w:pPr>
      <w:r w:rsidRPr="00897FA5">
        <w:rPr>
          <w:rStyle w:val="FootnoteReference"/>
          <w:sz w:val="16"/>
          <w:szCs w:val="16"/>
        </w:rPr>
        <w:footnoteRef/>
      </w:r>
      <w:r w:rsidRPr="00897FA5">
        <w:rPr>
          <w:sz w:val="16"/>
          <w:szCs w:val="16"/>
        </w:rPr>
        <w:t xml:space="preserve"> </w:t>
      </w:r>
      <w:r w:rsidRPr="00897FA5">
        <w:rPr>
          <w:rFonts w:cstheme="minorHAnsi"/>
          <w:color w:val="000000" w:themeColor="text1"/>
          <w:sz w:val="16"/>
          <w:szCs w:val="16"/>
        </w:rPr>
        <w:t>The Applicant defines “Blended” as the sum of net patient service revenue per visit across three payer categories (Commercial, Medicare and Medicaid/Other) and the payer mix for each specialty. “+ Discount” then reduces the Blended rate by 40% percent to reflect off-campus Hospital Outpatient Department rates.</w:t>
      </w:r>
    </w:p>
    <w:p w14:paraId="4BB88CBE" w14:textId="5C575DDD" w:rsidR="0081104F" w:rsidRDefault="0081104F" w:rsidP="0081104F">
      <w:pPr>
        <w:pStyle w:val="FootnoteText"/>
      </w:pPr>
    </w:p>
  </w:footnote>
  <w:footnote w:id="28">
    <w:p w14:paraId="4582B2FB" w14:textId="1D664878" w:rsidR="00886427" w:rsidRPr="005B7F53" w:rsidRDefault="00886427">
      <w:pPr>
        <w:pStyle w:val="FootnoteText"/>
        <w:rPr>
          <w:sz w:val="16"/>
          <w:szCs w:val="16"/>
        </w:rPr>
      </w:pPr>
      <w:r w:rsidRPr="005B7F53">
        <w:rPr>
          <w:rStyle w:val="FootnoteReference"/>
          <w:sz w:val="16"/>
          <w:szCs w:val="16"/>
        </w:rPr>
        <w:footnoteRef/>
      </w:r>
      <w:r w:rsidRPr="005B7F53">
        <w:rPr>
          <w:sz w:val="16"/>
          <w:szCs w:val="16"/>
        </w:rPr>
        <w:t xml:space="preserve"> HOPD's typically have lower operational costs than </w:t>
      </w:r>
      <w:r w:rsidR="005B7F53" w:rsidRPr="005B7F53">
        <w:rPr>
          <w:sz w:val="16"/>
          <w:szCs w:val="16"/>
        </w:rPr>
        <w:t xml:space="preserve">hospitals </w:t>
      </w:r>
      <w:r w:rsidRPr="005B7F53">
        <w:rPr>
          <w:sz w:val="16"/>
          <w:szCs w:val="16"/>
        </w:rPr>
        <w:t>due to a more streamlined focus on outpatient procedures, less need for extensive staff and facilities, and often benefit from "site-neutral" payment policies that reimburse at a lower rate for services provided outside of a traditional hospital setting</w:t>
      </w:r>
    </w:p>
  </w:footnote>
  <w:footnote w:id="29">
    <w:p w14:paraId="4166E736" w14:textId="10CE3884" w:rsidR="00584119" w:rsidRPr="0014018A" w:rsidRDefault="00584119">
      <w:pPr>
        <w:pStyle w:val="FootnoteText"/>
        <w:rPr>
          <w:sz w:val="16"/>
          <w:szCs w:val="16"/>
        </w:rPr>
      </w:pPr>
      <w:r w:rsidRPr="0014018A">
        <w:rPr>
          <w:rStyle w:val="FootnoteReference"/>
          <w:sz w:val="16"/>
          <w:szCs w:val="16"/>
        </w:rPr>
        <w:footnoteRef/>
      </w:r>
      <w:r w:rsidRPr="0014018A">
        <w:rPr>
          <w:sz w:val="16"/>
          <w:szCs w:val="16"/>
        </w:rPr>
        <w:t xml:space="preserve"> </w:t>
      </w:r>
      <w:r w:rsidR="0014018A" w:rsidRPr="0014018A">
        <w:rPr>
          <w:sz w:val="16"/>
          <w:szCs w:val="16"/>
        </w:rPr>
        <w:t>“Historical” refers to FY2022 and FY2023</w:t>
      </w:r>
      <w:r w:rsidR="0014018A">
        <w:rPr>
          <w:sz w:val="16"/>
          <w:szCs w:val="16"/>
        </w:rPr>
        <w:t>.</w:t>
      </w:r>
    </w:p>
  </w:footnote>
  <w:footnote w:id="30">
    <w:p w14:paraId="24F61D2F" w14:textId="77777777" w:rsidR="008E4932" w:rsidRPr="004C2201" w:rsidRDefault="008E4932" w:rsidP="008E4932">
      <w:pPr>
        <w:pStyle w:val="FootnoteText"/>
        <w:rPr>
          <w:sz w:val="16"/>
          <w:szCs w:val="16"/>
        </w:rPr>
      </w:pPr>
      <w:r w:rsidRPr="004C2201">
        <w:rPr>
          <w:rStyle w:val="FootnoteReference"/>
          <w:sz w:val="16"/>
          <w:szCs w:val="16"/>
        </w:rPr>
        <w:footnoteRef/>
      </w:r>
      <w:r w:rsidRPr="004C2201">
        <w:rPr>
          <w:sz w:val="16"/>
          <w:szCs w:val="16"/>
        </w:rPr>
        <w:t xml:space="preserve"> </w:t>
      </w:r>
      <w:r w:rsidRPr="004C2201">
        <w:rPr>
          <w:rFonts w:eastAsia="Times New Roman" w:cstheme="minorHAnsi"/>
          <w:sz w:val="16"/>
          <w:szCs w:val="16"/>
        </w:rPr>
        <w:t>Reasonableness is defined within the context of this report as supportable and proper, given the underlying</w:t>
      </w:r>
      <w:r w:rsidRPr="004C2201">
        <w:rPr>
          <w:rFonts w:cstheme="minorHAnsi"/>
          <w:sz w:val="16"/>
          <w:szCs w:val="16"/>
        </w:rPr>
        <w:t xml:space="preserve"> </w:t>
      </w:r>
      <w:r w:rsidRPr="004C2201">
        <w:rPr>
          <w:rFonts w:eastAsia="Times New Roman" w:cstheme="minorHAnsi"/>
          <w:sz w:val="16"/>
          <w:szCs w:val="16"/>
        </w:rPr>
        <w:t>information.</w:t>
      </w:r>
    </w:p>
  </w:footnote>
  <w:footnote w:id="31">
    <w:p w14:paraId="10CA6ABB" w14:textId="67F9EC60" w:rsidR="008E4932" w:rsidRPr="004C2201" w:rsidRDefault="008E4932" w:rsidP="008E4932">
      <w:pPr>
        <w:autoSpaceDE w:val="0"/>
        <w:autoSpaceDN w:val="0"/>
        <w:adjustRightInd w:val="0"/>
        <w:rPr>
          <w:rFonts w:cstheme="minorHAnsi"/>
          <w:sz w:val="16"/>
          <w:szCs w:val="16"/>
        </w:rPr>
      </w:pPr>
      <w:r w:rsidRPr="004C2201">
        <w:rPr>
          <w:rStyle w:val="FootnoteReference"/>
          <w:rFonts w:cstheme="minorHAnsi"/>
          <w:sz w:val="16"/>
          <w:szCs w:val="16"/>
        </w:rPr>
        <w:footnoteRef/>
      </w:r>
      <w:r w:rsidRPr="004C2201">
        <w:rPr>
          <w:sz w:val="16"/>
          <w:szCs w:val="16"/>
        </w:rPr>
        <w:t xml:space="preserve"> </w:t>
      </w:r>
      <w:r w:rsidRPr="004C2201">
        <w:rPr>
          <w:rFonts w:cstheme="minorHAnsi"/>
          <w:sz w:val="16"/>
          <w:szCs w:val="16"/>
        </w:rPr>
        <w:t xml:space="preserve">Feasibility is defined as based on the assumptions used, the plan is not likely to result in insufficient funds available for capital and ongoing operating costs necessary to support the proposed project without negative impacts or consequences to </w:t>
      </w:r>
      <w:r w:rsidR="004E420D">
        <w:rPr>
          <w:rFonts w:cstheme="minorHAnsi"/>
          <w:sz w:val="16"/>
          <w:szCs w:val="16"/>
        </w:rPr>
        <w:t xml:space="preserve">the </w:t>
      </w:r>
      <w:r w:rsidRPr="004C2201">
        <w:rPr>
          <w:rFonts w:cstheme="minorHAnsi"/>
          <w:sz w:val="16"/>
          <w:szCs w:val="16"/>
        </w:rPr>
        <w:t>existing Patient Panel.</w:t>
      </w:r>
    </w:p>
  </w:footnote>
  <w:footnote w:id="32">
    <w:p w14:paraId="1098B4A8" w14:textId="77777777" w:rsidR="00A261C4" w:rsidRPr="000F6AC4" w:rsidRDefault="00A261C4" w:rsidP="00A261C4">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w:t>
      </w:r>
      <w:r w:rsidRPr="000F6AC4">
        <w:rPr>
          <w:rFonts w:eastAsia="Times New Roman" w:cstheme="minorHAnsi"/>
          <w:color w:val="000000"/>
          <w:sz w:val="16"/>
          <w:szCs w:val="16"/>
        </w:rPr>
        <w:t>Includes genders other than male/female, as well as patients for whom a gender is not specified, and whose gender varies across visits over the time period.</w:t>
      </w:r>
    </w:p>
  </w:footnote>
  <w:footnote w:id="33">
    <w:p w14:paraId="4D574E79" w14:textId="77777777" w:rsidR="00A261C4" w:rsidRPr="000F6AC4" w:rsidRDefault="00A261C4" w:rsidP="00A261C4">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“Other” is a choice for patients to select if they do not feel that their race/ethnicity is reflected in the list of choices.</w:t>
      </w:r>
    </w:p>
  </w:footnote>
  <w:footnote w:id="34">
    <w:p w14:paraId="296A4FB3" w14:textId="77777777" w:rsidR="00A261C4" w:rsidRPr="0074205E" w:rsidRDefault="00A261C4" w:rsidP="00A261C4">
      <w:pPr>
        <w:pStyle w:val="FootnoteText"/>
        <w:rPr>
          <w:rFonts w:cstheme="minorHAnsi"/>
          <w:sz w:val="16"/>
          <w:szCs w:val="16"/>
        </w:rPr>
      </w:pPr>
      <w:r w:rsidRPr="0074205E">
        <w:rPr>
          <w:rStyle w:val="FootnoteReference"/>
          <w:rFonts w:cstheme="minorHAnsi"/>
          <w:sz w:val="16"/>
          <w:szCs w:val="16"/>
        </w:rPr>
        <w:footnoteRef/>
      </w:r>
      <w:r w:rsidRPr="0074205E">
        <w:rPr>
          <w:rFonts w:cstheme="minorHAnsi"/>
          <w:sz w:val="16"/>
          <w:szCs w:val="16"/>
        </w:rPr>
        <w:t xml:space="preserve"> Includes self-pay, health safety net, and liability coverage other than worker’s compensation for an injury event.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E8D"/>
    <w:multiLevelType w:val="hybridMultilevel"/>
    <w:tmpl w:val="A2B0DF6C"/>
    <w:lvl w:ilvl="0" w:tplc="E32222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5E24"/>
    <w:multiLevelType w:val="multilevel"/>
    <w:tmpl w:val="C8D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B26BC"/>
    <w:multiLevelType w:val="multilevel"/>
    <w:tmpl w:val="4666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75CB3"/>
    <w:multiLevelType w:val="hybridMultilevel"/>
    <w:tmpl w:val="158AD05E"/>
    <w:lvl w:ilvl="0" w:tplc="FFFFFFFF">
      <w:start w:val="1"/>
      <w:numFmt w:val="lowerLetter"/>
      <w:lvlText w:val="%1)"/>
      <w:lvlJc w:val="left"/>
      <w:pPr>
        <w:ind w:left="720" w:hanging="360"/>
      </w:pPr>
      <w:rPr>
        <w:rFonts w:cs="Times New Roman" w:hint="default"/>
        <w:sz w:val="22"/>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11BB9"/>
    <w:multiLevelType w:val="hybridMultilevel"/>
    <w:tmpl w:val="EBF22D80"/>
    <w:lvl w:ilvl="0" w:tplc="3CEA6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7A624B"/>
    <w:multiLevelType w:val="multilevel"/>
    <w:tmpl w:val="686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4376E"/>
    <w:multiLevelType w:val="multilevel"/>
    <w:tmpl w:val="6ECE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906AF"/>
    <w:multiLevelType w:val="multilevel"/>
    <w:tmpl w:val="52F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D4C43"/>
    <w:multiLevelType w:val="multilevel"/>
    <w:tmpl w:val="D5049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507993"/>
    <w:multiLevelType w:val="multilevel"/>
    <w:tmpl w:val="82B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7743F5"/>
    <w:multiLevelType w:val="multilevel"/>
    <w:tmpl w:val="A776EB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B06B34"/>
    <w:multiLevelType w:val="multilevel"/>
    <w:tmpl w:val="EE34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3B4346"/>
    <w:multiLevelType w:val="hybridMultilevel"/>
    <w:tmpl w:val="8236CBDC"/>
    <w:lvl w:ilvl="0" w:tplc="908240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F115794"/>
    <w:multiLevelType w:val="multilevel"/>
    <w:tmpl w:val="0D5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977C4"/>
    <w:multiLevelType w:val="hybridMultilevel"/>
    <w:tmpl w:val="E9FE78B2"/>
    <w:lvl w:ilvl="0" w:tplc="D7069C2C">
      <w:start w:val="1"/>
      <w:numFmt w:val="decimal"/>
      <w:lvlText w:val="%1)"/>
      <w:lvlJc w:val="left"/>
      <w:pPr>
        <w:ind w:left="1080" w:hanging="360"/>
      </w:pPr>
      <w:rPr>
        <w:rFonts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D62DF"/>
    <w:multiLevelType w:val="multilevel"/>
    <w:tmpl w:val="A2AC0A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093578"/>
    <w:multiLevelType w:val="multilevel"/>
    <w:tmpl w:val="F50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794C17"/>
    <w:multiLevelType w:val="multilevel"/>
    <w:tmpl w:val="B61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12787"/>
    <w:multiLevelType w:val="multilevel"/>
    <w:tmpl w:val="6144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B3B07"/>
    <w:multiLevelType w:val="multilevel"/>
    <w:tmpl w:val="7F6A87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A5722"/>
    <w:multiLevelType w:val="multilevel"/>
    <w:tmpl w:val="1AF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66329"/>
    <w:multiLevelType w:val="multilevel"/>
    <w:tmpl w:val="D67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DB75C5"/>
    <w:multiLevelType w:val="multilevel"/>
    <w:tmpl w:val="B6D80C12"/>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 w15:restartNumberingAfterBreak="0">
    <w:nsid w:val="49D35D13"/>
    <w:multiLevelType w:val="hybridMultilevel"/>
    <w:tmpl w:val="A3D0ED88"/>
    <w:lvl w:ilvl="0" w:tplc="0409000F">
      <w:start w:val="1"/>
      <w:numFmt w:val="decimal"/>
      <w:lvlText w:val="%1."/>
      <w:lvlJc w:val="left"/>
      <w:pPr>
        <w:ind w:left="720" w:hanging="360"/>
      </w:pPr>
      <w:rPr>
        <w:rFonts w:hint="default"/>
        <w:sz w:val="22"/>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5203E8"/>
    <w:multiLevelType w:val="multilevel"/>
    <w:tmpl w:val="2C2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4D0E9A"/>
    <w:multiLevelType w:val="multilevel"/>
    <w:tmpl w:val="C84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5D6112"/>
    <w:multiLevelType w:val="multilevel"/>
    <w:tmpl w:val="3746DA2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Calibri" w:hint="default"/>
        <w:color w:val="auto"/>
        <w:sz w:val="22"/>
      </w:rPr>
    </w:lvl>
    <w:lvl w:ilvl="2">
      <w:start w:val="1"/>
      <w:numFmt w:val="lowerLetter"/>
      <w:lvlText w:val="%3."/>
      <w:lvlJc w:val="left"/>
      <w:pPr>
        <w:ind w:left="2160" w:hanging="360"/>
      </w:pPr>
      <w:rPr>
        <w:rFonts w:asciiTheme="minorHAnsi" w:hAnsiTheme="minorHAnsi" w:cstheme="minorHAnsi" w:hint="default"/>
        <w:color w:val="auto"/>
        <w:sz w:val="22"/>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E681B"/>
    <w:multiLevelType w:val="multilevel"/>
    <w:tmpl w:val="45D8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8349FD"/>
    <w:multiLevelType w:val="hybridMultilevel"/>
    <w:tmpl w:val="BA2CE272"/>
    <w:lvl w:ilvl="0" w:tplc="BEF0816A">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E0633"/>
    <w:multiLevelType w:val="hybridMultilevel"/>
    <w:tmpl w:val="93DE38D6"/>
    <w:lvl w:ilvl="0" w:tplc="F2B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A7900"/>
    <w:multiLevelType w:val="multilevel"/>
    <w:tmpl w:val="886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027D72"/>
    <w:multiLevelType w:val="multilevel"/>
    <w:tmpl w:val="A06C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2F07B2"/>
    <w:multiLevelType w:val="hybridMultilevel"/>
    <w:tmpl w:val="180E1BA0"/>
    <w:lvl w:ilvl="0" w:tplc="A4840F66">
      <w:start w:val="1"/>
      <w:numFmt w:val="decimal"/>
      <w:lvlText w:val="%1)"/>
      <w:lvlJc w:val="left"/>
      <w:pPr>
        <w:ind w:left="720" w:hanging="360"/>
      </w:pPr>
      <w:rPr>
        <w:rFonts w:asciiTheme="minorHAnsi" w:hAnsiTheme="minorHAnsi"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376F6"/>
    <w:multiLevelType w:val="multilevel"/>
    <w:tmpl w:val="C578284A"/>
    <w:name w:val="RBU"/>
    <w:lvl w:ilvl="0">
      <w:start w:val="1"/>
      <w:numFmt w:val="bullet"/>
      <w:lvlRestart w:val="0"/>
      <w:pStyle w:val="RBUBullets"/>
      <w:lvlText w:val=""/>
      <w:lvlJc w:val="left"/>
      <w:pPr>
        <w:ind w:left="36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35" w15:restartNumberingAfterBreak="0">
    <w:nsid w:val="6B06263B"/>
    <w:multiLevelType w:val="multilevel"/>
    <w:tmpl w:val="A6B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4561CF"/>
    <w:multiLevelType w:val="multilevel"/>
    <w:tmpl w:val="22A2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653EE7"/>
    <w:multiLevelType w:val="hybridMultilevel"/>
    <w:tmpl w:val="A8CC1BEA"/>
    <w:lvl w:ilvl="0" w:tplc="47C857C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3E7F"/>
    <w:multiLevelType w:val="multilevel"/>
    <w:tmpl w:val="BC0E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1B617A"/>
    <w:multiLevelType w:val="hybridMultilevel"/>
    <w:tmpl w:val="3D1A9AB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A17038"/>
    <w:multiLevelType w:val="multilevel"/>
    <w:tmpl w:val="E040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558E3"/>
    <w:multiLevelType w:val="hybridMultilevel"/>
    <w:tmpl w:val="A722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373BF"/>
    <w:multiLevelType w:val="multilevel"/>
    <w:tmpl w:val="559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5706394">
    <w:abstractNumId w:val="41"/>
  </w:num>
  <w:num w:numId="2" w16cid:durableId="121659562">
    <w:abstractNumId w:val="39"/>
  </w:num>
  <w:num w:numId="3" w16cid:durableId="1442989524">
    <w:abstractNumId w:val="17"/>
  </w:num>
  <w:num w:numId="4" w16cid:durableId="1490243935">
    <w:abstractNumId w:val="30"/>
  </w:num>
  <w:num w:numId="5" w16cid:durableId="2107648776">
    <w:abstractNumId w:val="29"/>
  </w:num>
  <w:num w:numId="6" w16cid:durableId="1272012509">
    <w:abstractNumId w:val="37"/>
  </w:num>
  <w:num w:numId="7" w16cid:durableId="439691815">
    <w:abstractNumId w:val="33"/>
  </w:num>
  <w:num w:numId="8" w16cid:durableId="1708481110">
    <w:abstractNumId w:val="24"/>
  </w:num>
  <w:num w:numId="9" w16cid:durableId="210843881">
    <w:abstractNumId w:val="3"/>
  </w:num>
  <w:num w:numId="10" w16cid:durableId="638341301">
    <w:abstractNumId w:val="0"/>
  </w:num>
  <w:num w:numId="11" w16cid:durableId="1313831231">
    <w:abstractNumId w:val="12"/>
  </w:num>
  <w:num w:numId="12" w16cid:durableId="20015746">
    <w:abstractNumId w:val="34"/>
  </w:num>
  <w:num w:numId="13" w16cid:durableId="1184788254">
    <w:abstractNumId w:val="23"/>
  </w:num>
  <w:num w:numId="14" w16cid:durableId="710614464">
    <w:abstractNumId w:val="20"/>
  </w:num>
  <w:num w:numId="15" w16cid:durableId="1262103548">
    <w:abstractNumId w:val="27"/>
  </w:num>
  <w:num w:numId="16" w16cid:durableId="524902851">
    <w:abstractNumId w:val="8"/>
  </w:num>
  <w:num w:numId="17" w16cid:durableId="1691950018">
    <w:abstractNumId w:val="15"/>
  </w:num>
  <w:num w:numId="18" w16cid:durableId="1544445226">
    <w:abstractNumId w:val="10"/>
  </w:num>
  <w:num w:numId="19" w16cid:durableId="568927797">
    <w:abstractNumId w:val="14"/>
  </w:num>
  <w:num w:numId="20" w16cid:durableId="1627201234">
    <w:abstractNumId w:val="1"/>
  </w:num>
  <w:num w:numId="21" w16cid:durableId="2117753145">
    <w:abstractNumId w:val="42"/>
  </w:num>
  <w:num w:numId="22" w16cid:durableId="1201479059">
    <w:abstractNumId w:val="19"/>
  </w:num>
  <w:num w:numId="23" w16cid:durableId="1605111943">
    <w:abstractNumId w:val="36"/>
  </w:num>
  <w:num w:numId="24" w16cid:durableId="1251238827">
    <w:abstractNumId w:val="5"/>
  </w:num>
  <w:num w:numId="25" w16cid:durableId="713651732">
    <w:abstractNumId w:val="32"/>
  </w:num>
  <w:num w:numId="26" w16cid:durableId="397870237">
    <w:abstractNumId w:val="26"/>
  </w:num>
  <w:num w:numId="27" w16cid:durableId="2067410100">
    <w:abstractNumId w:val="16"/>
  </w:num>
  <w:num w:numId="28" w16cid:durableId="1078863177">
    <w:abstractNumId w:val="11"/>
  </w:num>
  <w:num w:numId="29" w16cid:durableId="313611915">
    <w:abstractNumId w:val="18"/>
  </w:num>
  <w:num w:numId="30" w16cid:durableId="607539918">
    <w:abstractNumId w:val="13"/>
  </w:num>
  <w:num w:numId="31" w16cid:durableId="120734253">
    <w:abstractNumId w:val="35"/>
  </w:num>
  <w:num w:numId="32" w16cid:durableId="626393537">
    <w:abstractNumId w:val="28"/>
  </w:num>
  <w:num w:numId="33" w16cid:durableId="721370357">
    <w:abstractNumId w:val="38"/>
  </w:num>
  <w:num w:numId="34" w16cid:durableId="1701665706">
    <w:abstractNumId w:val="2"/>
  </w:num>
  <w:num w:numId="35" w16cid:durableId="159738825">
    <w:abstractNumId w:val="25"/>
  </w:num>
  <w:num w:numId="36" w16cid:durableId="2128116416">
    <w:abstractNumId w:val="21"/>
  </w:num>
  <w:num w:numId="37" w16cid:durableId="1948850092">
    <w:abstractNumId w:val="22"/>
  </w:num>
  <w:num w:numId="38" w16cid:durableId="311451699">
    <w:abstractNumId w:val="31"/>
  </w:num>
  <w:num w:numId="39" w16cid:durableId="1068650207">
    <w:abstractNumId w:val="9"/>
  </w:num>
  <w:num w:numId="40" w16cid:durableId="1914200159">
    <w:abstractNumId w:val="6"/>
  </w:num>
  <w:num w:numId="41" w16cid:durableId="1819371502">
    <w:abstractNumId w:val="7"/>
  </w:num>
  <w:num w:numId="42" w16cid:durableId="1976720035">
    <w:abstractNumId w:val="40"/>
  </w:num>
  <w:num w:numId="43" w16cid:durableId="601375818">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1"/>
    <w:rsid w:val="00000766"/>
    <w:rsid w:val="00000D50"/>
    <w:rsid w:val="00001452"/>
    <w:rsid w:val="00001551"/>
    <w:rsid w:val="00001B5A"/>
    <w:rsid w:val="00002ED5"/>
    <w:rsid w:val="00002F91"/>
    <w:rsid w:val="000040EE"/>
    <w:rsid w:val="00004699"/>
    <w:rsid w:val="00004B2A"/>
    <w:rsid w:val="000051DD"/>
    <w:rsid w:val="000052CE"/>
    <w:rsid w:val="00005B62"/>
    <w:rsid w:val="0000676E"/>
    <w:rsid w:val="00006E50"/>
    <w:rsid w:val="0000729A"/>
    <w:rsid w:val="00007A08"/>
    <w:rsid w:val="00011642"/>
    <w:rsid w:val="0001189D"/>
    <w:rsid w:val="00011953"/>
    <w:rsid w:val="00011A01"/>
    <w:rsid w:val="00011AA2"/>
    <w:rsid w:val="00011EC9"/>
    <w:rsid w:val="000120BB"/>
    <w:rsid w:val="0001239D"/>
    <w:rsid w:val="0001384C"/>
    <w:rsid w:val="00013859"/>
    <w:rsid w:val="000138BD"/>
    <w:rsid w:val="000139A7"/>
    <w:rsid w:val="00013D45"/>
    <w:rsid w:val="00014974"/>
    <w:rsid w:val="00014A71"/>
    <w:rsid w:val="00014C9E"/>
    <w:rsid w:val="00014E6A"/>
    <w:rsid w:val="00015291"/>
    <w:rsid w:val="00015F99"/>
    <w:rsid w:val="000164C1"/>
    <w:rsid w:val="00016549"/>
    <w:rsid w:val="00017030"/>
    <w:rsid w:val="00017DCA"/>
    <w:rsid w:val="0002054A"/>
    <w:rsid w:val="000208BF"/>
    <w:rsid w:val="000228BC"/>
    <w:rsid w:val="00022C38"/>
    <w:rsid w:val="00024814"/>
    <w:rsid w:val="00024F01"/>
    <w:rsid w:val="00025196"/>
    <w:rsid w:val="000256C3"/>
    <w:rsid w:val="000265D4"/>
    <w:rsid w:val="00026DE6"/>
    <w:rsid w:val="00030FB5"/>
    <w:rsid w:val="00031046"/>
    <w:rsid w:val="00031C68"/>
    <w:rsid w:val="00031E19"/>
    <w:rsid w:val="000324D2"/>
    <w:rsid w:val="000325A3"/>
    <w:rsid w:val="000325FE"/>
    <w:rsid w:val="00032C30"/>
    <w:rsid w:val="00032EB5"/>
    <w:rsid w:val="000334BE"/>
    <w:rsid w:val="000334E7"/>
    <w:rsid w:val="0003405B"/>
    <w:rsid w:val="0003466B"/>
    <w:rsid w:val="0003581F"/>
    <w:rsid w:val="00035D73"/>
    <w:rsid w:val="0003640F"/>
    <w:rsid w:val="0003698E"/>
    <w:rsid w:val="00036AB0"/>
    <w:rsid w:val="00036D6D"/>
    <w:rsid w:val="000377DD"/>
    <w:rsid w:val="00040062"/>
    <w:rsid w:val="000405FA"/>
    <w:rsid w:val="00040ED6"/>
    <w:rsid w:val="00041CBB"/>
    <w:rsid w:val="00041F66"/>
    <w:rsid w:val="000421C2"/>
    <w:rsid w:val="00042472"/>
    <w:rsid w:val="00042559"/>
    <w:rsid w:val="00042EC8"/>
    <w:rsid w:val="00042FE3"/>
    <w:rsid w:val="00043B29"/>
    <w:rsid w:val="00043B60"/>
    <w:rsid w:val="00043F4C"/>
    <w:rsid w:val="000454D6"/>
    <w:rsid w:val="0004667C"/>
    <w:rsid w:val="00046C7B"/>
    <w:rsid w:val="00047478"/>
    <w:rsid w:val="00047513"/>
    <w:rsid w:val="000507D3"/>
    <w:rsid w:val="00050A3A"/>
    <w:rsid w:val="00051096"/>
    <w:rsid w:val="0005231F"/>
    <w:rsid w:val="000523DE"/>
    <w:rsid w:val="000532F0"/>
    <w:rsid w:val="00054084"/>
    <w:rsid w:val="000543E2"/>
    <w:rsid w:val="00054DE4"/>
    <w:rsid w:val="00055531"/>
    <w:rsid w:val="00055FD6"/>
    <w:rsid w:val="0005613C"/>
    <w:rsid w:val="0005623C"/>
    <w:rsid w:val="00056310"/>
    <w:rsid w:val="00057082"/>
    <w:rsid w:val="00057674"/>
    <w:rsid w:val="00057852"/>
    <w:rsid w:val="000579B0"/>
    <w:rsid w:val="00060059"/>
    <w:rsid w:val="00062574"/>
    <w:rsid w:val="00062CF8"/>
    <w:rsid w:val="00063C7E"/>
    <w:rsid w:val="000641F1"/>
    <w:rsid w:val="00064BE9"/>
    <w:rsid w:val="00065D53"/>
    <w:rsid w:val="0006601B"/>
    <w:rsid w:val="00066092"/>
    <w:rsid w:val="00066246"/>
    <w:rsid w:val="00066682"/>
    <w:rsid w:val="00066973"/>
    <w:rsid w:val="000674D1"/>
    <w:rsid w:val="00067961"/>
    <w:rsid w:val="0007019F"/>
    <w:rsid w:val="000703FA"/>
    <w:rsid w:val="00071489"/>
    <w:rsid w:val="00071623"/>
    <w:rsid w:val="00071A17"/>
    <w:rsid w:val="0007282F"/>
    <w:rsid w:val="00073974"/>
    <w:rsid w:val="0007476F"/>
    <w:rsid w:val="00075262"/>
    <w:rsid w:val="0007558A"/>
    <w:rsid w:val="00075D0A"/>
    <w:rsid w:val="00075E7A"/>
    <w:rsid w:val="00076306"/>
    <w:rsid w:val="00076C81"/>
    <w:rsid w:val="00076FBC"/>
    <w:rsid w:val="000772F2"/>
    <w:rsid w:val="000775A2"/>
    <w:rsid w:val="00077C00"/>
    <w:rsid w:val="00080BAC"/>
    <w:rsid w:val="00081E06"/>
    <w:rsid w:val="00082D4A"/>
    <w:rsid w:val="00082F3B"/>
    <w:rsid w:val="000831D8"/>
    <w:rsid w:val="0008371D"/>
    <w:rsid w:val="000838FC"/>
    <w:rsid w:val="00083991"/>
    <w:rsid w:val="00084288"/>
    <w:rsid w:val="000844BC"/>
    <w:rsid w:val="00084C1A"/>
    <w:rsid w:val="00084C68"/>
    <w:rsid w:val="00084C73"/>
    <w:rsid w:val="00084DE8"/>
    <w:rsid w:val="00084E29"/>
    <w:rsid w:val="00085F51"/>
    <w:rsid w:val="00086B6A"/>
    <w:rsid w:val="0008732B"/>
    <w:rsid w:val="00087FA5"/>
    <w:rsid w:val="000901FC"/>
    <w:rsid w:val="0009066A"/>
    <w:rsid w:val="00090B6C"/>
    <w:rsid w:val="00091809"/>
    <w:rsid w:val="00091D1E"/>
    <w:rsid w:val="00092868"/>
    <w:rsid w:val="00092EBE"/>
    <w:rsid w:val="00093059"/>
    <w:rsid w:val="000962DB"/>
    <w:rsid w:val="00096857"/>
    <w:rsid w:val="000968AB"/>
    <w:rsid w:val="00096AA4"/>
    <w:rsid w:val="00096E2C"/>
    <w:rsid w:val="00097500"/>
    <w:rsid w:val="0009795F"/>
    <w:rsid w:val="00097B1F"/>
    <w:rsid w:val="00097BE0"/>
    <w:rsid w:val="00097C15"/>
    <w:rsid w:val="00097CC1"/>
    <w:rsid w:val="000A0A56"/>
    <w:rsid w:val="000A1340"/>
    <w:rsid w:val="000A1751"/>
    <w:rsid w:val="000A1F97"/>
    <w:rsid w:val="000A269B"/>
    <w:rsid w:val="000A2960"/>
    <w:rsid w:val="000A2D3C"/>
    <w:rsid w:val="000A31A6"/>
    <w:rsid w:val="000A33EF"/>
    <w:rsid w:val="000A3592"/>
    <w:rsid w:val="000A4AC4"/>
    <w:rsid w:val="000A4BEA"/>
    <w:rsid w:val="000A55E1"/>
    <w:rsid w:val="000A5D24"/>
    <w:rsid w:val="000A5D87"/>
    <w:rsid w:val="000A6046"/>
    <w:rsid w:val="000A729A"/>
    <w:rsid w:val="000A7AFD"/>
    <w:rsid w:val="000B06A1"/>
    <w:rsid w:val="000B0995"/>
    <w:rsid w:val="000B0D1A"/>
    <w:rsid w:val="000B0DC7"/>
    <w:rsid w:val="000B0FF2"/>
    <w:rsid w:val="000B13C3"/>
    <w:rsid w:val="000B18FA"/>
    <w:rsid w:val="000B215A"/>
    <w:rsid w:val="000B3B0F"/>
    <w:rsid w:val="000B3D50"/>
    <w:rsid w:val="000B41C2"/>
    <w:rsid w:val="000B446D"/>
    <w:rsid w:val="000B534E"/>
    <w:rsid w:val="000B591B"/>
    <w:rsid w:val="000B5D27"/>
    <w:rsid w:val="000B65D4"/>
    <w:rsid w:val="000B686B"/>
    <w:rsid w:val="000B716A"/>
    <w:rsid w:val="000B767A"/>
    <w:rsid w:val="000B791A"/>
    <w:rsid w:val="000B7B68"/>
    <w:rsid w:val="000C0647"/>
    <w:rsid w:val="000C1D00"/>
    <w:rsid w:val="000C305F"/>
    <w:rsid w:val="000C396C"/>
    <w:rsid w:val="000C471F"/>
    <w:rsid w:val="000C4D10"/>
    <w:rsid w:val="000C5353"/>
    <w:rsid w:val="000C59F5"/>
    <w:rsid w:val="000C5E86"/>
    <w:rsid w:val="000C5F22"/>
    <w:rsid w:val="000C5F89"/>
    <w:rsid w:val="000C6FC1"/>
    <w:rsid w:val="000C7140"/>
    <w:rsid w:val="000C7B41"/>
    <w:rsid w:val="000C7E74"/>
    <w:rsid w:val="000D03AB"/>
    <w:rsid w:val="000D03FC"/>
    <w:rsid w:val="000D0E88"/>
    <w:rsid w:val="000D1161"/>
    <w:rsid w:val="000D154B"/>
    <w:rsid w:val="000D1BB8"/>
    <w:rsid w:val="000D25C0"/>
    <w:rsid w:val="000D3356"/>
    <w:rsid w:val="000D34E3"/>
    <w:rsid w:val="000D3DD0"/>
    <w:rsid w:val="000D3F21"/>
    <w:rsid w:val="000D48AA"/>
    <w:rsid w:val="000D5352"/>
    <w:rsid w:val="000D67F2"/>
    <w:rsid w:val="000D6B8C"/>
    <w:rsid w:val="000D6C8D"/>
    <w:rsid w:val="000D6FDB"/>
    <w:rsid w:val="000D76D5"/>
    <w:rsid w:val="000D7C08"/>
    <w:rsid w:val="000D7C5B"/>
    <w:rsid w:val="000D7FC6"/>
    <w:rsid w:val="000E00FD"/>
    <w:rsid w:val="000E076B"/>
    <w:rsid w:val="000E0A88"/>
    <w:rsid w:val="000E0ED3"/>
    <w:rsid w:val="000E1212"/>
    <w:rsid w:val="000E12D1"/>
    <w:rsid w:val="000E1528"/>
    <w:rsid w:val="000E23CD"/>
    <w:rsid w:val="000E27D5"/>
    <w:rsid w:val="000E27EA"/>
    <w:rsid w:val="000E3A82"/>
    <w:rsid w:val="000E3AFF"/>
    <w:rsid w:val="000E3B11"/>
    <w:rsid w:val="000E3CCB"/>
    <w:rsid w:val="000E3F3F"/>
    <w:rsid w:val="000E4240"/>
    <w:rsid w:val="000E495C"/>
    <w:rsid w:val="000E69B0"/>
    <w:rsid w:val="000E6F21"/>
    <w:rsid w:val="000E78AC"/>
    <w:rsid w:val="000E7D1B"/>
    <w:rsid w:val="000E7E02"/>
    <w:rsid w:val="000F0F70"/>
    <w:rsid w:val="000F17CE"/>
    <w:rsid w:val="000F1918"/>
    <w:rsid w:val="000F1931"/>
    <w:rsid w:val="000F1C89"/>
    <w:rsid w:val="000F2617"/>
    <w:rsid w:val="000F2D9B"/>
    <w:rsid w:val="000F2F0C"/>
    <w:rsid w:val="000F2F87"/>
    <w:rsid w:val="000F2FAC"/>
    <w:rsid w:val="000F3E44"/>
    <w:rsid w:val="000F3F55"/>
    <w:rsid w:val="000F4889"/>
    <w:rsid w:val="000F5186"/>
    <w:rsid w:val="000F5532"/>
    <w:rsid w:val="000F56DB"/>
    <w:rsid w:val="000F6AC4"/>
    <w:rsid w:val="000F6DE7"/>
    <w:rsid w:val="000F742B"/>
    <w:rsid w:val="000F7DFD"/>
    <w:rsid w:val="000F7F55"/>
    <w:rsid w:val="001002AD"/>
    <w:rsid w:val="001003B9"/>
    <w:rsid w:val="001005D7"/>
    <w:rsid w:val="0010103D"/>
    <w:rsid w:val="001012C7"/>
    <w:rsid w:val="00101354"/>
    <w:rsid w:val="00101782"/>
    <w:rsid w:val="00101A85"/>
    <w:rsid w:val="00101D14"/>
    <w:rsid w:val="00102F82"/>
    <w:rsid w:val="0010344C"/>
    <w:rsid w:val="00103567"/>
    <w:rsid w:val="001045F2"/>
    <w:rsid w:val="00104BD5"/>
    <w:rsid w:val="00105562"/>
    <w:rsid w:val="00105566"/>
    <w:rsid w:val="001055DE"/>
    <w:rsid w:val="00106026"/>
    <w:rsid w:val="00106091"/>
    <w:rsid w:val="00106292"/>
    <w:rsid w:val="00106E8B"/>
    <w:rsid w:val="00107232"/>
    <w:rsid w:val="00107369"/>
    <w:rsid w:val="001074AE"/>
    <w:rsid w:val="00107BAD"/>
    <w:rsid w:val="00107E4E"/>
    <w:rsid w:val="001100E5"/>
    <w:rsid w:val="00110AE5"/>
    <w:rsid w:val="00111538"/>
    <w:rsid w:val="0011205B"/>
    <w:rsid w:val="00112412"/>
    <w:rsid w:val="00112442"/>
    <w:rsid w:val="00112F9C"/>
    <w:rsid w:val="001135C3"/>
    <w:rsid w:val="001145F8"/>
    <w:rsid w:val="00116498"/>
    <w:rsid w:val="001171C4"/>
    <w:rsid w:val="001206B2"/>
    <w:rsid w:val="0012085E"/>
    <w:rsid w:val="0012169A"/>
    <w:rsid w:val="001227A4"/>
    <w:rsid w:val="00122EBD"/>
    <w:rsid w:val="001237D7"/>
    <w:rsid w:val="001238C8"/>
    <w:rsid w:val="00124087"/>
    <w:rsid w:val="00124503"/>
    <w:rsid w:val="00125A8A"/>
    <w:rsid w:val="00125C0F"/>
    <w:rsid w:val="00125C16"/>
    <w:rsid w:val="00126522"/>
    <w:rsid w:val="00126C6D"/>
    <w:rsid w:val="00127DD1"/>
    <w:rsid w:val="00130C3E"/>
    <w:rsid w:val="001313C9"/>
    <w:rsid w:val="001317C8"/>
    <w:rsid w:val="00131D6F"/>
    <w:rsid w:val="001323AE"/>
    <w:rsid w:val="00132A24"/>
    <w:rsid w:val="0013309D"/>
    <w:rsid w:val="00133C20"/>
    <w:rsid w:val="00133DDE"/>
    <w:rsid w:val="00134702"/>
    <w:rsid w:val="00134B27"/>
    <w:rsid w:val="00134B3A"/>
    <w:rsid w:val="00135033"/>
    <w:rsid w:val="00135EDC"/>
    <w:rsid w:val="001361ED"/>
    <w:rsid w:val="00136EEF"/>
    <w:rsid w:val="00137187"/>
    <w:rsid w:val="0014018A"/>
    <w:rsid w:val="00140D01"/>
    <w:rsid w:val="001410DD"/>
    <w:rsid w:val="001412E9"/>
    <w:rsid w:val="00141387"/>
    <w:rsid w:val="00141C5C"/>
    <w:rsid w:val="0014259F"/>
    <w:rsid w:val="00142675"/>
    <w:rsid w:val="001432F9"/>
    <w:rsid w:val="0014347C"/>
    <w:rsid w:val="00143612"/>
    <w:rsid w:val="001438DE"/>
    <w:rsid w:val="00144D32"/>
    <w:rsid w:val="001450AC"/>
    <w:rsid w:val="001458D0"/>
    <w:rsid w:val="0014596E"/>
    <w:rsid w:val="0014644E"/>
    <w:rsid w:val="00146941"/>
    <w:rsid w:val="00146ED3"/>
    <w:rsid w:val="00147361"/>
    <w:rsid w:val="0014785D"/>
    <w:rsid w:val="001505E2"/>
    <w:rsid w:val="00151371"/>
    <w:rsid w:val="00151D86"/>
    <w:rsid w:val="00152580"/>
    <w:rsid w:val="001529E2"/>
    <w:rsid w:val="00152F46"/>
    <w:rsid w:val="0015395D"/>
    <w:rsid w:val="00153A6B"/>
    <w:rsid w:val="00153C36"/>
    <w:rsid w:val="00155352"/>
    <w:rsid w:val="0015541D"/>
    <w:rsid w:val="00155BEF"/>
    <w:rsid w:val="00155EAA"/>
    <w:rsid w:val="0016069D"/>
    <w:rsid w:val="001608FC"/>
    <w:rsid w:val="00160AB0"/>
    <w:rsid w:val="00160F24"/>
    <w:rsid w:val="00161516"/>
    <w:rsid w:val="001615B4"/>
    <w:rsid w:val="00161612"/>
    <w:rsid w:val="001619FE"/>
    <w:rsid w:val="00161E51"/>
    <w:rsid w:val="00162279"/>
    <w:rsid w:val="001626F0"/>
    <w:rsid w:val="00162D4E"/>
    <w:rsid w:val="001635CE"/>
    <w:rsid w:val="0016497D"/>
    <w:rsid w:val="00164D50"/>
    <w:rsid w:val="001658C1"/>
    <w:rsid w:val="00165D4F"/>
    <w:rsid w:val="00166117"/>
    <w:rsid w:val="001665B1"/>
    <w:rsid w:val="00167B37"/>
    <w:rsid w:val="0017011D"/>
    <w:rsid w:val="001703BC"/>
    <w:rsid w:val="00171382"/>
    <w:rsid w:val="00171435"/>
    <w:rsid w:val="0017200E"/>
    <w:rsid w:val="0017256E"/>
    <w:rsid w:val="00172591"/>
    <w:rsid w:val="001730F3"/>
    <w:rsid w:val="00173417"/>
    <w:rsid w:val="00174044"/>
    <w:rsid w:val="00174EF8"/>
    <w:rsid w:val="001752D9"/>
    <w:rsid w:val="0017534D"/>
    <w:rsid w:val="00175B79"/>
    <w:rsid w:val="00175C8A"/>
    <w:rsid w:val="0017637D"/>
    <w:rsid w:val="00176CEF"/>
    <w:rsid w:val="00176DD0"/>
    <w:rsid w:val="00180871"/>
    <w:rsid w:val="00180C79"/>
    <w:rsid w:val="0018124F"/>
    <w:rsid w:val="00181C32"/>
    <w:rsid w:val="0018222B"/>
    <w:rsid w:val="00182C9B"/>
    <w:rsid w:val="0018319E"/>
    <w:rsid w:val="001832AE"/>
    <w:rsid w:val="001834EC"/>
    <w:rsid w:val="00183E1E"/>
    <w:rsid w:val="00184C33"/>
    <w:rsid w:val="0018565A"/>
    <w:rsid w:val="00185FBE"/>
    <w:rsid w:val="0018692A"/>
    <w:rsid w:val="00186F0C"/>
    <w:rsid w:val="00187671"/>
    <w:rsid w:val="00187C03"/>
    <w:rsid w:val="00187D11"/>
    <w:rsid w:val="00187FC0"/>
    <w:rsid w:val="0019010E"/>
    <w:rsid w:val="001901E8"/>
    <w:rsid w:val="00191CF7"/>
    <w:rsid w:val="0019203E"/>
    <w:rsid w:val="00192C76"/>
    <w:rsid w:val="00193129"/>
    <w:rsid w:val="001932C3"/>
    <w:rsid w:val="00193547"/>
    <w:rsid w:val="00193839"/>
    <w:rsid w:val="00193EB0"/>
    <w:rsid w:val="001947F1"/>
    <w:rsid w:val="00194AA3"/>
    <w:rsid w:val="0019597E"/>
    <w:rsid w:val="00195C69"/>
    <w:rsid w:val="00195E30"/>
    <w:rsid w:val="00196030"/>
    <w:rsid w:val="001963E3"/>
    <w:rsid w:val="001972BF"/>
    <w:rsid w:val="0019740D"/>
    <w:rsid w:val="001977EC"/>
    <w:rsid w:val="00197B3E"/>
    <w:rsid w:val="001A0341"/>
    <w:rsid w:val="001A10E2"/>
    <w:rsid w:val="001A1E6B"/>
    <w:rsid w:val="001A20A3"/>
    <w:rsid w:val="001A4799"/>
    <w:rsid w:val="001A57D6"/>
    <w:rsid w:val="001A6DDF"/>
    <w:rsid w:val="001A6E48"/>
    <w:rsid w:val="001A6EB3"/>
    <w:rsid w:val="001A6EB9"/>
    <w:rsid w:val="001A6FED"/>
    <w:rsid w:val="001A78FE"/>
    <w:rsid w:val="001A7DA1"/>
    <w:rsid w:val="001B0396"/>
    <w:rsid w:val="001B0D88"/>
    <w:rsid w:val="001B248B"/>
    <w:rsid w:val="001B2CA5"/>
    <w:rsid w:val="001B2ECC"/>
    <w:rsid w:val="001B4060"/>
    <w:rsid w:val="001B5383"/>
    <w:rsid w:val="001B59FA"/>
    <w:rsid w:val="001B5CA1"/>
    <w:rsid w:val="001B5DC0"/>
    <w:rsid w:val="001B6B2C"/>
    <w:rsid w:val="001B6CE8"/>
    <w:rsid w:val="001B71E8"/>
    <w:rsid w:val="001B7B8B"/>
    <w:rsid w:val="001C02C6"/>
    <w:rsid w:val="001C02E9"/>
    <w:rsid w:val="001C0A38"/>
    <w:rsid w:val="001C0C4E"/>
    <w:rsid w:val="001C101D"/>
    <w:rsid w:val="001C2816"/>
    <w:rsid w:val="001C3BC6"/>
    <w:rsid w:val="001C42BF"/>
    <w:rsid w:val="001C6CAB"/>
    <w:rsid w:val="001C778E"/>
    <w:rsid w:val="001D084A"/>
    <w:rsid w:val="001D0BE3"/>
    <w:rsid w:val="001D1C8A"/>
    <w:rsid w:val="001D2594"/>
    <w:rsid w:val="001D3427"/>
    <w:rsid w:val="001D3832"/>
    <w:rsid w:val="001D47E9"/>
    <w:rsid w:val="001D5107"/>
    <w:rsid w:val="001D570C"/>
    <w:rsid w:val="001D5723"/>
    <w:rsid w:val="001D5868"/>
    <w:rsid w:val="001D5DD1"/>
    <w:rsid w:val="001E00BE"/>
    <w:rsid w:val="001E0367"/>
    <w:rsid w:val="001E03D8"/>
    <w:rsid w:val="001E09B9"/>
    <w:rsid w:val="001E0EFD"/>
    <w:rsid w:val="001E15F4"/>
    <w:rsid w:val="001E17E4"/>
    <w:rsid w:val="001E2279"/>
    <w:rsid w:val="001E23C9"/>
    <w:rsid w:val="001E28BB"/>
    <w:rsid w:val="001E2C67"/>
    <w:rsid w:val="001E327D"/>
    <w:rsid w:val="001E3A34"/>
    <w:rsid w:val="001E4B38"/>
    <w:rsid w:val="001E525E"/>
    <w:rsid w:val="001E5270"/>
    <w:rsid w:val="001E54B3"/>
    <w:rsid w:val="001E5732"/>
    <w:rsid w:val="001E5BF2"/>
    <w:rsid w:val="001E6116"/>
    <w:rsid w:val="001F0218"/>
    <w:rsid w:val="001F0639"/>
    <w:rsid w:val="001F09AD"/>
    <w:rsid w:val="001F166E"/>
    <w:rsid w:val="001F16DE"/>
    <w:rsid w:val="001F1763"/>
    <w:rsid w:val="001F18E2"/>
    <w:rsid w:val="001F213D"/>
    <w:rsid w:val="001F2174"/>
    <w:rsid w:val="001F52C9"/>
    <w:rsid w:val="001F5330"/>
    <w:rsid w:val="001F54CE"/>
    <w:rsid w:val="001F6344"/>
    <w:rsid w:val="001F6ACB"/>
    <w:rsid w:val="00200E14"/>
    <w:rsid w:val="00200F75"/>
    <w:rsid w:val="00202906"/>
    <w:rsid w:val="002043B4"/>
    <w:rsid w:val="00204623"/>
    <w:rsid w:val="002052AB"/>
    <w:rsid w:val="0020546A"/>
    <w:rsid w:val="002058ED"/>
    <w:rsid w:val="00205DE3"/>
    <w:rsid w:val="00205F29"/>
    <w:rsid w:val="00207A0D"/>
    <w:rsid w:val="00210AED"/>
    <w:rsid w:val="00210EB4"/>
    <w:rsid w:val="002114DB"/>
    <w:rsid w:val="002118B6"/>
    <w:rsid w:val="00211EE2"/>
    <w:rsid w:val="00211F53"/>
    <w:rsid w:val="0021243A"/>
    <w:rsid w:val="0021249E"/>
    <w:rsid w:val="002134C6"/>
    <w:rsid w:val="002135AD"/>
    <w:rsid w:val="00213C5C"/>
    <w:rsid w:val="00213E00"/>
    <w:rsid w:val="00214CC9"/>
    <w:rsid w:val="002155BD"/>
    <w:rsid w:val="002159E5"/>
    <w:rsid w:val="002161C7"/>
    <w:rsid w:val="002164D9"/>
    <w:rsid w:val="00216614"/>
    <w:rsid w:val="00216BDC"/>
    <w:rsid w:val="002170DF"/>
    <w:rsid w:val="00217A67"/>
    <w:rsid w:val="002201DF"/>
    <w:rsid w:val="0022028B"/>
    <w:rsid w:val="00220821"/>
    <w:rsid w:val="0022090C"/>
    <w:rsid w:val="00220BCB"/>
    <w:rsid w:val="002223E8"/>
    <w:rsid w:val="00223234"/>
    <w:rsid w:val="0022334B"/>
    <w:rsid w:val="00223374"/>
    <w:rsid w:val="002237F0"/>
    <w:rsid w:val="002248D2"/>
    <w:rsid w:val="00224EE0"/>
    <w:rsid w:val="00225E37"/>
    <w:rsid w:val="00227182"/>
    <w:rsid w:val="00230729"/>
    <w:rsid w:val="00230883"/>
    <w:rsid w:val="00230F44"/>
    <w:rsid w:val="002324E8"/>
    <w:rsid w:val="002327CA"/>
    <w:rsid w:val="00233D71"/>
    <w:rsid w:val="0023423D"/>
    <w:rsid w:val="00234CFF"/>
    <w:rsid w:val="0023546D"/>
    <w:rsid w:val="002355BC"/>
    <w:rsid w:val="00235731"/>
    <w:rsid w:val="0023652D"/>
    <w:rsid w:val="0023685A"/>
    <w:rsid w:val="002369F0"/>
    <w:rsid w:val="00236C4B"/>
    <w:rsid w:val="00236D5A"/>
    <w:rsid w:val="00237200"/>
    <w:rsid w:val="00237F02"/>
    <w:rsid w:val="002400EB"/>
    <w:rsid w:val="0024035E"/>
    <w:rsid w:val="0024256A"/>
    <w:rsid w:val="0024289A"/>
    <w:rsid w:val="002429B2"/>
    <w:rsid w:val="00243E4A"/>
    <w:rsid w:val="002442B8"/>
    <w:rsid w:val="00244560"/>
    <w:rsid w:val="00244788"/>
    <w:rsid w:val="00244CC8"/>
    <w:rsid w:val="00245F40"/>
    <w:rsid w:val="002462B1"/>
    <w:rsid w:val="00246F10"/>
    <w:rsid w:val="00247015"/>
    <w:rsid w:val="002475FD"/>
    <w:rsid w:val="00250142"/>
    <w:rsid w:val="00250898"/>
    <w:rsid w:val="00250910"/>
    <w:rsid w:val="00250BAA"/>
    <w:rsid w:val="00250FE5"/>
    <w:rsid w:val="0025118B"/>
    <w:rsid w:val="002519C2"/>
    <w:rsid w:val="0025244D"/>
    <w:rsid w:val="00252886"/>
    <w:rsid w:val="0025426F"/>
    <w:rsid w:val="0025437B"/>
    <w:rsid w:val="002545A8"/>
    <w:rsid w:val="00254A3F"/>
    <w:rsid w:val="002563E0"/>
    <w:rsid w:val="00256CE1"/>
    <w:rsid w:val="0025726D"/>
    <w:rsid w:val="00260282"/>
    <w:rsid w:val="0026036D"/>
    <w:rsid w:val="002610FF"/>
    <w:rsid w:val="00261234"/>
    <w:rsid w:val="00262FBC"/>
    <w:rsid w:val="002637A2"/>
    <w:rsid w:val="00263AAE"/>
    <w:rsid w:val="00263FB5"/>
    <w:rsid w:val="00264FB7"/>
    <w:rsid w:val="00265584"/>
    <w:rsid w:val="0026575E"/>
    <w:rsid w:val="00265C34"/>
    <w:rsid w:val="00265CE4"/>
    <w:rsid w:val="00267470"/>
    <w:rsid w:val="0026798D"/>
    <w:rsid w:val="00267A96"/>
    <w:rsid w:val="00270B43"/>
    <w:rsid w:val="00271440"/>
    <w:rsid w:val="00271905"/>
    <w:rsid w:val="00272B95"/>
    <w:rsid w:val="00272CB1"/>
    <w:rsid w:val="0027313C"/>
    <w:rsid w:val="002732FC"/>
    <w:rsid w:val="002735CF"/>
    <w:rsid w:val="00273AFD"/>
    <w:rsid w:val="00273C77"/>
    <w:rsid w:val="002742C0"/>
    <w:rsid w:val="0027605B"/>
    <w:rsid w:val="00276466"/>
    <w:rsid w:val="00277797"/>
    <w:rsid w:val="00277D3C"/>
    <w:rsid w:val="00280035"/>
    <w:rsid w:val="00280622"/>
    <w:rsid w:val="00280B16"/>
    <w:rsid w:val="00280E03"/>
    <w:rsid w:val="00281A92"/>
    <w:rsid w:val="00281C27"/>
    <w:rsid w:val="00281F95"/>
    <w:rsid w:val="00283E27"/>
    <w:rsid w:val="00283E93"/>
    <w:rsid w:val="00283F07"/>
    <w:rsid w:val="00284157"/>
    <w:rsid w:val="00284E66"/>
    <w:rsid w:val="00285640"/>
    <w:rsid w:val="002866F1"/>
    <w:rsid w:val="00287472"/>
    <w:rsid w:val="00287860"/>
    <w:rsid w:val="00287B15"/>
    <w:rsid w:val="0029064C"/>
    <w:rsid w:val="00290BA5"/>
    <w:rsid w:val="00290E5C"/>
    <w:rsid w:val="00291033"/>
    <w:rsid w:val="00291EE5"/>
    <w:rsid w:val="00292E3E"/>
    <w:rsid w:val="00293A73"/>
    <w:rsid w:val="00294C50"/>
    <w:rsid w:val="00294D5A"/>
    <w:rsid w:val="0029502B"/>
    <w:rsid w:val="002950F9"/>
    <w:rsid w:val="002954D4"/>
    <w:rsid w:val="00296863"/>
    <w:rsid w:val="00296B5B"/>
    <w:rsid w:val="00296C0D"/>
    <w:rsid w:val="00296DB4"/>
    <w:rsid w:val="00297435"/>
    <w:rsid w:val="002A09FF"/>
    <w:rsid w:val="002A0FB3"/>
    <w:rsid w:val="002A135B"/>
    <w:rsid w:val="002A23BC"/>
    <w:rsid w:val="002A27AA"/>
    <w:rsid w:val="002A2E66"/>
    <w:rsid w:val="002A3801"/>
    <w:rsid w:val="002A3EBC"/>
    <w:rsid w:val="002A3FE0"/>
    <w:rsid w:val="002A48C2"/>
    <w:rsid w:val="002A51AD"/>
    <w:rsid w:val="002A5813"/>
    <w:rsid w:val="002A5FD9"/>
    <w:rsid w:val="002A61F4"/>
    <w:rsid w:val="002A77D1"/>
    <w:rsid w:val="002B00C6"/>
    <w:rsid w:val="002B05B4"/>
    <w:rsid w:val="002B1086"/>
    <w:rsid w:val="002B1CDB"/>
    <w:rsid w:val="002B1DC4"/>
    <w:rsid w:val="002B23EE"/>
    <w:rsid w:val="002B30FC"/>
    <w:rsid w:val="002B32FB"/>
    <w:rsid w:val="002B3C57"/>
    <w:rsid w:val="002B4156"/>
    <w:rsid w:val="002B46FA"/>
    <w:rsid w:val="002B4EB9"/>
    <w:rsid w:val="002B51CE"/>
    <w:rsid w:val="002B56B7"/>
    <w:rsid w:val="002B6279"/>
    <w:rsid w:val="002B697A"/>
    <w:rsid w:val="002B783B"/>
    <w:rsid w:val="002B7A3C"/>
    <w:rsid w:val="002C0C9D"/>
    <w:rsid w:val="002C0E22"/>
    <w:rsid w:val="002C0FDE"/>
    <w:rsid w:val="002C18C5"/>
    <w:rsid w:val="002C1914"/>
    <w:rsid w:val="002C199C"/>
    <w:rsid w:val="002C1CF3"/>
    <w:rsid w:val="002C262F"/>
    <w:rsid w:val="002C29FF"/>
    <w:rsid w:val="002C3245"/>
    <w:rsid w:val="002C37FC"/>
    <w:rsid w:val="002C390D"/>
    <w:rsid w:val="002C3BAF"/>
    <w:rsid w:val="002C5E1E"/>
    <w:rsid w:val="002C62E8"/>
    <w:rsid w:val="002C6F5E"/>
    <w:rsid w:val="002C71E7"/>
    <w:rsid w:val="002C7529"/>
    <w:rsid w:val="002C7597"/>
    <w:rsid w:val="002C76D7"/>
    <w:rsid w:val="002D05BD"/>
    <w:rsid w:val="002D0A2C"/>
    <w:rsid w:val="002D1A9B"/>
    <w:rsid w:val="002D1B3C"/>
    <w:rsid w:val="002D1B77"/>
    <w:rsid w:val="002D1EF1"/>
    <w:rsid w:val="002D2BD0"/>
    <w:rsid w:val="002D3649"/>
    <w:rsid w:val="002D4138"/>
    <w:rsid w:val="002D443C"/>
    <w:rsid w:val="002D48F1"/>
    <w:rsid w:val="002D5C1C"/>
    <w:rsid w:val="002D60D8"/>
    <w:rsid w:val="002D6269"/>
    <w:rsid w:val="002D63B3"/>
    <w:rsid w:val="002D64FB"/>
    <w:rsid w:val="002D66E1"/>
    <w:rsid w:val="002D6B80"/>
    <w:rsid w:val="002D6E33"/>
    <w:rsid w:val="002D7438"/>
    <w:rsid w:val="002D7BB9"/>
    <w:rsid w:val="002E065F"/>
    <w:rsid w:val="002E127D"/>
    <w:rsid w:val="002E3383"/>
    <w:rsid w:val="002E39EF"/>
    <w:rsid w:val="002E3C0F"/>
    <w:rsid w:val="002E433B"/>
    <w:rsid w:val="002E6C77"/>
    <w:rsid w:val="002E7ACC"/>
    <w:rsid w:val="002F00B9"/>
    <w:rsid w:val="002F055F"/>
    <w:rsid w:val="002F1769"/>
    <w:rsid w:val="002F1A53"/>
    <w:rsid w:val="002F212A"/>
    <w:rsid w:val="002F2DF7"/>
    <w:rsid w:val="002F2E5C"/>
    <w:rsid w:val="002F30F0"/>
    <w:rsid w:val="002F3715"/>
    <w:rsid w:val="002F478F"/>
    <w:rsid w:val="002F4F5B"/>
    <w:rsid w:val="002F53DB"/>
    <w:rsid w:val="002F622C"/>
    <w:rsid w:val="002F6230"/>
    <w:rsid w:val="002F6474"/>
    <w:rsid w:val="002F6868"/>
    <w:rsid w:val="002F7433"/>
    <w:rsid w:val="002F756B"/>
    <w:rsid w:val="002F7BBA"/>
    <w:rsid w:val="002F7BF7"/>
    <w:rsid w:val="00300294"/>
    <w:rsid w:val="00300AEA"/>
    <w:rsid w:val="00300FC7"/>
    <w:rsid w:val="00301BA4"/>
    <w:rsid w:val="003024EC"/>
    <w:rsid w:val="00302591"/>
    <w:rsid w:val="00302866"/>
    <w:rsid w:val="0030375C"/>
    <w:rsid w:val="0030383E"/>
    <w:rsid w:val="00304569"/>
    <w:rsid w:val="003047CC"/>
    <w:rsid w:val="0030497D"/>
    <w:rsid w:val="003049E3"/>
    <w:rsid w:val="00304DFB"/>
    <w:rsid w:val="00304F79"/>
    <w:rsid w:val="003061C6"/>
    <w:rsid w:val="00306840"/>
    <w:rsid w:val="00307C51"/>
    <w:rsid w:val="00307E4F"/>
    <w:rsid w:val="003102C0"/>
    <w:rsid w:val="00311F63"/>
    <w:rsid w:val="003123AA"/>
    <w:rsid w:val="00312D6A"/>
    <w:rsid w:val="00313F3D"/>
    <w:rsid w:val="0031406A"/>
    <w:rsid w:val="003141F4"/>
    <w:rsid w:val="00314617"/>
    <w:rsid w:val="00316E31"/>
    <w:rsid w:val="0031700D"/>
    <w:rsid w:val="00317DBD"/>
    <w:rsid w:val="003200F8"/>
    <w:rsid w:val="003203D0"/>
    <w:rsid w:val="003211FA"/>
    <w:rsid w:val="00321971"/>
    <w:rsid w:val="003227B8"/>
    <w:rsid w:val="00323714"/>
    <w:rsid w:val="00323B8A"/>
    <w:rsid w:val="00324310"/>
    <w:rsid w:val="00324E6C"/>
    <w:rsid w:val="00324FDF"/>
    <w:rsid w:val="00325067"/>
    <w:rsid w:val="00325CE9"/>
    <w:rsid w:val="00325DAD"/>
    <w:rsid w:val="0032601B"/>
    <w:rsid w:val="00326202"/>
    <w:rsid w:val="00326E48"/>
    <w:rsid w:val="00327D48"/>
    <w:rsid w:val="00327F4A"/>
    <w:rsid w:val="00330034"/>
    <w:rsid w:val="0033231E"/>
    <w:rsid w:val="00332628"/>
    <w:rsid w:val="003327E0"/>
    <w:rsid w:val="0033296C"/>
    <w:rsid w:val="00332DFD"/>
    <w:rsid w:val="0033338A"/>
    <w:rsid w:val="0033386F"/>
    <w:rsid w:val="00334B93"/>
    <w:rsid w:val="00335172"/>
    <w:rsid w:val="00336007"/>
    <w:rsid w:val="00337B85"/>
    <w:rsid w:val="00337CAE"/>
    <w:rsid w:val="00337F40"/>
    <w:rsid w:val="003401AF"/>
    <w:rsid w:val="00340E88"/>
    <w:rsid w:val="00341175"/>
    <w:rsid w:val="0034154F"/>
    <w:rsid w:val="00341818"/>
    <w:rsid w:val="0034188F"/>
    <w:rsid w:val="003418A2"/>
    <w:rsid w:val="003419B2"/>
    <w:rsid w:val="003428AE"/>
    <w:rsid w:val="00342F1D"/>
    <w:rsid w:val="00343390"/>
    <w:rsid w:val="00344484"/>
    <w:rsid w:val="003457FF"/>
    <w:rsid w:val="00346488"/>
    <w:rsid w:val="00346A32"/>
    <w:rsid w:val="00346B9D"/>
    <w:rsid w:val="0034708C"/>
    <w:rsid w:val="003476CD"/>
    <w:rsid w:val="00347796"/>
    <w:rsid w:val="00347BCB"/>
    <w:rsid w:val="00347FB9"/>
    <w:rsid w:val="00350632"/>
    <w:rsid w:val="00351397"/>
    <w:rsid w:val="003515A9"/>
    <w:rsid w:val="0035170A"/>
    <w:rsid w:val="003520D5"/>
    <w:rsid w:val="0035233D"/>
    <w:rsid w:val="003527C8"/>
    <w:rsid w:val="003532C7"/>
    <w:rsid w:val="003533B7"/>
    <w:rsid w:val="003535E8"/>
    <w:rsid w:val="003542D0"/>
    <w:rsid w:val="003568F4"/>
    <w:rsid w:val="00356D23"/>
    <w:rsid w:val="00357045"/>
    <w:rsid w:val="00357899"/>
    <w:rsid w:val="00357AAE"/>
    <w:rsid w:val="00360AB2"/>
    <w:rsid w:val="00360B9A"/>
    <w:rsid w:val="00361814"/>
    <w:rsid w:val="00361911"/>
    <w:rsid w:val="00361DC5"/>
    <w:rsid w:val="00362072"/>
    <w:rsid w:val="003621DD"/>
    <w:rsid w:val="00362267"/>
    <w:rsid w:val="0036291F"/>
    <w:rsid w:val="00362927"/>
    <w:rsid w:val="003629C3"/>
    <w:rsid w:val="00362B39"/>
    <w:rsid w:val="00362FB6"/>
    <w:rsid w:val="003630B6"/>
    <w:rsid w:val="00363437"/>
    <w:rsid w:val="003634E3"/>
    <w:rsid w:val="00363742"/>
    <w:rsid w:val="00363DC5"/>
    <w:rsid w:val="003649E3"/>
    <w:rsid w:val="003656F3"/>
    <w:rsid w:val="00365A1F"/>
    <w:rsid w:val="0036668B"/>
    <w:rsid w:val="00367033"/>
    <w:rsid w:val="003678E2"/>
    <w:rsid w:val="00367D7C"/>
    <w:rsid w:val="003709F5"/>
    <w:rsid w:val="00370A8D"/>
    <w:rsid w:val="00371999"/>
    <w:rsid w:val="00373E72"/>
    <w:rsid w:val="00373F67"/>
    <w:rsid w:val="00374033"/>
    <w:rsid w:val="003742DC"/>
    <w:rsid w:val="0037504F"/>
    <w:rsid w:val="00376764"/>
    <w:rsid w:val="00376AD5"/>
    <w:rsid w:val="00377AFC"/>
    <w:rsid w:val="00377E52"/>
    <w:rsid w:val="003815A0"/>
    <w:rsid w:val="00381D21"/>
    <w:rsid w:val="003822E9"/>
    <w:rsid w:val="00383FA5"/>
    <w:rsid w:val="003843FE"/>
    <w:rsid w:val="0038484C"/>
    <w:rsid w:val="00384D50"/>
    <w:rsid w:val="00384DDC"/>
    <w:rsid w:val="00384FBB"/>
    <w:rsid w:val="00385FE2"/>
    <w:rsid w:val="0038600E"/>
    <w:rsid w:val="003860B2"/>
    <w:rsid w:val="00387368"/>
    <w:rsid w:val="00387906"/>
    <w:rsid w:val="00391286"/>
    <w:rsid w:val="00391503"/>
    <w:rsid w:val="0039177C"/>
    <w:rsid w:val="003921DC"/>
    <w:rsid w:val="003923F3"/>
    <w:rsid w:val="00392BCA"/>
    <w:rsid w:val="00392C0A"/>
    <w:rsid w:val="0039302C"/>
    <w:rsid w:val="00393527"/>
    <w:rsid w:val="00393690"/>
    <w:rsid w:val="00394182"/>
    <w:rsid w:val="003949F1"/>
    <w:rsid w:val="0039533D"/>
    <w:rsid w:val="0039705E"/>
    <w:rsid w:val="00397B4C"/>
    <w:rsid w:val="003A004B"/>
    <w:rsid w:val="003A0277"/>
    <w:rsid w:val="003A0C72"/>
    <w:rsid w:val="003A144B"/>
    <w:rsid w:val="003A14C0"/>
    <w:rsid w:val="003A18FD"/>
    <w:rsid w:val="003A1AA9"/>
    <w:rsid w:val="003A1CB8"/>
    <w:rsid w:val="003A1FB6"/>
    <w:rsid w:val="003A2D38"/>
    <w:rsid w:val="003A2FB2"/>
    <w:rsid w:val="003A350B"/>
    <w:rsid w:val="003A360B"/>
    <w:rsid w:val="003A5696"/>
    <w:rsid w:val="003A5973"/>
    <w:rsid w:val="003A5CBA"/>
    <w:rsid w:val="003A6616"/>
    <w:rsid w:val="003A78FE"/>
    <w:rsid w:val="003A7928"/>
    <w:rsid w:val="003A7AE0"/>
    <w:rsid w:val="003B118F"/>
    <w:rsid w:val="003B14E2"/>
    <w:rsid w:val="003B17C7"/>
    <w:rsid w:val="003B242C"/>
    <w:rsid w:val="003B2FD6"/>
    <w:rsid w:val="003B3194"/>
    <w:rsid w:val="003B39F5"/>
    <w:rsid w:val="003B3F46"/>
    <w:rsid w:val="003B48BB"/>
    <w:rsid w:val="003B4CA2"/>
    <w:rsid w:val="003B521C"/>
    <w:rsid w:val="003B681F"/>
    <w:rsid w:val="003B6DBD"/>
    <w:rsid w:val="003B7AFF"/>
    <w:rsid w:val="003C1656"/>
    <w:rsid w:val="003C1A7B"/>
    <w:rsid w:val="003C1C47"/>
    <w:rsid w:val="003C1CDB"/>
    <w:rsid w:val="003C243E"/>
    <w:rsid w:val="003C24B0"/>
    <w:rsid w:val="003C2EE6"/>
    <w:rsid w:val="003C2FFA"/>
    <w:rsid w:val="003C337C"/>
    <w:rsid w:val="003C3850"/>
    <w:rsid w:val="003C3CA7"/>
    <w:rsid w:val="003C3E34"/>
    <w:rsid w:val="003C576C"/>
    <w:rsid w:val="003C5D3C"/>
    <w:rsid w:val="003C718B"/>
    <w:rsid w:val="003C7781"/>
    <w:rsid w:val="003C7959"/>
    <w:rsid w:val="003C7B13"/>
    <w:rsid w:val="003D12BC"/>
    <w:rsid w:val="003D143C"/>
    <w:rsid w:val="003D1656"/>
    <w:rsid w:val="003D215C"/>
    <w:rsid w:val="003D29CB"/>
    <w:rsid w:val="003D2DE6"/>
    <w:rsid w:val="003D355D"/>
    <w:rsid w:val="003D35D8"/>
    <w:rsid w:val="003D36BE"/>
    <w:rsid w:val="003D3ABE"/>
    <w:rsid w:val="003D3E37"/>
    <w:rsid w:val="003D49C8"/>
    <w:rsid w:val="003D4B5D"/>
    <w:rsid w:val="003D4CFD"/>
    <w:rsid w:val="003D4DF2"/>
    <w:rsid w:val="003D4E85"/>
    <w:rsid w:val="003D4FB2"/>
    <w:rsid w:val="003D640E"/>
    <w:rsid w:val="003D6509"/>
    <w:rsid w:val="003D6C62"/>
    <w:rsid w:val="003D6D34"/>
    <w:rsid w:val="003D70CE"/>
    <w:rsid w:val="003D7454"/>
    <w:rsid w:val="003D781C"/>
    <w:rsid w:val="003D797D"/>
    <w:rsid w:val="003D7E29"/>
    <w:rsid w:val="003E0A0C"/>
    <w:rsid w:val="003E0B29"/>
    <w:rsid w:val="003E0C6D"/>
    <w:rsid w:val="003E12E7"/>
    <w:rsid w:val="003E1CDA"/>
    <w:rsid w:val="003E2A91"/>
    <w:rsid w:val="003E2B1A"/>
    <w:rsid w:val="003E2B77"/>
    <w:rsid w:val="003E30AC"/>
    <w:rsid w:val="003E3AA3"/>
    <w:rsid w:val="003E3F57"/>
    <w:rsid w:val="003E494B"/>
    <w:rsid w:val="003E4AD6"/>
    <w:rsid w:val="003E5301"/>
    <w:rsid w:val="003E6023"/>
    <w:rsid w:val="003E785D"/>
    <w:rsid w:val="003E796C"/>
    <w:rsid w:val="003E7F00"/>
    <w:rsid w:val="003F126B"/>
    <w:rsid w:val="003F194B"/>
    <w:rsid w:val="003F2E8C"/>
    <w:rsid w:val="003F3909"/>
    <w:rsid w:val="003F3ADC"/>
    <w:rsid w:val="003F518B"/>
    <w:rsid w:val="003F6E5B"/>
    <w:rsid w:val="003F6EB8"/>
    <w:rsid w:val="003F71DF"/>
    <w:rsid w:val="003F7401"/>
    <w:rsid w:val="0040039F"/>
    <w:rsid w:val="00401420"/>
    <w:rsid w:val="00401553"/>
    <w:rsid w:val="00401C95"/>
    <w:rsid w:val="0040202E"/>
    <w:rsid w:val="0040247F"/>
    <w:rsid w:val="004037BD"/>
    <w:rsid w:val="004045FB"/>
    <w:rsid w:val="00404C8D"/>
    <w:rsid w:val="00404CB6"/>
    <w:rsid w:val="00404E99"/>
    <w:rsid w:val="00405580"/>
    <w:rsid w:val="00405707"/>
    <w:rsid w:val="00405DC3"/>
    <w:rsid w:val="004061B3"/>
    <w:rsid w:val="00406CED"/>
    <w:rsid w:val="00406F11"/>
    <w:rsid w:val="00407C83"/>
    <w:rsid w:val="004112A7"/>
    <w:rsid w:val="0041207B"/>
    <w:rsid w:val="0041216B"/>
    <w:rsid w:val="00412B53"/>
    <w:rsid w:val="00412FEB"/>
    <w:rsid w:val="00413B24"/>
    <w:rsid w:val="00414290"/>
    <w:rsid w:val="004144E7"/>
    <w:rsid w:val="00414636"/>
    <w:rsid w:val="004148EF"/>
    <w:rsid w:val="00415C3A"/>
    <w:rsid w:val="00417174"/>
    <w:rsid w:val="004173E3"/>
    <w:rsid w:val="004178BB"/>
    <w:rsid w:val="00420BBD"/>
    <w:rsid w:val="00421B65"/>
    <w:rsid w:val="00422853"/>
    <w:rsid w:val="00422911"/>
    <w:rsid w:val="0042327A"/>
    <w:rsid w:val="00423B5C"/>
    <w:rsid w:val="004246C7"/>
    <w:rsid w:val="00425E59"/>
    <w:rsid w:val="00426188"/>
    <w:rsid w:val="00426563"/>
    <w:rsid w:val="00426D34"/>
    <w:rsid w:val="00426E87"/>
    <w:rsid w:val="0042725F"/>
    <w:rsid w:val="0042733A"/>
    <w:rsid w:val="00427457"/>
    <w:rsid w:val="00427B4A"/>
    <w:rsid w:val="00427E76"/>
    <w:rsid w:val="00430141"/>
    <w:rsid w:val="00430D1C"/>
    <w:rsid w:val="00431C8E"/>
    <w:rsid w:val="00432070"/>
    <w:rsid w:val="004324E1"/>
    <w:rsid w:val="00432F15"/>
    <w:rsid w:val="00433E99"/>
    <w:rsid w:val="004344F2"/>
    <w:rsid w:val="00434DA8"/>
    <w:rsid w:val="00435061"/>
    <w:rsid w:val="004358F9"/>
    <w:rsid w:val="004361F4"/>
    <w:rsid w:val="004373D9"/>
    <w:rsid w:val="004374A1"/>
    <w:rsid w:val="00437524"/>
    <w:rsid w:val="00437C8D"/>
    <w:rsid w:val="00437CE8"/>
    <w:rsid w:val="004410D3"/>
    <w:rsid w:val="0044144C"/>
    <w:rsid w:val="00441799"/>
    <w:rsid w:val="00441FF3"/>
    <w:rsid w:val="0044302B"/>
    <w:rsid w:val="004434F9"/>
    <w:rsid w:val="00443864"/>
    <w:rsid w:val="00443FDC"/>
    <w:rsid w:val="004450D6"/>
    <w:rsid w:val="00445336"/>
    <w:rsid w:val="00445BB8"/>
    <w:rsid w:val="00445E2E"/>
    <w:rsid w:val="00447074"/>
    <w:rsid w:val="004475D1"/>
    <w:rsid w:val="0044784C"/>
    <w:rsid w:val="00447A4E"/>
    <w:rsid w:val="00450274"/>
    <w:rsid w:val="0045158C"/>
    <w:rsid w:val="00451850"/>
    <w:rsid w:val="00451BFD"/>
    <w:rsid w:val="00451CBB"/>
    <w:rsid w:val="004522F1"/>
    <w:rsid w:val="00452D33"/>
    <w:rsid w:val="0045310E"/>
    <w:rsid w:val="004538A0"/>
    <w:rsid w:val="0045458D"/>
    <w:rsid w:val="0045475F"/>
    <w:rsid w:val="004547B3"/>
    <w:rsid w:val="00454DBB"/>
    <w:rsid w:val="00454E8E"/>
    <w:rsid w:val="0045606F"/>
    <w:rsid w:val="004568DE"/>
    <w:rsid w:val="00456D25"/>
    <w:rsid w:val="00457783"/>
    <w:rsid w:val="00457EE6"/>
    <w:rsid w:val="004603C6"/>
    <w:rsid w:val="004609C1"/>
    <w:rsid w:val="00460D90"/>
    <w:rsid w:val="00460F5A"/>
    <w:rsid w:val="00460FCF"/>
    <w:rsid w:val="0046146A"/>
    <w:rsid w:val="00461DC3"/>
    <w:rsid w:val="00461F64"/>
    <w:rsid w:val="00462BE3"/>
    <w:rsid w:val="00463188"/>
    <w:rsid w:val="0046465D"/>
    <w:rsid w:val="00464A2B"/>
    <w:rsid w:val="00464A47"/>
    <w:rsid w:val="00466934"/>
    <w:rsid w:val="00466A89"/>
    <w:rsid w:val="004670A0"/>
    <w:rsid w:val="00467374"/>
    <w:rsid w:val="004673D0"/>
    <w:rsid w:val="0046758C"/>
    <w:rsid w:val="004679F2"/>
    <w:rsid w:val="004707B4"/>
    <w:rsid w:val="004707E9"/>
    <w:rsid w:val="00470F0B"/>
    <w:rsid w:val="0047202F"/>
    <w:rsid w:val="00473189"/>
    <w:rsid w:val="00473ABD"/>
    <w:rsid w:val="00473AEB"/>
    <w:rsid w:val="00473CCE"/>
    <w:rsid w:val="004747F5"/>
    <w:rsid w:val="004748E1"/>
    <w:rsid w:val="00474E94"/>
    <w:rsid w:val="0047533B"/>
    <w:rsid w:val="00476006"/>
    <w:rsid w:val="00476335"/>
    <w:rsid w:val="00476BCC"/>
    <w:rsid w:val="00477A2E"/>
    <w:rsid w:val="004802A7"/>
    <w:rsid w:val="00481225"/>
    <w:rsid w:val="00481314"/>
    <w:rsid w:val="0048140B"/>
    <w:rsid w:val="00481F90"/>
    <w:rsid w:val="00482026"/>
    <w:rsid w:val="004825ED"/>
    <w:rsid w:val="004833AF"/>
    <w:rsid w:val="00483592"/>
    <w:rsid w:val="0048382F"/>
    <w:rsid w:val="00483A25"/>
    <w:rsid w:val="0048411A"/>
    <w:rsid w:val="00485F79"/>
    <w:rsid w:val="004900E3"/>
    <w:rsid w:val="004901EF"/>
    <w:rsid w:val="004907D5"/>
    <w:rsid w:val="00490923"/>
    <w:rsid w:val="00490B5C"/>
    <w:rsid w:val="00490DB2"/>
    <w:rsid w:val="00491664"/>
    <w:rsid w:val="00491AA3"/>
    <w:rsid w:val="00491F29"/>
    <w:rsid w:val="0049228E"/>
    <w:rsid w:val="0049259A"/>
    <w:rsid w:val="00492F4C"/>
    <w:rsid w:val="00494346"/>
    <w:rsid w:val="00494BC5"/>
    <w:rsid w:val="00495712"/>
    <w:rsid w:val="00495872"/>
    <w:rsid w:val="0049665E"/>
    <w:rsid w:val="00496CEB"/>
    <w:rsid w:val="00497002"/>
    <w:rsid w:val="004975FB"/>
    <w:rsid w:val="00497916"/>
    <w:rsid w:val="00497CC6"/>
    <w:rsid w:val="004A08B0"/>
    <w:rsid w:val="004A0CDC"/>
    <w:rsid w:val="004A1062"/>
    <w:rsid w:val="004A11AC"/>
    <w:rsid w:val="004A2A08"/>
    <w:rsid w:val="004A3035"/>
    <w:rsid w:val="004A33A0"/>
    <w:rsid w:val="004A4242"/>
    <w:rsid w:val="004A42D5"/>
    <w:rsid w:val="004A43F8"/>
    <w:rsid w:val="004A4488"/>
    <w:rsid w:val="004A4491"/>
    <w:rsid w:val="004A461A"/>
    <w:rsid w:val="004A46B3"/>
    <w:rsid w:val="004A4D8A"/>
    <w:rsid w:val="004A5363"/>
    <w:rsid w:val="004A5D40"/>
    <w:rsid w:val="004A5F26"/>
    <w:rsid w:val="004A67BF"/>
    <w:rsid w:val="004A71EF"/>
    <w:rsid w:val="004A7838"/>
    <w:rsid w:val="004A7F8D"/>
    <w:rsid w:val="004B01AC"/>
    <w:rsid w:val="004B05CF"/>
    <w:rsid w:val="004B06A7"/>
    <w:rsid w:val="004B0781"/>
    <w:rsid w:val="004B12B4"/>
    <w:rsid w:val="004B165B"/>
    <w:rsid w:val="004B24B4"/>
    <w:rsid w:val="004B2975"/>
    <w:rsid w:val="004B2E16"/>
    <w:rsid w:val="004B4BAE"/>
    <w:rsid w:val="004B548E"/>
    <w:rsid w:val="004B56DA"/>
    <w:rsid w:val="004B589A"/>
    <w:rsid w:val="004B6352"/>
    <w:rsid w:val="004B7B9D"/>
    <w:rsid w:val="004B7D7F"/>
    <w:rsid w:val="004C08F3"/>
    <w:rsid w:val="004C13E8"/>
    <w:rsid w:val="004C16FE"/>
    <w:rsid w:val="004C1CA7"/>
    <w:rsid w:val="004C1EDD"/>
    <w:rsid w:val="004C25F6"/>
    <w:rsid w:val="004C288C"/>
    <w:rsid w:val="004C2EF5"/>
    <w:rsid w:val="004C3BEA"/>
    <w:rsid w:val="004C3C71"/>
    <w:rsid w:val="004C3D37"/>
    <w:rsid w:val="004C44C3"/>
    <w:rsid w:val="004C457D"/>
    <w:rsid w:val="004C4E45"/>
    <w:rsid w:val="004C545F"/>
    <w:rsid w:val="004C5552"/>
    <w:rsid w:val="004C6B15"/>
    <w:rsid w:val="004C732F"/>
    <w:rsid w:val="004D0B05"/>
    <w:rsid w:val="004D1182"/>
    <w:rsid w:val="004D1785"/>
    <w:rsid w:val="004D197B"/>
    <w:rsid w:val="004D2665"/>
    <w:rsid w:val="004D27A4"/>
    <w:rsid w:val="004D29C7"/>
    <w:rsid w:val="004D2B5A"/>
    <w:rsid w:val="004D3238"/>
    <w:rsid w:val="004D441C"/>
    <w:rsid w:val="004D4AD4"/>
    <w:rsid w:val="004D5A4F"/>
    <w:rsid w:val="004D5D50"/>
    <w:rsid w:val="004D6685"/>
    <w:rsid w:val="004D6D2F"/>
    <w:rsid w:val="004D74BE"/>
    <w:rsid w:val="004D761C"/>
    <w:rsid w:val="004D78EA"/>
    <w:rsid w:val="004D7C4A"/>
    <w:rsid w:val="004E019C"/>
    <w:rsid w:val="004E0BC3"/>
    <w:rsid w:val="004E1741"/>
    <w:rsid w:val="004E18D0"/>
    <w:rsid w:val="004E1A62"/>
    <w:rsid w:val="004E1D81"/>
    <w:rsid w:val="004E2122"/>
    <w:rsid w:val="004E2C50"/>
    <w:rsid w:val="004E3000"/>
    <w:rsid w:val="004E3E85"/>
    <w:rsid w:val="004E420D"/>
    <w:rsid w:val="004E4438"/>
    <w:rsid w:val="004E5357"/>
    <w:rsid w:val="004E5379"/>
    <w:rsid w:val="004E5550"/>
    <w:rsid w:val="004E5B7C"/>
    <w:rsid w:val="004E6193"/>
    <w:rsid w:val="004E656E"/>
    <w:rsid w:val="004E6BEB"/>
    <w:rsid w:val="004E727C"/>
    <w:rsid w:val="004E7701"/>
    <w:rsid w:val="004E7A21"/>
    <w:rsid w:val="004F023E"/>
    <w:rsid w:val="004F20F3"/>
    <w:rsid w:val="004F430F"/>
    <w:rsid w:val="004F5EB1"/>
    <w:rsid w:val="004F68B6"/>
    <w:rsid w:val="004F68E9"/>
    <w:rsid w:val="004F6E2A"/>
    <w:rsid w:val="004F767C"/>
    <w:rsid w:val="00500AE2"/>
    <w:rsid w:val="0050158A"/>
    <w:rsid w:val="00501BFF"/>
    <w:rsid w:val="005024EC"/>
    <w:rsid w:val="00502F83"/>
    <w:rsid w:val="0050369D"/>
    <w:rsid w:val="00503C10"/>
    <w:rsid w:val="005044E5"/>
    <w:rsid w:val="0050520C"/>
    <w:rsid w:val="0050524D"/>
    <w:rsid w:val="005053C8"/>
    <w:rsid w:val="00506E58"/>
    <w:rsid w:val="00506F69"/>
    <w:rsid w:val="00507741"/>
    <w:rsid w:val="005079AD"/>
    <w:rsid w:val="00507F78"/>
    <w:rsid w:val="005103E3"/>
    <w:rsid w:val="005114DF"/>
    <w:rsid w:val="00512A41"/>
    <w:rsid w:val="00512AA2"/>
    <w:rsid w:val="00513147"/>
    <w:rsid w:val="00513316"/>
    <w:rsid w:val="00513470"/>
    <w:rsid w:val="00513817"/>
    <w:rsid w:val="00514444"/>
    <w:rsid w:val="005144F3"/>
    <w:rsid w:val="005158EF"/>
    <w:rsid w:val="005173A4"/>
    <w:rsid w:val="0051793F"/>
    <w:rsid w:val="00517B06"/>
    <w:rsid w:val="00517BD3"/>
    <w:rsid w:val="00520318"/>
    <w:rsid w:val="00520A3B"/>
    <w:rsid w:val="00520A84"/>
    <w:rsid w:val="00520C0E"/>
    <w:rsid w:val="0052171F"/>
    <w:rsid w:val="005217B4"/>
    <w:rsid w:val="005218F2"/>
    <w:rsid w:val="00521D6E"/>
    <w:rsid w:val="00521F3C"/>
    <w:rsid w:val="00522059"/>
    <w:rsid w:val="0052245D"/>
    <w:rsid w:val="005228A5"/>
    <w:rsid w:val="00522D64"/>
    <w:rsid w:val="00522E38"/>
    <w:rsid w:val="00522FAD"/>
    <w:rsid w:val="0052365A"/>
    <w:rsid w:val="00523D7F"/>
    <w:rsid w:val="005241FD"/>
    <w:rsid w:val="0052439F"/>
    <w:rsid w:val="00524D65"/>
    <w:rsid w:val="005253ED"/>
    <w:rsid w:val="005259F8"/>
    <w:rsid w:val="00525B4D"/>
    <w:rsid w:val="00526441"/>
    <w:rsid w:val="005269BB"/>
    <w:rsid w:val="00526A72"/>
    <w:rsid w:val="00526ADE"/>
    <w:rsid w:val="005271BF"/>
    <w:rsid w:val="005309E7"/>
    <w:rsid w:val="00530EA8"/>
    <w:rsid w:val="00531168"/>
    <w:rsid w:val="00531688"/>
    <w:rsid w:val="00531A2A"/>
    <w:rsid w:val="00531C83"/>
    <w:rsid w:val="00532F96"/>
    <w:rsid w:val="005335E1"/>
    <w:rsid w:val="00533673"/>
    <w:rsid w:val="00533A88"/>
    <w:rsid w:val="00533B3C"/>
    <w:rsid w:val="0053477E"/>
    <w:rsid w:val="005348E0"/>
    <w:rsid w:val="00535225"/>
    <w:rsid w:val="00535637"/>
    <w:rsid w:val="00535910"/>
    <w:rsid w:val="00535C97"/>
    <w:rsid w:val="0053608E"/>
    <w:rsid w:val="00536DCC"/>
    <w:rsid w:val="00536EB4"/>
    <w:rsid w:val="00537EB4"/>
    <w:rsid w:val="005404C0"/>
    <w:rsid w:val="00540C9A"/>
    <w:rsid w:val="00540F42"/>
    <w:rsid w:val="00542001"/>
    <w:rsid w:val="005433EF"/>
    <w:rsid w:val="00543604"/>
    <w:rsid w:val="0054392F"/>
    <w:rsid w:val="00544002"/>
    <w:rsid w:val="00544D25"/>
    <w:rsid w:val="00544FF5"/>
    <w:rsid w:val="005450A5"/>
    <w:rsid w:val="005454EA"/>
    <w:rsid w:val="005465D7"/>
    <w:rsid w:val="00546F7D"/>
    <w:rsid w:val="00546FD9"/>
    <w:rsid w:val="00550671"/>
    <w:rsid w:val="00550FED"/>
    <w:rsid w:val="005520B7"/>
    <w:rsid w:val="00552255"/>
    <w:rsid w:val="00552429"/>
    <w:rsid w:val="00553725"/>
    <w:rsid w:val="005545D5"/>
    <w:rsid w:val="005549A2"/>
    <w:rsid w:val="005557F2"/>
    <w:rsid w:val="00555BB5"/>
    <w:rsid w:val="00557634"/>
    <w:rsid w:val="00557D93"/>
    <w:rsid w:val="005608AE"/>
    <w:rsid w:val="00560B6D"/>
    <w:rsid w:val="00561278"/>
    <w:rsid w:val="00562A90"/>
    <w:rsid w:val="00562B8C"/>
    <w:rsid w:val="00563554"/>
    <w:rsid w:val="00563AE0"/>
    <w:rsid w:val="00563B11"/>
    <w:rsid w:val="005640E3"/>
    <w:rsid w:val="00564250"/>
    <w:rsid w:val="00564494"/>
    <w:rsid w:val="0056497E"/>
    <w:rsid w:val="00564A4F"/>
    <w:rsid w:val="00564C71"/>
    <w:rsid w:val="00564FF3"/>
    <w:rsid w:val="00565202"/>
    <w:rsid w:val="0056543C"/>
    <w:rsid w:val="0056598A"/>
    <w:rsid w:val="005670A8"/>
    <w:rsid w:val="005670E0"/>
    <w:rsid w:val="00567D21"/>
    <w:rsid w:val="00567F2B"/>
    <w:rsid w:val="00570E17"/>
    <w:rsid w:val="00570FC5"/>
    <w:rsid w:val="00571318"/>
    <w:rsid w:val="005713C8"/>
    <w:rsid w:val="0057259D"/>
    <w:rsid w:val="005747E6"/>
    <w:rsid w:val="005749AC"/>
    <w:rsid w:val="00574F77"/>
    <w:rsid w:val="00575025"/>
    <w:rsid w:val="0057517F"/>
    <w:rsid w:val="005753A7"/>
    <w:rsid w:val="00575A1C"/>
    <w:rsid w:val="00575C2E"/>
    <w:rsid w:val="0057706F"/>
    <w:rsid w:val="0057791C"/>
    <w:rsid w:val="00577A39"/>
    <w:rsid w:val="00577BCC"/>
    <w:rsid w:val="00577D2F"/>
    <w:rsid w:val="00580397"/>
    <w:rsid w:val="00580AAE"/>
    <w:rsid w:val="00580CAC"/>
    <w:rsid w:val="00581CCF"/>
    <w:rsid w:val="00582046"/>
    <w:rsid w:val="00582059"/>
    <w:rsid w:val="00582CF0"/>
    <w:rsid w:val="0058356D"/>
    <w:rsid w:val="00583D62"/>
    <w:rsid w:val="00583EC9"/>
    <w:rsid w:val="00583FFE"/>
    <w:rsid w:val="00584119"/>
    <w:rsid w:val="005848E1"/>
    <w:rsid w:val="00585B36"/>
    <w:rsid w:val="00585F3B"/>
    <w:rsid w:val="005861EA"/>
    <w:rsid w:val="0058750C"/>
    <w:rsid w:val="00587AA5"/>
    <w:rsid w:val="00590098"/>
    <w:rsid w:val="005907FF"/>
    <w:rsid w:val="00590B4F"/>
    <w:rsid w:val="00591B13"/>
    <w:rsid w:val="00591EA2"/>
    <w:rsid w:val="00593179"/>
    <w:rsid w:val="00593CE5"/>
    <w:rsid w:val="005942BC"/>
    <w:rsid w:val="00594625"/>
    <w:rsid w:val="0059582B"/>
    <w:rsid w:val="005959D4"/>
    <w:rsid w:val="005960A2"/>
    <w:rsid w:val="0059690C"/>
    <w:rsid w:val="00596951"/>
    <w:rsid w:val="00596CD0"/>
    <w:rsid w:val="00596F3C"/>
    <w:rsid w:val="00597244"/>
    <w:rsid w:val="00597489"/>
    <w:rsid w:val="005A052C"/>
    <w:rsid w:val="005A0AE0"/>
    <w:rsid w:val="005A0DB5"/>
    <w:rsid w:val="005A1F59"/>
    <w:rsid w:val="005A284C"/>
    <w:rsid w:val="005A3794"/>
    <w:rsid w:val="005A3D08"/>
    <w:rsid w:val="005A3D6C"/>
    <w:rsid w:val="005A3E90"/>
    <w:rsid w:val="005A4234"/>
    <w:rsid w:val="005A4450"/>
    <w:rsid w:val="005A4D79"/>
    <w:rsid w:val="005A6698"/>
    <w:rsid w:val="005A6E71"/>
    <w:rsid w:val="005B0278"/>
    <w:rsid w:val="005B0398"/>
    <w:rsid w:val="005B06AF"/>
    <w:rsid w:val="005B138B"/>
    <w:rsid w:val="005B17FA"/>
    <w:rsid w:val="005B1AC6"/>
    <w:rsid w:val="005B33A4"/>
    <w:rsid w:val="005B3CA7"/>
    <w:rsid w:val="005B3CF0"/>
    <w:rsid w:val="005B48BE"/>
    <w:rsid w:val="005B4A09"/>
    <w:rsid w:val="005B4B2E"/>
    <w:rsid w:val="005B4CA2"/>
    <w:rsid w:val="005B4E07"/>
    <w:rsid w:val="005B56A9"/>
    <w:rsid w:val="005B5747"/>
    <w:rsid w:val="005B57C6"/>
    <w:rsid w:val="005B5F98"/>
    <w:rsid w:val="005B679E"/>
    <w:rsid w:val="005B68F6"/>
    <w:rsid w:val="005B6D59"/>
    <w:rsid w:val="005B702B"/>
    <w:rsid w:val="005B732C"/>
    <w:rsid w:val="005B7348"/>
    <w:rsid w:val="005B7F53"/>
    <w:rsid w:val="005C01BF"/>
    <w:rsid w:val="005C0498"/>
    <w:rsid w:val="005C05F4"/>
    <w:rsid w:val="005C1991"/>
    <w:rsid w:val="005C1EB6"/>
    <w:rsid w:val="005C2194"/>
    <w:rsid w:val="005C23A3"/>
    <w:rsid w:val="005C2EAF"/>
    <w:rsid w:val="005C3448"/>
    <w:rsid w:val="005C34A2"/>
    <w:rsid w:val="005C36E0"/>
    <w:rsid w:val="005C3EED"/>
    <w:rsid w:val="005C42CC"/>
    <w:rsid w:val="005C43DE"/>
    <w:rsid w:val="005C4EF5"/>
    <w:rsid w:val="005C510D"/>
    <w:rsid w:val="005C53C5"/>
    <w:rsid w:val="005C545A"/>
    <w:rsid w:val="005C549B"/>
    <w:rsid w:val="005C5FF6"/>
    <w:rsid w:val="005C6EF4"/>
    <w:rsid w:val="005C724D"/>
    <w:rsid w:val="005C78ED"/>
    <w:rsid w:val="005C7B0A"/>
    <w:rsid w:val="005C7EE8"/>
    <w:rsid w:val="005D0DC2"/>
    <w:rsid w:val="005D2393"/>
    <w:rsid w:val="005D26B7"/>
    <w:rsid w:val="005D362D"/>
    <w:rsid w:val="005D41B7"/>
    <w:rsid w:val="005D41E3"/>
    <w:rsid w:val="005D51D6"/>
    <w:rsid w:val="005D604E"/>
    <w:rsid w:val="005D6611"/>
    <w:rsid w:val="005D6CD8"/>
    <w:rsid w:val="005D6E80"/>
    <w:rsid w:val="005D6F81"/>
    <w:rsid w:val="005D7F63"/>
    <w:rsid w:val="005E0292"/>
    <w:rsid w:val="005E0C7D"/>
    <w:rsid w:val="005E13B8"/>
    <w:rsid w:val="005E1471"/>
    <w:rsid w:val="005E179F"/>
    <w:rsid w:val="005E20BB"/>
    <w:rsid w:val="005E2209"/>
    <w:rsid w:val="005E27F3"/>
    <w:rsid w:val="005E327C"/>
    <w:rsid w:val="005E33A9"/>
    <w:rsid w:val="005E36DB"/>
    <w:rsid w:val="005E5631"/>
    <w:rsid w:val="005E7005"/>
    <w:rsid w:val="005F0A08"/>
    <w:rsid w:val="005F2DE7"/>
    <w:rsid w:val="005F3D14"/>
    <w:rsid w:val="005F40F7"/>
    <w:rsid w:val="005F446C"/>
    <w:rsid w:val="005F4A9E"/>
    <w:rsid w:val="005F4B9F"/>
    <w:rsid w:val="005F5229"/>
    <w:rsid w:val="005F5E68"/>
    <w:rsid w:val="005F612A"/>
    <w:rsid w:val="005F62A7"/>
    <w:rsid w:val="005F691F"/>
    <w:rsid w:val="005F6939"/>
    <w:rsid w:val="005F6C41"/>
    <w:rsid w:val="005F73C7"/>
    <w:rsid w:val="005F7D3A"/>
    <w:rsid w:val="005F7D65"/>
    <w:rsid w:val="005F7DEC"/>
    <w:rsid w:val="00600415"/>
    <w:rsid w:val="0060059D"/>
    <w:rsid w:val="00600AA5"/>
    <w:rsid w:val="00601C65"/>
    <w:rsid w:val="00601EEB"/>
    <w:rsid w:val="00602A6F"/>
    <w:rsid w:val="006035B6"/>
    <w:rsid w:val="00604330"/>
    <w:rsid w:val="006046EE"/>
    <w:rsid w:val="00604D21"/>
    <w:rsid w:val="0060524B"/>
    <w:rsid w:val="00605499"/>
    <w:rsid w:val="006056C6"/>
    <w:rsid w:val="00605C73"/>
    <w:rsid w:val="006065DD"/>
    <w:rsid w:val="00606F95"/>
    <w:rsid w:val="00606FF8"/>
    <w:rsid w:val="00607025"/>
    <w:rsid w:val="0060761E"/>
    <w:rsid w:val="006078F6"/>
    <w:rsid w:val="00607E08"/>
    <w:rsid w:val="00607E18"/>
    <w:rsid w:val="0061053D"/>
    <w:rsid w:val="0061062C"/>
    <w:rsid w:val="0061097D"/>
    <w:rsid w:val="00610EBD"/>
    <w:rsid w:val="00610FF0"/>
    <w:rsid w:val="00611079"/>
    <w:rsid w:val="0061142C"/>
    <w:rsid w:val="006117AA"/>
    <w:rsid w:val="0061194C"/>
    <w:rsid w:val="006121FA"/>
    <w:rsid w:val="0061319F"/>
    <w:rsid w:val="0061377B"/>
    <w:rsid w:val="006137AB"/>
    <w:rsid w:val="00613C7B"/>
    <w:rsid w:val="0061422D"/>
    <w:rsid w:val="00614981"/>
    <w:rsid w:val="00614EC5"/>
    <w:rsid w:val="0061643F"/>
    <w:rsid w:val="0061656A"/>
    <w:rsid w:val="00616E16"/>
    <w:rsid w:val="00617D03"/>
    <w:rsid w:val="00617E72"/>
    <w:rsid w:val="006208CB"/>
    <w:rsid w:val="00620D0B"/>
    <w:rsid w:val="00621297"/>
    <w:rsid w:val="0062136E"/>
    <w:rsid w:val="00621F84"/>
    <w:rsid w:val="006227A6"/>
    <w:rsid w:val="00623306"/>
    <w:rsid w:val="0062371C"/>
    <w:rsid w:val="00623E73"/>
    <w:rsid w:val="00625248"/>
    <w:rsid w:val="00625877"/>
    <w:rsid w:val="00625B4D"/>
    <w:rsid w:val="00625FFC"/>
    <w:rsid w:val="00626BF7"/>
    <w:rsid w:val="00627AA7"/>
    <w:rsid w:val="00627D5C"/>
    <w:rsid w:val="006301A9"/>
    <w:rsid w:val="006302B5"/>
    <w:rsid w:val="006303DB"/>
    <w:rsid w:val="0063064F"/>
    <w:rsid w:val="00630C10"/>
    <w:rsid w:val="00633260"/>
    <w:rsid w:val="00633AC9"/>
    <w:rsid w:val="00634515"/>
    <w:rsid w:val="00634629"/>
    <w:rsid w:val="0063502C"/>
    <w:rsid w:val="00635926"/>
    <w:rsid w:val="00635C5A"/>
    <w:rsid w:val="00635F6D"/>
    <w:rsid w:val="00635F72"/>
    <w:rsid w:val="00636072"/>
    <w:rsid w:val="006360E0"/>
    <w:rsid w:val="0063612A"/>
    <w:rsid w:val="006372F7"/>
    <w:rsid w:val="00637364"/>
    <w:rsid w:val="00637D90"/>
    <w:rsid w:val="006405DF"/>
    <w:rsid w:val="006408CA"/>
    <w:rsid w:val="00644467"/>
    <w:rsid w:val="0064452A"/>
    <w:rsid w:val="006445E8"/>
    <w:rsid w:val="00645FA1"/>
    <w:rsid w:val="00646267"/>
    <w:rsid w:val="00646688"/>
    <w:rsid w:val="00646D47"/>
    <w:rsid w:val="00646DC8"/>
    <w:rsid w:val="00647A1C"/>
    <w:rsid w:val="00647CA3"/>
    <w:rsid w:val="00647F38"/>
    <w:rsid w:val="00650B64"/>
    <w:rsid w:val="00650EC9"/>
    <w:rsid w:val="00651473"/>
    <w:rsid w:val="00652E79"/>
    <w:rsid w:val="006538B1"/>
    <w:rsid w:val="00653B96"/>
    <w:rsid w:val="00653BC2"/>
    <w:rsid w:val="00654083"/>
    <w:rsid w:val="00654446"/>
    <w:rsid w:val="00654B78"/>
    <w:rsid w:val="00654F7A"/>
    <w:rsid w:val="00655AC6"/>
    <w:rsid w:val="00656529"/>
    <w:rsid w:val="00656582"/>
    <w:rsid w:val="00656860"/>
    <w:rsid w:val="00656A79"/>
    <w:rsid w:val="00656FAD"/>
    <w:rsid w:val="00657169"/>
    <w:rsid w:val="00657677"/>
    <w:rsid w:val="006578AD"/>
    <w:rsid w:val="00657A9D"/>
    <w:rsid w:val="006601B7"/>
    <w:rsid w:val="006607D0"/>
    <w:rsid w:val="006608F5"/>
    <w:rsid w:val="0066103E"/>
    <w:rsid w:val="00661A1A"/>
    <w:rsid w:val="00661D37"/>
    <w:rsid w:val="006623D8"/>
    <w:rsid w:val="006625E3"/>
    <w:rsid w:val="00662755"/>
    <w:rsid w:val="00662B21"/>
    <w:rsid w:val="00664051"/>
    <w:rsid w:val="00664607"/>
    <w:rsid w:val="006647FB"/>
    <w:rsid w:val="00664C20"/>
    <w:rsid w:val="00664D5B"/>
    <w:rsid w:val="00664FC5"/>
    <w:rsid w:val="006654C7"/>
    <w:rsid w:val="0066579E"/>
    <w:rsid w:val="00665ADC"/>
    <w:rsid w:val="006672D1"/>
    <w:rsid w:val="006673B2"/>
    <w:rsid w:val="006674E1"/>
    <w:rsid w:val="00667C53"/>
    <w:rsid w:val="00667E9B"/>
    <w:rsid w:val="00670D34"/>
    <w:rsid w:val="0067103F"/>
    <w:rsid w:val="00671438"/>
    <w:rsid w:val="006721B4"/>
    <w:rsid w:val="00673142"/>
    <w:rsid w:val="00673CB4"/>
    <w:rsid w:val="0067479F"/>
    <w:rsid w:val="00674978"/>
    <w:rsid w:val="00676117"/>
    <w:rsid w:val="0067623E"/>
    <w:rsid w:val="006764D4"/>
    <w:rsid w:val="00676CE9"/>
    <w:rsid w:val="00677745"/>
    <w:rsid w:val="00680325"/>
    <w:rsid w:val="00681B65"/>
    <w:rsid w:val="0068209B"/>
    <w:rsid w:val="006823E2"/>
    <w:rsid w:val="0068269F"/>
    <w:rsid w:val="00683346"/>
    <w:rsid w:val="006833FF"/>
    <w:rsid w:val="00683908"/>
    <w:rsid w:val="006839D1"/>
    <w:rsid w:val="00683ACF"/>
    <w:rsid w:val="00684D63"/>
    <w:rsid w:val="00684DC9"/>
    <w:rsid w:val="00685451"/>
    <w:rsid w:val="00685994"/>
    <w:rsid w:val="00686693"/>
    <w:rsid w:val="006869AB"/>
    <w:rsid w:val="006875A0"/>
    <w:rsid w:val="00687E6C"/>
    <w:rsid w:val="0069016C"/>
    <w:rsid w:val="00690B4F"/>
    <w:rsid w:val="00692B63"/>
    <w:rsid w:val="00692D35"/>
    <w:rsid w:val="006940FA"/>
    <w:rsid w:val="00694613"/>
    <w:rsid w:val="0069494C"/>
    <w:rsid w:val="0069584A"/>
    <w:rsid w:val="006964BF"/>
    <w:rsid w:val="00696DA2"/>
    <w:rsid w:val="00696E87"/>
    <w:rsid w:val="0069741B"/>
    <w:rsid w:val="006A01C2"/>
    <w:rsid w:val="006A0458"/>
    <w:rsid w:val="006A100F"/>
    <w:rsid w:val="006A18CC"/>
    <w:rsid w:val="006A1943"/>
    <w:rsid w:val="006A1BC6"/>
    <w:rsid w:val="006A1D37"/>
    <w:rsid w:val="006A1E06"/>
    <w:rsid w:val="006A1FB5"/>
    <w:rsid w:val="006A2549"/>
    <w:rsid w:val="006A2997"/>
    <w:rsid w:val="006A2EE1"/>
    <w:rsid w:val="006A3311"/>
    <w:rsid w:val="006A34DB"/>
    <w:rsid w:val="006A37AF"/>
    <w:rsid w:val="006A3824"/>
    <w:rsid w:val="006A481A"/>
    <w:rsid w:val="006A4A62"/>
    <w:rsid w:val="006A4D35"/>
    <w:rsid w:val="006A4E02"/>
    <w:rsid w:val="006A5294"/>
    <w:rsid w:val="006A6B4A"/>
    <w:rsid w:val="006A7670"/>
    <w:rsid w:val="006B0008"/>
    <w:rsid w:val="006B0E0B"/>
    <w:rsid w:val="006B0E9A"/>
    <w:rsid w:val="006B18D9"/>
    <w:rsid w:val="006B2752"/>
    <w:rsid w:val="006B2950"/>
    <w:rsid w:val="006B3CBE"/>
    <w:rsid w:val="006B41F4"/>
    <w:rsid w:val="006B437E"/>
    <w:rsid w:val="006B4A16"/>
    <w:rsid w:val="006B4C97"/>
    <w:rsid w:val="006B4ED9"/>
    <w:rsid w:val="006B569C"/>
    <w:rsid w:val="006B573D"/>
    <w:rsid w:val="006B5C2A"/>
    <w:rsid w:val="006B66D0"/>
    <w:rsid w:val="006B7563"/>
    <w:rsid w:val="006C0D05"/>
    <w:rsid w:val="006C0DE7"/>
    <w:rsid w:val="006C1EC4"/>
    <w:rsid w:val="006C23DD"/>
    <w:rsid w:val="006C2ABB"/>
    <w:rsid w:val="006C3591"/>
    <w:rsid w:val="006C3975"/>
    <w:rsid w:val="006C3B9A"/>
    <w:rsid w:val="006C3F77"/>
    <w:rsid w:val="006C4537"/>
    <w:rsid w:val="006C46DA"/>
    <w:rsid w:val="006C4E66"/>
    <w:rsid w:val="006C5200"/>
    <w:rsid w:val="006C52C8"/>
    <w:rsid w:val="006C5914"/>
    <w:rsid w:val="006C5ADB"/>
    <w:rsid w:val="006C6374"/>
    <w:rsid w:val="006C6EE1"/>
    <w:rsid w:val="006C7449"/>
    <w:rsid w:val="006C74BF"/>
    <w:rsid w:val="006C7B5A"/>
    <w:rsid w:val="006C7C1B"/>
    <w:rsid w:val="006C7D71"/>
    <w:rsid w:val="006D1101"/>
    <w:rsid w:val="006D211C"/>
    <w:rsid w:val="006D3862"/>
    <w:rsid w:val="006D3D23"/>
    <w:rsid w:val="006D3F8D"/>
    <w:rsid w:val="006D5187"/>
    <w:rsid w:val="006D51EB"/>
    <w:rsid w:val="006D52D4"/>
    <w:rsid w:val="006D543A"/>
    <w:rsid w:val="006D54D3"/>
    <w:rsid w:val="006D575C"/>
    <w:rsid w:val="006D6114"/>
    <w:rsid w:val="006D7347"/>
    <w:rsid w:val="006D73BA"/>
    <w:rsid w:val="006D7761"/>
    <w:rsid w:val="006D7788"/>
    <w:rsid w:val="006D78F0"/>
    <w:rsid w:val="006D7F63"/>
    <w:rsid w:val="006E0EF0"/>
    <w:rsid w:val="006E192D"/>
    <w:rsid w:val="006E24FE"/>
    <w:rsid w:val="006E26E9"/>
    <w:rsid w:val="006E2879"/>
    <w:rsid w:val="006E2A42"/>
    <w:rsid w:val="006E3C48"/>
    <w:rsid w:val="006E42B6"/>
    <w:rsid w:val="006E4E85"/>
    <w:rsid w:val="006E5249"/>
    <w:rsid w:val="006E53E6"/>
    <w:rsid w:val="006E69E7"/>
    <w:rsid w:val="006E6F2C"/>
    <w:rsid w:val="006E7A1E"/>
    <w:rsid w:val="006F0202"/>
    <w:rsid w:val="006F032B"/>
    <w:rsid w:val="006F094D"/>
    <w:rsid w:val="006F10C2"/>
    <w:rsid w:val="006F12E9"/>
    <w:rsid w:val="006F1413"/>
    <w:rsid w:val="006F1D88"/>
    <w:rsid w:val="006F1FB1"/>
    <w:rsid w:val="006F1FCE"/>
    <w:rsid w:val="006F32D6"/>
    <w:rsid w:val="006F3F62"/>
    <w:rsid w:val="006F42DD"/>
    <w:rsid w:val="006F44D4"/>
    <w:rsid w:val="006F4BC1"/>
    <w:rsid w:val="006F55A0"/>
    <w:rsid w:val="006F5976"/>
    <w:rsid w:val="006F64D3"/>
    <w:rsid w:val="006F6783"/>
    <w:rsid w:val="006F6D2A"/>
    <w:rsid w:val="006F70CA"/>
    <w:rsid w:val="006F74B4"/>
    <w:rsid w:val="006F74FE"/>
    <w:rsid w:val="00700B5D"/>
    <w:rsid w:val="00701842"/>
    <w:rsid w:val="00701FD1"/>
    <w:rsid w:val="00702729"/>
    <w:rsid w:val="0070326E"/>
    <w:rsid w:val="0070406C"/>
    <w:rsid w:val="00704BF1"/>
    <w:rsid w:val="0070518D"/>
    <w:rsid w:val="00705254"/>
    <w:rsid w:val="00705718"/>
    <w:rsid w:val="007058C9"/>
    <w:rsid w:val="00705A93"/>
    <w:rsid w:val="00705B6C"/>
    <w:rsid w:val="007064DB"/>
    <w:rsid w:val="00707B6B"/>
    <w:rsid w:val="00707FEE"/>
    <w:rsid w:val="00710227"/>
    <w:rsid w:val="00710454"/>
    <w:rsid w:val="00710875"/>
    <w:rsid w:val="00710B87"/>
    <w:rsid w:val="00712082"/>
    <w:rsid w:val="00713463"/>
    <w:rsid w:val="00713F75"/>
    <w:rsid w:val="0071458E"/>
    <w:rsid w:val="00714B64"/>
    <w:rsid w:val="00714DF7"/>
    <w:rsid w:val="00716282"/>
    <w:rsid w:val="00716319"/>
    <w:rsid w:val="00717101"/>
    <w:rsid w:val="00717133"/>
    <w:rsid w:val="007171FD"/>
    <w:rsid w:val="00717459"/>
    <w:rsid w:val="007179DD"/>
    <w:rsid w:val="00717F5F"/>
    <w:rsid w:val="00720C7F"/>
    <w:rsid w:val="007214BC"/>
    <w:rsid w:val="00721B0C"/>
    <w:rsid w:val="00721DCD"/>
    <w:rsid w:val="007224C9"/>
    <w:rsid w:val="00722734"/>
    <w:rsid w:val="00723862"/>
    <w:rsid w:val="00723B5C"/>
    <w:rsid w:val="00724047"/>
    <w:rsid w:val="00724588"/>
    <w:rsid w:val="0072475D"/>
    <w:rsid w:val="0072482C"/>
    <w:rsid w:val="00724995"/>
    <w:rsid w:val="00724B6D"/>
    <w:rsid w:val="00724DE7"/>
    <w:rsid w:val="00725BB6"/>
    <w:rsid w:val="007260B1"/>
    <w:rsid w:val="007261AB"/>
    <w:rsid w:val="00726DFA"/>
    <w:rsid w:val="00727512"/>
    <w:rsid w:val="0072767B"/>
    <w:rsid w:val="00730688"/>
    <w:rsid w:val="00730B6B"/>
    <w:rsid w:val="0073204F"/>
    <w:rsid w:val="00732F7F"/>
    <w:rsid w:val="00733041"/>
    <w:rsid w:val="0073328B"/>
    <w:rsid w:val="007336DD"/>
    <w:rsid w:val="00733841"/>
    <w:rsid w:val="00734063"/>
    <w:rsid w:val="00735882"/>
    <w:rsid w:val="00735E14"/>
    <w:rsid w:val="007366D6"/>
    <w:rsid w:val="0073715A"/>
    <w:rsid w:val="00737169"/>
    <w:rsid w:val="007375A4"/>
    <w:rsid w:val="00737F5F"/>
    <w:rsid w:val="00740564"/>
    <w:rsid w:val="00740EDA"/>
    <w:rsid w:val="00741714"/>
    <w:rsid w:val="00741C3F"/>
    <w:rsid w:val="0074205E"/>
    <w:rsid w:val="00743051"/>
    <w:rsid w:val="0074347C"/>
    <w:rsid w:val="007436A2"/>
    <w:rsid w:val="00743934"/>
    <w:rsid w:val="00743CE5"/>
    <w:rsid w:val="00744250"/>
    <w:rsid w:val="007447DC"/>
    <w:rsid w:val="00744B0D"/>
    <w:rsid w:val="00744B8D"/>
    <w:rsid w:val="00744C7C"/>
    <w:rsid w:val="00744CAC"/>
    <w:rsid w:val="0074516F"/>
    <w:rsid w:val="00745383"/>
    <w:rsid w:val="007455B7"/>
    <w:rsid w:val="00746326"/>
    <w:rsid w:val="00746450"/>
    <w:rsid w:val="00746531"/>
    <w:rsid w:val="007503C4"/>
    <w:rsid w:val="00750FA4"/>
    <w:rsid w:val="00751C87"/>
    <w:rsid w:val="00751CDB"/>
    <w:rsid w:val="00752062"/>
    <w:rsid w:val="007531D9"/>
    <w:rsid w:val="0075421F"/>
    <w:rsid w:val="00754737"/>
    <w:rsid w:val="00754C5E"/>
    <w:rsid w:val="00756477"/>
    <w:rsid w:val="00756C2B"/>
    <w:rsid w:val="00756F0E"/>
    <w:rsid w:val="00757140"/>
    <w:rsid w:val="007578FD"/>
    <w:rsid w:val="00757990"/>
    <w:rsid w:val="0076136D"/>
    <w:rsid w:val="007618A7"/>
    <w:rsid w:val="00761DAE"/>
    <w:rsid w:val="00762952"/>
    <w:rsid w:val="00762DA5"/>
    <w:rsid w:val="00763E6C"/>
    <w:rsid w:val="00763EDD"/>
    <w:rsid w:val="00765377"/>
    <w:rsid w:val="00765850"/>
    <w:rsid w:val="00765D50"/>
    <w:rsid w:val="007665C4"/>
    <w:rsid w:val="00767BB5"/>
    <w:rsid w:val="00771116"/>
    <w:rsid w:val="00771D31"/>
    <w:rsid w:val="00771E66"/>
    <w:rsid w:val="0077328B"/>
    <w:rsid w:val="007738C6"/>
    <w:rsid w:val="00773D57"/>
    <w:rsid w:val="007741A0"/>
    <w:rsid w:val="0077520D"/>
    <w:rsid w:val="007752AC"/>
    <w:rsid w:val="007757F4"/>
    <w:rsid w:val="00775B19"/>
    <w:rsid w:val="00775F9D"/>
    <w:rsid w:val="0077670B"/>
    <w:rsid w:val="007767DD"/>
    <w:rsid w:val="007774EA"/>
    <w:rsid w:val="007775A8"/>
    <w:rsid w:val="007777C4"/>
    <w:rsid w:val="0077783D"/>
    <w:rsid w:val="00777FC4"/>
    <w:rsid w:val="0078005B"/>
    <w:rsid w:val="00780350"/>
    <w:rsid w:val="0078103F"/>
    <w:rsid w:val="00781E93"/>
    <w:rsid w:val="00782566"/>
    <w:rsid w:val="00782873"/>
    <w:rsid w:val="007831DD"/>
    <w:rsid w:val="00783530"/>
    <w:rsid w:val="00783880"/>
    <w:rsid w:val="007852A9"/>
    <w:rsid w:val="00785DF3"/>
    <w:rsid w:val="00786646"/>
    <w:rsid w:val="00786C49"/>
    <w:rsid w:val="00787236"/>
    <w:rsid w:val="007872F6"/>
    <w:rsid w:val="00787727"/>
    <w:rsid w:val="00787A98"/>
    <w:rsid w:val="00787C39"/>
    <w:rsid w:val="0079082E"/>
    <w:rsid w:val="007912FF"/>
    <w:rsid w:val="007916DE"/>
    <w:rsid w:val="007918AD"/>
    <w:rsid w:val="00791B20"/>
    <w:rsid w:val="00791D53"/>
    <w:rsid w:val="00792A7F"/>
    <w:rsid w:val="00793698"/>
    <w:rsid w:val="00793A50"/>
    <w:rsid w:val="00793B21"/>
    <w:rsid w:val="0079434E"/>
    <w:rsid w:val="00794445"/>
    <w:rsid w:val="007947D7"/>
    <w:rsid w:val="007955DC"/>
    <w:rsid w:val="0079665D"/>
    <w:rsid w:val="00796AED"/>
    <w:rsid w:val="00797F2B"/>
    <w:rsid w:val="00797F39"/>
    <w:rsid w:val="007A0E2F"/>
    <w:rsid w:val="007A0E44"/>
    <w:rsid w:val="007A1378"/>
    <w:rsid w:val="007A26E9"/>
    <w:rsid w:val="007A2F26"/>
    <w:rsid w:val="007A3A65"/>
    <w:rsid w:val="007A402F"/>
    <w:rsid w:val="007A4444"/>
    <w:rsid w:val="007A4F3A"/>
    <w:rsid w:val="007A554C"/>
    <w:rsid w:val="007A5D42"/>
    <w:rsid w:val="007A5E9D"/>
    <w:rsid w:val="007A5F54"/>
    <w:rsid w:val="007A5FEE"/>
    <w:rsid w:val="007A61FB"/>
    <w:rsid w:val="007A6503"/>
    <w:rsid w:val="007A74E8"/>
    <w:rsid w:val="007B0459"/>
    <w:rsid w:val="007B0EF7"/>
    <w:rsid w:val="007B100A"/>
    <w:rsid w:val="007B2174"/>
    <w:rsid w:val="007B226B"/>
    <w:rsid w:val="007B2F71"/>
    <w:rsid w:val="007B336B"/>
    <w:rsid w:val="007B3403"/>
    <w:rsid w:val="007B382D"/>
    <w:rsid w:val="007B3E70"/>
    <w:rsid w:val="007B41BD"/>
    <w:rsid w:val="007B433C"/>
    <w:rsid w:val="007B4494"/>
    <w:rsid w:val="007B4B2C"/>
    <w:rsid w:val="007B5969"/>
    <w:rsid w:val="007B6EA6"/>
    <w:rsid w:val="007B7D30"/>
    <w:rsid w:val="007B7E42"/>
    <w:rsid w:val="007C0E02"/>
    <w:rsid w:val="007C190B"/>
    <w:rsid w:val="007C2553"/>
    <w:rsid w:val="007C2FC0"/>
    <w:rsid w:val="007C3983"/>
    <w:rsid w:val="007C4192"/>
    <w:rsid w:val="007C4480"/>
    <w:rsid w:val="007C461B"/>
    <w:rsid w:val="007C5537"/>
    <w:rsid w:val="007C5B2D"/>
    <w:rsid w:val="007C5D87"/>
    <w:rsid w:val="007C6342"/>
    <w:rsid w:val="007C65F5"/>
    <w:rsid w:val="007C664E"/>
    <w:rsid w:val="007C6DF2"/>
    <w:rsid w:val="007C7E3D"/>
    <w:rsid w:val="007D033C"/>
    <w:rsid w:val="007D0585"/>
    <w:rsid w:val="007D08E7"/>
    <w:rsid w:val="007D0939"/>
    <w:rsid w:val="007D31EE"/>
    <w:rsid w:val="007D3A35"/>
    <w:rsid w:val="007D4482"/>
    <w:rsid w:val="007D48F4"/>
    <w:rsid w:val="007D4961"/>
    <w:rsid w:val="007D53F6"/>
    <w:rsid w:val="007D5ADD"/>
    <w:rsid w:val="007D602B"/>
    <w:rsid w:val="007D631E"/>
    <w:rsid w:val="007D641C"/>
    <w:rsid w:val="007D6615"/>
    <w:rsid w:val="007D6C8E"/>
    <w:rsid w:val="007D6FED"/>
    <w:rsid w:val="007D73BD"/>
    <w:rsid w:val="007D7847"/>
    <w:rsid w:val="007D7AAE"/>
    <w:rsid w:val="007D7C15"/>
    <w:rsid w:val="007E038E"/>
    <w:rsid w:val="007E07F7"/>
    <w:rsid w:val="007E16E5"/>
    <w:rsid w:val="007E1BD0"/>
    <w:rsid w:val="007E2082"/>
    <w:rsid w:val="007E2F1C"/>
    <w:rsid w:val="007E37D1"/>
    <w:rsid w:val="007E39BB"/>
    <w:rsid w:val="007E3E2E"/>
    <w:rsid w:val="007E45D4"/>
    <w:rsid w:val="007E5FDE"/>
    <w:rsid w:val="007E638A"/>
    <w:rsid w:val="007E6968"/>
    <w:rsid w:val="007E6F5D"/>
    <w:rsid w:val="007E766F"/>
    <w:rsid w:val="007F04B2"/>
    <w:rsid w:val="007F0E64"/>
    <w:rsid w:val="007F0FC0"/>
    <w:rsid w:val="007F14DD"/>
    <w:rsid w:val="007F1E54"/>
    <w:rsid w:val="007F22F6"/>
    <w:rsid w:val="007F3676"/>
    <w:rsid w:val="007F37BB"/>
    <w:rsid w:val="007F54DE"/>
    <w:rsid w:val="007F6042"/>
    <w:rsid w:val="007F641C"/>
    <w:rsid w:val="007F7778"/>
    <w:rsid w:val="007F78F0"/>
    <w:rsid w:val="007F7EBE"/>
    <w:rsid w:val="008009EF"/>
    <w:rsid w:val="00800BAE"/>
    <w:rsid w:val="008011B5"/>
    <w:rsid w:val="00802110"/>
    <w:rsid w:val="008029C9"/>
    <w:rsid w:val="00802E1F"/>
    <w:rsid w:val="00802F21"/>
    <w:rsid w:val="00802F78"/>
    <w:rsid w:val="00803271"/>
    <w:rsid w:val="00803B0A"/>
    <w:rsid w:val="00803C4A"/>
    <w:rsid w:val="0080500C"/>
    <w:rsid w:val="00805037"/>
    <w:rsid w:val="0080505B"/>
    <w:rsid w:val="00805068"/>
    <w:rsid w:val="00805760"/>
    <w:rsid w:val="00806003"/>
    <w:rsid w:val="00806019"/>
    <w:rsid w:val="0080672A"/>
    <w:rsid w:val="008101B1"/>
    <w:rsid w:val="0081076A"/>
    <w:rsid w:val="00810961"/>
    <w:rsid w:val="0081104F"/>
    <w:rsid w:val="0081160C"/>
    <w:rsid w:val="00812D2D"/>
    <w:rsid w:val="00812D44"/>
    <w:rsid w:val="00813C36"/>
    <w:rsid w:val="00813CE3"/>
    <w:rsid w:val="0081416B"/>
    <w:rsid w:val="00814378"/>
    <w:rsid w:val="0081442E"/>
    <w:rsid w:val="00814A13"/>
    <w:rsid w:val="00814C19"/>
    <w:rsid w:val="00814D58"/>
    <w:rsid w:val="008150F1"/>
    <w:rsid w:val="00815155"/>
    <w:rsid w:val="008155EB"/>
    <w:rsid w:val="00815AD2"/>
    <w:rsid w:val="00815FF1"/>
    <w:rsid w:val="00816600"/>
    <w:rsid w:val="008166FA"/>
    <w:rsid w:val="0081692E"/>
    <w:rsid w:val="008173E2"/>
    <w:rsid w:val="00817685"/>
    <w:rsid w:val="00817D7D"/>
    <w:rsid w:val="008211DA"/>
    <w:rsid w:val="008213CE"/>
    <w:rsid w:val="008213E7"/>
    <w:rsid w:val="00821C02"/>
    <w:rsid w:val="008231FE"/>
    <w:rsid w:val="00824559"/>
    <w:rsid w:val="00824733"/>
    <w:rsid w:val="0082480B"/>
    <w:rsid w:val="00824CBE"/>
    <w:rsid w:val="008252E3"/>
    <w:rsid w:val="0082624C"/>
    <w:rsid w:val="00826E60"/>
    <w:rsid w:val="00827A58"/>
    <w:rsid w:val="00830105"/>
    <w:rsid w:val="008307F3"/>
    <w:rsid w:val="00830E6D"/>
    <w:rsid w:val="008319E8"/>
    <w:rsid w:val="008326C8"/>
    <w:rsid w:val="00832CA5"/>
    <w:rsid w:val="0083342A"/>
    <w:rsid w:val="008338FF"/>
    <w:rsid w:val="00834207"/>
    <w:rsid w:val="00834313"/>
    <w:rsid w:val="008354C8"/>
    <w:rsid w:val="008358F8"/>
    <w:rsid w:val="008360DE"/>
    <w:rsid w:val="008369DC"/>
    <w:rsid w:val="00837441"/>
    <w:rsid w:val="00840215"/>
    <w:rsid w:val="00840622"/>
    <w:rsid w:val="00840BAF"/>
    <w:rsid w:val="00841236"/>
    <w:rsid w:val="00841F8F"/>
    <w:rsid w:val="008425F8"/>
    <w:rsid w:val="00842A2F"/>
    <w:rsid w:val="008444DB"/>
    <w:rsid w:val="00844959"/>
    <w:rsid w:val="00844B67"/>
    <w:rsid w:val="00845345"/>
    <w:rsid w:val="008454E1"/>
    <w:rsid w:val="00845B24"/>
    <w:rsid w:val="00846087"/>
    <w:rsid w:val="008475FC"/>
    <w:rsid w:val="00847A5F"/>
    <w:rsid w:val="00847C99"/>
    <w:rsid w:val="00850CBC"/>
    <w:rsid w:val="00850E25"/>
    <w:rsid w:val="008518C0"/>
    <w:rsid w:val="00852917"/>
    <w:rsid w:val="008530BB"/>
    <w:rsid w:val="008537CB"/>
    <w:rsid w:val="0085396B"/>
    <w:rsid w:val="0085396C"/>
    <w:rsid w:val="00853CC4"/>
    <w:rsid w:val="00853D23"/>
    <w:rsid w:val="00854F8C"/>
    <w:rsid w:val="00855572"/>
    <w:rsid w:val="00855AE7"/>
    <w:rsid w:val="00856566"/>
    <w:rsid w:val="00856C2C"/>
    <w:rsid w:val="00856D8F"/>
    <w:rsid w:val="008574FD"/>
    <w:rsid w:val="0086146A"/>
    <w:rsid w:val="008619C3"/>
    <w:rsid w:val="00862362"/>
    <w:rsid w:val="00862D58"/>
    <w:rsid w:val="00863CD3"/>
    <w:rsid w:val="008648B4"/>
    <w:rsid w:val="00864AD8"/>
    <w:rsid w:val="00864EE8"/>
    <w:rsid w:val="0086541A"/>
    <w:rsid w:val="008658B1"/>
    <w:rsid w:val="00865E7E"/>
    <w:rsid w:val="00865EA7"/>
    <w:rsid w:val="008667FF"/>
    <w:rsid w:val="00866CE5"/>
    <w:rsid w:val="00867562"/>
    <w:rsid w:val="008677C6"/>
    <w:rsid w:val="00867928"/>
    <w:rsid w:val="008707E7"/>
    <w:rsid w:val="008708E1"/>
    <w:rsid w:val="008711FD"/>
    <w:rsid w:val="008712EE"/>
    <w:rsid w:val="0087154B"/>
    <w:rsid w:val="00871582"/>
    <w:rsid w:val="00872CCA"/>
    <w:rsid w:val="00873636"/>
    <w:rsid w:val="0087367C"/>
    <w:rsid w:val="00874532"/>
    <w:rsid w:val="008746BD"/>
    <w:rsid w:val="00874A50"/>
    <w:rsid w:val="00874CED"/>
    <w:rsid w:val="00874FC5"/>
    <w:rsid w:val="00875ECE"/>
    <w:rsid w:val="00876003"/>
    <w:rsid w:val="00876115"/>
    <w:rsid w:val="0087685B"/>
    <w:rsid w:val="00876DDE"/>
    <w:rsid w:val="00877F44"/>
    <w:rsid w:val="0088016D"/>
    <w:rsid w:val="00880D64"/>
    <w:rsid w:val="00880E54"/>
    <w:rsid w:val="008810D2"/>
    <w:rsid w:val="00881203"/>
    <w:rsid w:val="0088202F"/>
    <w:rsid w:val="00882048"/>
    <w:rsid w:val="00882D97"/>
    <w:rsid w:val="0088322B"/>
    <w:rsid w:val="00883277"/>
    <w:rsid w:val="008834E4"/>
    <w:rsid w:val="008837E7"/>
    <w:rsid w:val="00883A1D"/>
    <w:rsid w:val="00883F32"/>
    <w:rsid w:val="0088429E"/>
    <w:rsid w:val="008844B9"/>
    <w:rsid w:val="008847AB"/>
    <w:rsid w:val="008847B5"/>
    <w:rsid w:val="00884D33"/>
    <w:rsid w:val="008863D1"/>
    <w:rsid w:val="00886427"/>
    <w:rsid w:val="00890C39"/>
    <w:rsid w:val="00891085"/>
    <w:rsid w:val="00891884"/>
    <w:rsid w:val="00891E2E"/>
    <w:rsid w:val="00892057"/>
    <w:rsid w:val="0089256E"/>
    <w:rsid w:val="0089298E"/>
    <w:rsid w:val="00892F75"/>
    <w:rsid w:val="0089304F"/>
    <w:rsid w:val="0089315A"/>
    <w:rsid w:val="0089323D"/>
    <w:rsid w:val="00893A07"/>
    <w:rsid w:val="00893E4A"/>
    <w:rsid w:val="00894D89"/>
    <w:rsid w:val="00894D8C"/>
    <w:rsid w:val="0089509C"/>
    <w:rsid w:val="0089557C"/>
    <w:rsid w:val="0089599E"/>
    <w:rsid w:val="00895EFA"/>
    <w:rsid w:val="00896080"/>
    <w:rsid w:val="00896998"/>
    <w:rsid w:val="00896C71"/>
    <w:rsid w:val="0089714E"/>
    <w:rsid w:val="00897353"/>
    <w:rsid w:val="00897AC4"/>
    <w:rsid w:val="00897FA5"/>
    <w:rsid w:val="008A0073"/>
    <w:rsid w:val="008A0163"/>
    <w:rsid w:val="008A1723"/>
    <w:rsid w:val="008A1DA1"/>
    <w:rsid w:val="008A201D"/>
    <w:rsid w:val="008A2D5E"/>
    <w:rsid w:val="008A372F"/>
    <w:rsid w:val="008A43ED"/>
    <w:rsid w:val="008A43F4"/>
    <w:rsid w:val="008A4468"/>
    <w:rsid w:val="008A4716"/>
    <w:rsid w:val="008A4AE6"/>
    <w:rsid w:val="008A4EE3"/>
    <w:rsid w:val="008A5176"/>
    <w:rsid w:val="008A5186"/>
    <w:rsid w:val="008A5BF5"/>
    <w:rsid w:val="008A6285"/>
    <w:rsid w:val="008A653A"/>
    <w:rsid w:val="008A67F6"/>
    <w:rsid w:val="008A6C9D"/>
    <w:rsid w:val="008A7D55"/>
    <w:rsid w:val="008B0855"/>
    <w:rsid w:val="008B0D26"/>
    <w:rsid w:val="008B0EF2"/>
    <w:rsid w:val="008B17DD"/>
    <w:rsid w:val="008B1871"/>
    <w:rsid w:val="008B1CAD"/>
    <w:rsid w:val="008B2C4B"/>
    <w:rsid w:val="008B3D97"/>
    <w:rsid w:val="008B46C4"/>
    <w:rsid w:val="008B5238"/>
    <w:rsid w:val="008B5B95"/>
    <w:rsid w:val="008B5BC6"/>
    <w:rsid w:val="008B5BD9"/>
    <w:rsid w:val="008B71CA"/>
    <w:rsid w:val="008B7CB9"/>
    <w:rsid w:val="008C0B5A"/>
    <w:rsid w:val="008C0D1A"/>
    <w:rsid w:val="008C0D95"/>
    <w:rsid w:val="008C0F9E"/>
    <w:rsid w:val="008C1ACC"/>
    <w:rsid w:val="008C1B47"/>
    <w:rsid w:val="008C1BD6"/>
    <w:rsid w:val="008C2783"/>
    <w:rsid w:val="008C2CF0"/>
    <w:rsid w:val="008C3357"/>
    <w:rsid w:val="008C3446"/>
    <w:rsid w:val="008C35B2"/>
    <w:rsid w:val="008C4870"/>
    <w:rsid w:val="008C4EFA"/>
    <w:rsid w:val="008C5213"/>
    <w:rsid w:val="008C53AF"/>
    <w:rsid w:val="008C5A06"/>
    <w:rsid w:val="008C5B77"/>
    <w:rsid w:val="008C5D18"/>
    <w:rsid w:val="008C5ED9"/>
    <w:rsid w:val="008C606A"/>
    <w:rsid w:val="008C6104"/>
    <w:rsid w:val="008C671A"/>
    <w:rsid w:val="008C767F"/>
    <w:rsid w:val="008C7EBC"/>
    <w:rsid w:val="008D02CF"/>
    <w:rsid w:val="008D0EBB"/>
    <w:rsid w:val="008D14CB"/>
    <w:rsid w:val="008D14EA"/>
    <w:rsid w:val="008D1C11"/>
    <w:rsid w:val="008D333B"/>
    <w:rsid w:val="008D34A0"/>
    <w:rsid w:val="008D38A9"/>
    <w:rsid w:val="008D3D6E"/>
    <w:rsid w:val="008D4196"/>
    <w:rsid w:val="008D4553"/>
    <w:rsid w:val="008D49A4"/>
    <w:rsid w:val="008D5750"/>
    <w:rsid w:val="008D5C22"/>
    <w:rsid w:val="008D5E0C"/>
    <w:rsid w:val="008D6345"/>
    <w:rsid w:val="008D670E"/>
    <w:rsid w:val="008D6923"/>
    <w:rsid w:val="008D6ED7"/>
    <w:rsid w:val="008D7589"/>
    <w:rsid w:val="008D7CB9"/>
    <w:rsid w:val="008E01F8"/>
    <w:rsid w:val="008E1FAD"/>
    <w:rsid w:val="008E20CD"/>
    <w:rsid w:val="008E3B3C"/>
    <w:rsid w:val="008E3DDC"/>
    <w:rsid w:val="008E3F2B"/>
    <w:rsid w:val="008E458E"/>
    <w:rsid w:val="008E4932"/>
    <w:rsid w:val="008E4CBB"/>
    <w:rsid w:val="008E4CF7"/>
    <w:rsid w:val="008E57EB"/>
    <w:rsid w:val="008E6504"/>
    <w:rsid w:val="008E6D03"/>
    <w:rsid w:val="008E72F5"/>
    <w:rsid w:val="008E77A2"/>
    <w:rsid w:val="008F0717"/>
    <w:rsid w:val="008F248F"/>
    <w:rsid w:val="008F2DB9"/>
    <w:rsid w:val="008F2FC9"/>
    <w:rsid w:val="008F307F"/>
    <w:rsid w:val="008F32AD"/>
    <w:rsid w:val="008F39AD"/>
    <w:rsid w:val="008F4594"/>
    <w:rsid w:val="008F4C10"/>
    <w:rsid w:val="008F4DBC"/>
    <w:rsid w:val="008F5DAF"/>
    <w:rsid w:val="008F5DF8"/>
    <w:rsid w:val="008F629D"/>
    <w:rsid w:val="008F6425"/>
    <w:rsid w:val="008F6795"/>
    <w:rsid w:val="008F7468"/>
    <w:rsid w:val="00900347"/>
    <w:rsid w:val="0090069E"/>
    <w:rsid w:val="00900C3E"/>
    <w:rsid w:val="00901BFC"/>
    <w:rsid w:val="00901E06"/>
    <w:rsid w:val="00901E1D"/>
    <w:rsid w:val="009025EC"/>
    <w:rsid w:val="00903FF1"/>
    <w:rsid w:val="00904172"/>
    <w:rsid w:val="00904BDA"/>
    <w:rsid w:val="00904F92"/>
    <w:rsid w:val="0090565B"/>
    <w:rsid w:val="00905E6A"/>
    <w:rsid w:val="00906959"/>
    <w:rsid w:val="00906CDF"/>
    <w:rsid w:val="0090706F"/>
    <w:rsid w:val="0090778D"/>
    <w:rsid w:val="00907DB0"/>
    <w:rsid w:val="00910622"/>
    <w:rsid w:val="00910898"/>
    <w:rsid w:val="0091092D"/>
    <w:rsid w:val="009111BF"/>
    <w:rsid w:val="0091192F"/>
    <w:rsid w:val="009126C8"/>
    <w:rsid w:val="00913287"/>
    <w:rsid w:val="0091368A"/>
    <w:rsid w:val="009137C5"/>
    <w:rsid w:val="00913B5E"/>
    <w:rsid w:val="00913E5F"/>
    <w:rsid w:val="0091468E"/>
    <w:rsid w:val="009158F1"/>
    <w:rsid w:val="00916645"/>
    <w:rsid w:val="00916FC1"/>
    <w:rsid w:val="00917707"/>
    <w:rsid w:val="009204A0"/>
    <w:rsid w:val="009216E2"/>
    <w:rsid w:val="009217A3"/>
    <w:rsid w:val="00921B0C"/>
    <w:rsid w:val="00922648"/>
    <w:rsid w:val="009232C0"/>
    <w:rsid w:val="009237B4"/>
    <w:rsid w:val="00923CB5"/>
    <w:rsid w:val="00924DA6"/>
    <w:rsid w:val="009257C8"/>
    <w:rsid w:val="00925A24"/>
    <w:rsid w:val="00926274"/>
    <w:rsid w:val="00926528"/>
    <w:rsid w:val="009301D6"/>
    <w:rsid w:val="00930378"/>
    <w:rsid w:val="00930EC1"/>
    <w:rsid w:val="00930F71"/>
    <w:rsid w:val="00931426"/>
    <w:rsid w:val="009337F3"/>
    <w:rsid w:val="00933B46"/>
    <w:rsid w:val="00934392"/>
    <w:rsid w:val="00934516"/>
    <w:rsid w:val="00934D2C"/>
    <w:rsid w:val="009351FD"/>
    <w:rsid w:val="009362B6"/>
    <w:rsid w:val="0093633C"/>
    <w:rsid w:val="0093651C"/>
    <w:rsid w:val="009367B1"/>
    <w:rsid w:val="0093695D"/>
    <w:rsid w:val="009373C0"/>
    <w:rsid w:val="00940201"/>
    <w:rsid w:val="009409B6"/>
    <w:rsid w:val="00940AB0"/>
    <w:rsid w:val="009414DC"/>
    <w:rsid w:val="00942C25"/>
    <w:rsid w:val="0094361C"/>
    <w:rsid w:val="00943769"/>
    <w:rsid w:val="00943C5E"/>
    <w:rsid w:val="00943EC2"/>
    <w:rsid w:val="00945233"/>
    <w:rsid w:val="00945A1D"/>
    <w:rsid w:val="009461E4"/>
    <w:rsid w:val="009462D4"/>
    <w:rsid w:val="009464F3"/>
    <w:rsid w:val="00946892"/>
    <w:rsid w:val="00946AB3"/>
    <w:rsid w:val="0094710B"/>
    <w:rsid w:val="0094745B"/>
    <w:rsid w:val="009476AC"/>
    <w:rsid w:val="00947E4C"/>
    <w:rsid w:val="00950624"/>
    <w:rsid w:val="009507EA"/>
    <w:rsid w:val="00951E73"/>
    <w:rsid w:val="009520B0"/>
    <w:rsid w:val="009524A5"/>
    <w:rsid w:val="00952543"/>
    <w:rsid w:val="009527AE"/>
    <w:rsid w:val="00952935"/>
    <w:rsid w:val="00953339"/>
    <w:rsid w:val="009536F1"/>
    <w:rsid w:val="009547A5"/>
    <w:rsid w:val="00954C96"/>
    <w:rsid w:val="009550C7"/>
    <w:rsid w:val="00955295"/>
    <w:rsid w:val="00956226"/>
    <w:rsid w:val="00957142"/>
    <w:rsid w:val="00957953"/>
    <w:rsid w:val="009579E3"/>
    <w:rsid w:val="0096085D"/>
    <w:rsid w:val="00960A15"/>
    <w:rsid w:val="00960B5C"/>
    <w:rsid w:val="00960DA7"/>
    <w:rsid w:val="009612C3"/>
    <w:rsid w:val="0096161E"/>
    <w:rsid w:val="0096164F"/>
    <w:rsid w:val="00961EE2"/>
    <w:rsid w:val="00962E7A"/>
    <w:rsid w:val="00962EAC"/>
    <w:rsid w:val="0096380D"/>
    <w:rsid w:val="009646FB"/>
    <w:rsid w:val="00964CE0"/>
    <w:rsid w:val="009668E1"/>
    <w:rsid w:val="00966C0D"/>
    <w:rsid w:val="00966FE6"/>
    <w:rsid w:val="009672ED"/>
    <w:rsid w:val="009673E9"/>
    <w:rsid w:val="00967B81"/>
    <w:rsid w:val="00972864"/>
    <w:rsid w:val="00972D91"/>
    <w:rsid w:val="00972EA8"/>
    <w:rsid w:val="009730EB"/>
    <w:rsid w:val="00973AA0"/>
    <w:rsid w:val="00973B6C"/>
    <w:rsid w:val="00973F1C"/>
    <w:rsid w:val="009749C5"/>
    <w:rsid w:val="0097622C"/>
    <w:rsid w:val="00976BBE"/>
    <w:rsid w:val="00976C09"/>
    <w:rsid w:val="00976E75"/>
    <w:rsid w:val="009774AF"/>
    <w:rsid w:val="00977501"/>
    <w:rsid w:val="00977674"/>
    <w:rsid w:val="00977D51"/>
    <w:rsid w:val="0098143C"/>
    <w:rsid w:val="0098242C"/>
    <w:rsid w:val="0098316A"/>
    <w:rsid w:val="009832A7"/>
    <w:rsid w:val="009838D0"/>
    <w:rsid w:val="00983B95"/>
    <w:rsid w:val="009852C6"/>
    <w:rsid w:val="00985AF8"/>
    <w:rsid w:val="00987D72"/>
    <w:rsid w:val="009900AB"/>
    <w:rsid w:val="00990381"/>
    <w:rsid w:val="009908A3"/>
    <w:rsid w:val="009945D8"/>
    <w:rsid w:val="00994AF2"/>
    <w:rsid w:val="00995D64"/>
    <w:rsid w:val="00996F71"/>
    <w:rsid w:val="0099740F"/>
    <w:rsid w:val="0099746C"/>
    <w:rsid w:val="0099795E"/>
    <w:rsid w:val="009A0688"/>
    <w:rsid w:val="009A13AA"/>
    <w:rsid w:val="009A2A5E"/>
    <w:rsid w:val="009A2B48"/>
    <w:rsid w:val="009A2EB5"/>
    <w:rsid w:val="009A2FDA"/>
    <w:rsid w:val="009A3463"/>
    <w:rsid w:val="009A4266"/>
    <w:rsid w:val="009A4794"/>
    <w:rsid w:val="009A4A70"/>
    <w:rsid w:val="009A4E12"/>
    <w:rsid w:val="009A4EE9"/>
    <w:rsid w:val="009A508C"/>
    <w:rsid w:val="009A50EA"/>
    <w:rsid w:val="009A5596"/>
    <w:rsid w:val="009A5744"/>
    <w:rsid w:val="009A59E9"/>
    <w:rsid w:val="009A5AC8"/>
    <w:rsid w:val="009A73B4"/>
    <w:rsid w:val="009A7822"/>
    <w:rsid w:val="009A7948"/>
    <w:rsid w:val="009B08E7"/>
    <w:rsid w:val="009B0B41"/>
    <w:rsid w:val="009B1461"/>
    <w:rsid w:val="009B14FD"/>
    <w:rsid w:val="009B1A3F"/>
    <w:rsid w:val="009B29E6"/>
    <w:rsid w:val="009B2BB0"/>
    <w:rsid w:val="009B5A49"/>
    <w:rsid w:val="009B5BBF"/>
    <w:rsid w:val="009B6633"/>
    <w:rsid w:val="009C026F"/>
    <w:rsid w:val="009C099B"/>
    <w:rsid w:val="009C0AB8"/>
    <w:rsid w:val="009C0D94"/>
    <w:rsid w:val="009C0EEF"/>
    <w:rsid w:val="009C150F"/>
    <w:rsid w:val="009C1D90"/>
    <w:rsid w:val="009C202F"/>
    <w:rsid w:val="009C21B5"/>
    <w:rsid w:val="009C24A8"/>
    <w:rsid w:val="009C273C"/>
    <w:rsid w:val="009C2CCF"/>
    <w:rsid w:val="009C3A03"/>
    <w:rsid w:val="009C4C14"/>
    <w:rsid w:val="009C540D"/>
    <w:rsid w:val="009C5B56"/>
    <w:rsid w:val="009C6041"/>
    <w:rsid w:val="009C624C"/>
    <w:rsid w:val="009C6302"/>
    <w:rsid w:val="009C654B"/>
    <w:rsid w:val="009C7171"/>
    <w:rsid w:val="009C76FC"/>
    <w:rsid w:val="009C7D3F"/>
    <w:rsid w:val="009D012F"/>
    <w:rsid w:val="009D09C4"/>
    <w:rsid w:val="009D0B33"/>
    <w:rsid w:val="009D13D9"/>
    <w:rsid w:val="009D16FA"/>
    <w:rsid w:val="009D1701"/>
    <w:rsid w:val="009D220F"/>
    <w:rsid w:val="009D2797"/>
    <w:rsid w:val="009D2A6B"/>
    <w:rsid w:val="009D2AD6"/>
    <w:rsid w:val="009D2BDA"/>
    <w:rsid w:val="009D2D05"/>
    <w:rsid w:val="009D31AB"/>
    <w:rsid w:val="009D392B"/>
    <w:rsid w:val="009D39D5"/>
    <w:rsid w:val="009D39FB"/>
    <w:rsid w:val="009D3A76"/>
    <w:rsid w:val="009D40FF"/>
    <w:rsid w:val="009D423D"/>
    <w:rsid w:val="009D4369"/>
    <w:rsid w:val="009D4833"/>
    <w:rsid w:val="009D55BA"/>
    <w:rsid w:val="009D5715"/>
    <w:rsid w:val="009D5C51"/>
    <w:rsid w:val="009D6611"/>
    <w:rsid w:val="009D71D6"/>
    <w:rsid w:val="009D765E"/>
    <w:rsid w:val="009D795E"/>
    <w:rsid w:val="009D7FA7"/>
    <w:rsid w:val="009D7FC4"/>
    <w:rsid w:val="009E0952"/>
    <w:rsid w:val="009E0E2E"/>
    <w:rsid w:val="009E0E3B"/>
    <w:rsid w:val="009E1DD5"/>
    <w:rsid w:val="009E20B2"/>
    <w:rsid w:val="009E279F"/>
    <w:rsid w:val="009E28BD"/>
    <w:rsid w:val="009E2CC7"/>
    <w:rsid w:val="009E2F45"/>
    <w:rsid w:val="009E34F6"/>
    <w:rsid w:val="009E4B98"/>
    <w:rsid w:val="009E4BE8"/>
    <w:rsid w:val="009E521D"/>
    <w:rsid w:val="009E7CA4"/>
    <w:rsid w:val="009E7FFA"/>
    <w:rsid w:val="009F0522"/>
    <w:rsid w:val="009F2A2B"/>
    <w:rsid w:val="009F2DFF"/>
    <w:rsid w:val="009F3023"/>
    <w:rsid w:val="009F37E1"/>
    <w:rsid w:val="009F3914"/>
    <w:rsid w:val="009F430B"/>
    <w:rsid w:val="009F4326"/>
    <w:rsid w:val="009F44A3"/>
    <w:rsid w:val="009F4637"/>
    <w:rsid w:val="009F53A4"/>
    <w:rsid w:val="009F5D5A"/>
    <w:rsid w:val="009F605A"/>
    <w:rsid w:val="009F66FC"/>
    <w:rsid w:val="009F7330"/>
    <w:rsid w:val="009F791E"/>
    <w:rsid w:val="009F7B1D"/>
    <w:rsid w:val="00A000FF"/>
    <w:rsid w:val="00A00200"/>
    <w:rsid w:val="00A0068E"/>
    <w:rsid w:val="00A01948"/>
    <w:rsid w:val="00A04DAC"/>
    <w:rsid w:val="00A05334"/>
    <w:rsid w:val="00A061B0"/>
    <w:rsid w:val="00A06B38"/>
    <w:rsid w:val="00A07A4C"/>
    <w:rsid w:val="00A07ECB"/>
    <w:rsid w:val="00A07EF4"/>
    <w:rsid w:val="00A07FCA"/>
    <w:rsid w:val="00A10A16"/>
    <w:rsid w:val="00A113A1"/>
    <w:rsid w:val="00A117CE"/>
    <w:rsid w:val="00A11C81"/>
    <w:rsid w:val="00A12038"/>
    <w:rsid w:val="00A12343"/>
    <w:rsid w:val="00A1287B"/>
    <w:rsid w:val="00A12A13"/>
    <w:rsid w:val="00A146A7"/>
    <w:rsid w:val="00A14A3A"/>
    <w:rsid w:val="00A14FDC"/>
    <w:rsid w:val="00A151C6"/>
    <w:rsid w:val="00A1537A"/>
    <w:rsid w:val="00A15475"/>
    <w:rsid w:val="00A155B4"/>
    <w:rsid w:val="00A15936"/>
    <w:rsid w:val="00A15E4E"/>
    <w:rsid w:val="00A1688C"/>
    <w:rsid w:val="00A175CE"/>
    <w:rsid w:val="00A17BCF"/>
    <w:rsid w:val="00A17DAB"/>
    <w:rsid w:val="00A20DF6"/>
    <w:rsid w:val="00A20EEE"/>
    <w:rsid w:val="00A21A6C"/>
    <w:rsid w:val="00A22F8B"/>
    <w:rsid w:val="00A230A8"/>
    <w:rsid w:val="00A238AD"/>
    <w:rsid w:val="00A23D0F"/>
    <w:rsid w:val="00A2413E"/>
    <w:rsid w:val="00A24744"/>
    <w:rsid w:val="00A247AB"/>
    <w:rsid w:val="00A24A31"/>
    <w:rsid w:val="00A24EDC"/>
    <w:rsid w:val="00A24FE7"/>
    <w:rsid w:val="00A252BD"/>
    <w:rsid w:val="00A256BA"/>
    <w:rsid w:val="00A261C4"/>
    <w:rsid w:val="00A2662E"/>
    <w:rsid w:val="00A26AA7"/>
    <w:rsid w:val="00A271D9"/>
    <w:rsid w:val="00A275C2"/>
    <w:rsid w:val="00A3000B"/>
    <w:rsid w:val="00A3010E"/>
    <w:rsid w:val="00A307F2"/>
    <w:rsid w:val="00A31549"/>
    <w:rsid w:val="00A31CCA"/>
    <w:rsid w:val="00A31E4B"/>
    <w:rsid w:val="00A32116"/>
    <w:rsid w:val="00A3216E"/>
    <w:rsid w:val="00A321C6"/>
    <w:rsid w:val="00A3345D"/>
    <w:rsid w:val="00A34184"/>
    <w:rsid w:val="00A34F17"/>
    <w:rsid w:val="00A35C16"/>
    <w:rsid w:val="00A3798D"/>
    <w:rsid w:val="00A37C67"/>
    <w:rsid w:val="00A40347"/>
    <w:rsid w:val="00A404DC"/>
    <w:rsid w:val="00A40793"/>
    <w:rsid w:val="00A40EEF"/>
    <w:rsid w:val="00A41C08"/>
    <w:rsid w:val="00A41EB4"/>
    <w:rsid w:val="00A420E2"/>
    <w:rsid w:val="00A427BE"/>
    <w:rsid w:val="00A4310F"/>
    <w:rsid w:val="00A43220"/>
    <w:rsid w:val="00A43309"/>
    <w:rsid w:val="00A459BD"/>
    <w:rsid w:val="00A463EC"/>
    <w:rsid w:val="00A46AE5"/>
    <w:rsid w:val="00A47BD7"/>
    <w:rsid w:val="00A47C99"/>
    <w:rsid w:val="00A505FE"/>
    <w:rsid w:val="00A50B80"/>
    <w:rsid w:val="00A52450"/>
    <w:rsid w:val="00A52A13"/>
    <w:rsid w:val="00A53168"/>
    <w:rsid w:val="00A533EB"/>
    <w:rsid w:val="00A5372B"/>
    <w:rsid w:val="00A53D13"/>
    <w:rsid w:val="00A55425"/>
    <w:rsid w:val="00A56795"/>
    <w:rsid w:val="00A56F71"/>
    <w:rsid w:val="00A611D0"/>
    <w:rsid w:val="00A61486"/>
    <w:rsid w:val="00A61A04"/>
    <w:rsid w:val="00A61E85"/>
    <w:rsid w:val="00A62447"/>
    <w:rsid w:val="00A624E5"/>
    <w:rsid w:val="00A62534"/>
    <w:rsid w:val="00A636BD"/>
    <w:rsid w:val="00A64E94"/>
    <w:rsid w:val="00A65C8E"/>
    <w:rsid w:val="00A66419"/>
    <w:rsid w:val="00A67AB0"/>
    <w:rsid w:val="00A67B3D"/>
    <w:rsid w:val="00A70396"/>
    <w:rsid w:val="00A712F0"/>
    <w:rsid w:val="00A7157A"/>
    <w:rsid w:val="00A718B6"/>
    <w:rsid w:val="00A721D4"/>
    <w:rsid w:val="00A725E2"/>
    <w:rsid w:val="00A740A7"/>
    <w:rsid w:val="00A74FA8"/>
    <w:rsid w:val="00A75258"/>
    <w:rsid w:val="00A76131"/>
    <w:rsid w:val="00A76700"/>
    <w:rsid w:val="00A76FAD"/>
    <w:rsid w:val="00A77410"/>
    <w:rsid w:val="00A80694"/>
    <w:rsid w:val="00A80DF6"/>
    <w:rsid w:val="00A81257"/>
    <w:rsid w:val="00A81485"/>
    <w:rsid w:val="00A81FCC"/>
    <w:rsid w:val="00A82591"/>
    <w:rsid w:val="00A84214"/>
    <w:rsid w:val="00A850FE"/>
    <w:rsid w:val="00A85B39"/>
    <w:rsid w:val="00A86E69"/>
    <w:rsid w:val="00A86EE3"/>
    <w:rsid w:val="00A87914"/>
    <w:rsid w:val="00A87D12"/>
    <w:rsid w:val="00A90B54"/>
    <w:rsid w:val="00A911E9"/>
    <w:rsid w:val="00A913FC"/>
    <w:rsid w:val="00A91BA2"/>
    <w:rsid w:val="00A93146"/>
    <w:rsid w:val="00A9381D"/>
    <w:rsid w:val="00A93DCB"/>
    <w:rsid w:val="00A9454C"/>
    <w:rsid w:val="00A95278"/>
    <w:rsid w:val="00A95B30"/>
    <w:rsid w:val="00A96AC6"/>
    <w:rsid w:val="00A96AEE"/>
    <w:rsid w:val="00A96D34"/>
    <w:rsid w:val="00A96F9F"/>
    <w:rsid w:val="00A97022"/>
    <w:rsid w:val="00A9725F"/>
    <w:rsid w:val="00A97FCC"/>
    <w:rsid w:val="00AA08C7"/>
    <w:rsid w:val="00AA0B37"/>
    <w:rsid w:val="00AA0F82"/>
    <w:rsid w:val="00AA1291"/>
    <w:rsid w:val="00AA1A22"/>
    <w:rsid w:val="00AA25C4"/>
    <w:rsid w:val="00AA30B6"/>
    <w:rsid w:val="00AA32CA"/>
    <w:rsid w:val="00AA3DEA"/>
    <w:rsid w:val="00AA4699"/>
    <w:rsid w:val="00AA4C56"/>
    <w:rsid w:val="00AA5629"/>
    <w:rsid w:val="00AA5C1C"/>
    <w:rsid w:val="00AA6754"/>
    <w:rsid w:val="00AA69EC"/>
    <w:rsid w:val="00AA6FE4"/>
    <w:rsid w:val="00AA738A"/>
    <w:rsid w:val="00AA7881"/>
    <w:rsid w:val="00AA79FD"/>
    <w:rsid w:val="00AA7C01"/>
    <w:rsid w:val="00AB0669"/>
    <w:rsid w:val="00AB087C"/>
    <w:rsid w:val="00AB0E39"/>
    <w:rsid w:val="00AB1624"/>
    <w:rsid w:val="00AB1733"/>
    <w:rsid w:val="00AB24DC"/>
    <w:rsid w:val="00AB279A"/>
    <w:rsid w:val="00AB2ABC"/>
    <w:rsid w:val="00AB2B72"/>
    <w:rsid w:val="00AB2D69"/>
    <w:rsid w:val="00AB2F58"/>
    <w:rsid w:val="00AB337F"/>
    <w:rsid w:val="00AB3733"/>
    <w:rsid w:val="00AB40E1"/>
    <w:rsid w:val="00AB4212"/>
    <w:rsid w:val="00AB43CF"/>
    <w:rsid w:val="00AB4A6D"/>
    <w:rsid w:val="00AB504C"/>
    <w:rsid w:val="00AB5116"/>
    <w:rsid w:val="00AB5BC1"/>
    <w:rsid w:val="00AB5EDA"/>
    <w:rsid w:val="00AB6A9D"/>
    <w:rsid w:val="00AB6D0A"/>
    <w:rsid w:val="00AB7C1C"/>
    <w:rsid w:val="00AB7DB2"/>
    <w:rsid w:val="00AB7F00"/>
    <w:rsid w:val="00AC05AD"/>
    <w:rsid w:val="00AC07A1"/>
    <w:rsid w:val="00AC0839"/>
    <w:rsid w:val="00AC10C0"/>
    <w:rsid w:val="00AC14B0"/>
    <w:rsid w:val="00AC33BF"/>
    <w:rsid w:val="00AC3761"/>
    <w:rsid w:val="00AC3BBB"/>
    <w:rsid w:val="00AC4A16"/>
    <w:rsid w:val="00AC4DA0"/>
    <w:rsid w:val="00AC5570"/>
    <w:rsid w:val="00AC6B7A"/>
    <w:rsid w:val="00AC6FA2"/>
    <w:rsid w:val="00AC7B3C"/>
    <w:rsid w:val="00AD09DB"/>
    <w:rsid w:val="00AD2101"/>
    <w:rsid w:val="00AD25D8"/>
    <w:rsid w:val="00AD2639"/>
    <w:rsid w:val="00AD295E"/>
    <w:rsid w:val="00AD29B2"/>
    <w:rsid w:val="00AD36F0"/>
    <w:rsid w:val="00AD380E"/>
    <w:rsid w:val="00AD384C"/>
    <w:rsid w:val="00AD3D32"/>
    <w:rsid w:val="00AD43FC"/>
    <w:rsid w:val="00AD4494"/>
    <w:rsid w:val="00AD45DE"/>
    <w:rsid w:val="00AD52EB"/>
    <w:rsid w:val="00AD62AC"/>
    <w:rsid w:val="00AD67ED"/>
    <w:rsid w:val="00AD6A26"/>
    <w:rsid w:val="00AE007D"/>
    <w:rsid w:val="00AE0A4F"/>
    <w:rsid w:val="00AE0CAF"/>
    <w:rsid w:val="00AE12EA"/>
    <w:rsid w:val="00AE1C4B"/>
    <w:rsid w:val="00AE2149"/>
    <w:rsid w:val="00AE24DE"/>
    <w:rsid w:val="00AE25AA"/>
    <w:rsid w:val="00AE25D5"/>
    <w:rsid w:val="00AE28B9"/>
    <w:rsid w:val="00AE331A"/>
    <w:rsid w:val="00AE367D"/>
    <w:rsid w:val="00AE38C5"/>
    <w:rsid w:val="00AE4001"/>
    <w:rsid w:val="00AE43D0"/>
    <w:rsid w:val="00AE55BC"/>
    <w:rsid w:val="00AE56F1"/>
    <w:rsid w:val="00AE5AB8"/>
    <w:rsid w:val="00AE5D14"/>
    <w:rsid w:val="00AE6422"/>
    <w:rsid w:val="00AE65B9"/>
    <w:rsid w:val="00AE697A"/>
    <w:rsid w:val="00AE6F76"/>
    <w:rsid w:val="00AE7CFE"/>
    <w:rsid w:val="00AE7DA1"/>
    <w:rsid w:val="00AF0519"/>
    <w:rsid w:val="00AF0D07"/>
    <w:rsid w:val="00AF1025"/>
    <w:rsid w:val="00AF13E9"/>
    <w:rsid w:val="00AF14C4"/>
    <w:rsid w:val="00AF15D8"/>
    <w:rsid w:val="00AF25BB"/>
    <w:rsid w:val="00AF2873"/>
    <w:rsid w:val="00AF31A0"/>
    <w:rsid w:val="00AF363A"/>
    <w:rsid w:val="00AF5769"/>
    <w:rsid w:val="00AF58B2"/>
    <w:rsid w:val="00AF58D5"/>
    <w:rsid w:val="00AF6479"/>
    <w:rsid w:val="00AF761A"/>
    <w:rsid w:val="00AF7C50"/>
    <w:rsid w:val="00B00300"/>
    <w:rsid w:val="00B0136E"/>
    <w:rsid w:val="00B0176B"/>
    <w:rsid w:val="00B021B1"/>
    <w:rsid w:val="00B02C97"/>
    <w:rsid w:val="00B03039"/>
    <w:rsid w:val="00B033DF"/>
    <w:rsid w:val="00B03E8F"/>
    <w:rsid w:val="00B04288"/>
    <w:rsid w:val="00B04C4C"/>
    <w:rsid w:val="00B0506D"/>
    <w:rsid w:val="00B050A3"/>
    <w:rsid w:val="00B05DF7"/>
    <w:rsid w:val="00B06D96"/>
    <w:rsid w:val="00B06E7A"/>
    <w:rsid w:val="00B07422"/>
    <w:rsid w:val="00B107F8"/>
    <w:rsid w:val="00B10A15"/>
    <w:rsid w:val="00B12D50"/>
    <w:rsid w:val="00B134DF"/>
    <w:rsid w:val="00B13D97"/>
    <w:rsid w:val="00B14349"/>
    <w:rsid w:val="00B1468F"/>
    <w:rsid w:val="00B150D2"/>
    <w:rsid w:val="00B15FD9"/>
    <w:rsid w:val="00B16553"/>
    <w:rsid w:val="00B16936"/>
    <w:rsid w:val="00B16E3F"/>
    <w:rsid w:val="00B16F77"/>
    <w:rsid w:val="00B171BC"/>
    <w:rsid w:val="00B1729E"/>
    <w:rsid w:val="00B20D30"/>
    <w:rsid w:val="00B21758"/>
    <w:rsid w:val="00B21CB2"/>
    <w:rsid w:val="00B21DDB"/>
    <w:rsid w:val="00B21EBB"/>
    <w:rsid w:val="00B224D3"/>
    <w:rsid w:val="00B23C9B"/>
    <w:rsid w:val="00B25814"/>
    <w:rsid w:val="00B2603C"/>
    <w:rsid w:val="00B269B1"/>
    <w:rsid w:val="00B269EB"/>
    <w:rsid w:val="00B27723"/>
    <w:rsid w:val="00B27A18"/>
    <w:rsid w:val="00B27E26"/>
    <w:rsid w:val="00B307A7"/>
    <w:rsid w:val="00B309F0"/>
    <w:rsid w:val="00B30C38"/>
    <w:rsid w:val="00B30F18"/>
    <w:rsid w:val="00B311E0"/>
    <w:rsid w:val="00B31B6F"/>
    <w:rsid w:val="00B324EE"/>
    <w:rsid w:val="00B32A7F"/>
    <w:rsid w:val="00B33957"/>
    <w:rsid w:val="00B34747"/>
    <w:rsid w:val="00B35B33"/>
    <w:rsid w:val="00B36A66"/>
    <w:rsid w:val="00B370DC"/>
    <w:rsid w:val="00B371E0"/>
    <w:rsid w:val="00B375EE"/>
    <w:rsid w:val="00B40150"/>
    <w:rsid w:val="00B402C8"/>
    <w:rsid w:val="00B402C9"/>
    <w:rsid w:val="00B4058B"/>
    <w:rsid w:val="00B405DE"/>
    <w:rsid w:val="00B41965"/>
    <w:rsid w:val="00B41C1C"/>
    <w:rsid w:val="00B420A8"/>
    <w:rsid w:val="00B42B7F"/>
    <w:rsid w:val="00B43610"/>
    <w:rsid w:val="00B43BB6"/>
    <w:rsid w:val="00B4411E"/>
    <w:rsid w:val="00B44D85"/>
    <w:rsid w:val="00B44DD3"/>
    <w:rsid w:val="00B4578E"/>
    <w:rsid w:val="00B4582F"/>
    <w:rsid w:val="00B459B1"/>
    <w:rsid w:val="00B4607C"/>
    <w:rsid w:val="00B463A8"/>
    <w:rsid w:val="00B46C3E"/>
    <w:rsid w:val="00B47B72"/>
    <w:rsid w:val="00B47D5E"/>
    <w:rsid w:val="00B50189"/>
    <w:rsid w:val="00B50292"/>
    <w:rsid w:val="00B50665"/>
    <w:rsid w:val="00B51010"/>
    <w:rsid w:val="00B51946"/>
    <w:rsid w:val="00B524B5"/>
    <w:rsid w:val="00B52786"/>
    <w:rsid w:val="00B53B80"/>
    <w:rsid w:val="00B53DB2"/>
    <w:rsid w:val="00B5441C"/>
    <w:rsid w:val="00B54C8D"/>
    <w:rsid w:val="00B54DF6"/>
    <w:rsid w:val="00B5694F"/>
    <w:rsid w:val="00B56D11"/>
    <w:rsid w:val="00B5784E"/>
    <w:rsid w:val="00B6087E"/>
    <w:rsid w:val="00B60D2C"/>
    <w:rsid w:val="00B623DC"/>
    <w:rsid w:val="00B62664"/>
    <w:rsid w:val="00B62E48"/>
    <w:rsid w:val="00B630AD"/>
    <w:rsid w:val="00B649F2"/>
    <w:rsid w:val="00B64AB8"/>
    <w:rsid w:val="00B6514E"/>
    <w:rsid w:val="00B65178"/>
    <w:rsid w:val="00B655A5"/>
    <w:rsid w:val="00B65706"/>
    <w:rsid w:val="00B662A0"/>
    <w:rsid w:val="00B6696E"/>
    <w:rsid w:val="00B66A08"/>
    <w:rsid w:val="00B675A1"/>
    <w:rsid w:val="00B700D1"/>
    <w:rsid w:val="00B706FD"/>
    <w:rsid w:val="00B70B6C"/>
    <w:rsid w:val="00B71475"/>
    <w:rsid w:val="00B71C41"/>
    <w:rsid w:val="00B71EF0"/>
    <w:rsid w:val="00B71F50"/>
    <w:rsid w:val="00B729AE"/>
    <w:rsid w:val="00B72D3B"/>
    <w:rsid w:val="00B72E77"/>
    <w:rsid w:val="00B732D1"/>
    <w:rsid w:val="00B73649"/>
    <w:rsid w:val="00B73CC6"/>
    <w:rsid w:val="00B745A7"/>
    <w:rsid w:val="00B74C6F"/>
    <w:rsid w:val="00B7645B"/>
    <w:rsid w:val="00B76843"/>
    <w:rsid w:val="00B76F62"/>
    <w:rsid w:val="00B8124E"/>
    <w:rsid w:val="00B812D8"/>
    <w:rsid w:val="00B818B6"/>
    <w:rsid w:val="00B81946"/>
    <w:rsid w:val="00B82A66"/>
    <w:rsid w:val="00B82F08"/>
    <w:rsid w:val="00B83098"/>
    <w:rsid w:val="00B83D08"/>
    <w:rsid w:val="00B83DB3"/>
    <w:rsid w:val="00B840E9"/>
    <w:rsid w:val="00B8454F"/>
    <w:rsid w:val="00B847FC"/>
    <w:rsid w:val="00B84AF0"/>
    <w:rsid w:val="00B84B50"/>
    <w:rsid w:val="00B84F53"/>
    <w:rsid w:val="00B85ED7"/>
    <w:rsid w:val="00B8639F"/>
    <w:rsid w:val="00B871B8"/>
    <w:rsid w:val="00B87686"/>
    <w:rsid w:val="00B902FD"/>
    <w:rsid w:val="00B9114D"/>
    <w:rsid w:val="00B91ADB"/>
    <w:rsid w:val="00B9288A"/>
    <w:rsid w:val="00B928D8"/>
    <w:rsid w:val="00B92963"/>
    <w:rsid w:val="00B936E7"/>
    <w:rsid w:val="00B936F9"/>
    <w:rsid w:val="00B94877"/>
    <w:rsid w:val="00B94996"/>
    <w:rsid w:val="00B94F86"/>
    <w:rsid w:val="00B950F4"/>
    <w:rsid w:val="00B95169"/>
    <w:rsid w:val="00B96299"/>
    <w:rsid w:val="00B96F41"/>
    <w:rsid w:val="00B977AB"/>
    <w:rsid w:val="00B97B2E"/>
    <w:rsid w:val="00BA038B"/>
    <w:rsid w:val="00BA0ACF"/>
    <w:rsid w:val="00BA0CD7"/>
    <w:rsid w:val="00BA12CB"/>
    <w:rsid w:val="00BA1881"/>
    <w:rsid w:val="00BA18B2"/>
    <w:rsid w:val="00BA18EC"/>
    <w:rsid w:val="00BA2060"/>
    <w:rsid w:val="00BA2416"/>
    <w:rsid w:val="00BA245F"/>
    <w:rsid w:val="00BA2928"/>
    <w:rsid w:val="00BA2E5C"/>
    <w:rsid w:val="00BA303F"/>
    <w:rsid w:val="00BA304D"/>
    <w:rsid w:val="00BA3196"/>
    <w:rsid w:val="00BA32F2"/>
    <w:rsid w:val="00BA3751"/>
    <w:rsid w:val="00BA45CA"/>
    <w:rsid w:val="00BA4700"/>
    <w:rsid w:val="00BA4907"/>
    <w:rsid w:val="00BA5411"/>
    <w:rsid w:val="00BA5456"/>
    <w:rsid w:val="00BA5910"/>
    <w:rsid w:val="00BA5AD6"/>
    <w:rsid w:val="00BA5C5F"/>
    <w:rsid w:val="00BA602C"/>
    <w:rsid w:val="00BA6704"/>
    <w:rsid w:val="00BA69DD"/>
    <w:rsid w:val="00BA6B62"/>
    <w:rsid w:val="00BA7200"/>
    <w:rsid w:val="00BB074C"/>
    <w:rsid w:val="00BB0D82"/>
    <w:rsid w:val="00BB1015"/>
    <w:rsid w:val="00BB1028"/>
    <w:rsid w:val="00BB117B"/>
    <w:rsid w:val="00BB1886"/>
    <w:rsid w:val="00BB1A53"/>
    <w:rsid w:val="00BB29C0"/>
    <w:rsid w:val="00BB3474"/>
    <w:rsid w:val="00BB36EB"/>
    <w:rsid w:val="00BB372E"/>
    <w:rsid w:val="00BB377E"/>
    <w:rsid w:val="00BB41DB"/>
    <w:rsid w:val="00BB4901"/>
    <w:rsid w:val="00BB4F09"/>
    <w:rsid w:val="00BB5A32"/>
    <w:rsid w:val="00BB5C4B"/>
    <w:rsid w:val="00BB64CA"/>
    <w:rsid w:val="00BB6503"/>
    <w:rsid w:val="00BB673F"/>
    <w:rsid w:val="00BB67B6"/>
    <w:rsid w:val="00BB69FD"/>
    <w:rsid w:val="00BB6DD6"/>
    <w:rsid w:val="00BB7632"/>
    <w:rsid w:val="00BC0558"/>
    <w:rsid w:val="00BC0E2E"/>
    <w:rsid w:val="00BC18C8"/>
    <w:rsid w:val="00BC253E"/>
    <w:rsid w:val="00BC2630"/>
    <w:rsid w:val="00BC2C3A"/>
    <w:rsid w:val="00BC321F"/>
    <w:rsid w:val="00BC3503"/>
    <w:rsid w:val="00BC3563"/>
    <w:rsid w:val="00BC4172"/>
    <w:rsid w:val="00BC47CF"/>
    <w:rsid w:val="00BC528E"/>
    <w:rsid w:val="00BC63EA"/>
    <w:rsid w:val="00BC6828"/>
    <w:rsid w:val="00BC6949"/>
    <w:rsid w:val="00BC6BC7"/>
    <w:rsid w:val="00BC6CF6"/>
    <w:rsid w:val="00BC6E27"/>
    <w:rsid w:val="00BC79D4"/>
    <w:rsid w:val="00BD07D1"/>
    <w:rsid w:val="00BD0D98"/>
    <w:rsid w:val="00BD14FA"/>
    <w:rsid w:val="00BD178D"/>
    <w:rsid w:val="00BD1A06"/>
    <w:rsid w:val="00BD2DBF"/>
    <w:rsid w:val="00BD38A6"/>
    <w:rsid w:val="00BD39AC"/>
    <w:rsid w:val="00BD3C3E"/>
    <w:rsid w:val="00BD435F"/>
    <w:rsid w:val="00BD4574"/>
    <w:rsid w:val="00BD4A4B"/>
    <w:rsid w:val="00BD4A8B"/>
    <w:rsid w:val="00BD53F4"/>
    <w:rsid w:val="00BD6929"/>
    <w:rsid w:val="00BD6D3D"/>
    <w:rsid w:val="00BD7CCD"/>
    <w:rsid w:val="00BE07F5"/>
    <w:rsid w:val="00BE1711"/>
    <w:rsid w:val="00BE2D33"/>
    <w:rsid w:val="00BE3D09"/>
    <w:rsid w:val="00BE502D"/>
    <w:rsid w:val="00BE5184"/>
    <w:rsid w:val="00BE5C93"/>
    <w:rsid w:val="00BE615B"/>
    <w:rsid w:val="00BE6801"/>
    <w:rsid w:val="00BE76AC"/>
    <w:rsid w:val="00BF043A"/>
    <w:rsid w:val="00BF106F"/>
    <w:rsid w:val="00BF15FE"/>
    <w:rsid w:val="00BF1633"/>
    <w:rsid w:val="00BF2530"/>
    <w:rsid w:val="00BF2B16"/>
    <w:rsid w:val="00BF2E3A"/>
    <w:rsid w:val="00BF3571"/>
    <w:rsid w:val="00BF35CC"/>
    <w:rsid w:val="00BF35E0"/>
    <w:rsid w:val="00BF3DB8"/>
    <w:rsid w:val="00BF41B8"/>
    <w:rsid w:val="00BF4F77"/>
    <w:rsid w:val="00BF4FFC"/>
    <w:rsid w:val="00BF5452"/>
    <w:rsid w:val="00BF62D3"/>
    <w:rsid w:val="00BF688B"/>
    <w:rsid w:val="00BF75C4"/>
    <w:rsid w:val="00BF75F5"/>
    <w:rsid w:val="00BF7B8A"/>
    <w:rsid w:val="00BF7CFE"/>
    <w:rsid w:val="00C001F8"/>
    <w:rsid w:val="00C01441"/>
    <w:rsid w:val="00C02029"/>
    <w:rsid w:val="00C02E38"/>
    <w:rsid w:val="00C0331F"/>
    <w:rsid w:val="00C043F4"/>
    <w:rsid w:val="00C049FF"/>
    <w:rsid w:val="00C04D7B"/>
    <w:rsid w:val="00C04D8D"/>
    <w:rsid w:val="00C04EFF"/>
    <w:rsid w:val="00C05057"/>
    <w:rsid w:val="00C05F3B"/>
    <w:rsid w:val="00C05F6C"/>
    <w:rsid w:val="00C0630B"/>
    <w:rsid w:val="00C06623"/>
    <w:rsid w:val="00C06B81"/>
    <w:rsid w:val="00C070A0"/>
    <w:rsid w:val="00C07611"/>
    <w:rsid w:val="00C07E52"/>
    <w:rsid w:val="00C1026B"/>
    <w:rsid w:val="00C115A5"/>
    <w:rsid w:val="00C12302"/>
    <w:rsid w:val="00C12878"/>
    <w:rsid w:val="00C13098"/>
    <w:rsid w:val="00C135F7"/>
    <w:rsid w:val="00C13671"/>
    <w:rsid w:val="00C13E8E"/>
    <w:rsid w:val="00C14158"/>
    <w:rsid w:val="00C146D0"/>
    <w:rsid w:val="00C15487"/>
    <w:rsid w:val="00C1587B"/>
    <w:rsid w:val="00C164D4"/>
    <w:rsid w:val="00C16731"/>
    <w:rsid w:val="00C16CD6"/>
    <w:rsid w:val="00C1751F"/>
    <w:rsid w:val="00C17610"/>
    <w:rsid w:val="00C179EA"/>
    <w:rsid w:val="00C2271E"/>
    <w:rsid w:val="00C24874"/>
    <w:rsid w:val="00C24BFA"/>
    <w:rsid w:val="00C24C29"/>
    <w:rsid w:val="00C2522E"/>
    <w:rsid w:val="00C27010"/>
    <w:rsid w:val="00C270A4"/>
    <w:rsid w:val="00C2725E"/>
    <w:rsid w:val="00C275F7"/>
    <w:rsid w:val="00C2787A"/>
    <w:rsid w:val="00C27CCC"/>
    <w:rsid w:val="00C27E72"/>
    <w:rsid w:val="00C308DC"/>
    <w:rsid w:val="00C30ED8"/>
    <w:rsid w:val="00C31345"/>
    <w:rsid w:val="00C3142C"/>
    <w:rsid w:val="00C323B6"/>
    <w:rsid w:val="00C33165"/>
    <w:rsid w:val="00C33404"/>
    <w:rsid w:val="00C33703"/>
    <w:rsid w:val="00C34E2B"/>
    <w:rsid w:val="00C36459"/>
    <w:rsid w:val="00C36466"/>
    <w:rsid w:val="00C3689E"/>
    <w:rsid w:val="00C36F27"/>
    <w:rsid w:val="00C375A0"/>
    <w:rsid w:val="00C37678"/>
    <w:rsid w:val="00C3771F"/>
    <w:rsid w:val="00C40266"/>
    <w:rsid w:val="00C408B7"/>
    <w:rsid w:val="00C408C2"/>
    <w:rsid w:val="00C40B48"/>
    <w:rsid w:val="00C41090"/>
    <w:rsid w:val="00C41559"/>
    <w:rsid w:val="00C41735"/>
    <w:rsid w:val="00C41901"/>
    <w:rsid w:val="00C419F2"/>
    <w:rsid w:val="00C441AC"/>
    <w:rsid w:val="00C441D6"/>
    <w:rsid w:val="00C442CE"/>
    <w:rsid w:val="00C44949"/>
    <w:rsid w:val="00C44C6A"/>
    <w:rsid w:val="00C44D30"/>
    <w:rsid w:val="00C45038"/>
    <w:rsid w:val="00C4567C"/>
    <w:rsid w:val="00C464EA"/>
    <w:rsid w:val="00C47E12"/>
    <w:rsid w:val="00C501EC"/>
    <w:rsid w:val="00C50C45"/>
    <w:rsid w:val="00C510D6"/>
    <w:rsid w:val="00C52D16"/>
    <w:rsid w:val="00C52D56"/>
    <w:rsid w:val="00C530BF"/>
    <w:rsid w:val="00C5394A"/>
    <w:rsid w:val="00C53A3D"/>
    <w:rsid w:val="00C53D7E"/>
    <w:rsid w:val="00C53DA0"/>
    <w:rsid w:val="00C54114"/>
    <w:rsid w:val="00C54D75"/>
    <w:rsid w:val="00C54DC6"/>
    <w:rsid w:val="00C56791"/>
    <w:rsid w:val="00C57D30"/>
    <w:rsid w:val="00C60932"/>
    <w:rsid w:val="00C60951"/>
    <w:rsid w:val="00C60CBC"/>
    <w:rsid w:val="00C61040"/>
    <w:rsid w:val="00C61435"/>
    <w:rsid w:val="00C61905"/>
    <w:rsid w:val="00C61C8F"/>
    <w:rsid w:val="00C61DB4"/>
    <w:rsid w:val="00C61E86"/>
    <w:rsid w:val="00C62459"/>
    <w:rsid w:val="00C62850"/>
    <w:rsid w:val="00C62E3C"/>
    <w:rsid w:val="00C63684"/>
    <w:rsid w:val="00C63D6B"/>
    <w:rsid w:val="00C644D6"/>
    <w:rsid w:val="00C64B33"/>
    <w:rsid w:val="00C64F3D"/>
    <w:rsid w:val="00C65D38"/>
    <w:rsid w:val="00C65EFB"/>
    <w:rsid w:val="00C6671E"/>
    <w:rsid w:val="00C66A30"/>
    <w:rsid w:val="00C67247"/>
    <w:rsid w:val="00C67E7D"/>
    <w:rsid w:val="00C700CC"/>
    <w:rsid w:val="00C7077E"/>
    <w:rsid w:val="00C70A16"/>
    <w:rsid w:val="00C70BB3"/>
    <w:rsid w:val="00C71CE4"/>
    <w:rsid w:val="00C71D4C"/>
    <w:rsid w:val="00C72383"/>
    <w:rsid w:val="00C72688"/>
    <w:rsid w:val="00C73193"/>
    <w:rsid w:val="00C73230"/>
    <w:rsid w:val="00C742A2"/>
    <w:rsid w:val="00C75273"/>
    <w:rsid w:val="00C7592A"/>
    <w:rsid w:val="00C75F8F"/>
    <w:rsid w:val="00C761B1"/>
    <w:rsid w:val="00C76F9C"/>
    <w:rsid w:val="00C77CBA"/>
    <w:rsid w:val="00C77EBC"/>
    <w:rsid w:val="00C80E51"/>
    <w:rsid w:val="00C81A54"/>
    <w:rsid w:val="00C82A24"/>
    <w:rsid w:val="00C82B55"/>
    <w:rsid w:val="00C82EBC"/>
    <w:rsid w:val="00C839B0"/>
    <w:rsid w:val="00C83E03"/>
    <w:rsid w:val="00C845BF"/>
    <w:rsid w:val="00C849E6"/>
    <w:rsid w:val="00C851EE"/>
    <w:rsid w:val="00C86197"/>
    <w:rsid w:val="00C863F8"/>
    <w:rsid w:val="00C86C82"/>
    <w:rsid w:val="00C870B7"/>
    <w:rsid w:val="00C87188"/>
    <w:rsid w:val="00C87568"/>
    <w:rsid w:val="00C877E4"/>
    <w:rsid w:val="00C909B6"/>
    <w:rsid w:val="00C90E78"/>
    <w:rsid w:val="00C911FE"/>
    <w:rsid w:val="00C91C80"/>
    <w:rsid w:val="00C9204E"/>
    <w:rsid w:val="00C92055"/>
    <w:rsid w:val="00C93878"/>
    <w:rsid w:val="00C93F70"/>
    <w:rsid w:val="00C94640"/>
    <w:rsid w:val="00C9552B"/>
    <w:rsid w:val="00C9583A"/>
    <w:rsid w:val="00C95E4F"/>
    <w:rsid w:val="00C96247"/>
    <w:rsid w:val="00C96832"/>
    <w:rsid w:val="00CA03DE"/>
    <w:rsid w:val="00CA042E"/>
    <w:rsid w:val="00CA109F"/>
    <w:rsid w:val="00CA1D7F"/>
    <w:rsid w:val="00CA2251"/>
    <w:rsid w:val="00CA28A2"/>
    <w:rsid w:val="00CA28B3"/>
    <w:rsid w:val="00CA28DC"/>
    <w:rsid w:val="00CA29E6"/>
    <w:rsid w:val="00CA395A"/>
    <w:rsid w:val="00CA397C"/>
    <w:rsid w:val="00CA398E"/>
    <w:rsid w:val="00CA4721"/>
    <w:rsid w:val="00CA47D9"/>
    <w:rsid w:val="00CA6F34"/>
    <w:rsid w:val="00CA7429"/>
    <w:rsid w:val="00CA7F14"/>
    <w:rsid w:val="00CB0207"/>
    <w:rsid w:val="00CB08A5"/>
    <w:rsid w:val="00CB09D9"/>
    <w:rsid w:val="00CB0ABC"/>
    <w:rsid w:val="00CB107F"/>
    <w:rsid w:val="00CB1BBC"/>
    <w:rsid w:val="00CB29D8"/>
    <w:rsid w:val="00CB2DA0"/>
    <w:rsid w:val="00CB351C"/>
    <w:rsid w:val="00CB386D"/>
    <w:rsid w:val="00CB3A0A"/>
    <w:rsid w:val="00CB4796"/>
    <w:rsid w:val="00CB4F10"/>
    <w:rsid w:val="00CB4F73"/>
    <w:rsid w:val="00CB5060"/>
    <w:rsid w:val="00CB5163"/>
    <w:rsid w:val="00CB528B"/>
    <w:rsid w:val="00CB5902"/>
    <w:rsid w:val="00CB652F"/>
    <w:rsid w:val="00CC020C"/>
    <w:rsid w:val="00CC0CAE"/>
    <w:rsid w:val="00CC14DC"/>
    <w:rsid w:val="00CC18BF"/>
    <w:rsid w:val="00CC20D0"/>
    <w:rsid w:val="00CC2645"/>
    <w:rsid w:val="00CC2D4F"/>
    <w:rsid w:val="00CC332C"/>
    <w:rsid w:val="00CC3814"/>
    <w:rsid w:val="00CC3BAC"/>
    <w:rsid w:val="00CC3C68"/>
    <w:rsid w:val="00CC4218"/>
    <w:rsid w:val="00CC45C8"/>
    <w:rsid w:val="00CC46A2"/>
    <w:rsid w:val="00CC4B84"/>
    <w:rsid w:val="00CC4BCD"/>
    <w:rsid w:val="00CC54B7"/>
    <w:rsid w:val="00CC5530"/>
    <w:rsid w:val="00CC6ADB"/>
    <w:rsid w:val="00CC76F1"/>
    <w:rsid w:val="00CD09BA"/>
    <w:rsid w:val="00CD0DFC"/>
    <w:rsid w:val="00CD1361"/>
    <w:rsid w:val="00CD2074"/>
    <w:rsid w:val="00CD29B2"/>
    <w:rsid w:val="00CD3AC7"/>
    <w:rsid w:val="00CD511D"/>
    <w:rsid w:val="00CD52B0"/>
    <w:rsid w:val="00CD5995"/>
    <w:rsid w:val="00CD6004"/>
    <w:rsid w:val="00CD77DD"/>
    <w:rsid w:val="00CD7C3D"/>
    <w:rsid w:val="00CE154C"/>
    <w:rsid w:val="00CE1926"/>
    <w:rsid w:val="00CE2415"/>
    <w:rsid w:val="00CE30E4"/>
    <w:rsid w:val="00CE334A"/>
    <w:rsid w:val="00CE3415"/>
    <w:rsid w:val="00CE349A"/>
    <w:rsid w:val="00CE3670"/>
    <w:rsid w:val="00CE3BAA"/>
    <w:rsid w:val="00CE3C2A"/>
    <w:rsid w:val="00CE3C34"/>
    <w:rsid w:val="00CE4759"/>
    <w:rsid w:val="00CE5094"/>
    <w:rsid w:val="00CE5A79"/>
    <w:rsid w:val="00CE7AFB"/>
    <w:rsid w:val="00CE7B5E"/>
    <w:rsid w:val="00CF01A5"/>
    <w:rsid w:val="00CF0300"/>
    <w:rsid w:val="00CF03AB"/>
    <w:rsid w:val="00CF12FA"/>
    <w:rsid w:val="00CF2324"/>
    <w:rsid w:val="00CF2ED8"/>
    <w:rsid w:val="00CF3335"/>
    <w:rsid w:val="00CF3551"/>
    <w:rsid w:val="00CF4195"/>
    <w:rsid w:val="00CF4B37"/>
    <w:rsid w:val="00CF5889"/>
    <w:rsid w:val="00CF6137"/>
    <w:rsid w:val="00CF644B"/>
    <w:rsid w:val="00CF7C47"/>
    <w:rsid w:val="00CF7ED8"/>
    <w:rsid w:val="00D00A31"/>
    <w:rsid w:val="00D00B6F"/>
    <w:rsid w:val="00D00CB3"/>
    <w:rsid w:val="00D0116F"/>
    <w:rsid w:val="00D01CE1"/>
    <w:rsid w:val="00D02DF7"/>
    <w:rsid w:val="00D041EB"/>
    <w:rsid w:val="00D04436"/>
    <w:rsid w:val="00D044C0"/>
    <w:rsid w:val="00D04F77"/>
    <w:rsid w:val="00D051F8"/>
    <w:rsid w:val="00D0566E"/>
    <w:rsid w:val="00D06226"/>
    <w:rsid w:val="00D07F4A"/>
    <w:rsid w:val="00D1042B"/>
    <w:rsid w:val="00D11633"/>
    <w:rsid w:val="00D11701"/>
    <w:rsid w:val="00D11822"/>
    <w:rsid w:val="00D11FC3"/>
    <w:rsid w:val="00D12013"/>
    <w:rsid w:val="00D1219D"/>
    <w:rsid w:val="00D1274F"/>
    <w:rsid w:val="00D12C95"/>
    <w:rsid w:val="00D12E4F"/>
    <w:rsid w:val="00D13A42"/>
    <w:rsid w:val="00D1517F"/>
    <w:rsid w:val="00D1630E"/>
    <w:rsid w:val="00D1663C"/>
    <w:rsid w:val="00D169C8"/>
    <w:rsid w:val="00D16AD8"/>
    <w:rsid w:val="00D16CCF"/>
    <w:rsid w:val="00D16D18"/>
    <w:rsid w:val="00D17E8F"/>
    <w:rsid w:val="00D207E0"/>
    <w:rsid w:val="00D20C9E"/>
    <w:rsid w:val="00D2184C"/>
    <w:rsid w:val="00D22194"/>
    <w:rsid w:val="00D224B5"/>
    <w:rsid w:val="00D22A51"/>
    <w:rsid w:val="00D241E1"/>
    <w:rsid w:val="00D24A16"/>
    <w:rsid w:val="00D268CB"/>
    <w:rsid w:val="00D26B42"/>
    <w:rsid w:val="00D26EB5"/>
    <w:rsid w:val="00D26F72"/>
    <w:rsid w:val="00D270D6"/>
    <w:rsid w:val="00D27368"/>
    <w:rsid w:val="00D274CA"/>
    <w:rsid w:val="00D276EB"/>
    <w:rsid w:val="00D27904"/>
    <w:rsid w:val="00D30389"/>
    <w:rsid w:val="00D30BD2"/>
    <w:rsid w:val="00D30E62"/>
    <w:rsid w:val="00D312CB"/>
    <w:rsid w:val="00D322C6"/>
    <w:rsid w:val="00D32614"/>
    <w:rsid w:val="00D32784"/>
    <w:rsid w:val="00D32E93"/>
    <w:rsid w:val="00D33699"/>
    <w:rsid w:val="00D33C1E"/>
    <w:rsid w:val="00D33F51"/>
    <w:rsid w:val="00D34417"/>
    <w:rsid w:val="00D35E53"/>
    <w:rsid w:val="00D36D44"/>
    <w:rsid w:val="00D378F2"/>
    <w:rsid w:val="00D37C8E"/>
    <w:rsid w:val="00D40631"/>
    <w:rsid w:val="00D408CF"/>
    <w:rsid w:val="00D40A42"/>
    <w:rsid w:val="00D40C69"/>
    <w:rsid w:val="00D41570"/>
    <w:rsid w:val="00D416B5"/>
    <w:rsid w:val="00D41A52"/>
    <w:rsid w:val="00D41C3D"/>
    <w:rsid w:val="00D42D33"/>
    <w:rsid w:val="00D42E68"/>
    <w:rsid w:val="00D42F4D"/>
    <w:rsid w:val="00D43A61"/>
    <w:rsid w:val="00D44268"/>
    <w:rsid w:val="00D448CE"/>
    <w:rsid w:val="00D4498F"/>
    <w:rsid w:val="00D468DE"/>
    <w:rsid w:val="00D4696F"/>
    <w:rsid w:val="00D469E5"/>
    <w:rsid w:val="00D46D30"/>
    <w:rsid w:val="00D474BB"/>
    <w:rsid w:val="00D47EB3"/>
    <w:rsid w:val="00D501BB"/>
    <w:rsid w:val="00D50C9B"/>
    <w:rsid w:val="00D51162"/>
    <w:rsid w:val="00D51DF0"/>
    <w:rsid w:val="00D5287A"/>
    <w:rsid w:val="00D528B7"/>
    <w:rsid w:val="00D53551"/>
    <w:rsid w:val="00D53DDC"/>
    <w:rsid w:val="00D53EE1"/>
    <w:rsid w:val="00D54707"/>
    <w:rsid w:val="00D5478E"/>
    <w:rsid w:val="00D54E53"/>
    <w:rsid w:val="00D554C1"/>
    <w:rsid w:val="00D55E38"/>
    <w:rsid w:val="00D55FB4"/>
    <w:rsid w:val="00D56574"/>
    <w:rsid w:val="00D56F42"/>
    <w:rsid w:val="00D57627"/>
    <w:rsid w:val="00D57998"/>
    <w:rsid w:val="00D60AA1"/>
    <w:rsid w:val="00D60C87"/>
    <w:rsid w:val="00D60D2C"/>
    <w:rsid w:val="00D6157F"/>
    <w:rsid w:val="00D616C1"/>
    <w:rsid w:val="00D61F12"/>
    <w:rsid w:val="00D62FF4"/>
    <w:rsid w:val="00D63342"/>
    <w:rsid w:val="00D6441F"/>
    <w:rsid w:val="00D6491E"/>
    <w:rsid w:val="00D6583E"/>
    <w:rsid w:val="00D65F11"/>
    <w:rsid w:val="00D66F2E"/>
    <w:rsid w:val="00D6737B"/>
    <w:rsid w:val="00D6784E"/>
    <w:rsid w:val="00D67A2F"/>
    <w:rsid w:val="00D70215"/>
    <w:rsid w:val="00D70878"/>
    <w:rsid w:val="00D70CBC"/>
    <w:rsid w:val="00D71AFB"/>
    <w:rsid w:val="00D71D76"/>
    <w:rsid w:val="00D7401D"/>
    <w:rsid w:val="00D7518E"/>
    <w:rsid w:val="00D75499"/>
    <w:rsid w:val="00D75E35"/>
    <w:rsid w:val="00D7654F"/>
    <w:rsid w:val="00D76B3D"/>
    <w:rsid w:val="00D80535"/>
    <w:rsid w:val="00D80C06"/>
    <w:rsid w:val="00D8289D"/>
    <w:rsid w:val="00D82CD0"/>
    <w:rsid w:val="00D83C82"/>
    <w:rsid w:val="00D84085"/>
    <w:rsid w:val="00D84503"/>
    <w:rsid w:val="00D84FE4"/>
    <w:rsid w:val="00D850AF"/>
    <w:rsid w:val="00D85429"/>
    <w:rsid w:val="00D8553F"/>
    <w:rsid w:val="00D85968"/>
    <w:rsid w:val="00D8596C"/>
    <w:rsid w:val="00D8605E"/>
    <w:rsid w:val="00D86AAD"/>
    <w:rsid w:val="00D903B2"/>
    <w:rsid w:val="00D908BD"/>
    <w:rsid w:val="00D90CCB"/>
    <w:rsid w:val="00D90CF9"/>
    <w:rsid w:val="00D90D0E"/>
    <w:rsid w:val="00D913C0"/>
    <w:rsid w:val="00D92130"/>
    <w:rsid w:val="00D92734"/>
    <w:rsid w:val="00D929F5"/>
    <w:rsid w:val="00D932D9"/>
    <w:rsid w:val="00D94B73"/>
    <w:rsid w:val="00D96472"/>
    <w:rsid w:val="00D96559"/>
    <w:rsid w:val="00D967A0"/>
    <w:rsid w:val="00D9758E"/>
    <w:rsid w:val="00D97EA9"/>
    <w:rsid w:val="00DA034F"/>
    <w:rsid w:val="00DA1D76"/>
    <w:rsid w:val="00DA20DF"/>
    <w:rsid w:val="00DA2157"/>
    <w:rsid w:val="00DA231D"/>
    <w:rsid w:val="00DA2FB5"/>
    <w:rsid w:val="00DA3D76"/>
    <w:rsid w:val="00DA3F34"/>
    <w:rsid w:val="00DA40E9"/>
    <w:rsid w:val="00DA5528"/>
    <w:rsid w:val="00DA5B55"/>
    <w:rsid w:val="00DA5CAF"/>
    <w:rsid w:val="00DA5FF3"/>
    <w:rsid w:val="00DA6175"/>
    <w:rsid w:val="00DA61DD"/>
    <w:rsid w:val="00DA63E9"/>
    <w:rsid w:val="00DA6CC8"/>
    <w:rsid w:val="00DA6E61"/>
    <w:rsid w:val="00DA78DB"/>
    <w:rsid w:val="00DA7A6D"/>
    <w:rsid w:val="00DA7EC9"/>
    <w:rsid w:val="00DB0143"/>
    <w:rsid w:val="00DB0B1A"/>
    <w:rsid w:val="00DB0DBB"/>
    <w:rsid w:val="00DB0ED3"/>
    <w:rsid w:val="00DB1067"/>
    <w:rsid w:val="00DB1ED0"/>
    <w:rsid w:val="00DB2C0C"/>
    <w:rsid w:val="00DB364C"/>
    <w:rsid w:val="00DB394D"/>
    <w:rsid w:val="00DB3D96"/>
    <w:rsid w:val="00DB536C"/>
    <w:rsid w:val="00DB58E9"/>
    <w:rsid w:val="00DB592C"/>
    <w:rsid w:val="00DC011A"/>
    <w:rsid w:val="00DC01DB"/>
    <w:rsid w:val="00DC05D6"/>
    <w:rsid w:val="00DC1D35"/>
    <w:rsid w:val="00DC1DC6"/>
    <w:rsid w:val="00DC1F86"/>
    <w:rsid w:val="00DC22C3"/>
    <w:rsid w:val="00DC35E5"/>
    <w:rsid w:val="00DC3666"/>
    <w:rsid w:val="00DC490B"/>
    <w:rsid w:val="00DC4B55"/>
    <w:rsid w:val="00DC5631"/>
    <w:rsid w:val="00DC5A43"/>
    <w:rsid w:val="00DC5C1B"/>
    <w:rsid w:val="00DC6012"/>
    <w:rsid w:val="00DC638D"/>
    <w:rsid w:val="00DC66BC"/>
    <w:rsid w:val="00DC6CFD"/>
    <w:rsid w:val="00DC7CFE"/>
    <w:rsid w:val="00DD17F8"/>
    <w:rsid w:val="00DD1BB1"/>
    <w:rsid w:val="00DD29B6"/>
    <w:rsid w:val="00DD3154"/>
    <w:rsid w:val="00DD3861"/>
    <w:rsid w:val="00DD3D30"/>
    <w:rsid w:val="00DD3F5C"/>
    <w:rsid w:val="00DD4321"/>
    <w:rsid w:val="00DD5045"/>
    <w:rsid w:val="00DD50DA"/>
    <w:rsid w:val="00DD59B4"/>
    <w:rsid w:val="00DD5D47"/>
    <w:rsid w:val="00DD6057"/>
    <w:rsid w:val="00DD6183"/>
    <w:rsid w:val="00DD665C"/>
    <w:rsid w:val="00DD75D1"/>
    <w:rsid w:val="00DD7CB2"/>
    <w:rsid w:val="00DE0077"/>
    <w:rsid w:val="00DE04D0"/>
    <w:rsid w:val="00DE0897"/>
    <w:rsid w:val="00DE08B6"/>
    <w:rsid w:val="00DE0AF1"/>
    <w:rsid w:val="00DE0C5D"/>
    <w:rsid w:val="00DE135C"/>
    <w:rsid w:val="00DE1403"/>
    <w:rsid w:val="00DE146E"/>
    <w:rsid w:val="00DE2156"/>
    <w:rsid w:val="00DE27FF"/>
    <w:rsid w:val="00DE2B31"/>
    <w:rsid w:val="00DE2BA8"/>
    <w:rsid w:val="00DE35B0"/>
    <w:rsid w:val="00DE39E0"/>
    <w:rsid w:val="00DE404E"/>
    <w:rsid w:val="00DE4C72"/>
    <w:rsid w:val="00DE4E57"/>
    <w:rsid w:val="00DE5276"/>
    <w:rsid w:val="00DE575A"/>
    <w:rsid w:val="00DE5B63"/>
    <w:rsid w:val="00DE6178"/>
    <w:rsid w:val="00DE7081"/>
    <w:rsid w:val="00DE76D3"/>
    <w:rsid w:val="00DE7810"/>
    <w:rsid w:val="00DE7EE1"/>
    <w:rsid w:val="00DF052B"/>
    <w:rsid w:val="00DF07F2"/>
    <w:rsid w:val="00DF0C54"/>
    <w:rsid w:val="00DF18B4"/>
    <w:rsid w:val="00DF1B77"/>
    <w:rsid w:val="00DF20AC"/>
    <w:rsid w:val="00DF2B61"/>
    <w:rsid w:val="00DF2DBB"/>
    <w:rsid w:val="00DF313B"/>
    <w:rsid w:val="00DF3D6F"/>
    <w:rsid w:val="00DF509D"/>
    <w:rsid w:val="00DF5E40"/>
    <w:rsid w:val="00DF5FF4"/>
    <w:rsid w:val="00DF6160"/>
    <w:rsid w:val="00DF6AC8"/>
    <w:rsid w:val="00E001D5"/>
    <w:rsid w:val="00E0041A"/>
    <w:rsid w:val="00E0074F"/>
    <w:rsid w:val="00E00C7B"/>
    <w:rsid w:val="00E0165D"/>
    <w:rsid w:val="00E02646"/>
    <w:rsid w:val="00E02D49"/>
    <w:rsid w:val="00E02E7E"/>
    <w:rsid w:val="00E03F71"/>
    <w:rsid w:val="00E043DC"/>
    <w:rsid w:val="00E04A1E"/>
    <w:rsid w:val="00E04DBE"/>
    <w:rsid w:val="00E04F72"/>
    <w:rsid w:val="00E0532E"/>
    <w:rsid w:val="00E05692"/>
    <w:rsid w:val="00E0593D"/>
    <w:rsid w:val="00E0633C"/>
    <w:rsid w:val="00E0666F"/>
    <w:rsid w:val="00E06AEB"/>
    <w:rsid w:val="00E06DCA"/>
    <w:rsid w:val="00E075C7"/>
    <w:rsid w:val="00E10A7B"/>
    <w:rsid w:val="00E116F6"/>
    <w:rsid w:val="00E11970"/>
    <w:rsid w:val="00E11998"/>
    <w:rsid w:val="00E11DE0"/>
    <w:rsid w:val="00E1255F"/>
    <w:rsid w:val="00E1279E"/>
    <w:rsid w:val="00E1281F"/>
    <w:rsid w:val="00E13070"/>
    <w:rsid w:val="00E13F24"/>
    <w:rsid w:val="00E14986"/>
    <w:rsid w:val="00E14AD4"/>
    <w:rsid w:val="00E158B9"/>
    <w:rsid w:val="00E15DD3"/>
    <w:rsid w:val="00E163D8"/>
    <w:rsid w:val="00E173FB"/>
    <w:rsid w:val="00E1745C"/>
    <w:rsid w:val="00E2038E"/>
    <w:rsid w:val="00E20705"/>
    <w:rsid w:val="00E21B16"/>
    <w:rsid w:val="00E21F45"/>
    <w:rsid w:val="00E22216"/>
    <w:rsid w:val="00E23B5C"/>
    <w:rsid w:val="00E23D61"/>
    <w:rsid w:val="00E23DBF"/>
    <w:rsid w:val="00E24052"/>
    <w:rsid w:val="00E240DF"/>
    <w:rsid w:val="00E25AF0"/>
    <w:rsid w:val="00E25FEF"/>
    <w:rsid w:val="00E2628E"/>
    <w:rsid w:val="00E26617"/>
    <w:rsid w:val="00E26825"/>
    <w:rsid w:val="00E26F4F"/>
    <w:rsid w:val="00E26F6D"/>
    <w:rsid w:val="00E27194"/>
    <w:rsid w:val="00E273CB"/>
    <w:rsid w:val="00E27548"/>
    <w:rsid w:val="00E30F3A"/>
    <w:rsid w:val="00E31047"/>
    <w:rsid w:val="00E312E7"/>
    <w:rsid w:val="00E31424"/>
    <w:rsid w:val="00E316F1"/>
    <w:rsid w:val="00E31E9D"/>
    <w:rsid w:val="00E32865"/>
    <w:rsid w:val="00E32AD5"/>
    <w:rsid w:val="00E33439"/>
    <w:rsid w:val="00E3446D"/>
    <w:rsid w:val="00E377DD"/>
    <w:rsid w:val="00E37862"/>
    <w:rsid w:val="00E406AE"/>
    <w:rsid w:val="00E4085A"/>
    <w:rsid w:val="00E41437"/>
    <w:rsid w:val="00E414BC"/>
    <w:rsid w:val="00E41849"/>
    <w:rsid w:val="00E444A9"/>
    <w:rsid w:val="00E447C4"/>
    <w:rsid w:val="00E44B88"/>
    <w:rsid w:val="00E44BF1"/>
    <w:rsid w:val="00E45334"/>
    <w:rsid w:val="00E4564D"/>
    <w:rsid w:val="00E46274"/>
    <w:rsid w:val="00E506BE"/>
    <w:rsid w:val="00E50F35"/>
    <w:rsid w:val="00E51013"/>
    <w:rsid w:val="00E52613"/>
    <w:rsid w:val="00E52FE2"/>
    <w:rsid w:val="00E538DA"/>
    <w:rsid w:val="00E53A48"/>
    <w:rsid w:val="00E53EDC"/>
    <w:rsid w:val="00E541E8"/>
    <w:rsid w:val="00E54CFE"/>
    <w:rsid w:val="00E54D9A"/>
    <w:rsid w:val="00E54DD1"/>
    <w:rsid w:val="00E54F1D"/>
    <w:rsid w:val="00E56766"/>
    <w:rsid w:val="00E56877"/>
    <w:rsid w:val="00E570B0"/>
    <w:rsid w:val="00E572B6"/>
    <w:rsid w:val="00E57384"/>
    <w:rsid w:val="00E579C1"/>
    <w:rsid w:val="00E601E2"/>
    <w:rsid w:val="00E60341"/>
    <w:rsid w:val="00E6069E"/>
    <w:rsid w:val="00E61D4B"/>
    <w:rsid w:val="00E628D4"/>
    <w:rsid w:val="00E62A17"/>
    <w:rsid w:val="00E62EC5"/>
    <w:rsid w:val="00E6311C"/>
    <w:rsid w:val="00E63278"/>
    <w:rsid w:val="00E63878"/>
    <w:rsid w:val="00E6414B"/>
    <w:rsid w:val="00E644AD"/>
    <w:rsid w:val="00E644D7"/>
    <w:rsid w:val="00E647A3"/>
    <w:rsid w:val="00E65B11"/>
    <w:rsid w:val="00E664B5"/>
    <w:rsid w:val="00E668F4"/>
    <w:rsid w:val="00E66B18"/>
    <w:rsid w:val="00E67262"/>
    <w:rsid w:val="00E67279"/>
    <w:rsid w:val="00E67A80"/>
    <w:rsid w:val="00E7110D"/>
    <w:rsid w:val="00E7238C"/>
    <w:rsid w:val="00E724AC"/>
    <w:rsid w:val="00E7253F"/>
    <w:rsid w:val="00E726C7"/>
    <w:rsid w:val="00E72B07"/>
    <w:rsid w:val="00E72EB8"/>
    <w:rsid w:val="00E72FE7"/>
    <w:rsid w:val="00E73136"/>
    <w:rsid w:val="00E738A9"/>
    <w:rsid w:val="00E73BEB"/>
    <w:rsid w:val="00E73E91"/>
    <w:rsid w:val="00E73F3F"/>
    <w:rsid w:val="00E7478E"/>
    <w:rsid w:val="00E748CA"/>
    <w:rsid w:val="00E74D0F"/>
    <w:rsid w:val="00E74FC8"/>
    <w:rsid w:val="00E7547D"/>
    <w:rsid w:val="00E75521"/>
    <w:rsid w:val="00E75B2F"/>
    <w:rsid w:val="00E75F33"/>
    <w:rsid w:val="00E763AD"/>
    <w:rsid w:val="00E76908"/>
    <w:rsid w:val="00E77D66"/>
    <w:rsid w:val="00E77DAE"/>
    <w:rsid w:val="00E81120"/>
    <w:rsid w:val="00E812C6"/>
    <w:rsid w:val="00E8145B"/>
    <w:rsid w:val="00E81FA8"/>
    <w:rsid w:val="00E82F01"/>
    <w:rsid w:val="00E8308C"/>
    <w:rsid w:val="00E831D7"/>
    <w:rsid w:val="00E83931"/>
    <w:rsid w:val="00E84935"/>
    <w:rsid w:val="00E84EA8"/>
    <w:rsid w:val="00E84F3A"/>
    <w:rsid w:val="00E85571"/>
    <w:rsid w:val="00E85C24"/>
    <w:rsid w:val="00E86016"/>
    <w:rsid w:val="00E863D3"/>
    <w:rsid w:val="00E8679C"/>
    <w:rsid w:val="00E86919"/>
    <w:rsid w:val="00E86FDE"/>
    <w:rsid w:val="00E87239"/>
    <w:rsid w:val="00E87528"/>
    <w:rsid w:val="00E87941"/>
    <w:rsid w:val="00E90234"/>
    <w:rsid w:val="00E90538"/>
    <w:rsid w:val="00E90F35"/>
    <w:rsid w:val="00E91B31"/>
    <w:rsid w:val="00E91DDD"/>
    <w:rsid w:val="00E91E3D"/>
    <w:rsid w:val="00E92072"/>
    <w:rsid w:val="00E93137"/>
    <w:rsid w:val="00E93D1E"/>
    <w:rsid w:val="00E94020"/>
    <w:rsid w:val="00E9431D"/>
    <w:rsid w:val="00E95176"/>
    <w:rsid w:val="00E95187"/>
    <w:rsid w:val="00E97ADE"/>
    <w:rsid w:val="00E97F7F"/>
    <w:rsid w:val="00EA0225"/>
    <w:rsid w:val="00EA025B"/>
    <w:rsid w:val="00EA05E0"/>
    <w:rsid w:val="00EA070E"/>
    <w:rsid w:val="00EA0F04"/>
    <w:rsid w:val="00EA11F7"/>
    <w:rsid w:val="00EA175A"/>
    <w:rsid w:val="00EA1763"/>
    <w:rsid w:val="00EA2513"/>
    <w:rsid w:val="00EA25BE"/>
    <w:rsid w:val="00EA27CF"/>
    <w:rsid w:val="00EA2BCE"/>
    <w:rsid w:val="00EA2FFF"/>
    <w:rsid w:val="00EA421F"/>
    <w:rsid w:val="00EA6440"/>
    <w:rsid w:val="00EA7634"/>
    <w:rsid w:val="00EB00C5"/>
    <w:rsid w:val="00EB1A7F"/>
    <w:rsid w:val="00EB1E6F"/>
    <w:rsid w:val="00EB1E8F"/>
    <w:rsid w:val="00EB21FF"/>
    <w:rsid w:val="00EB318F"/>
    <w:rsid w:val="00EB3A8F"/>
    <w:rsid w:val="00EB4733"/>
    <w:rsid w:val="00EB4FC8"/>
    <w:rsid w:val="00EB4FCF"/>
    <w:rsid w:val="00EB51D5"/>
    <w:rsid w:val="00EB5725"/>
    <w:rsid w:val="00EB6943"/>
    <w:rsid w:val="00EB69B4"/>
    <w:rsid w:val="00EB6BB2"/>
    <w:rsid w:val="00EB6D0E"/>
    <w:rsid w:val="00EB7033"/>
    <w:rsid w:val="00EB712A"/>
    <w:rsid w:val="00EB7172"/>
    <w:rsid w:val="00EC0091"/>
    <w:rsid w:val="00EC0676"/>
    <w:rsid w:val="00EC0C82"/>
    <w:rsid w:val="00EC13E6"/>
    <w:rsid w:val="00EC14A9"/>
    <w:rsid w:val="00EC1BBA"/>
    <w:rsid w:val="00EC2148"/>
    <w:rsid w:val="00EC2CBB"/>
    <w:rsid w:val="00EC325F"/>
    <w:rsid w:val="00EC3A53"/>
    <w:rsid w:val="00EC4749"/>
    <w:rsid w:val="00EC494A"/>
    <w:rsid w:val="00EC5A6D"/>
    <w:rsid w:val="00EC5E06"/>
    <w:rsid w:val="00EC6419"/>
    <w:rsid w:val="00EC6620"/>
    <w:rsid w:val="00EC6D44"/>
    <w:rsid w:val="00EC6ED8"/>
    <w:rsid w:val="00EC70D7"/>
    <w:rsid w:val="00EC7363"/>
    <w:rsid w:val="00EC759E"/>
    <w:rsid w:val="00ED0DD4"/>
    <w:rsid w:val="00ED0ED1"/>
    <w:rsid w:val="00ED0F39"/>
    <w:rsid w:val="00ED1205"/>
    <w:rsid w:val="00ED1B2A"/>
    <w:rsid w:val="00ED1CFE"/>
    <w:rsid w:val="00ED1D56"/>
    <w:rsid w:val="00ED1E0B"/>
    <w:rsid w:val="00ED356E"/>
    <w:rsid w:val="00ED3BCC"/>
    <w:rsid w:val="00ED3C2D"/>
    <w:rsid w:val="00ED3F97"/>
    <w:rsid w:val="00ED499C"/>
    <w:rsid w:val="00ED4F71"/>
    <w:rsid w:val="00ED522E"/>
    <w:rsid w:val="00ED5D5E"/>
    <w:rsid w:val="00ED6343"/>
    <w:rsid w:val="00ED699E"/>
    <w:rsid w:val="00ED6E19"/>
    <w:rsid w:val="00ED6E5D"/>
    <w:rsid w:val="00ED7348"/>
    <w:rsid w:val="00ED73D4"/>
    <w:rsid w:val="00ED7922"/>
    <w:rsid w:val="00EE12A7"/>
    <w:rsid w:val="00EE140A"/>
    <w:rsid w:val="00EE1D2A"/>
    <w:rsid w:val="00EE213B"/>
    <w:rsid w:val="00EE3A0D"/>
    <w:rsid w:val="00EE501E"/>
    <w:rsid w:val="00EE5295"/>
    <w:rsid w:val="00EE6C2E"/>
    <w:rsid w:val="00EE6E62"/>
    <w:rsid w:val="00EE7167"/>
    <w:rsid w:val="00EE7BC9"/>
    <w:rsid w:val="00EF01F7"/>
    <w:rsid w:val="00EF167A"/>
    <w:rsid w:val="00EF1CF7"/>
    <w:rsid w:val="00EF20A7"/>
    <w:rsid w:val="00EF21C0"/>
    <w:rsid w:val="00EF21ED"/>
    <w:rsid w:val="00EF2458"/>
    <w:rsid w:val="00EF3053"/>
    <w:rsid w:val="00EF30F8"/>
    <w:rsid w:val="00EF3690"/>
    <w:rsid w:val="00EF44CD"/>
    <w:rsid w:val="00EF53FC"/>
    <w:rsid w:val="00EF554F"/>
    <w:rsid w:val="00EF6D82"/>
    <w:rsid w:val="00EF6DD6"/>
    <w:rsid w:val="00EF6F94"/>
    <w:rsid w:val="00EF790F"/>
    <w:rsid w:val="00EF7E0A"/>
    <w:rsid w:val="00F000A9"/>
    <w:rsid w:val="00F0037C"/>
    <w:rsid w:val="00F00C21"/>
    <w:rsid w:val="00F013CC"/>
    <w:rsid w:val="00F02060"/>
    <w:rsid w:val="00F02A2E"/>
    <w:rsid w:val="00F030E6"/>
    <w:rsid w:val="00F032CE"/>
    <w:rsid w:val="00F035A1"/>
    <w:rsid w:val="00F0361C"/>
    <w:rsid w:val="00F03990"/>
    <w:rsid w:val="00F03BDE"/>
    <w:rsid w:val="00F03DE6"/>
    <w:rsid w:val="00F04AA0"/>
    <w:rsid w:val="00F0762B"/>
    <w:rsid w:val="00F076B3"/>
    <w:rsid w:val="00F077F4"/>
    <w:rsid w:val="00F07E1E"/>
    <w:rsid w:val="00F10D1C"/>
    <w:rsid w:val="00F116FC"/>
    <w:rsid w:val="00F11E68"/>
    <w:rsid w:val="00F126E5"/>
    <w:rsid w:val="00F133AF"/>
    <w:rsid w:val="00F13A0C"/>
    <w:rsid w:val="00F14FCE"/>
    <w:rsid w:val="00F15848"/>
    <w:rsid w:val="00F1591A"/>
    <w:rsid w:val="00F15C4C"/>
    <w:rsid w:val="00F15D67"/>
    <w:rsid w:val="00F15DE3"/>
    <w:rsid w:val="00F16590"/>
    <w:rsid w:val="00F16681"/>
    <w:rsid w:val="00F16DDD"/>
    <w:rsid w:val="00F172E9"/>
    <w:rsid w:val="00F173F1"/>
    <w:rsid w:val="00F17CD9"/>
    <w:rsid w:val="00F21037"/>
    <w:rsid w:val="00F22CCA"/>
    <w:rsid w:val="00F22D8F"/>
    <w:rsid w:val="00F240A8"/>
    <w:rsid w:val="00F244D9"/>
    <w:rsid w:val="00F244E1"/>
    <w:rsid w:val="00F253FA"/>
    <w:rsid w:val="00F25626"/>
    <w:rsid w:val="00F25A5D"/>
    <w:rsid w:val="00F25B0A"/>
    <w:rsid w:val="00F2631A"/>
    <w:rsid w:val="00F27223"/>
    <w:rsid w:val="00F306C9"/>
    <w:rsid w:val="00F30AB3"/>
    <w:rsid w:val="00F30AEB"/>
    <w:rsid w:val="00F30BF5"/>
    <w:rsid w:val="00F31194"/>
    <w:rsid w:val="00F31CD4"/>
    <w:rsid w:val="00F32842"/>
    <w:rsid w:val="00F3352D"/>
    <w:rsid w:val="00F335FB"/>
    <w:rsid w:val="00F33C3F"/>
    <w:rsid w:val="00F34F16"/>
    <w:rsid w:val="00F3518F"/>
    <w:rsid w:val="00F3687E"/>
    <w:rsid w:val="00F36A92"/>
    <w:rsid w:val="00F36FAB"/>
    <w:rsid w:val="00F37F44"/>
    <w:rsid w:val="00F40B28"/>
    <w:rsid w:val="00F40C79"/>
    <w:rsid w:val="00F4250E"/>
    <w:rsid w:val="00F42963"/>
    <w:rsid w:val="00F42FB9"/>
    <w:rsid w:val="00F436AD"/>
    <w:rsid w:val="00F4438F"/>
    <w:rsid w:val="00F4442A"/>
    <w:rsid w:val="00F44C19"/>
    <w:rsid w:val="00F44D55"/>
    <w:rsid w:val="00F45407"/>
    <w:rsid w:val="00F46039"/>
    <w:rsid w:val="00F463DA"/>
    <w:rsid w:val="00F47A68"/>
    <w:rsid w:val="00F47B2F"/>
    <w:rsid w:val="00F47DD6"/>
    <w:rsid w:val="00F50250"/>
    <w:rsid w:val="00F503CE"/>
    <w:rsid w:val="00F5041A"/>
    <w:rsid w:val="00F51013"/>
    <w:rsid w:val="00F51588"/>
    <w:rsid w:val="00F5189D"/>
    <w:rsid w:val="00F51ADD"/>
    <w:rsid w:val="00F534F7"/>
    <w:rsid w:val="00F54301"/>
    <w:rsid w:val="00F54869"/>
    <w:rsid w:val="00F54E01"/>
    <w:rsid w:val="00F5502E"/>
    <w:rsid w:val="00F559EB"/>
    <w:rsid w:val="00F55D41"/>
    <w:rsid w:val="00F56096"/>
    <w:rsid w:val="00F5611F"/>
    <w:rsid w:val="00F56C0C"/>
    <w:rsid w:val="00F56D36"/>
    <w:rsid w:val="00F56FD2"/>
    <w:rsid w:val="00F570F6"/>
    <w:rsid w:val="00F57E67"/>
    <w:rsid w:val="00F600ED"/>
    <w:rsid w:val="00F6024E"/>
    <w:rsid w:val="00F60839"/>
    <w:rsid w:val="00F60A9B"/>
    <w:rsid w:val="00F61267"/>
    <w:rsid w:val="00F61B1A"/>
    <w:rsid w:val="00F61B75"/>
    <w:rsid w:val="00F62266"/>
    <w:rsid w:val="00F62276"/>
    <w:rsid w:val="00F6332C"/>
    <w:rsid w:val="00F644BD"/>
    <w:rsid w:val="00F64765"/>
    <w:rsid w:val="00F6487D"/>
    <w:rsid w:val="00F64916"/>
    <w:rsid w:val="00F64EFE"/>
    <w:rsid w:val="00F6514A"/>
    <w:rsid w:val="00F66715"/>
    <w:rsid w:val="00F67509"/>
    <w:rsid w:val="00F6790E"/>
    <w:rsid w:val="00F67C18"/>
    <w:rsid w:val="00F67DF3"/>
    <w:rsid w:val="00F72B94"/>
    <w:rsid w:val="00F72C78"/>
    <w:rsid w:val="00F73339"/>
    <w:rsid w:val="00F734B3"/>
    <w:rsid w:val="00F74D33"/>
    <w:rsid w:val="00F75511"/>
    <w:rsid w:val="00F757A0"/>
    <w:rsid w:val="00F75943"/>
    <w:rsid w:val="00F75A39"/>
    <w:rsid w:val="00F75BD2"/>
    <w:rsid w:val="00F76747"/>
    <w:rsid w:val="00F802CD"/>
    <w:rsid w:val="00F804E0"/>
    <w:rsid w:val="00F80A95"/>
    <w:rsid w:val="00F80E65"/>
    <w:rsid w:val="00F83141"/>
    <w:rsid w:val="00F8381A"/>
    <w:rsid w:val="00F83833"/>
    <w:rsid w:val="00F84852"/>
    <w:rsid w:val="00F84A27"/>
    <w:rsid w:val="00F84FDD"/>
    <w:rsid w:val="00F85CF2"/>
    <w:rsid w:val="00F8690B"/>
    <w:rsid w:val="00F87549"/>
    <w:rsid w:val="00F90401"/>
    <w:rsid w:val="00F930A6"/>
    <w:rsid w:val="00F930EB"/>
    <w:rsid w:val="00F939B9"/>
    <w:rsid w:val="00F93F39"/>
    <w:rsid w:val="00F946D2"/>
    <w:rsid w:val="00F94DD8"/>
    <w:rsid w:val="00F951A3"/>
    <w:rsid w:val="00F95578"/>
    <w:rsid w:val="00F95843"/>
    <w:rsid w:val="00F962C6"/>
    <w:rsid w:val="00F9691C"/>
    <w:rsid w:val="00F96DB9"/>
    <w:rsid w:val="00F975AA"/>
    <w:rsid w:val="00FA18CE"/>
    <w:rsid w:val="00FA1FA8"/>
    <w:rsid w:val="00FA2979"/>
    <w:rsid w:val="00FA2B34"/>
    <w:rsid w:val="00FA311F"/>
    <w:rsid w:val="00FA3257"/>
    <w:rsid w:val="00FA3333"/>
    <w:rsid w:val="00FA3ACB"/>
    <w:rsid w:val="00FA501E"/>
    <w:rsid w:val="00FA530A"/>
    <w:rsid w:val="00FA57A2"/>
    <w:rsid w:val="00FA5A21"/>
    <w:rsid w:val="00FA6171"/>
    <w:rsid w:val="00FA6789"/>
    <w:rsid w:val="00FA6CD1"/>
    <w:rsid w:val="00FA7115"/>
    <w:rsid w:val="00FA716D"/>
    <w:rsid w:val="00FA74CC"/>
    <w:rsid w:val="00FA7676"/>
    <w:rsid w:val="00FA7B36"/>
    <w:rsid w:val="00FA7E69"/>
    <w:rsid w:val="00FB0D32"/>
    <w:rsid w:val="00FB0FF9"/>
    <w:rsid w:val="00FB11B2"/>
    <w:rsid w:val="00FB12DD"/>
    <w:rsid w:val="00FB1617"/>
    <w:rsid w:val="00FB16E5"/>
    <w:rsid w:val="00FB2254"/>
    <w:rsid w:val="00FB2600"/>
    <w:rsid w:val="00FB28CD"/>
    <w:rsid w:val="00FB30FD"/>
    <w:rsid w:val="00FB3209"/>
    <w:rsid w:val="00FB37B1"/>
    <w:rsid w:val="00FB4AC2"/>
    <w:rsid w:val="00FB4C71"/>
    <w:rsid w:val="00FB4DD9"/>
    <w:rsid w:val="00FB5175"/>
    <w:rsid w:val="00FB5DE4"/>
    <w:rsid w:val="00FB672D"/>
    <w:rsid w:val="00FB71D1"/>
    <w:rsid w:val="00FB7558"/>
    <w:rsid w:val="00FB7EBF"/>
    <w:rsid w:val="00FC01F7"/>
    <w:rsid w:val="00FC042F"/>
    <w:rsid w:val="00FC078C"/>
    <w:rsid w:val="00FC0B21"/>
    <w:rsid w:val="00FC0EB5"/>
    <w:rsid w:val="00FC10ED"/>
    <w:rsid w:val="00FC19EF"/>
    <w:rsid w:val="00FC1CA7"/>
    <w:rsid w:val="00FC228A"/>
    <w:rsid w:val="00FC2771"/>
    <w:rsid w:val="00FC3C19"/>
    <w:rsid w:val="00FC3EA2"/>
    <w:rsid w:val="00FC575D"/>
    <w:rsid w:val="00FC5BB3"/>
    <w:rsid w:val="00FC6BE0"/>
    <w:rsid w:val="00FC7C94"/>
    <w:rsid w:val="00FC7CB2"/>
    <w:rsid w:val="00FC7D99"/>
    <w:rsid w:val="00FD01DD"/>
    <w:rsid w:val="00FD0453"/>
    <w:rsid w:val="00FD0A01"/>
    <w:rsid w:val="00FD1F41"/>
    <w:rsid w:val="00FD1F61"/>
    <w:rsid w:val="00FD3193"/>
    <w:rsid w:val="00FD3401"/>
    <w:rsid w:val="00FD493E"/>
    <w:rsid w:val="00FD4C4B"/>
    <w:rsid w:val="00FD5513"/>
    <w:rsid w:val="00FD5580"/>
    <w:rsid w:val="00FD6368"/>
    <w:rsid w:val="00FD6546"/>
    <w:rsid w:val="00FD6727"/>
    <w:rsid w:val="00FD6B63"/>
    <w:rsid w:val="00FD6D0E"/>
    <w:rsid w:val="00FD76E8"/>
    <w:rsid w:val="00FD7F53"/>
    <w:rsid w:val="00FE03B1"/>
    <w:rsid w:val="00FE0737"/>
    <w:rsid w:val="00FE1BD3"/>
    <w:rsid w:val="00FE2432"/>
    <w:rsid w:val="00FE2F4D"/>
    <w:rsid w:val="00FE347B"/>
    <w:rsid w:val="00FE362C"/>
    <w:rsid w:val="00FE41E6"/>
    <w:rsid w:val="00FE432A"/>
    <w:rsid w:val="00FE4A92"/>
    <w:rsid w:val="00FE54B0"/>
    <w:rsid w:val="00FE5DFB"/>
    <w:rsid w:val="00FE6014"/>
    <w:rsid w:val="00FE6A3F"/>
    <w:rsid w:val="00FE6CBD"/>
    <w:rsid w:val="00FE6F83"/>
    <w:rsid w:val="00FE787C"/>
    <w:rsid w:val="00FE7A66"/>
    <w:rsid w:val="00FF04BC"/>
    <w:rsid w:val="00FF0615"/>
    <w:rsid w:val="00FF0B58"/>
    <w:rsid w:val="00FF1718"/>
    <w:rsid w:val="00FF2B29"/>
    <w:rsid w:val="00FF2C28"/>
    <w:rsid w:val="00FF31D8"/>
    <w:rsid w:val="00FF373C"/>
    <w:rsid w:val="00FF3A58"/>
    <w:rsid w:val="00FF3E51"/>
    <w:rsid w:val="00FF43B2"/>
    <w:rsid w:val="00FF45ED"/>
    <w:rsid w:val="00FF5203"/>
    <w:rsid w:val="00FF63F5"/>
    <w:rsid w:val="00FF6D1B"/>
    <w:rsid w:val="00FF76E0"/>
    <w:rsid w:val="00FF7D26"/>
    <w:rsid w:val="0165A4D9"/>
    <w:rsid w:val="01DD3986"/>
    <w:rsid w:val="02127DAD"/>
    <w:rsid w:val="025142F7"/>
    <w:rsid w:val="030CCB61"/>
    <w:rsid w:val="047053F7"/>
    <w:rsid w:val="08559A7A"/>
    <w:rsid w:val="08B5C60A"/>
    <w:rsid w:val="08D30E79"/>
    <w:rsid w:val="097907E3"/>
    <w:rsid w:val="09D6BDF5"/>
    <w:rsid w:val="0A1D339B"/>
    <w:rsid w:val="0BE6365F"/>
    <w:rsid w:val="0C788ED3"/>
    <w:rsid w:val="0E941F02"/>
    <w:rsid w:val="0E94F40B"/>
    <w:rsid w:val="0F4DC5E5"/>
    <w:rsid w:val="10301025"/>
    <w:rsid w:val="10F6076C"/>
    <w:rsid w:val="113C2D86"/>
    <w:rsid w:val="1285E1EB"/>
    <w:rsid w:val="13DFD0E7"/>
    <w:rsid w:val="142449DA"/>
    <w:rsid w:val="15DCD483"/>
    <w:rsid w:val="18E2577E"/>
    <w:rsid w:val="18E67902"/>
    <w:rsid w:val="1C7C4094"/>
    <w:rsid w:val="1C9714D4"/>
    <w:rsid w:val="1C9DF1B9"/>
    <w:rsid w:val="1D72609D"/>
    <w:rsid w:val="1DB23177"/>
    <w:rsid w:val="1DB3BD4C"/>
    <w:rsid w:val="1DCB7B1A"/>
    <w:rsid w:val="1E2F77A3"/>
    <w:rsid w:val="1F8E5DCE"/>
    <w:rsid w:val="20F3F92B"/>
    <w:rsid w:val="215C5CA4"/>
    <w:rsid w:val="23E86383"/>
    <w:rsid w:val="24856ABD"/>
    <w:rsid w:val="261F7E4E"/>
    <w:rsid w:val="26A672D6"/>
    <w:rsid w:val="28C8C1BA"/>
    <w:rsid w:val="29411965"/>
    <w:rsid w:val="2A9806DE"/>
    <w:rsid w:val="2A9F4EF2"/>
    <w:rsid w:val="2B5AA37F"/>
    <w:rsid w:val="2CCA6D0F"/>
    <w:rsid w:val="2CF1BDFC"/>
    <w:rsid w:val="2D3CCEA8"/>
    <w:rsid w:val="2D535804"/>
    <w:rsid w:val="2D7202EE"/>
    <w:rsid w:val="2E10B847"/>
    <w:rsid w:val="2FD1EB7D"/>
    <w:rsid w:val="312CBA9B"/>
    <w:rsid w:val="31D444BC"/>
    <w:rsid w:val="325B84AC"/>
    <w:rsid w:val="325ED209"/>
    <w:rsid w:val="351EA6FC"/>
    <w:rsid w:val="35D74FB4"/>
    <w:rsid w:val="36B1F2F2"/>
    <w:rsid w:val="38E8D693"/>
    <w:rsid w:val="399F2672"/>
    <w:rsid w:val="3A290C09"/>
    <w:rsid w:val="3B1B8D8A"/>
    <w:rsid w:val="3C7B09D5"/>
    <w:rsid w:val="3D5451DF"/>
    <w:rsid w:val="3F4AD120"/>
    <w:rsid w:val="3F987BC2"/>
    <w:rsid w:val="4019B43D"/>
    <w:rsid w:val="41D9F3EA"/>
    <w:rsid w:val="42BA5131"/>
    <w:rsid w:val="42BC62F1"/>
    <w:rsid w:val="4431EC18"/>
    <w:rsid w:val="4564DBEB"/>
    <w:rsid w:val="45C967FF"/>
    <w:rsid w:val="46F75A22"/>
    <w:rsid w:val="477E87AF"/>
    <w:rsid w:val="49ED427A"/>
    <w:rsid w:val="4C660A86"/>
    <w:rsid w:val="4DEE6559"/>
    <w:rsid w:val="4E1891AF"/>
    <w:rsid w:val="4E898A69"/>
    <w:rsid w:val="5005D263"/>
    <w:rsid w:val="508CEEFD"/>
    <w:rsid w:val="5158E1CD"/>
    <w:rsid w:val="517F20A0"/>
    <w:rsid w:val="53DF6140"/>
    <w:rsid w:val="5483AA3F"/>
    <w:rsid w:val="5682DB7B"/>
    <w:rsid w:val="57B7EF02"/>
    <w:rsid w:val="57EBDE75"/>
    <w:rsid w:val="586DAF8B"/>
    <w:rsid w:val="5BB20D05"/>
    <w:rsid w:val="5C0A2B73"/>
    <w:rsid w:val="5C553E15"/>
    <w:rsid w:val="5CF4C6A8"/>
    <w:rsid w:val="5DB4B076"/>
    <w:rsid w:val="5E36D003"/>
    <w:rsid w:val="5E73108C"/>
    <w:rsid w:val="5F3B8695"/>
    <w:rsid w:val="5FDD70D6"/>
    <w:rsid w:val="60A0CE30"/>
    <w:rsid w:val="60C29FA7"/>
    <w:rsid w:val="6170FEC5"/>
    <w:rsid w:val="61C08B52"/>
    <w:rsid w:val="62EDD990"/>
    <w:rsid w:val="62F16017"/>
    <w:rsid w:val="63851C9E"/>
    <w:rsid w:val="63F2A97A"/>
    <w:rsid w:val="63FE099D"/>
    <w:rsid w:val="655E9C01"/>
    <w:rsid w:val="65D31CD3"/>
    <w:rsid w:val="674D7210"/>
    <w:rsid w:val="67EB6890"/>
    <w:rsid w:val="6816AA2C"/>
    <w:rsid w:val="6893963F"/>
    <w:rsid w:val="68F54581"/>
    <w:rsid w:val="6903A53B"/>
    <w:rsid w:val="69325D34"/>
    <w:rsid w:val="697427F4"/>
    <w:rsid w:val="6A2A4BD1"/>
    <w:rsid w:val="6A922FCB"/>
    <w:rsid w:val="6A9D8796"/>
    <w:rsid w:val="6CBA5896"/>
    <w:rsid w:val="6CF65081"/>
    <w:rsid w:val="6E92DE88"/>
    <w:rsid w:val="6EDF28CB"/>
    <w:rsid w:val="6EE8A00E"/>
    <w:rsid w:val="6F85B78C"/>
    <w:rsid w:val="6FBCBC3C"/>
    <w:rsid w:val="708E4CF3"/>
    <w:rsid w:val="70CEE9CA"/>
    <w:rsid w:val="71142023"/>
    <w:rsid w:val="717AAB7E"/>
    <w:rsid w:val="7185E632"/>
    <w:rsid w:val="739D1C5B"/>
    <w:rsid w:val="7449C540"/>
    <w:rsid w:val="75C31B47"/>
    <w:rsid w:val="765B96B6"/>
    <w:rsid w:val="766C400F"/>
    <w:rsid w:val="76728FCD"/>
    <w:rsid w:val="76D054D0"/>
    <w:rsid w:val="77FBCCC2"/>
    <w:rsid w:val="788C4989"/>
    <w:rsid w:val="78BE1743"/>
    <w:rsid w:val="792CD249"/>
    <w:rsid w:val="7984517A"/>
    <w:rsid w:val="79C66475"/>
    <w:rsid w:val="7A6471AE"/>
    <w:rsid w:val="7B49E25B"/>
    <w:rsid w:val="7B66B182"/>
    <w:rsid w:val="7B94039C"/>
    <w:rsid w:val="7BC3C228"/>
    <w:rsid w:val="7BC48D6F"/>
    <w:rsid w:val="7C1F937F"/>
    <w:rsid w:val="7D47FFDC"/>
    <w:rsid w:val="7D863F60"/>
    <w:rsid w:val="7D9E7764"/>
    <w:rsid w:val="7DFAFDB3"/>
    <w:rsid w:val="7E8ACB72"/>
    <w:rsid w:val="7E903AB5"/>
    <w:rsid w:val="7EFB959C"/>
    <w:rsid w:val="7F1AB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docId w15:val="{94A8B9AE-037E-4DCC-9821-AA6D5CF1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link w:val="ListParagraphChar"/>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2725E"/>
    <w:pPr>
      <w:tabs>
        <w:tab w:val="right" w:leader="dot" w:pos="9710"/>
      </w:tabs>
      <w:spacing w:after="100"/>
    </w:pPr>
    <w:rPr>
      <w:rFonts w:cstheme="minorHAnsi"/>
      <w:i/>
      <w:iCs/>
      <w:noProof/>
    </w:rPr>
  </w:style>
  <w:style w:type="character" w:styleId="Emphasis">
    <w:name w:val="Emphasis"/>
    <w:basedOn w:val="DefaultParagraphFont"/>
    <w:uiPriority w:val="20"/>
    <w:qFormat/>
    <w:rsid w:val="001626F0"/>
    <w:rPr>
      <w:i/>
      <w:iCs/>
    </w:rPr>
  </w:style>
  <w:style w:type="character" w:customStyle="1" w:styleId="FootnoteTextChar1">
    <w:name w:val="Footnote Text Char1"/>
    <w:basedOn w:val="DefaultParagraphFont"/>
    <w:uiPriority w:val="99"/>
    <w:rsid w:val="00BD39AC"/>
    <w:rPr>
      <w:sz w:val="20"/>
      <w:szCs w:val="20"/>
    </w:rPr>
  </w:style>
  <w:style w:type="character" w:styleId="UnresolvedMention">
    <w:name w:val="Unresolved Mention"/>
    <w:basedOn w:val="DefaultParagraphFont"/>
    <w:uiPriority w:val="99"/>
    <w:semiHidden/>
    <w:unhideWhenUsed/>
    <w:rsid w:val="00401553"/>
    <w:rPr>
      <w:color w:val="605E5C"/>
      <w:shd w:val="clear" w:color="auto" w:fill="E1DFDD"/>
    </w:rPr>
  </w:style>
  <w:style w:type="character" w:customStyle="1" w:styleId="ListParagraphChar">
    <w:name w:val="List Paragraph Char"/>
    <w:basedOn w:val="DefaultParagraphFont"/>
    <w:link w:val="ListParagraph"/>
    <w:uiPriority w:val="34"/>
    <w:rsid w:val="00575025"/>
  </w:style>
  <w:style w:type="paragraph" w:styleId="Caption">
    <w:name w:val="caption"/>
    <w:basedOn w:val="Normal"/>
    <w:next w:val="Normal"/>
    <w:uiPriority w:val="35"/>
    <w:unhideWhenUsed/>
    <w:qFormat/>
    <w:rsid w:val="0025244D"/>
    <w:pPr>
      <w:spacing w:after="200" w:line="240" w:lineRule="auto"/>
    </w:pPr>
    <w:rPr>
      <w:b/>
      <w:bCs/>
      <w:color w:val="4472C4" w:themeColor="accent1"/>
      <w:sz w:val="18"/>
      <w:szCs w:val="18"/>
    </w:rPr>
  </w:style>
  <w:style w:type="character" w:customStyle="1" w:styleId="normaltextrun">
    <w:name w:val="normaltextrun"/>
    <w:basedOn w:val="DefaultParagraphFont"/>
    <w:rsid w:val="003D2DE6"/>
  </w:style>
  <w:style w:type="character" w:customStyle="1" w:styleId="eop">
    <w:name w:val="eop"/>
    <w:basedOn w:val="DefaultParagraphFont"/>
    <w:rsid w:val="003D2DE6"/>
  </w:style>
  <w:style w:type="paragraph" w:customStyle="1" w:styleId="paragraph">
    <w:name w:val="paragraph"/>
    <w:basedOn w:val="Normal"/>
    <w:rsid w:val="0038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84DDC"/>
  </w:style>
  <w:style w:type="paragraph" w:customStyle="1" w:styleId="Default">
    <w:name w:val="Default"/>
    <w:rsid w:val="006674E1"/>
    <w:pPr>
      <w:autoSpaceDE w:val="0"/>
      <w:autoSpaceDN w:val="0"/>
      <w:adjustRightInd w:val="0"/>
      <w:spacing w:after="0" w:line="240" w:lineRule="auto"/>
    </w:pPr>
    <w:rPr>
      <w:rFonts w:ascii="HQIEQ S+ Times New" w:hAnsi="HQIEQ S+ Times New" w:cs="HQIEQ S+ Times New"/>
      <w:color w:val="000000"/>
      <w:sz w:val="24"/>
      <w:szCs w:val="24"/>
    </w:rPr>
  </w:style>
  <w:style w:type="paragraph" w:styleId="NormalWeb">
    <w:name w:val="Normal (Web)"/>
    <w:basedOn w:val="Normal"/>
    <w:uiPriority w:val="99"/>
    <w:unhideWhenUsed/>
    <w:rsid w:val="008E4932"/>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568F4"/>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3568F4"/>
    <w:rPr>
      <w:rFonts w:ascii="Times New Roman" w:eastAsia="Times New Roman" w:hAnsi="Times New Roman"/>
      <w:sz w:val="19"/>
      <w:szCs w:val="19"/>
    </w:rPr>
  </w:style>
  <w:style w:type="character" w:customStyle="1" w:styleId="has-tooltip">
    <w:name w:val="has-tooltip"/>
    <w:basedOn w:val="DefaultParagraphFont"/>
    <w:rsid w:val="00A93146"/>
  </w:style>
  <w:style w:type="character" w:customStyle="1" w:styleId="cf01">
    <w:name w:val="cf01"/>
    <w:basedOn w:val="DefaultParagraphFont"/>
    <w:rsid w:val="004538A0"/>
    <w:rPr>
      <w:rFonts w:ascii="Segoe UI" w:hAnsi="Segoe UI" w:cs="Segoe UI" w:hint="default"/>
      <w:sz w:val="18"/>
      <w:szCs w:val="18"/>
    </w:rPr>
  </w:style>
  <w:style w:type="table" w:styleId="GridTable1Light">
    <w:name w:val="Grid Table 1 Light"/>
    <w:basedOn w:val="TableNormal"/>
    <w:uiPriority w:val="46"/>
    <w:rsid w:val="007775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775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8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80E65"/>
    <w:rPr>
      <w:rFonts w:ascii="Segoe UI" w:hAnsi="Segoe UI" w:cs="Segoe UI" w:hint="default"/>
      <w:sz w:val="18"/>
      <w:szCs w:val="18"/>
    </w:rPr>
  </w:style>
  <w:style w:type="paragraph" w:customStyle="1" w:styleId="xxmsolistparagraph">
    <w:name w:val="x_xmsolistparagraph"/>
    <w:basedOn w:val="Normal"/>
    <w:rsid w:val="002742C0"/>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C07E52"/>
    <w:rPr>
      <w:color w:val="954F72" w:themeColor="followedHyperlink"/>
      <w:u w:val="single"/>
    </w:rPr>
  </w:style>
  <w:style w:type="paragraph" w:customStyle="1" w:styleId="TableParagraph">
    <w:name w:val="Table Paragraph"/>
    <w:basedOn w:val="Normal"/>
    <w:uiPriority w:val="1"/>
    <w:qFormat/>
    <w:rsid w:val="00CA398E"/>
    <w:pPr>
      <w:widowControl w:val="0"/>
      <w:autoSpaceDE w:val="0"/>
      <w:autoSpaceDN w:val="0"/>
      <w:spacing w:after="0" w:line="240" w:lineRule="auto"/>
    </w:pPr>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customStyle="1" w:styleId="RB2Bullets">
    <w:name w:val="RB2 Bullets"/>
    <w:basedOn w:val="Normal"/>
    <w:rsid w:val="008B71CA"/>
    <w:pPr>
      <w:numPr>
        <w:ilvl w:val="1"/>
        <w:numId w:val="12"/>
      </w:numPr>
      <w:spacing w:after="120" w:line="240" w:lineRule="auto"/>
    </w:pPr>
    <w:rPr>
      <w:rFonts w:ascii="Times New Roman" w:eastAsia="Calibri" w:hAnsi="Times New Roman" w:cs="Times New Roman"/>
      <w:sz w:val="24"/>
      <w:szCs w:val="20"/>
    </w:rPr>
  </w:style>
  <w:style w:type="paragraph" w:customStyle="1" w:styleId="RB3Bullets">
    <w:name w:val="RB3 Bullets"/>
    <w:basedOn w:val="Normal"/>
    <w:rsid w:val="008B71CA"/>
    <w:pPr>
      <w:numPr>
        <w:ilvl w:val="2"/>
        <w:numId w:val="12"/>
      </w:numPr>
      <w:spacing w:after="120" w:line="240" w:lineRule="auto"/>
    </w:pPr>
    <w:rPr>
      <w:rFonts w:ascii="Times New Roman" w:eastAsia="Calibri" w:hAnsi="Times New Roman" w:cs="Times New Roman"/>
      <w:sz w:val="24"/>
      <w:szCs w:val="20"/>
    </w:rPr>
  </w:style>
  <w:style w:type="paragraph" w:customStyle="1" w:styleId="RB4Bullets">
    <w:name w:val="RB4 Bullets"/>
    <w:basedOn w:val="Normal"/>
    <w:rsid w:val="008B71CA"/>
    <w:pPr>
      <w:numPr>
        <w:ilvl w:val="3"/>
        <w:numId w:val="12"/>
      </w:numPr>
      <w:spacing w:after="120" w:line="240" w:lineRule="auto"/>
    </w:pPr>
    <w:rPr>
      <w:rFonts w:ascii="Times New Roman" w:eastAsia="Calibri" w:hAnsi="Times New Roman" w:cs="Times New Roman"/>
      <w:sz w:val="24"/>
      <w:szCs w:val="20"/>
    </w:rPr>
  </w:style>
  <w:style w:type="paragraph" w:customStyle="1" w:styleId="RB5Bullets">
    <w:name w:val="RB5 Bullets"/>
    <w:basedOn w:val="Normal"/>
    <w:rsid w:val="008B71CA"/>
    <w:pPr>
      <w:numPr>
        <w:ilvl w:val="4"/>
        <w:numId w:val="12"/>
      </w:numPr>
      <w:spacing w:after="120" w:line="240" w:lineRule="auto"/>
    </w:pPr>
    <w:rPr>
      <w:rFonts w:ascii="Times New Roman" w:eastAsia="Calibri" w:hAnsi="Times New Roman" w:cs="Times New Roman"/>
      <w:sz w:val="24"/>
      <w:szCs w:val="20"/>
    </w:rPr>
  </w:style>
  <w:style w:type="paragraph" w:customStyle="1" w:styleId="RB6Bullets">
    <w:name w:val="RB6 Bullets"/>
    <w:basedOn w:val="Normal"/>
    <w:rsid w:val="008B71CA"/>
    <w:pPr>
      <w:numPr>
        <w:ilvl w:val="5"/>
        <w:numId w:val="12"/>
      </w:numPr>
      <w:spacing w:after="120" w:line="240" w:lineRule="auto"/>
    </w:pPr>
    <w:rPr>
      <w:rFonts w:ascii="Times New Roman" w:eastAsia="Calibri" w:hAnsi="Times New Roman" w:cs="Times New Roman"/>
      <w:sz w:val="24"/>
      <w:szCs w:val="20"/>
    </w:rPr>
  </w:style>
  <w:style w:type="paragraph" w:customStyle="1" w:styleId="RB7Bullets">
    <w:name w:val="RB7 Bullets"/>
    <w:basedOn w:val="Normal"/>
    <w:rsid w:val="008B71CA"/>
    <w:pPr>
      <w:numPr>
        <w:ilvl w:val="6"/>
        <w:numId w:val="12"/>
      </w:numPr>
      <w:spacing w:after="120" w:line="240" w:lineRule="auto"/>
    </w:pPr>
    <w:rPr>
      <w:rFonts w:ascii="Times New Roman" w:eastAsia="Calibri" w:hAnsi="Times New Roman" w:cs="Times New Roman"/>
      <w:sz w:val="24"/>
      <w:szCs w:val="20"/>
    </w:rPr>
  </w:style>
  <w:style w:type="paragraph" w:customStyle="1" w:styleId="RB8Bullets">
    <w:name w:val="RB8 Bullets"/>
    <w:basedOn w:val="Normal"/>
    <w:rsid w:val="008B71CA"/>
    <w:pPr>
      <w:numPr>
        <w:ilvl w:val="7"/>
        <w:numId w:val="12"/>
      </w:numPr>
      <w:spacing w:after="120" w:line="240" w:lineRule="auto"/>
    </w:pPr>
    <w:rPr>
      <w:rFonts w:ascii="Times New Roman" w:eastAsia="Calibri" w:hAnsi="Times New Roman" w:cs="Times New Roman"/>
      <w:sz w:val="24"/>
      <w:szCs w:val="20"/>
    </w:rPr>
  </w:style>
  <w:style w:type="paragraph" w:customStyle="1" w:styleId="RB9Bullets">
    <w:name w:val="RB9 Bullets"/>
    <w:basedOn w:val="Normal"/>
    <w:rsid w:val="008B71CA"/>
    <w:pPr>
      <w:numPr>
        <w:ilvl w:val="8"/>
        <w:numId w:val="12"/>
      </w:numPr>
      <w:spacing w:after="120" w:line="240" w:lineRule="auto"/>
    </w:pPr>
    <w:rPr>
      <w:rFonts w:ascii="Times New Roman" w:eastAsia="Calibri" w:hAnsi="Times New Roman" w:cs="Times New Roman"/>
      <w:sz w:val="24"/>
      <w:szCs w:val="20"/>
    </w:rPr>
  </w:style>
  <w:style w:type="paragraph" w:customStyle="1" w:styleId="RBUBullets">
    <w:name w:val="RBU Bullets"/>
    <w:basedOn w:val="Normal"/>
    <w:link w:val="RBUBulletsChar"/>
    <w:rsid w:val="008B71CA"/>
    <w:pPr>
      <w:numPr>
        <w:numId w:val="12"/>
      </w:numPr>
      <w:spacing w:after="120" w:line="240" w:lineRule="auto"/>
      <w:ind w:left="720"/>
      <w:jc w:val="both"/>
    </w:pPr>
    <w:rPr>
      <w:rFonts w:ascii="Times New Roman" w:eastAsia="Calibri" w:hAnsi="Times New Roman" w:cs="Times New Roman"/>
      <w:sz w:val="24"/>
      <w:szCs w:val="20"/>
    </w:rPr>
  </w:style>
  <w:style w:type="character" w:customStyle="1" w:styleId="RBUBulletsChar">
    <w:name w:val="RBU Bullets Char"/>
    <w:basedOn w:val="DefaultParagraphFont"/>
    <w:link w:val="RBUBullets"/>
    <w:rsid w:val="008B71CA"/>
    <w:rPr>
      <w:rFonts w:ascii="Times New Roman" w:eastAsia="Calibri" w:hAnsi="Times New Roman" w:cs="Times New Roman"/>
      <w:sz w:val="24"/>
      <w:szCs w:val="20"/>
    </w:rPr>
  </w:style>
  <w:style w:type="paragraph" w:customStyle="1" w:styleId="elementtoproof">
    <w:name w:val="elementtoproof"/>
    <w:basedOn w:val="Normal"/>
    <w:rsid w:val="00F02A2E"/>
    <w:pPr>
      <w:spacing w:after="0" w:line="240" w:lineRule="auto"/>
    </w:pPr>
    <w:rPr>
      <w:rFonts w:ascii="Calibri" w:eastAsia="MS Mincho" w:hAnsi="Calibri" w:cs="Calibri"/>
      <w:lang w:eastAsia="zh-CN"/>
    </w:rPr>
  </w:style>
  <w:style w:type="paragraph" w:customStyle="1" w:styleId="R2Para1D">
    <w:name w:val="R2 Para 1&quot;D"/>
    <w:basedOn w:val="Normal"/>
    <w:rsid w:val="00AB4212"/>
    <w:pPr>
      <w:spacing w:after="0" w:line="480" w:lineRule="auto"/>
      <w:ind w:firstLine="1440"/>
    </w:pPr>
    <w:rPr>
      <w:rFonts w:ascii="Times New Roman" w:eastAsiaTheme="minorEastAsia"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4543">
      <w:bodyDiv w:val="1"/>
      <w:marLeft w:val="0"/>
      <w:marRight w:val="0"/>
      <w:marTop w:val="0"/>
      <w:marBottom w:val="0"/>
      <w:divBdr>
        <w:top w:val="none" w:sz="0" w:space="0" w:color="auto"/>
        <w:left w:val="none" w:sz="0" w:space="0" w:color="auto"/>
        <w:bottom w:val="none" w:sz="0" w:space="0" w:color="auto"/>
        <w:right w:val="none" w:sz="0" w:space="0" w:color="auto"/>
      </w:divBdr>
      <w:divsChild>
        <w:div w:id="94643680">
          <w:marLeft w:val="0"/>
          <w:marRight w:val="0"/>
          <w:marTop w:val="0"/>
          <w:marBottom w:val="0"/>
          <w:divBdr>
            <w:top w:val="none" w:sz="0" w:space="0" w:color="auto"/>
            <w:left w:val="none" w:sz="0" w:space="0" w:color="auto"/>
            <w:bottom w:val="none" w:sz="0" w:space="0" w:color="auto"/>
            <w:right w:val="none" w:sz="0" w:space="0" w:color="auto"/>
          </w:divBdr>
        </w:div>
        <w:div w:id="113984191">
          <w:marLeft w:val="0"/>
          <w:marRight w:val="0"/>
          <w:marTop w:val="0"/>
          <w:marBottom w:val="0"/>
          <w:divBdr>
            <w:top w:val="none" w:sz="0" w:space="0" w:color="auto"/>
            <w:left w:val="none" w:sz="0" w:space="0" w:color="auto"/>
            <w:bottom w:val="none" w:sz="0" w:space="0" w:color="auto"/>
            <w:right w:val="none" w:sz="0" w:space="0" w:color="auto"/>
          </w:divBdr>
        </w:div>
        <w:div w:id="202595823">
          <w:marLeft w:val="0"/>
          <w:marRight w:val="0"/>
          <w:marTop w:val="0"/>
          <w:marBottom w:val="0"/>
          <w:divBdr>
            <w:top w:val="none" w:sz="0" w:space="0" w:color="auto"/>
            <w:left w:val="none" w:sz="0" w:space="0" w:color="auto"/>
            <w:bottom w:val="none" w:sz="0" w:space="0" w:color="auto"/>
            <w:right w:val="none" w:sz="0" w:space="0" w:color="auto"/>
          </w:divBdr>
        </w:div>
        <w:div w:id="237595693">
          <w:marLeft w:val="0"/>
          <w:marRight w:val="0"/>
          <w:marTop w:val="0"/>
          <w:marBottom w:val="0"/>
          <w:divBdr>
            <w:top w:val="none" w:sz="0" w:space="0" w:color="auto"/>
            <w:left w:val="none" w:sz="0" w:space="0" w:color="auto"/>
            <w:bottom w:val="none" w:sz="0" w:space="0" w:color="auto"/>
            <w:right w:val="none" w:sz="0" w:space="0" w:color="auto"/>
          </w:divBdr>
        </w:div>
        <w:div w:id="252517420">
          <w:marLeft w:val="0"/>
          <w:marRight w:val="0"/>
          <w:marTop w:val="0"/>
          <w:marBottom w:val="0"/>
          <w:divBdr>
            <w:top w:val="none" w:sz="0" w:space="0" w:color="auto"/>
            <w:left w:val="none" w:sz="0" w:space="0" w:color="auto"/>
            <w:bottom w:val="none" w:sz="0" w:space="0" w:color="auto"/>
            <w:right w:val="none" w:sz="0" w:space="0" w:color="auto"/>
          </w:divBdr>
        </w:div>
        <w:div w:id="458689692">
          <w:marLeft w:val="0"/>
          <w:marRight w:val="0"/>
          <w:marTop w:val="0"/>
          <w:marBottom w:val="0"/>
          <w:divBdr>
            <w:top w:val="none" w:sz="0" w:space="0" w:color="auto"/>
            <w:left w:val="none" w:sz="0" w:space="0" w:color="auto"/>
            <w:bottom w:val="none" w:sz="0" w:space="0" w:color="auto"/>
            <w:right w:val="none" w:sz="0" w:space="0" w:color="auto"/>
          </w:divBdr>
        </w:div>
        <w:div w:id="534269145">
          <w:marLeft w:val="0"/>
          <w:marRight w:val="0"/>
          <w:marTop w:val="0"/>
          <w:marBottom w:val="0"/>
          <w:divBdr>
            <w:top w:val="none" w:sz="0" w:space="0" w:color="auto"/>
            <w:left w:val="none" w:sz="0" w:space="0" w:color="auto"/>
            <w:bottom w:val="none" w:sz="0" w:space="0" w:color="auto"/>
            <w:right w:val="none" w:sz="0" w:space="0" w:color="auto"/>
          </w:divBdr>
        </w:div>
        <w:div w:id="600725304">
          <w:marLeft w:val="0"/>
          <w:marRight w:val="0"/>
          <w:marTop w:val="0"/>
          <w:marBottom w:val="0"/>
          <w:divBdr>
            <w:top w:val="none" w:sz="0" w:space="0" w:color="auto"/>
            <w:left w:val="none" w:sz="0" w:space="0" w:color="auto"/>
            <w:bottom w:val="none" w:sz="0" w:space="0" w:color="auto"/>
            <w:right w:val="none" w:sz="0" w:space="0" w:color="auto"/>
          </w:divBdr>
        </w:div>
        <w:div w:id="786462930">
          <w:marLeft w:val="0"/>
          <w:marRight w:val="0"/>
          <w:marTop w:val="0"/>
          <w:marBottom w:val="0"/>
          <w:divBdr>
            <w:top w:val="none" w:sz="0" w:space="0" w:color="auto"/>
            <w:left w:val="none" w:sz="0" w:space="0" w:color="auto"/>
            <w:bottom w:val="none" w:sz="0" w:space="0" w:color="auto"/>
            <w:right w:val="none" w:sz="0" w:space="0" w:color="auto"/>
          </w:divBdr>
        </w:div>
        <w:div w:id="918637133">
          <w:marLeft w:val="0"/>
          <w:marRight w:val="0"/>
          <w:marTop w:val="0"/>
          <w:marBottom w:val="0"/>
          <w:divBdr>
            <w:top w:val="none" w:sz="0" w:space="0" w:color="auto"/>
            <w:left w:val="none" w:sz="0" w:space="0" w:color="auto"/>
            <w:bottom w:val="none" w:sz="0" w:space="0" w:color="auto"/>
            <w:right w:val="none" w:sz="0" w:space="0" w:color="auto"/>
          </w:divBdr>
        </w:div>
        <w:div w:id="954944327">
          <w:marLeft w:val="0"/>
          <w:marRight w:val="0"/>
          <w:marTop w:val="0"/>
          <w:marBottom w:val="0"/>
          <w:divBdr>
            <w:top w:val="none" w:sz="0" w:space="0" w:color="auto"/>
            <w:left w:val="none" w:sz="0" w:space="0" w:color="auto"/>
            <w:bottom w:val="none" w:sz="0" w:space="0" w:color="auto"/>
            <w:right w:val="none" w:sz="0" w:space="0" w:color="auto"/>
          </w:divBdr>
        </w:div>
        <w:div w:id="998075053">
          <w:marLeft w:val="0"/>
          <w:marRight w:val="0"/>
          <w:marTop w:val="0"/>
          <w:marBottom w:val="0"/>
          <w:divBdr>
            <w:top w:val="none" w:sz="0" w:space="0" w:color="auto"/>
            <w:left w:val="none" w:sz="0" w:space="0" w:color="auto"/>
            <w:bottom w:val="none" w:sz="0" w:space="0" w:color="auto"/>
            <w:right w:val="none" w:sz="0" w:space="0" w:color="auto"/>
          </w:divBdr>
        </w:div>
        <w:div w:id="1098335726">
          <w:marLeft w:val="0"/>
          <w:marRight w:val="0"/>
          <w:marTop w:val="0"/>
          <w:marBottom w:val="0"/>
          <w:divBdr>
            <w:top w:val="none" w:sz="0" w:space="0" w:color="auto"/>
            <w:left w:val="none" w:sz="0" w:space="0" w:color="auto"/>
            <w:bottom w:val="none" w:sz="0" w:space="0" w:color="auto"/>
            <w:right w:val="none" w:sz="0" w:space="0" w:color="auto"/>
          </w:divBdr>
        </w:div>
        <w:div w:id="1228765275">
          <w:marLeft w:val="0"/>
          <w:marRight w:val="0"/>
          <w:marTop w:val="0"/>
          <w:marBottom w:val="0"/>
          <w:divBdr>
            <w:top w:val="none" w:sz="0" w:space="0" w:color="auto"/>
            <w:left w:val="none" w:sz="0" w:space="0" w:color="auto"/>
            <w:bottom w:val="none" w:sz="0" w:space="0" w:color="auto"/>
            <w:right w:val="none" w:sz="0" w:space="0" w:color="auto"/>
          </w:divBdr>
        </w:div>
        <w:div w:id="1266577569">
          <w:marLeft w:val="0"/>
          <w:marRight w:val="0"/>
          <w:marTop w:val="0"/>
          <w:marBottom w:val="0"/>
          <w:divBdr>
            <w:top w:val="none" w:sz="0" w:space="0" w:color="auto"/>
            <w:left w:val="none" w:sz="0" w:space="0" w:color="auto"/>
            <w:bottom w:val="none" w:sz="0" w:space="0" w:color="auto"/>
            <w:right w:val="none" w:sz="0" w:space="0" w:color="auto"/>
          </w:divBdr>
        </w:div>
        <w:div w:id="1310011180">
          <w:marLeft w:val="0"/>
          <w:marRight w:val="0"/>
          <w:marTop w:val="0"/>
          <w:marBottom w:val="0"/>
          <w:divBdr>
            <w:top w:val="none" w:sz="0" w:space="0" w:color="auto"/>
            <w:left w:val="none" w:sz="0" w:space="0" w:color="auto"/>
            <w:bottom w:val="none" w:sz="0" w:space="0" w:color="auto"/>
            <w:right w:val="none" w:sz="0" w:space="0" w:color="auto"/>
          </w:divBdr>
        </w:div>
        <w:div w:id="1327173995">
          <w:marLeft w:val="0"/>
          <w:marRight w:val="0"/>
          <w:marTop w:val="0"/>
          <w:marBottom w:val="0"/>
          <w:divBdr>
            <w:top w:val="none" w:sz="0" w:space="0" w:color="auto"/>
            <w:left w:val="none" w:sz="0" w:space="0" w:color="auto"/>
            <w:bottom w:val="none" w:sz="0" w:space="0" w:color="auto"/>
            <w:right w:val="none" w:sz="0" w:space="0" w:color="auto"/>
          </w:divBdr>
        </w:div>
        <w:div w:id="1451897394">
          <w:marLeft w:val="0"/>
          <w:marRight w:val="0"/>
          <w:marTop w:val="0"/>
          <w:marBottom w:val="0"/>
          <w:divBdr>
            <w:top w:val="none" w:sz="0" w:space="0" w:color="auto"/>
            <w:left w:val="none" w:sz="0" w:space="0" w:color="auto"/>
            <w:bottom w:val="none" w:sz="0" w:space="0" w:color="auto"/>
            <w:right w:val="none" w:sz="0" w:space="0" w:color="auto"/>
          </w:divBdr>
          <w:divsChild>
            <w:div w:id="2077622771">
              <w:marLeft w:val="-75"/>
              <w:marRight w:val="0"/>
              <w:marTop w:val="30"/>
              <w:marBottom w:val="30"/>
              <w:divBdr>
                <w:top w:val="none" w:sz="0" w:space="0" w:color="auto"/>
                <w:left w:val="none" w:sz="0" w:space="0" w:color="auto"/>
                <w:bottom w:val="none" w:sz="0" w:space="0" w:color="auto"/>
                <w:right w:val="none" w:sz="0" w:space="0" w:color="auto"/>
              </w:divBdr>
              <w:divsChild>
                <w:div w:id="378475293">
                  <w:marLeft w:val="0"/>
                  <w:marRight w:val="0"/>
                  <w:marTop w:val="0"/>
                  <w:marBottom w:val="0"/>
                  <w:divBdr>
                    <w:top w:val="none" w:sz="0" w:space="0" w:color="auto"/>
                    <w:left w:val="none" w:sz="0" w:space="0" w:color="auto"/>
                    <w:bottom w:val="none" w:sz="0" w:space="0" w:color="auto"/>
                    <w:right w:val="none" w:sz="0" w:space="0" w:color="auto"/>
                  </w:divBdr>
                  <w:divsChild>
                    <w:div w:id="463351264">
                      <w:marLeft w:val="0"/>
                      <w:marRight w:val="0"/>
                      <w:marTop w:val="0"/>
                      <w:marBottom w:val="0"/>
                      <w:divBdr>
                        <w:top w:val="none" w:sz="0" w:space="0" w:color="auto"/>
                        <w:left w:val="none" w:sz="0" w:space="0" w:color="auto"/>
                        <w:bottom w:val="none" w:sz="0" w:space="0" w:color="auto"/>
                        <w:right w:val="none" w:sz="0" w:space="0" w:color="auto"/>
                      </w:divBdr>
                    </w:div>
                    <w:div w:id="546988845">
                      <w:marLeft w:val="0"/>
                      <w:marRight w:val="0"/>
                      <w:marTop w:val="0"/>
                      <w:marBottom w:val="0"/>
                      <w:divBdr>
                        <w:top w:val="none" w:sz="0" w:space="0" w:color="auto"/>
                        <w:left w:val="none" w:sz="0" w:space="0" w:color="auto"/>
                        <w:bottom w:val="none" w:sz="0" w:space="0" w:color="auto"/>
                        <w:right w:val="none" w:sz="0" w:space="0" w:color="auto"/>
                      </w:divBdr>
                    </w:div>
                    <w:div w:id="564032140">
                      <w:marLeft w:val="0"/>
                      <w:marRight w:val="0"/>
                      <w:marTop w:val="0"/>
                      <w:marBottom w:val="0"/>
                      <w:divBdr>
                        <w:top w:val="none" w:sz="0" w:space="0" w:color="auto"/>
                        <w:left w:val="none" w:sz="0" w:space="0" w:color="auto"/>
                        <w:bottom w:val="none" w:sz="0" w:space="0" w:color="auto"/>
                        <w:right w:val="none" w:sz="0" w:space="0" w:color="auto"/>
                      </w:divBdr>
                    </w:div>
                    <w:div w:id="678001023">
                      <w:marLeft w:val="0"/>
                      <w:marRight w:val="0"/>
                      <w:marTop w:val="0"/>
                      <w:marBottom w:val="0"/>
                      <w:divBdr>
                        <w:top w:val="none" w:sz="0" w:space="0" w:color="auto"/>
                        <w:left w:val="none" w:sz="0" w:space="0" w:color="auto"/>
                        <w:bottom w:val="none" w:sz="0" w:space="0" w:color="auto"/>
                        <w:right w:val="none" w:sz="0" w:space="0" w:color="auto"/>
                      </w:divBdr>
                    </w:div>
                    <w:div w:id="682754182">
                      <w:marLeft w:val="0"/>
                      <w:marRight w:val="0"/>
                      <w:marTop w:val="0"/>
                      <w:marBottom w:val="0"/>
                      <w:divBdr>
                        <w:top w:val="none" w:sz="0" w:space="0" w:color="auto"/>
                        <w:left w:val="none" w:sz="0" w:space="0" w:color="auto"/>
                        <w:bottom w:val="none" w:sz="0" w:space="0" w:color="auto"/>
                        <w:right w:val="none" w:sz="0" w:space="0" w:color="auto"/>
                      </w:divBdr>
                    </w:div>
                    <w:div w:id="1406296521">
                      <w:marLeft w:val="0"/>
                      <w:marRight w:val="0"/>
                      <w:marTop w:val="0"/>
                      <w:marBottom w:val="0"/>
                      <w:divBdr>
                        <w:top w:val="none" w:sz="0" w:space="0" w:color="auto"/>
                        <w:left w:val="none" w:sz="0" w:space="0" w:color="auto"/>
                        <w:bottom w:val="none" w:sz="0" w:space="0" w:color="auto"/>
                        <w:right w:val="none" w:sz="0" w:space="0" w:color="auto"/>
                      </w:divBdr>
                    </w:div>
                    <w:div w:id="1654984112">
                      <w:marLeft w:val="0"/>
                      <w:marRight w:val="0"/>
                      <w:marTop w:val="0"/>
                      <w:marBottom w:val="0"/>
                      <w:divBdr>
                        <w:top w:val="none" w:sz="0" w:space="0" w:color="auto"/>
                        <w:left w:val="none" w:sz="0" w:space="0" w:color="auto"/>
                        <w:bottom w:val="none" w:sz="0" w:space="0" w:color="auto"/>
                        <w:right w:val="none" w:sz="0" w:space="0" w:color="auto"/>
                      </w:divBdr>
                    </w:div>
                    <w:div w:id="1657418225">
                      <w:marLeft w:val="0"/>
                      <w:marRight w:val="0"/>
                      <w:marTop w:val="0"/>
                      <w:marBottom w:val="0"/>
                      <w:divBdr>
                        <w:top w:val="none" w:sz="0" w:space="0" w:color="auto"/>
                        <w:left w:val="none" w:sz="0" w:space="0" w:color="auto"/>
                        <w:bottom w:val="none" w:sz="0" w:space="0" w:color="auto"/>
                        <w:right w:val="none" w:sz="0" w:space="0" w:color="auto"/>
                      </w:divBdr>
                    </w:div>
                    <w:div w:id="1659529512">
                      <w:marLeft w:val="0"/>
                      <w:marRight w:val="0"/>
                      <w:marTop w:val="0"/>
                      <w:marBottom w:val="0"/>
                      <w:divBdr>
                        <w:top w:val="none" w:sz="0" w:space="0" w:color="auto"/>
                        <w:left w:val="none" w:sz="0" w:space="0" w:color="auto"/>
                        <w:bottom w:val="none" w:sz="0" w:space="0" w:color="auto"/>
                        <w:right w:val="none" w:sz="0" w:space="0" w:color="auto"/>
                      </w:divBdr>
                    </w:div>
                    <w:div w:id="1731922296">
                      <w:marLeft w:val="0"/>
                      <w:marRight w:val="0"/>
                      <w:marTop w:val="0"/>
                      <w:marBottom w:val="0"/>
                      <w:divBdr>
                        <w:top w:val="none" w:sz="0" w:space="0" w:color="auto"/>
                        <w:left w:val="none" w:sz="0" w:space="0" w:color="auto"/>
                        <w:bottom w:val="none" w:sz="0" w:space="0" w:color="auto"/>
                        <w:right w:val="none" w:sz="0" w:space="0" w:color="auto"/>
                      </w:divBdr>
                    </w:div>
                    <w:div w:id="2089844119">
                      <w:marLeft w:val="0"/>
                      <w:marRight w:val="0"/>
                      <w:marTop w:val="0"/>
                      <w:marBottom w:val="0"/>
                      <w:divBdr>
                        <w:top w:val="none" w:sz="0" w:space="0" w:color="auto"/>
                        <w:left w:val="none" w:sz="0" w:space="0" w:color="auto"/>
                        <w:bottom w:val="none" w:sz="0" w:space="0" w:color="auto"/>
                        <w:right w:val="none" w:sz="0" w:space="0" w:color="auto"/>
                      </w:divBdr>
                    </w:div>
                  </w:divsChild>
                </w:div>
                <w:div w:id="960458297">
                  <w:marLeft w:val="0"/>
                  <w:marRight w:val="0"/>
                  <w:marTop w:val="0"/>
                  <w:marBottom w:val="0"/>
                  <w:divBdr>
                    <w:top w:val="none" w:sz="0" w:space="0" w:color="auto"/>
                    <w:left w:val="none" w:sz="0" w:space="0" w:color="auto"/>
                    <w:bottom w:val="none" w:sz="0" w:space="0" w:color="auto"/>
                    <w:right w:val="none" w:sz="0" w:space="0" w:color="auto"/>
                  </w:divBdr>
                  <w:divsChild>
                    <w:div w:id="312293752">
                      <w:marLeft w:val="0"/>
                      <w:marRight w:val="0"/>
                      <w:marTop w:val="0"/>
                      <w:marBottom w:val="0"/>
                      <w:divBdr>
                        <w:top w:val="none" w:sz="0" w:space="0" w:color="auto"/>
                        <w:left w:val="none" w:sz="0" w:space="0" w:color="auto"/>
                        <w:bottom w:val="none" w:sz="0" w:space="0" w:color="auto"/>
                        <w:right w:val="none" w:sz="0" w:space="0" w:color="auto"/>
                      </w:divBdr>
                    </w:div>
                  </w:divsChild>
                </w:div>
                <w:div w:id="1367876781">
                  <w:marLeft w:val="0"/>
                  <w:marRight w:val="0"/>
                  <w:marTop w:val="0"/>
                  <w:marBottom w:val="0"/>
                  <w:divBdr>
                    <w:top w:val="none" w:sz="0" w:space="0" w:color="auto"/>
                    <w:left w:val="none" w:sz="0" w:space="0" w:color="auto"/>
                    <w:bottom w:val="none" w:sz="0" w:space="0" w:color="auto"/>
                    <w:right w:val="none" w:sz="0" w:space="0" w:color="auto"/>
                  </w:divBdr>
                  <w:divsChild>
                    <w:div w:id="11078892">
                      <w:marLeft w:val="0"/>
                      <w:marRight w:val="0"/>
                      <w:marTop w:val="0"/>
                      <w:marBottom w:val="0"/>
                      <w:divBdr>
                        <w:top w:val="none" w:sz="0" w:space="0" w:color="auto"/>
                        <w:left w:val="none" w:sz="0" w:space="0" w:color="auto"/>
                        <w:bottom w:val="none" w:sz="0" w:space="0" w:color="auto"/>
                        <w:right w:val="none" w:sz="0" w:space="0" w:color="auto"/>
                      </w:divBdr>
                    </w:div>
                  </w:divsChild>
                </w:div>
                <w:div w:id="1467353849">
                  <w:marLeft w:val="0"/>
                  <w:marRight w:val="0"/>
                  <w:marTop w:val="0"/>
                  <w:marBottom w:val="0"/>
                  <w:divBdr>
                    <w:top w:val="none" w:sz="0" w:space="0" w:color="auto"/>
                    <w:left w:val="none" w:sz="0" w:space="0" w:color="auto"/>
                    <w:bottom w:val="none" w:sz="0" w:space="0" w:color="auto"/>
                    <w:right w:val="none" w:sz="0" w:space="0" w:color="auto"/>
                  </w:divBdr>
                  <w:divsChild>
                    <w:div w:id="876505131">
                      <w:marLeft w:val="0"/>
                      <w:marRight w:val="0"/>
                      <w:marTop w:val="0"/>
                      <w:marBottom w:val="0"/>
                      <w:divBdr>
                        <w:top w:val="none" w:sz="0" w:space="0" w:color="auto"/>
                        <w:left w:val="none" w:sz="0" w:space="0" w:color="auto"/>
                        <w:bottom w:val="none" w:sz="0" w:space="0" w:color="auto"/>
                        <w:right w:val="none" w:sz="0" w:space="0" w:color="auto"/>
                      </w:divBdr>
                    </w:div>
                  </w:divsChild>
                </w:div>
                <w:div w:id="1619990396">
                  <w:marLeft w:val="0"/>
                  <w:marRight w:val="0"/>
                  <w:marTop w:val="0"/>
                  <w:marBottom w:val="0"/>
                  <w:divBdr>
                    <w:top w:val="none" w:sz="0" w:space="0" w:color="auto"/>
                    <w:left w:val="none" w:sz="0" w:space="0" w:color="auto"/>
                    <w:bottom w:val="none" w:sz="0" w:space="0" w:color="auto"/>
                    <w:right w:val="none" w:sz="0" w:space="0" w:color="auto"/>
                  </w:divBdr>
                  <w:divsChild>
                    <w:div w:id="862014187">
                      <w:marLeft w:val="0"/>
                      <w:marRight w:val="0"/>
                      <w:marTop w:val="0"/>
                      <w:marBottom w:val="0"/>
                      <w:divBdr>
                        <w:top w:val="none" w:sz="0" w:space="0" w:color="auto"/>
                        <w:left w:val="none" w:sz="0" w:space="0" w:color="auto"/>
                        <w:bottom w:val="none" w:sz="0" w:space="0" w:color="auto"/>
                        <w:right w:val="none" w:sz="0" w:space="0" w:color="auto"/>
                      </w:divBdr>
                    </w:div>
                    <w:div w:id="1919092222">
                      <w:marLeft w:val="0"/>
                      <w:marRight w:val="0"/>
                      <w:marTop w:val="0"/>
                      <w:marBottom w:val="0"/>
                      <w:divBdr>
                        <w:top w:val="none" w:sz="0" w:space="0" w:color="auto"/>
                        <w:left w:val="none" w:sz="0" w:space="0" w:color="auto"/>
                        <w:bottom w:val="none" w:sz="0" w:space="0" w:color="auto"/>
                        <w:right w:val="none" w:sz="0" w:space="0" w:color="auto"/>
                      </w:divBdr>
                    </w:div>
                    <w:div w:id="2006783599">
                      <w:marLeft w:val="0"/>
                      <w:marRight w:val="0"/>
                      <w:marTop w:val="0"/>
                      <w:marBottom w:val="0"/>
                      <w:divBdr>
                        <w:top w:val="none" w:sz="0" w:space="0" w:color="auto"/>
                        <w:left w:val="none" w:sz="0" w:space="0" w:color="auto"/>
                        <w:bottom w:val="none" w:sz="0" w:space="0" w:color="auto"/>
                        <w:right w:val="none" w:sz="0" w:space="0" w:color="auto"/>
                      </w:divBdr>
                    </w:div>
                  </w:divsChild>
                </w:div>
                <w:div w:id="2128158444">
                  <w:marLeft w:val="0"/>
                  <w:marRight w:val="0"/>
                  <w:marTop w:val="0"/>
                  <w:marBottom w:val="0"/>
                  <w:divBdr>
                    <w:top w:val="none" w:sz="0" w:space="0" w:color="auto"/>
                    <w:left w:val="none" w:sz="0" w:space="0" w:color="auto"/>
                    <w:bottom w:val="none" w:sz="0" w:space="0" w:color="auto"/>
                    <w:right w:val="none" w:sz="0" w:space="0" w:color="auto"/>
                  </w:divBdr>
                  <w:divsChild>
                    <w:div w:id="441532016">
                      <w:marLeft w:val="0"/>
                      <w:marRight w:val="0"/>
                      <w:marTop w:val="0"/>
                      <w:marBottom w:val="0"/>
                      <w:divBdr>
                        <w:top w:val="none" w:sz="0" w:space="0" w:color="auto"/>
                        <w:left w:val="none" w:sz="0" w:space="0" w:color="auto"/>
                        <w:bottom w:val="none" w:sz="0" w:space="0" w:color="auto"/>
                        <w:right w:val="none" w:sz="0" w:space="0" w:color="auto"/>
                      </w:divBdr>
                    </w:div>
                    <w:div w:id="509104834">
                      <w:marLeft w:val="0"/>
                      <w:marRight w:val="0"/>
                      <w:marTop w:val="0"/>
                      <w:marBottom w:val="0"/>
                      <w:divBdr>
                        <w:top w:val="none" w:sz="0" w:space="0" w:color="auto"/>
                        <w:left w:val="none" w:sz="0" w:space="0" w:color="auto"/>
                        <w:bottom w:val="none" w:sz="0" w:space="0" w:color="auto"/>
                        <w:right w:val="none" w:sz="0" w:space="0" w:color="auto"/>
                      </w:divBdr>
                    </w:div>
                    <w:div w:id="546332910">
                      <w:marLeft w:val="0"/>
                      <w:marRight w:val="0"/>
                      <w:marTop w:val="0"/>
                      <w:marBottom w:val="0"/>
                      <w:divBdr>
                        <w:top w:val="none" w:sz="0" w:space="0" w:color="auto"/>
                        <w:left w:val="none" w:sz="0" w:space="0" w:color="auto"/>
                        <w:bottom w:val="none" w:sz="0" w:space="0" w:color="auto"/>
                        <w:right w:val="none" w:sz="0" w:space="0" w:color="auto"/>
                      </w:divBdr>
                    </w:div>
                    <w:div w:id="576482814">
                      <w:marLeft w:val="0"/>
                      <w:marRight w:val="0"/>
                      <w:marTop w:val="0"/>
                      <w:marBottom w:val="0"/>
                      <w:divBdr>
                        <w:top w:val="none" w:sz="0" w:space="0" w:color="auto"/>
                        <w:left w:val="none" w:sz="0" w:space="0" w:color="auto"/>
                        <w:bottom w:val="none" w:sz="0" w:space="0" w:color="auto"/>
                        <w:right w:val="none" w:sz="0" w:space="0" w:color="auto"/>
                      </w:divBdr>
                    </w:div>
                    <w:div w:id="701057962">
                      <w:marLeft w:val="0"/>
                      <w:marRight w:val="0"/>
                      <w:marTop w:val="0"/>
                      <w:marBottom w:val="0"/>
                      <w:divBdr>
                        <w:top w:val="none" w:sz="0" w:space="0" w:color="auto"/>
                        <w:left w:val="none" w:sz="0" w:space="0" w:color="auto"/>
                        <w:bottom w:val="none" w:sz="0" w:space="0" w:color="auto"/>
                        <w:right w:val="none" w:sz="0" w:space="0" w:color="auto"/>
                      </w:divBdr>
                    </w:div>
                    <w:div w:id="941180461">
                      <w:marLeft w:val="0"/>
                      <w:marRight w:val="0"/>
                      <w:marTop w:val="0"/>
                      <w:marBottom w:val="0"/>
                      <w:divBdr>
                        <w:top w:val="none" w:sz="0" w:space="0" w:color="auto"/>
                        <w:left w:val="none" w:sz="0" w:space="0" w:color="auto"/>
                        <w:bottom w:val="none" w:sz="0" w:space="0" w:color="auto"/>
                        <w:right w:val="none" w:sz="0" w:space="0" w:color="auto"/>
                      </w:divBdr>
                    </w:div>
                    <w:div w:id="1151676470">
                      <w:marLeft w:val="0"/>
                      <w:marRight w:val="0"/>
                      <w:marTop w:val="0"/>
                      <w:marBottom w:val="0"/>
                      <w:divBdr>
                        <w:top w:val="none" w:sz="0" w:space="0" w:color="auto"/>
                        <w:left w:val="none" w:sz="0" w:space="0" w:color="auto"/>
                        <w:bottom w:val="none" w:sz="0" w:space="0" w:color="auto"/>
                        <w:right w:val="none" w:sz="0" w:space="0" w:color="auto"/>
                      </w:divBdr>
                    </w:div>
                    <w:div w:id="1187329495">
                      <w:marLeft w:val="0"/>
                      <w:marRight w:val="0"/>
                      <w:marTop w:val="0"/>
                      <w:marBottom w:val="0"/>
                      <w:divBdr>
                        <w:top w:val="none" w:sz="0" w:space="0" w:color="auto"/>
                        <w:left w:val="none" w:sz="0" w:space="0" w:color="auto"/>
                        <w:bottom w:val="none" w:sz="0" w:space="0" w:color="auto"/>
                        <w:right w:val="none" w:sz="0" w:space="0" w:color="auto"/>
                      </w:divBdr>
                    </w:div>
                    <w:div w:id="1262955935">
                      <w:marLeft w:val="0"/>
                      <w:marRight w:val="0"/>
                      <w:marTop w:val="0"/>
                      <w:marBottom w:val="0"/>
                      <w:divBdr>
                        <w:top w:val="none" w:sz="0" w:space="0" w:color="auto"/>
                        <w:left w:val="none" w:sz="0" w:space="0" w:color="auto"/>
                        <w:bottom w:val="none" w:sz="0" w:space="0" w:color="auto"/>
                        <w:right w:val="none" w:sz="0" w:space="0" w:color="auto"/>
                      </w:divBdr>
                    </w:div>
                    <w:div w:id="1311516405">
                      <w:marLeft w:val="0"/>
                      <w:marRight w:val="0"/>
                      <w:marTop w:val="0"/>
                      <w:marBottom w:val="0"/>
                      <w:divBdr>
                        <w:top w:val="none" w:sz="0" w:space="0" w:color="auto"/>
                        <w:left w:val="none" w:sz="0" w:space="0" w:color="auto"/>
                        <w:bottom w:val="none" w:sz="0" w:space="0" w:color="auto"/>
                        <w:right w:val="none" w:sz="0" w:space="0" w:color="auto"/>
                      </w:divBdr>
                    </w:div>
                    <w:div w:id="1314406765">
                      <w:marLeft w:val="0"/>
                      <w:marRight w:val="0"/>
                      <w:marTop w:val="0"/>
                      <w:marBottom w:val="0"/>
                      <w:divBdr>
                        <w:top w:val="none" w:sz="0" w:space="0" w:color="auto"/>
                        <w:left w:val="none" w:sz="0" w:space="0" w:color="auto"/>
                        <w:bottom w:val="none" w:sz="0" w:space="0" w:color="auto"/>
                        <w:right w:val="none" w:sz="0" w:space="0" w:color="auto"/>
                      </w:divBdr>
                    </w:div>
                    <w:div w:id="1915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56863">
          <w:marLeft w:val="0"/>
          <w:marRight w:val="0"/>
          <w:marTop w:val="0"/>
          <w:marBottom w:val="0"/>
          <w:divBdr>
            <w:top w:val="none" w:sz="0" w:space="0" w:color="auto"/>
            <w:left w:val="none" w:sz="0" w:space="0" w:color="auto"/>
            <w:bottom w:val="none" w:sz="0" w:space="0" w:color="auto"/>
            <w:right w:val="none" w:sz="0" w:space="0" w:color="auto"/>
          </w:divBdr>
        </w:div>
        <w:div w:id="1742675714">
          <w:marLeft w:val="0"/>
          <w:marRight w:val="0"/>
          <w:marTop w:val="0"/>
          <w:marBottom w:val="0"/>
          <w:divBdr>
            <w:top w:val="none" w:sz="0" w:space="0" w:color="auto"/>
            <w:left w:val="none" w:sz="0" w:space="0" w:color="auto"/>
            <w:bottom w:val="none" w:sz="0" w:space="0" w:color="auto"/>
            <w:right w:val="none" w:sz="0" w:space="0" w:color="auto"/>
          </w:divBdr>
        </w:div>
        <w:div w:id="1990816856">
          <w:marLeft w:val="0"/>
          <w:marRight w:val="0"/>
          <w:marTop w:val="0"/>
          <w:marBottom w:val="0"/>
          <w:divBdr>
            <w:top w:val="none" w:sz="0" w:space="0" w:color="auto"/>
            <w:left w:val="none" w:sz="0" w:space="0" w:color="auto"/>
            <w:bottom w:val="none" w:sz="0" w:space="0" w:color="auto"/>
            <w:right w:val="none" w:sz="0" w:space="0" w:color="auto"/>
          </w:divBdr>
        </w:div>
      </w:divsChild>
    </w:div>
    <w:div w:id="84965812">
      <w:bodyDiv w:val="1"/>
      <w:marLeft w:val="0"/>
      <w:marRight w:val="0"/>
      <w:marTop w:val="0"/>
      <w:marBottom w:val="0"/>
      <w:divBdr>
        <w:top w:val="none" w:sz="0" w:space="0" w:color="auto"/>
        <w:left w:val="none" w:sz="0" w:space="0" w:color="auto"/>
        <w:bottom w:val="none" w:sz="0" w:space="0" w:color="auto"/>
        <w:right w:val="none" w:sz="0" w:space="0" w:color="auto"/>
      </w:divBdr>
      <w:divsChild>
        <w:div w:id="503784523">
          <w:marLeft w:val="0"/>
          <w:marRight w:val="0"/>
          <w:marTop w:val="0"/>
          <w:marBottom w:val="0"/>
          <w:divBdr>
            <w:top w:val="none" w:sz="0" w:space="0" w:color="auto"/>
            <w:left w:val="none" w:sz="0" w:space="0" w:color="auto"/>
            <w:bottom w:val="none" w:sz="0" w:space="0" w:color="auto"/>
            <w:right w:val="none" w:sz="0" w:space="0" w:color="auto"/>
          </w:divBdr>
        </w:div>
        <w:div w:id="585849677">
          <w:marLeft w:val="0"/>
          <w:marRight w:val="0"/>
          <w:marTop w:val="0"/>
          <w:marBottom w:val="0"/>
          <w:divBdr>
            <w:top w:val="none" w:sz="0" w:space="0" w:color="auto"/>
            <w:left w:val="none" w:sz="0" w:space="0" w:color="auto"/>
            <w:bottom w:val="none" w:sz="0" w:space="0" w:color="auto"/>
            <w:right w:val="none" w:sz="0" w:space="0" w:color="auto"/>
          </w:divBdr>
        </w:div>
        <w:div w:id="656610123">
          <w:marLeft w:val="0"/>
          <w:marRight w:val="0"/>
          <w:marTop w:val="0"/>
          <w:marBottom w:val="0"/>
          <w:divBdr>
            <w:top w:val="none" w:sz="0" w:space="0" w:color="auto"/>
            <w:left w:val="none" w:sz="0" w:space="0" w:color="auto"/>
            <w:bottom w:val="none" w:sz="0" w:space="0" w:color="auto"/>
            <w:right w:val="none" w:sz="0" w:space="0" w:color="auto"/>
          </w:divBdr>
        </w:div>
        <w:div w:id="828060248">
          <w:marLeft w:val="0"/>
          <w:marRight w:val="0"/>
          <w:marTop w:val="0"/>
          <w:marBottom w:val="0"/>
          <w:divBdr>
            <w:top w:val="none" w:sz="0" w:space="0" w:color="auto"/>
            <w:left w:val="none" w:sz="0" w:space="0" w:color="auto"/>
            <w:bottom w:val="none" w:sz="0" w:space="0" w:color="auto"/>
            <w:right w:val="none" w:sz="0" w:space="0" w:color="auto"/>
          </w:divBdr>
        </w:div>
        <w:div w:id="874120885">
          <w:marLeft w:val="0"/>
          <w:marRight w:val="0"/>
          <w:marTop w:val="0"/>
          <w:marBottom w:val="0"/>
          <w:divBdr>
            <w:top w:val="none" w:sz="0" w:space="0" w:color="auto"/>
            <w:left w:val="none" w:sz="0" w:space="0" w:color="auto"/>
            <w:bottom w:val="none" w:sz="0" w:space="0" w:color="auto"/>
            <w:right w:val="none" w:sz="0" w:space="0" w:color="auto"/>
          </w:divBdr>
        </w:div>
        <w:div w:id="999190288">
          <w:marLeft w:val="0"/>
          <w:marRight w:val="0"/>
          <w:marTop w:val="0"/>
          <w:marBottom w:val="0"/>
          <w:divBdr>
            <w:top w:val="none" w:sz="0" w:space="0" w:color="auto"/>
            <w:left w:val="none" w:sz="0" w:space="0" w:color="auto"/>
            <w:bottom w:val="none" w:sz="0" w:space="0" w:color="auto"/>
            <w:right w:val="none" w:sz="0" w:space="0" w:color="auto"/>
          </w:divBdr>
        </w:div>
        <w:div w:id="1002197019">
          <w:marLeft w:val="0"/>
          <w:marRight w:val="0"/>
          <w:marTop w:val="0"/>
          <w:marBottom w:val="0"/>
          <w:divBdr>
            <w:top w:val="none" w:sz="0" w:space="0" w:color="auto"/>
            <w:left w:val="none" w:sz="0" w:space="0" w:color="auto"/>
            <w:bottom w:val="none" w:sz="0" w:space="0" w:color="auto"/>
            <w:right w:val="none" w:sz="0" w:space="0" w:color="auto"/>
          </w:divBdr>
        </w:div>
        <w:div w:id="1165898762">
          <w:marLeft w:val="0"/>
          <w:marRight w:val="0"/>
          <w:marTop w:val="0"/>
          <w:marBottom w:val="0"/>
          <w:divBdr>
            <w:top w:val="none" w:sz="0" w:space="0" w:color="auto"/>
            <w:left w:val="none" w:sz="0" w:space="0" w:color="auto"/>
            <w:bottom w:val="none" w:sz="0" w:space="0" w:color="auto"/>
            <w:right w:val="none" w:sz="0" w:space="0" w:color="auto"/>
          </w:divBdr>
        </w:div>
        <w:div w:id="1664776414">
          <w:marLeft w:val="0"/>
          <w:marRight w:val="0"/>
          <w:marTop w:val="0"/>
          <w:marBottom w:val="0"/>
          <w:divBdr>
            <w:top w:val="none" w:sz="0" w:space="0" w:color="auto"/>
            <w:left w:val="none" w:sz="0" w:space="0" w:color="auto"/>
            <w:bottom w:val="none" w:sz="0" w:space="0" w:color="auto"/>
            <w:right w:val="none" w:sz="0" w:space="0" w:color="auto"/>
          </w:divBdr>
        </w:div>
        <w:div w:id="1762947704">
          <w:marLeft w:val="0"/>
          <w:marRight w:val="0"/>
          <w:marTop w:val="0"/>
          <w:marBottom w:val="0"/>
          <w:divBdr>
            <w:top w:val="none" w:sz="0" w:space="0" w:color="auto"/>
            <w:left w:val="none" w:sz="0" w:space="0" w:color="auto"/>
            <w:bottom w:val="none" w:sz="0" w:space="0" w:color="auto"/>
            <w:right w:val="none" w:sz="0" w:space="0" w:color="auto"/>
          </w:divBdr>
        </w:div>
        <w:div w:id="1816530326">
          <w:marLeft w:val="0"/>
          <w:marRight w:val="0"/>
          <w:marTop w:val="0"/>
          <w:marBottom w:val="0"/>
          <w:divBdr>
            <w:top w:val="none" w:sz="0" w:space="0" w:color="auto"/>
            <w:left w:val="none" w:sz="0" w:space="0" w:color="auto"/>
            <w:bottom w:val="none" w:sz="0" w:space="0" w:color="auto"/>
            <w:right w:val="none" w:sz="0" w:space="0" w:color="auto"/>
          </w:divBdr>
        </w:div>
        <w:div w:id="1898661717">
          <w:marLeft w:val="0"/>
          <w:marRight w:val="0"/>
          <w:marTop w:val="0"/>
          <w:marBottom w:val="0"/>
          <w:divBdr>
            <w:top w:val="none" w:sz="0" w:space="0" w:color="auto"/>
            <w:left w:val="none" w:sz="0" w:space="0" w:color="auto"/>
            <w:bottom w:val="none" w:sz="0" w:space="0" w:color="auto"/>
            <w:right w:val="none" w:sz="0" w:space="0" w:color="auto"/>
          </w:divBdr>
        </w:div>
        <w:div w:id="1955360125">
          <w:marLeft w:val="0"/>
          <w:marRight w:val="0"/>
          <w:marTop w:val="0"/>
          <w:marBottom w:val="0"/>
          <w:divBdr>
            <w:top w:val="none" w:sz="0" w:space="0" w:color="auto"/>
            <w:left w:val="none" w:sz="0" w:space="0" w:color="auto"/>
            <w:bottom w:val="none" w:sz="0" w:space="0" w:color="auto"/>
            <w:right w:val="none" w:sz="0" w:space="0" w:color="auto"/>
          </w:divBdr>
        </w:div>
        <w:div w:id="1959944387">
          <w:marLeft w:val="0"/>
          <w:marRight w:val="0"/>
          <w:marTop w:val="0"/>
          <w:marBottom w:val="0"/>
          <w:divBdr>
            <w:top w:val="none" w:sz="0" w:space="0" w:color="auto"/>
            <w:left w:val="none" w:sz="0" w:space="0" w:color="auto"/>
            <w:bottom w:val="none" w:sz="0" w:space="0" w:color="auto"/>
            <w:right w:val="none" w:sz="0" w:space="0" w:color="auto"/>
          </w:divBdr>
        </w:div>
        <w:div w:id="2136093462">
          <w:marLeft w:val="0"/>
          <w:marRight w:val="0"/>
          <w:marTop w:val="0"/>
          <w:marBottom w:val="0"/>
          <w:divBdr>
            <w:top w:val="none" w:sz="0" w:space="0" w:color="auto"/>
            <w:left w:val="none" w:sz="0" w:space="0" w:color="auto"/>
            <w:bottom w:val="none" w:sz="0" w:space="0" w:color="auto"/>
            <w:right w:val="none" w:sz="0" w:space="0" w:color="auto"/>
          </w:divBdr>
        </w:div>
      </w:divsChild>
    </w:div>
    <w:div w:id="145051933">
      <w:bodyDiv w:val="1"/>
      <w:marLeft w:val="0"/>
      <w:marRight w:val="0"/>
      <w:marTop w:val="0"/>
      <w:marBottom w:val="0"/>
      <w:divBdr>
        <w:top w:val="none" w:sz="0" w:space="0" w:color="auto"/>
        <w:left w:val="none" w:sz="0" w:space="0" w:color="auto"/>
        <w:bottom w:val="none" w:sz="0" w:space="0" w:color="auto"/>
        <w:right w:val="none" w:sz="0" w:space="0" w:color="auto"/>
      </w:divBdr>
    </w:div>
    <w:div w:id="190067705">
      <w:bodyDiv w:val="1"/>
      <w:marLeft w:val="0"/>
      <w:marRight w:val="0"/>
      <w:marTop w:val="0"/>
      <w:marBottom w:val="0"/>
      <w:divBdr>
        <w:top w:val="none" w:sz="0" w:space="0" w:color="auto"/>
        <w:left w:val="none" w:sz="0" w:space="0" w:color="auto"/>
        <w:bottom w:val="none" w:sz="0" w:space="0" w:color="auto"/>
        <w:right w:val="none" w:sz="0" w:space="0" w:color="auto"/>
      </w:divBdr>
      <w:divsChild>
        <w:div w:id="33968955">
          <w:marLeft w:val="0"/>
          <w:marRight w:val="0"/>
          <w:marTop w:val="0"/>
          <w:marBottom w:val="0"/>
          <w:divBdr>
            <w:top w:val="none" w:sz="0" w:space="0" w:color="auto"/>
            <w:left w:val="none" w:sz="0" w:space="0" w:color="auto"/>
            <w:bottom w:val="none" w:sz="0" w:space="0" w:color="auto"/>
            <w:right w:val="none" w:sz="0" w:space="0" w:color="auto"/>
          </w:divBdr>
          <w:divsChild>
            <w:div w:id="2118135591">
              <w:marLeft w:val="-75"/>
              <w:marRight w:val="0"/>
              <w:marTop w:val="30"/>
              <w:marBottom w:val="30"/>
              <w:divBdr>
                <w:top w:val="none" w:sz="0" w:space="0" w:color="auto"/>
                <w:left w:val="none" w:sz="0" w:space="0" w:color="auto"/>
                <w:bottom w:val="none" w:sz="0" w:space="0" w:color="auto"/>
                <w:right w:val="none" w:sz="0" w:space="0" w:color="auto"/>
              </w:divBdr>
              <w:divsChild>
                <w:div w:id="44066878">
                  <w:marLeft w:val="0"/>
                  <w:marRight w:val="0"/>
                  <w:marTop w:val="0"/>
                  <w:marBottom w:val="0"/>
                  <w:divBdr>
                    <w:top w:val="none" w:sz="0" w:space="0" w:color="auto"/>
                    <w:left w:val="none" w:sz="0" w:space="0" w:color="auto"/>
                    <w:bottom w:val="none" w:sz="0" w:space="0" w:color="auto"/>
                    <w:right w:val="none" w:sz="0" w:space="0" w:color="auto"/>
                  </w:divBdr>
                  <w:divsChild>
                    <w:div w:id="1541358056">
                      <w:marLeft w:val="0"/>
                      <w:marRight w:val="0"/>
                      <w:marTop w:val="0"/>
                      <w:marBottom w:val="0"/>
                      <w:divBdr>
                        <w:top w:val="none" w:sz="0" w:space="0" w:color="auto"/>
                        <w:left w:val="none" w:sz="0" w:space="0" w:color="auto"/>
                        <w:bottom w:val="none" w:sz="0" w:space="0" w:color="auto"/>
                        <w:right w:val="none" w:sz="0" w:space="0" w:color="auto"/>
                      </w:divBdr>
                    </w:div>
                  </w:divsChild>
                </w:div>
                <w:div w:id="611519628">
                  <w:marLeft w:val="0"/>
                  <w:marRight w:val="0"/>
                  <w:marTop w:val="0"/>
                  <w:marBottom w:val="0"/>
                  <w:divBdr>
                    <w:top w:val="none" w:sz="0" w:space="0" w:color="auto"/>
                    <w:left w:val="none" w:sz="0" w:space="0" w:color="auto"/>
                    <w:bottom w:val="none" w:sz="0" w:space="0" w:color="auto"/>
                    <w:right w:val="none" w:sz="0" w:space="0" w:color="auto"/>
                  </w:divBdr>
                  <w:divsChild>
                    <w:div w:id="930971101">
                      <w:marLeft w:val="0"/>
                      <w:marRight w:val="0"/>
                      <w:marTop w:val="0"/>
                      <w:marBottom w:val="0"/>
                      <w:divBdr>
                        <w:top w:val="none" w:sz="0" w:space="0" w:color="auto"/>
                        <w:left w:val="none" w:sz="0" w:space="0" w:color="auto"/>
                        <w:bottom w:val="none" w:sz="0" w:space="0" w:color="auto"/>
                        <w:right w:val="none" w:sz="0" w:space="0" w:color="auto"/>
                      </w:divBdr>
                    </w:div>
                  </w:divsChild>
                </w:div>
                <w:div w:id="887765860">
                  <w:marLeft w:val="0"/>
                  <w:marRight w:val="0"/>
                  <w:marTop w:val="0"/>
                  <w:marBottom w:val="0"/>
                  <w:divBdr>
                    <w:top w:val="none" w:sz="0" w:space="0" w:color="auto"/>
                    <w:left w:val="none" w:sz="0" w:space="0" w:color="auto"/>
                    <w:bottom w:val="none" w:sz="0" w:space="0" w:color="auto"/>
                    <w:right w:val="none" w:sz="0" w:space="0" w:color="auto"/>
                  </w:divBdr>
                  <w:divsChild>
                    <w:div w:id="344209843">
                      <w:marLeft w:val="0"/>
                      <w:marRight w:val="0"/>
                      <w:marTop w:val="0"/>
                      <w:marBottom w:val="0"/>
                      <w:divBdr>
                        <w:top w:val="none" w:sz="0" w:space="0" w:color="auto"/>
                        <w:left w:val="none" w:sz="0" w:space="0" w:color="auto"/>
                        <w:bottom w:val="none" w:sz="0" w:space="0" w:color="auto"/>
                        <w:right w:val="none" w:sz="0" w:space="0" w:color="auto"/>
                      </w:divBdr>
                    </w:div>
                    <w:div w:id="353700227">
                      <w:marLeft w:val="0"/>
                      <w:marRight w:val="0"/>
                      <w:marTop w:val="0"/>
                      <w:marBottom w:val="0"/>
                      <w:divBdr>
                        <w:top w:val="none" w:sz="0" w:space="0" w:color="auto"/>
                        <w:left w:val="none" w:sz="0" w:space="0" w:color="auto"/>
                        <w:bottom w:val="none" w:sz="0" w:space="0" w:color="auto"/>
                        <w:right w:val="none" w:sz="0" w:space="0" w:color="auto"/>
                      </w:divBdr>
                    </w:div>
                    <w:div w:id="532576305">
                      <w:marLeft w:val="0"/>
                      <w:marRight w:val="0"/>
                      <w:marTop w:val="0"/>
                      <w:marBottom w:val="0"/>
                      <w:divBdr>
                        <w:top w:val="none" w:sz="0" w:space="0" w:color="auto"/>
                        <w:left w:val="none" w:sz="0" w:space="0" w:color="auto"/>
                        <w:bottom w:val="none" w:sz="0" w:space="0" w:color="auto"/>
                        <w:right w:val="none" w:sz="0" w:space="0" w:color="auto"/>
                      </w:divBdr>
                    </w:div>
                    <w:div w:id="990711909">
                      <w:marLeft w:val="0"/>
                      <w:marRight w:val="0"/>
                      <w:marTop w:val="0"/>
                      <w:marBottom w:val="0"/>
                      <w:divBdr>
                        <w:top w:val="none" w:sz="0" w:space="0" w:color="auto"/>
                        <w:left w:val="none" w:sz="0" w:space="0" w:color="auto"/>
                        <w:bottom w:val="none" w:sz="0" w:space="0" w:color="auto"/>
                        <w:right w:val="none" w:sz="0" w:space="0" w:color="auto"/>
                      </w:divBdr>
                    </w:div>
                    <w:div w:id="1113787051">
                      <w:marLeft w:val="0"/>
                      <w:marRight w:val="0"/>
                      <w:marTop w:val="0"/>
                      <w:marBottom w:val="0"/>
                      <w:divBdr>
                        <w:top w:val="none" w:sz="0" w:space="0" w:color="auto"/>
                        <w:left w:val="none" w:sz="0" w:space="0" w:color="auto"/>
                        <w:bottom w:val="none" w:sz="0" w:space="0" w:color="auto"/>
                        <w:right w:val="none" w:sz="0" w:space="0" w:color="auto"/>
                      </w:divBdr>
                    </w:div>
                    <w:div w:id="1157962050">
                      <w:marLeft w:val="0"/>
                      <w:marRight w:val="0"/>
                      <w:marTop w:val="0"/>
                      <w:marBottom w:val="0"/>
                      <w:divBdr>
                        <w:top w:val="none" w:sz="0" w:space="0" w:color="auto"/>
                        <w:left w:val="none" w:sz="0" w:space="0" w:color="auto"/>
                        <w:bottom w:val="none" w:sz="0" w:space="0" w:color="auto"/>
                        <w:right w:val="none" w:sz="0" w:space="0" w:color="auto"/>
                      </w:divBdr>
                    </w:div>
                    <w:div w:id="1335567484">
                      <w:marLeft w:val="0"/>
                      <w:marRight w:val="0"/>
                      <w:marTop w:val="0"/>
                      <w:marBottom w:val="0"/>
                      <w:divBdr>
                        <w:top w:val="none" w:sz="0" w:space="0" w:color="auto"/>
                        <w:left w:val="none" w:sz="0" w:space="0" w:color="auto"/>
                        <w:bottom w:val="none" w:sz="0" w:space="0" w:color="auto"/>
                        <w:right w:val="none" w:sz="0" w:space="0" w:color="auto"/>
                      </w:divBdr>
                    </w:div>
                    <w:div w:id="1382947294">
                      <w:marLeft w:val="0"/>
                      <w:marRight w:val="0"/>
                      <w:marTop w:val="0"/>
                      <w:marBottom w:val="0"/>
                      <w:divBdr>
                        <w:top w:val="none" w:sz="0" w:space="0" w:color="auto"/>
                        <w:left w:val="none" w:sz="0" w:space="0" w:color="auto"/>
                        <w:bottom w:val="none" w:sz="0" w:space="0" w:color="auto"/>
                        <w:right w:val="none" w:sz="0" w:space="0" w:color="auto"/>
                      </w:divBdr>
                    </w:div>
                    <w:div w:id="1479763591">
                      <w:marLeft w:val="0"/>
                      <w:marRight w:val="0"/>
                      <w:marTop w:val="0"/>
                      <w:marBottom w:val="0"/>
                      <w:divBdr>
                        <w:top w:val="none" w:sz="0" w:space="0" w:color="auto"/>
                        <w:left w:val="none" w:sz="0" w:space="0" w:color="auto"/>
                        <w:bottom w:val="none" w:sz="0" w:space="0" w:color="auto"/>
                        <w:right w:val="none" w:sz="0" w:space="0" w:color="auto"/>
                      </w:divBdr>
                    </w:div>
                    <w:div w:id="1526751259">
                      <w:marLeft w:val="0"/>
                      <w:marRight w:val="0"/>
                      <w:marTop w:val="0"/>
                      <w:marBottom w:val="0"/>
                      <w:divBdr>
                        <w:top w:val="none" w:sz="0" w:space="0" w:color="auto"/>
                        <w:left w:val="none" w:sz="0" w:space="0" w:color="auto"/>
                        <w:bottom w:val="none" w:sz="0" w:space="0" w:color="auto"/>
                        <w:right w:val="none" w:sz="0" w:space="0" w:color="auto"/>
                      </w:divBdr>
                    </w:div>
                    <w:div w:id="1889143471">
                      <w:marLeft w:val="0"/>
                      <w:marRight w:val="0"/>
                      <w:marTop w:val="0"/>
                      <w:marBottom w:val="0"/>
                      <w:divBdr>
                        <w:top w:val="none" w:sz="0" w:space="0" w:color="auto"/>
                        <w:left w:val="none" w:sz="0" w:space="0" w:color="auto"/>
                        <w:bottom w:val="none" w:sz="0" w:space="0" w:color="auto"/>
                        <w:right w:val="none" w:sz="0" w:space="0" w:color="auto"/>
                      </w:divBdr>
                    </w:div>
                    <w:div w:id="1955360596">
                      <w:marLeft w:val="0"/>
                      <w:marRight w:val="0"/>
                      <w:marTop w:val="0"/>
                      <w:marBottom w:val="0"/>
                      <w:divBdr>
                        <w:top w:val="none" w:sz="0" w:space="0" w:color="auto"/>
                        <w:left w:val="none" w:sz="0" w:space="0" w:color="auto"/>
                        <w:bottom w:val="none" w:sz="0" w:space="0" w:color="auto"/>
                        <w:right w:val="none" w:sz="0" w:space="0" w:color="auto"/>
                      </w:divBdr>
                    </w:div>
                  </w:divsChild>
                </w:div>
                <w:div w:id="1046637614">
                  <w:marLeft w:val="0"/>
                  <w:marRight w:val="0"/>
                  <w:marTop w:val="0"/>
                  <w:marBottom w:val="0"/>
                  <w:divBdr>
                    <w:top w:val="none" w:sz="0" w:space="0" w:color="auto"/>
                    <w:left w:val="none" w:sz="0" w:space="0" w:color="auto"/>
                    <w:bottom w:val="none" w:sz="0" w:space="0" w:color="auto"/>
                    <w:right w:val="none" w:sz="0" w:space="0" w:color="auto"/>
                  </w:divBdr>
                  <w:divsChild>
                    <w:div w:id="1722745427">
                      <w:marLeft w:val="0"/>
                      <w:marRight w:val="0"/>
                      <w:marTop w:val="0"/>
                      <w:marBottom w:val="0"/>
                      <w:divBdr>
                        <w:top w:val="none" w:sz="0" w:space="0" w:color="auto"/>
                        <w:left w:val="none" w:sz="0" w:space="0" w:color="auto"/>
                        <w:bottom w:val="none" w:sz="0" w:space="0" w:color="auto"/>
                        <w:right w:val="none" w:sz="0" w:space="0" w:color="auto"/>
                      </w:divBdr>
                    </w:div>
                  </w:divsChild>
                </w:div>
                <w:div w:id="1400053217">
                  <w:marLeft w:val="0"/>
                  <w:marRight w:val="0"/>
                  <w:marTop w:val="0"/>
                  <w:marBottom w:val="0"/>
                  <w:divBdr>
                    <w:top w:val="none" w:sz="0" w:space="0" w:color="auto"/>
                    <w:left w:val="none" w:sz="0" w:space="0" w:color="auto"/>
                    <w:bottom w:val="none" w:sz="0" w:space="0" w:color="auto"/>
                    <w:right w:val="none" w:sz="0" w:space="0" w:color="auto"/>
                  </w:divBdr>
                  <w:divsChild>
                    <w:div w:id="125702694">
                      <w:marLeft w:val="0"/>
                      <w:marRight w:val="0"/>
                      <w:marTop w:val="0"/>
                      <w:marBottom w:val="0"/>
                      <w:divBdr>
                        <w:top w:val="none" w:sz="0" w:space="0" w:color="auto"/>
                        <w:left w:val="none" w:sz="0" w:space="0" w:color="auto"/>
                        <w:bottom w:val="none" w:sz="0" w:space="0" w:color="auto"/>
                        <w:right w:val="none" w:sz="0" w:space="0" w:color="auto"/>
                      </w:divBdr>
                    </w:div>
                    <w:div w:id="1115830332">
                      <w:marLeft w:val="0"/>
                      <w:marRight w:val="0"/>
                      <w:marTop w:val="0"/>
                      <w:marBottom w:val="0"/>
                      <w:divBdr>
                        <w:top w:val="none" w:sz="0" w:space="0" w:color="auto"/>
                        <w:left w:val="none" w:sz="0" w:space="0" w:color="auto"/>
                        <w:bottom w:val="none" w:sz="0" w:space="0" w:color="auto"/>
                        <w:right w:val="none" w:sz="0" w:space="0" w:color="auto"/>
                      </w:divBdr>
                    </w:div>
                    <w:div w:id="1267811300">
                      <w:marLeft w:val="0"/>
                      <w:marRight w:val="0"/>
                      <w:marTop w:val="0"/>
                      <w:marBottom w:val="0"/>
                      <w:divBdr>
                        <w:top w:val="none" w:sz="0" w:space="0" w:color="auto"/>
                        <w:left w:val="none" w:sz="0" w:space="0" w:color="auto"/>
                        <w:bottom w:val="none" w:sz="0" w:space="0" w:color="auto"/>
                        <w:right w:val="none" w:sz="0" w:space="0" w:color="auto"/>
                      </w:divBdr>
                    </w:div>
                  </w:divsChild>
                </w:div>
                <w:div w:id="1792553544">
                  <w:marLeft w:val="0"/>
                  <w:marRight w:val="0"/>
                  <w:marTop w:val="0"/>
                  <w:marBottom w:val="0"/>
                  <w:divBdr>
                    <w:top w:val="none" w:sz="0" w:space="0" w:color="auto"/>
                    <w:left w:val="none" w:sz="0" w:space="0" w:color="auto"/>
                    <w:bottom w:val="none" w:sz="0" w:space="0" w:color="auto"/>
                    <w:right w:val="none" w:sz="0" w:space="0" w:color="auto"/>
                  </w:divBdr>
                  <w:divsChild>
                    <w:div w:id="99616822">
                      <w:marLeft w:val="0"/>
                      <w:marRight w:val="0"/>
                      <w:marTop w:val="0"/>
                      <w:marBottom w:val="0"/>
                      <w:divBdr>
                        <w:top w:val="none" w:sz="0" w:space="0" w:color="auto"/>
                        <w:left w:val="none" w:sz="0" w:space="0" w:color="auto"/>
                        <w:bottom w:val="none" w:sz="0" w:space="0" w:color="auto"/>
                        <w:right w:val="none" w:sz="0" w:space="0" w:color="auto"/>
                      </w:divBdr>
                    </w:div>
                    <w:div w:id="122970077">
                      <w:marLeft w:val="0"/>
                      <w:marRight w:val="0"/>
                      <w:marTop w:val="0"/>
                      <w:marBottom w:val="0"/>
                      <w:divBdr>
                        <w:top w:val="none" w:sz="0" w:space="0" w:color="auto"/>
                        <w:left w:val="none" w:sz="0" w:space="0" w:color="auto"/>
                        <w:bottom w:val="none" w:sz="0" w:space="0" w:color="auto"/>
                        <w:right w:val="none" w:sz="0" w:space="0" w:color="auto"/>
                      </w:divBdr>
                    </w:div>
                    <w:div w:id="444809226">
                      <w:marLeft w:val="0"/>
                      <w:marRight w:val="0"/>
                      <w:marTop w:val="0"/>
                      <w:marBottom w:val="0"/>
                      <w:divBdr>
                        <w:top w:val="none" w:sz="0" w:space="0" w:color="auto"/>
                        <w:left w:val="none" w:sz="0" w:space="0" w:color="auto"/>
                        <w:bottom w:val="none" w:sz="0" w:space="0" w:color="auto"/>
                        <w:right w:val="none" w:sz="0" w:space="0" w:color="auto"/>
                      </w:divBdr>
                    </w:div>
                    <w:div w:id="841317988">
                      <w:marLeft w:val="0"/>
                      <w:marRight w:val="0"/>
                      <w:marTop w:val="0"/>
                      <w:marBottom w:val="0"/>
                      <w:divBdr>
                        <w:top w:val="none" w:sz="0" w:space="0" w:color="auto"/>
                        <w:left w:val="none" w:sz="0" w:space="0" w:color="auto"/>
                        <w:bottom w:val="none" w:sz="0" w:space="0" w:color="auto"/>
                        <w:right w:val="none" w:sz="0" w:space="0" w:color="auto"/>
                      </w:divBdr>
                    </w:div>
                    <w:div w:id="889803369">
                      <w:marLeft w:val="0"/>
                      <w:marRight w:val="0"/>
                      <w:marTop w:val="0"/>
                      <w:marBottom w:val="0"/>
                      <w:divBdr>
                        <w:top w:val="none" w:sz="0" w:space="0" w:color="auto"/>
                        <w:left w:val="none" w:sz="0" w:space="0" w:color="auto"/>
                        <w:bottom w:val="none" w:sz="0" w:space="0" w:color="auto"/>
                        <w:right w:val="none" w:sz="0" w:space="0" w:color="auto"/>
                      </w:divBdr>
                    </w:div>
                    <w:div w:id="921374231">
                      <w:marLeft w:val="0"/>
                      <w:marRight w:val="0"/>
                      <w:marTop w:val="0"/>
                      <w:marBottom w:val="0"/>
                      <w:divBdr>
                        <w:top w:val="none" w:sz="0" w:space="0" w:color="auto"/>
                        <w:left w:val="none" w:sz="0" w:space="0" w:color="auto"/>
                        <w:bottom w:val="none" w:sz="0" w:space="0" w:color="auto"/>
                        <w:right w:val="none" w:sz="0" w:space="0" w:color="auto"/>
                      </w:divBdr>
                    </w:div>
                    <w:div w:id="1159269824">
                      <w:marLeft w:val="0"/>
                      <w:marRight w:val="0"/>
                      <w:marTop w:val="0"/>
                      <w:marBottom w:val="0"/>
                      <w:divBdr>
                        <w:top w:val="none" w:sz="0" w:space="0" w:color="auto"/>
                        <w:left w:val="none" w:sz="0" w:space="0" w:color="auto"/>
                        <w:bottom w:val="none" w:sz="0" w:space="0" w:color="auto"/>
                        <w:right w:val="none" w:sz="0" w:space="0" w:color="auto"/>
                      </w:divBdr>
                    </w:div>
                    <w:div w:id="1316445798">
                      <w:marLeft w:val="0"/>
                      <w:marRight w:val="0"/>
                      <w:marTop w:val="0"/>
                      <w:marBottom w:val="0"/>
                      <w:divBdr>
                        <w:top w:val="none" w:sz="0" w:space="0" w:color="auto"/>
                        <w:left w:val="none" w:sz="0" w:space="0" w:color="auto"/>
                        <w:bottom w:val="none" w:sz="0" w:space="0" w:color="auto"/>
                        <w:right w:val="none" w:sz="0" w:space="0" w:color="auto"/>
                      </w:divBdr>
                    </w:div>
                    <w:div w:id="1585257181">
                      <w:marLeft w:val="0"/>
                      <w:marRight w:val="0"/>
                      <w:marTop w:val="0"/>
                      <w:marBottom w:val="0"/>
                      <w:divBdr>
                        <w:top w:val="none" w:sz="0" w:space="0" w:color="auto"/>
                        <w:left w:val="none" w:sz="0" w:space="0" w:color="auto"/>
                        <w:bottom w:val="none" w:sz="0" w:space="0" w:color="auto"/>
                        <w:right w:val="none" w:sz="0" w:space="0" w:color="auto"/>
                      </w:divBdr>
                    </w:div>
                    <w:div w:id="1815947145">
                      <w:marLeft w:val="0"/>
                      <w:marRight w:val="0"/>
                      <w:marTop w:val="0"/>
                      <w:marBottom w:val="0"/>
                      <w:divBdr>
                        <w:top w:val="none" w:sz="0" w:space="0" w:color="auto"/>
                        <w:left w:val="none" w:sz="0" w:space="0" w:color="auto"/>
                        <w:bottom w:val="none" w:sz="0" w:space="0" w:color="auto"/>
                        <w:right w:val="none" w:sz="0" w:space="0" w:color="auto"/>
                      </w:divBdr>
                    </w:div>
                    <w:div w:id="18742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3547">
          <w:marLeft w:val="0"/>
          <w:marRight w:val="0"/>
          <w:marTop w:val="0"/>
          <w:marBottom w:val="0"/>
          <w:divBdr>
            <w:top w:val="none" w:sz="0" w:space="0" w:color="auto"/>
            <w:left w:val="none" w:sz="0" w:space="0" w:color="auto"/>
            <w:bottom w:val="none" w:sz="0" w:space="0" w:color="auto"/>
            <w:right w:val="none" w:sz="0" w:space="0" w:color="auto"/>
          </w:divBdr>
        </w:div>
        <w:div w:id="359548605">
          <w:marLeft w:val="0"/>
          <w:marRight w:val="0"/>
          <w:marTop w:val="0"/>
          <w:marBottom w:val="0"/>
          <w:divBdr>
            <w:top w:val="none" w:sz="0" w:space="0" w:color="auto"/>
            <w:left w:val="none" w:sz="0" w:space="0" w:color="auto"/>
            <w:bottom w:val="none" w:sz="0" w:space="0" w:color="auto"/>
            <w:right w:val="none" w:sz="0" w:space="0" w:color="auto"/>
          </w:divBdr>
        </w:div>
        <w:div w:id="397168640">
          <w:marLeft w:val="0"/>
          <w:marRight w:val="0"/>
          <w:marTop w:val="0"/>
          <w:marBottom w:val="0"/>
          <w:divBdr>
            <w:top w:val="none" w:sz="0" w:space="0" w:color="auto"/>
            <w:left w:val="none" w:sz="0" w:space="0" w:color="auto"/>
            <w:bottom w:val="none" w:sz="0" w:space="0" w:color="auto"/>
            <w:right w:val="none" w:sz="0" w:space="0" w:color="auto"/>
          </w:divBdr>
        </w:div>
        <w:div w:id="428889692">
          <w:marLeft w:val="0"/>
          <w:marRight w:val="0"/>
          <w:marTop w:val="0"/>
          <w:marBottom w:val="0"/>
          <w:divBdr>
            <w:top w:val="none" w:sz="0" w:space="0" w:color="auto"/>
            <w:left w:val="none" w:sz="0" w:space="0" w:color="auto"/>
            <w:bottom w:val="none" w:sz="0" w:space="0" w:color="auto"/>
            <w:right w:val="none" w:sz="0" w:space="0" w:color="auto"/>
          </w:divBdr>
        </w:div>
        <w:div w:id="496697780">
          <w:marLeft w:val="0"/>
          <w:marRight w:val="0"/>
          <w:marTop w:val="0"/>
          <w:marBottom w:val="0"/>
          <w:divBdr>
            <w:top w:val="none" w:sz="0" w:space="0" w:color="auto"/>
            <w:left w:val="none" w:sz="0" w:space="0" w:color="auto"/>
            <w:bottom w:val="none" w:sz="0" w:space="0" w:color="auto"/>
            <w:right w:val="none" w:sz="0" w:space="0" w:color="auto"/>
          </w:divBdr>
        </w:div>
        <w:div w:id="585656596">
          <w:marLeft w:val="0"/>
          <w:marRight w:val="0"/>
          <w:marTop w:val="0"/>
          <w:marBottom w:val="0"/>
          <w:divBdr>
            <w:top w:val="none" w:sz="0" w:space="0" w:color="auto"/>
            <w:left w:val="none" w:sz="0" w:space="0" w:color="auto"/>
            <w:bottom w:val="none" w:sz="0" w:space="0" w:color="auto"/>
            <w:right w:val="none" w:sz="0" w:space="0" w:color="auto"/>
          </w:divBdr>
        </w:div>
        <w:div w:id="623390230">
          <w:marLeft w:val="0"/>
          <w:marRight w:val="0"/>
          <w:marTop w:val="0"/>
          <w:marBottom w:val="0"/>
          <w:divBdr>
            <w:top w:val="none" w:sz="0" w:space="0" w:color="auto"/>
            <w:left w:val="none" w:sz="0" w:space="0" w:color="auto"/>
            <w:bottom w:val="none" w:sz="0" w:space="0" w:color="auto"/>
            <w:right w:val="none" w:sz="0" w:space="0" w:color="auto"/>
          </w:divBdr>
        </w:div>
        <w:div w:id="700933310">
          <w:marLeft w:val="0"/>
          <w:marRight w:val="0"/>
          <w:marTop w:val="0"/>
          <w:marBottom w:val="0"/>
          <w:divBdr>
            <w:top w:val="none" w:sz="0" w:space="0" w:color="auto"/>
            <w:left w:val="none" w:sz="0" w:space="0" w:color="auto"/>
            <w:bottom w:val="none" w:sz="0" w:space="0" w:color="auto"/>
            <w:right w:val="none" w:sz="0" w:space="0" w:color="auto"/>
          </w:divBdr>
        </w:div>
        <w:div w:id="988940225">
          <w:marLeft w:val="0"/>
          <w:marRight w:val="0"/>
          <w:marTop w:val="0"/>
          <w:marBottom w:val="0"/>
          <w:divBdr>
            <w:top w:val="none" w:sz="0" w:space="0" w:color="auto"/>
            <w:left w:val="none" w:sz="0" w:space="0" w:color="auto"/>
            <w:bottom w:val="none" w:sz="0" w:space="0" w:color="auto"/>
            <w:right w:val="none" w:sz="0" w:space="0" w:color="auto"/>
          </w:divBdr>
        </w:div>
        <w:div w:id="1016468469">
          <w:marLeft w:val="0"/>
          <w:marRight w:val="0"/>
          <w:marTop w:val="0"/>
          <w:marBottom w:val="0"/>
          <w:divBdr>
            <w:top w:val="none" w:sz="0" w:space="0" w:color="auto"/>
            <w:left w:val="none" w:sz="0" w:space="0" w:color="auto"/>
            <w:bottom w:val="none" w:sz="0" w:space="0" w:color="auto"/>
            <w:right w:val="none" w:sz="0" w:space="0" w:color="auto"/>
          </w:divBdr>
        </w:div>
        <w:div w:id="1097629596">
          <w:marLeft w:val="0"/>
          <w:marRight w:val="0"/>
          <w:marTop w:val="0"/>
          <w:marBottom w:val="0"/>
          <w:divBdr>
            <w:top w:val="none" w:sz="0" w:space="0" w:color="auto"/>
            <w:left w:val="none" w:sz="0" w:space="0" w:color="auto"/>
            <w:bottom w:val="none" w:sz="0" w:space="0" w:color="auto"/>
            <w:right w:val="none" w:sz="0" w:space="0" w:color="auto"/>
          </w:divBdr>
        </w:div>
        <w:div w:id="1103499730">
          <w:marLeft w:val="0"/>
          <w:marRight w:val="0"/>
          <w:marTop w:val="0"/>
          <w:marBottom w:val="0"/>
          <w:divBdr>
            <w:top w:val="none" w:sz="0" w:space="0" w:color="auto"/>
            <w:left w:val="none" w:sz="0" w:space="0" w:color="auto"/>
            <w:bottom w:val="none" w:sz="0" w:space="0" w:color="auto"/>
            <w:right w:val="none" w:sz="0" w:space="0" w:color="auto"/>
          </w:divBdr>
        </w:div>
        <w:div w:id="1451392924">
          <w:marLeft w:val="0"/>
          <w:marRight w:val="0"/>
          <w:marTop w:val="0"/>
          <w:marBottom w:val="0"/>
          <w:divBdr>
            <w:top w:val="none" w:sz="0" w:space="0" w:color="auto"/>
            <w:left w:val="none" w:sz="0" w:space="0" w:color="auto"/>
            <w:bottom w:val="none" w:sz="0" w:space="0" w:color="auto"/>
            <w:right w:val="none" w:sz="0" w:space="0" w:color="auto"/>
          </w:divBdr>
        </w:div>
        <w:div w:id="1552690026">
          <w:marLeft w:val="0"/>
          <w:marRight w:val="0"/>
          <w:marTop w:val="0"/>
          <w:marBottom w:val="0"/>
          <w:divBdr>
            <w:top w:val="none" w:sz="0" w:space="0" w:color="auto"/>
            <w:left w:val="none" w:sz="0" w:space="0" w:color="auto"/>
            <w:bottom w:val="none" w:sz="0" w:space="0" w:color="auto"/>
            <w:right w:val="none" w:sz="0" w:space="0" w:color="auto"/>
          </w:divBdr>
        </w:div>
        <w:div w:id="1819952012">
          <w:marLeft w:val="0"/>
          <w:marRight w:val="0"/>
          <w:marTop w:val="0"/>
          <w:marBottom w:val="0"/>
          <w:divBdr>
            <w:top w:val="none" w:sz="0" w:space="0" w:color="auto"/>
            <w:left w:val="none" w:sz="0" w:space="0" w:color="auto"/>
            <w:bottom w:val="none" w:sz="0" w:space="0" w:color="auto"/>
            <w:right w:val="none" w:sz="0" w:space="0" w:color="auto"/>
          </w:divBdr>
        </w:div>
        <w:div w:id="1844320627">
          <w:marLeft w:val="0"/>
          <w:marRight w:val="0"/>
          <w:marTop w:val="0"/>
          <w:marBottom w:val="0"/>
          <w:divBdr>
            <w:top w:val="none" w:sz="0" w:space="0" w:color="auto"/>
            <w:left w:val="none" w:sz="0" w:space="0" w:color="auto"/>
            <w:bottom w:val="none" w:sz="0" w:space="0" w:color="auto"/>
            <w:right w:val="none" w:sz="0" w:space="0" w:color="auto"/>
          </w:divBdr>
        </w:div>
        <w:div w:id="1886214001">
          <w:marLeft w:val="0"/>
          <w:marRight w:val="0"/>
          <w:marTop w:val="0"/>
          <w:marBottom w:val="0"/>
          <w:divBdr>
            <w:top w:val="none" w:sz="0" w:space="0" w:color="auto"/>
            <w:left w:val="none" w:sz="0" w:space="0" w:color="auto"/>
            <w:bottom w:val="none" w:sz="0" w:space="0" w:color="auto"/>
            <w:right w:val="none" w:sz="0" w:space="0" w:color="auto"/>
          </w:divBdr>
        </w:div>
        <w:div w:id="1895386741">
          <w:marLeft w:val="0"/>
          <w:marRight w:val="0"/>
          <w:marTop w:val="0"/>
          <w:marBottom w:val="0"/>
          <w:divBdr>
            <w:top w:val="none" w:sz="0" w:space="0" w:color="auto"/>
            <w:left w:val="none" w:sz="0" w:space="0" w:color="auto"/>
            <w:bottom w:val="none" w:sz="0" w:space="0" w:color="auto"/>
            <w:right w:val="none" w:sz="0" w:space="0" w:color="auto"/>
          </w:divBdr>
        </w:div>
        <w:div w:id="1988704198">
          <w:marLeft w:val="0"/>
          <w:marRight w:val="0"/>
          <w:marTop w:val="0"/>
          <w:marBottom w:val="0"/>
          <w:divBdr>
            <w:top w:val="none" w:sz="0" w:space="0" w:color="auto"/>
            <w:left w:val="none" w:sz="0" w:space="0" w:color="auto"/>
            <w:bottom w:val="none" w:sz="0" w:space="0" w:color="auto"/>
            <w:right w:val="none" w:sz="0" w:space="0" w:color="auto"/>
          </w:divBdr>
        </w:div>
        <w:div w:id="2007971918">
          <w:marLeft w:val="0"/>
          <w:marRight w:val="0"/>
          <w:marTop w:val="0"/>
          <w:marBottom w:val="0"/>
          <w:divBdr>
            <w:top w:val="none" w:sz="0" w:space="0" w:color="auto"/>
            <w:left w:val="none" w:sz="0" w:space="0" w:color="auto"/>
            <w:bottom w:val="none" w:sz="0" w:space="0" w:color="auto"/>
            <w:right w:val="none" w:sz="0" w:space="0" w:color="auto"/>
          </w:divBdr>
        </w:div>
      </w:divsChild>
    </w:div>
    <w:div w:id="275331488">
      <w:bodyDiv w:val="1"/>
      <w:marLeft w:val="0"/>
      <w:marRight w:val="0"/>
      <w:marTop w:val="0"/>
      <w:marBottom w:val="0"/>
      <w:divBdr>
        <w:top w:val="none" w:sz="0" w:space="0" w:color="auto"/>
        <w:left w:val="none" w:sz="0" w:space="0" w:color="auto"/>
        <w:bottom w:val="none" w:sz="0" w:space="0" w:color="auto"/>
        <w:right w:val="none" w:sz="0" w:space="0" w:color="auto"/>
      </w:divBdr>
      <w:divsChild>
        <w:div w:id="236524572">
          <w:marLeft w:val="0"/>
          <w:marRight w:val="0"/>
          <w:marTop w:val="0"/>
          <w:marBottom w:val="0"/>
          <w:divBdr>
            <w:top w:val="none" w:sz="0" w:space="0" w:color="auto"/>
            <w:left w:val="none" w:sz="0" w:space="0" w:color="auto"/>
            <w:bottom w:val="none" w:sz="0" w:space="0" w:color="auto"/>
            <w:right w:val="none" w:sz="0" w:space="0" w:color="auto"/>
          </w:divBdr>
        </w:div>
        <w:div w:id="489712729">
          <w:marLeft w:val="0"/>
          <w:marRight w:val="0"/>
          <w:marTop w:val="0"/>
          <w:marBottom w:val="0"/>
          <w:divBdr>
            <w:top w:val="none" w:sz="0" w:space="0" w:color="auto"/>
            <w:left w:val="none" w:sz="0" w:space="0" w:color="auto"/>
            <w:bottom w:val="none" w:sz="0" w:space="0" w:color="auto"/>
            <w:right w:val="none" w:sz="0" w:space="0" w:color="auto"/>
          </w:divBdr>
        </w:div>
        <w:div w:id="577323048">
          <w:marLeft w:val="0"/>
          <w:marRight w:val="0"/>
          <w:marTop w:val="0"/>
          <w:marBottom w:val="0"/>
          <w:divBdr>
            <w:top w:val="none" w:sz="0" w:space="0" w:color="auto"/>
            <w:left w:val="none" w:sz="0" w:space="0" w:color="auto"/>
            <w:bottom w:val="none" w:sz="0" w:space="0" w:color="auto"/>
            <w:right w:val="none" w:sz="0" w:space="0" w:color="auto"/>
          </w:divBdr>
        </w:div>
        <w:div w:id="890195758">
          <w:marLeft w:val="0"/>
          <w:marRight w:val="0"/>
          <w:marTop w:val="0"/>
          <w:marBottom w:val="0"/>
          <w:divBdr>
            <w:top w:val="none" w:sz="0" w:space="0" w:color="auto"/>
            <w:left w:val="none" w:sz="0" w:space="0" w:color="auto"/>
            <w:bottom w:val="none" w:sz="0" w:space="0" w:color="auto"/>
            <w:right w:val="none" w:sz="0" w:space="0" w:color="auto"/>
          </w:divBdr>
        </w:div>
        <w:div w:id="937713560">
          <w:marLeft w:val="0"/>
          <w:marRight w:val="0"/>
          <w:marTop w:val="0"/>
          <w:marBottom w:val="0"/>
          <w:divBdr>
            <w:top w:val="none" w:sz="0" w:space="0" w:color="auto"/>
            <w:left w:val="none" w:sz="0" w:space="0" w:color="auto"/>
            <w:bottom w:val="none" w:sz="0" w:space="0" w:color="auto"/>
            <w:right w:val="none" w:sz="0" w:space="0" w:color="auto"/>
          </w:divBdr>
        </w:div>
        <w:div w:id="955792783">
          <w:marLeft w:val="0"/>
          <w:marRight w:val="0"/>
          <w:marTop w:val="0"/>
          <w:marBottom w:val="0"/>
          <w:divBdr>
            <w:top w:val="none" w:sz="0" w:space="0" w:color="auto"/>
            <w:left w:val="none" w:sz="0" w:space="0" w:color="auto"/>
            <w:bottom w:val="none" w:sz="0" w:space="0" w:color="auto"/>
            <w:right w:val="none" w:sz="0" w:space="0" w:color="auto"/>
          </w:divBdr>
        </w:div>
        <w:div w:id="1260991394">
          <w:marLeft w:val="0"/>
          <w:marRight w:val="0"/>
          <w:marTop w:val="0"/>
          <w:marBottom w:val="0"/>
          <w:divBdr>
            <w:top w:val="none" w:sz="0" w:space="0" w:color="auto"/>
            <w:left w:val="none" w:sz="0" w:space="0" w:color="auto"/>
            <w:bottom w:val="none" w:sz="0" w:space="0" w:color="auto"/>
            <w:right w:val="none" w:sz="0" w:space="0" w:color="auto"/>
          </w:divBdr>
        </w:div>
        <w:div w:id="1385521624">
          <w:marLeft w:val="0"/>
          <w:marRight w:val="0"/>
          <w:marTop w:val="0"/>
          <w:marBottom w:val="0"/>
          <w:divBdr>
            <w:top w:val="none" w:sz="0" w:space="0" w:color="auto"/>
            <w:left w:val="none" w:sz="0" w:space="0" w:color="auto"/>
            <w:bottom w:val="none" w:sz="0" w:space="0" w:color="auto"/>
            <w:right w:val="none" w:sz="0" w:space="0" w:color="auto"/>
          </w:divBdr>
        </w:div>
        <w:div w:id="1586452819">
          <w:marLeft w:val="0"/>
          <w:marRight w:val="0"/>
          <w:marTop w:val="0"/>
          <w:marBottom w:val="0"/>
          <w:divBdr>
            <w:top w:val="none" w:sz="0" w:space="0" w:color="auto"/>
            <w:left w:val="none" w:sz="0" w:space="0" w:color="auto"/>
            <w:bottom w:val="none" w:sz="0" w:space="0" w:color="auto"/>
            <w:right w:val="none" w:sz="0" w:space="0" w:color="auto"/>
          </w:divBdr>
        </w:div>
        <w:div w:id="1626351802">
          <w:marLeft w:val="0"/>
          <w:marRight w:val="0"/>
          <w:marTop w:val="0"/>
          <w:marBottom w:val="0"/>
          <w:divBdr>
            <w:top w:val="none" w:sz="0" w:space="0" w:color="auto"/>
            <w:left w:val="none" w:sz="0" w:space="0" w:color="auto"/>
            <w:bottom w:val="none" w:sz="0" w:space="0" w:color="auto"/>
            <w:right w:val="none" w:sz="0" w:space="0" w:color="auto"/>
          </w:divBdr>
        </w:div>
        <w:div w:id="1629236739">
          <w:marLeft w:val="0"/>
          <w:marRight w:val="0"/>
          <w:marTop w:val="0"/>
          <w:marBottom w:val="0"/>
          <w:divBdr>
            <w:top w:val="none" w:sz="0" w:space="0" w:color="auto"/>
            <w:left w:val="none" w:sz="0" w:space="0" w:color="auto"/>
            <w:bottom w:val="none" w:sz="0" w:space="0" w:color="auto"/>
            <w:right w:val="none" w:sz="0" w:space="0" w:color="auto"/>
          </w:divBdr>
        </w:div>
        <w:div w:id="1689023704">
          <w:marLeft w:val="0"/>
          <w:marRight w:val="0"/>
          <w:marTop w:val="0"/>
          <w:marBottom w:val="0"/>
          <w:divBdr>
            <w:top w:val="none" w:sz="0" w:space="0" w:color="auto"/>
            <w:left w:val="none" w:sz="0" w:space="0" w:color="auto"/>
            <w:bottom w:val="none" w:sz="0" w:space="0" w:color="auto"/>
            <w:right w:val="none" w:sz="0" w:space="0" w:color="auto"/>
          </w:divBdr>
        </w:div>
        <w:div w:id="1786384542">
          <w:marLeft w:val="0"/>
          <w:marRight w:val="0"/>
          <w:marTop w:val="0"/>
          <w:marBottom w:val="0"/>
          <w:divBdr>
            <w:top w:val="none" w:sz="0" w:space="0" w:color="auto"/>
            <w:left w:val="none" w:sz="0" w:space="0" w:color="auto"/>
            <w:bottom w:val="none" w:sz="0" w:space="0" w:color="auto"/>
            <w:right w:val="none" w:sz="0" w:space="0" w:color="auto"/>
          </w:divBdr>
        </w:div>
        <w:div w:id="1806392525">
          <w:marLeft w:val="0"/>
          <w:marRight w:val="0"/>
          <w:marTop w:val="0"/>
          <w:marBottom w:val="0"/>
          <w:divBdr>
            <w:top w:val="none" w:sz="0" w:space="0" w:color="auto"/>
            <w:left w:val="none" w:sz="0" w:space="0" w:color="auto"/>
            <w:bottom w:val="none" w:sz="0" w:space="0" w:color="auto"/>
            <w:right w:val="none" w:sz="0" w:space="0" w:color="auto"/>
          </w:divBdr>
        </w:div>
        <w:div w:id="2047025893">
          <w:marLeft w:val="0"/>
          <w:marRight w:val="0"/>
          <w:marTop w:val="0"/>
          <w:marBottom w:val="0"/>
          <w:divBdr>
            <w:top w:val="none" w:sz="0" w:space="0" w:color="auto"/>
            <w:left w:val="none" w:sz="0" w:space="0" w:color="auto"/>
            <w:bottom w:val="none" w:sz="0" w:space="0" w:color="auto"/>
            <w:right w:val="none" w:sz="0" w:space="0" w:color="auto"/>
          </w:divBdr>
        </w:div>
        <w:div w:id="2134783970">
          <w:marLeft w:val="0"/>
          <w:marRight w:val="0"/>
          <w:marTop w:val="0"/>
          <w:marBottom w:val="0"/>
          <w:divBdr>
            <w:top w:val="none" w:sz="0" w:space="0" w:color="auto"/>
            <w:left w:val="none" w:sz="0" w:space="0" w:color="auto"/>
            <w:bottom w:val="none" w:sz="0" w:space="0" w:color="auto"/>
            <w:right w:val="none" w:sz="0" w:space="0" w:color="auto"/>
          </w:divBdr>
        </w:div>
      </w:divsChild>
    </w:div>
    <w:div w:id="304706867">
      <w:bodyDiv w:val="1"/>
      <w:marLeft w:val="0"/>
      <w:marRight w:val="0"/>
      <w:marTop w:val="0"/>
      <w:marBottom w:val="0"/>
      <w:divBdr>
        <w:top w:val="none" w:sz="0" w:space="0" w:color="auto"/>
        <w:left w:val="none" w:sz="0" w:space="0" w:color="auto"/>
        <w:bottom w:val="none" w:sz="0" w:space="0" w:color="auto"/>
        <w:right w:val="none" w:sz="0" w:space="0" w:color="auto"/>
      </w:divBdr>
    </w:div>
    <w:div w:id="342896811">
      <w:bodyDiv w:val="1"/>
      <w:marLeft w:val="0"/>
      <w:marRight w:val="0"/>
      <w:marTop w:val="0"/>
      <w:marBottom w:val="0"/>
      <w:divBdr>
        <w:top w:val="none" w:sz="0" w:space="0" w:color="auto"/>
        <w:left w:val="none" w:sz="0" w:space="0" w:color="auto"/>
        <w:bottom w:val="none" w:sz="0" w:space="0" w:color="auto"/>
        <w:right w:val="none" w:sz="0" w:space="0" w:color="auto"/>
      </w:divBdr>
    </w:div>
    <w:div w:id="439960433">
      <w:bodyDiv w:val="1"/>
      <w:marLeft w:val="0"/>
      <w:marRight w:val="0"/>
      <w:marTop w:val="0"/>
      <w:marBottom w:val="0"/>
      <w:divBdr>
        <w:top w:val="none" w:sz="0" w:space="0" w:color="auto"/>
        <w:left w:val="none" w:sz="0" w:space="0" w:color="auto"/>
        <w:bottom w:val="none" w:sz="0" w:space="0" w:color="auto"/>
        <w:right w:val="none" w:sz="0" w:space="0" w:color="auto"/>
      </w:divBdr>
    </w:div>
    <w:div w:id="531112774">
      <w:bodyDiv w:val="1"/>
      <w:marLeft w:val="0"/>
      <w:marRight w:val="0"/>
      <w:marTop w:val="0"/>
      <w:marBottom w:val="0"/>
      <w:divBdr>
        <w:top w:val="none" w:sz="0" w:space="0" w:color="auto"/>
        <w:left w:val="none" w:sz="0" w:space="0" w:color="auto"/>
        <w:bottom w:val="none" w:sz="0" w:space="0" w:color="auto"/>
        <w:right w:val="none" w:sz="0" w:space="0" w:color="auto"/>
      </w:divBdr>
    </w:div>
    <w:div w:id="564336010">
      <w:bodyDiv w:val="1"/>
      <w:marLeft w:val="0"/>
      <w:marRight w:val="0"/>
      <w:marTop w:val="0"/>
      <w:marBottom w:val="0"/>
      <w:divBdr>
        <w:top w:val="none" w:sz="0" w:space="0" w:color="auto"/>
        <w:left w:val="none" w:sz="0" w:space="0" w:color="auto"/>
        <w:bottom w:val="none" w:sz="0" w:space="0" w:color="auto"/>
        <w:right w:val="none" w:sz="0" w:space="0" w:color="auto"/>
      </w:divBdr>
    </w:div>
    <w:div w:id="592931682">
      <w:bodyDiv w:val="1"/>
      <w:marLeft w:val="0"/>
      <w:marRight w:val="0"/>
      <w:marTop w:val="0"/>
      <w:marBottom w:val="0"/>
      <w:divBdr>
        <w:top w:val="none" w:sz="0" w:space="0" w:color="auto"/>
        <w:left w:val="none" w:sz="0" w:space="0" w:color="auto"/>
        <w:bottom w:val="none" w:sz="0" w:space="0" w:color="auto"/>
        <w:right w:val="none" w:sz="0" w:space="0" w:color="auto"/>
      </w:divBdr>
    </w:div>
    <w:div w:id="620771216">
      <w:bodyDiv w:val="1"/>
      <w:marLeft w:val="0"/>
      <w:marRight w:val="0"/>
      <w:marTop w:val="0"/>
      <w:marBottom w:val="0"/>
      <w:divBdr>
        <w:top w:val="none" w:sz="0" w:space="0" w:color="auto"/>
        <w:left w:val="none" w:sz="0" w:space="0" w:color="auto"/>
        <w:bottom w:val="none" w:sz="0" w:space="0" w:color="auto"/>
        <w:right w:val="none" w:sz="0" w:space="0" w:color="auto"/>
      </w:divBdr>
    </w:div>
    <w:div w:id="636107005">
      <w:bodyDiv w:val="1"/>
      <w:marLeft w:val="0"/>
      <w:marRight w:val="0"/>
      <w:marTop w:val="0"/>
      <w:marBottom w:val="0"/>
      <w:divBdr>
        <w:top w:val="none" w:sz="0" w:space="0" w:color="auto"/>
        <w:left w:val="none" w:sz="0" w:space="0" w:color="auto"/>
        <w:bottom w:val="none" w:sz="0" w:space="0" w:color="auto"/>
        <w:right w:val="none" w:sz="0" w:space="0" w:color="auto"/>
      </w:divBdr>
    </w:div>
    <w:div w:id="663322397">
      <w:bodyDiv w:val="1"/>
      <w:marLeft w:val="0"/>
      <w:marRight w:val="0"/>
      <w:marTop w:val="0"/>
      <w:marBottom w:val="0"/>
      <w:divBdr>
        <w:top w:val="none" w:sz="0" w:space="0" w:color="auto"/>
        <w:left w:val="none" w:sz="0" w:space="0" w:color="auto"/>
        <w:bottom w:val="none" w:sz="0" w:space="0" w:color="auto"/>
        <w:right w:val="none" w:sz="0" w:space="0" w:color="auto"/>
      </w:divBdr>
    </w:div>
    <w:div w:id="697659231">
      <w:bodyDiv w:val="1"/>
      <w:marLeft w:val="0"/>
      <w:marRight w:val="0"/>
      <w:marTop w:val="0"/>
      <w:marBottom w:val="0"/>
      <w:divBdr>
        <w:top w:val="none" w:sz="0" w:space="0" w:color="auto"/>
        <w:left w:val="none" w:sz="0" w:space="0" w:color="auto"/>
        <w:bottom w:val="none" w:sz="0" w:space="0" w:color="auto"/>
        <w:right w:val="none" w:sz="0" w:space="0" w:color="auto"/>
      </w:divBdr>
    </w:div>
    <w:div w:id="734208839">
      <w:bodyDiv w:val="1"/>
      <w:marLeft w:val="0"/>
      <w:marRight w:val="0"/>
      <w:marTop w:val="0"/>
      <w:marBottom w:val="0"/>
      <w:divBdr>
        <w:top w:val="none" w:sz="0" w:space="0" w:color="auto"/>
        <w:left w:val="none" w:sz="0" w:space="0" w:color="auto"/>
        <w:bottom w:val="none" w:sz="0" w:space="0" w:color="auto"/>
        <w:right w:val="none" w:sz="0" w:space="0" w:color="auto"/>
      </w:divBdr>
      <w:divsChild>
        <w:div w:id="10498899">
          <w:marLeft w:val="0"/>
          <w:marRight w:val="0"/>
          <w:marTop w:val="0"/>
          <w:marBottom w:val="0"/>
          <w:divBdr>
            <w:top w:val="none" w:sz="0" w:space="0" w:color="auto"/>
            <w:left w:val="none" w:sz="0" w:space="0" w:color="auto"/>
            <w:bottom w:val="none" w:sz="0" w:space="0" w:color="auto"/>
            <w:right w:val="none" w:sz="0" w:space="0" w:color="auto"/>
          </w:divBdr>
        </w:div>
        <w:div w:id="208685449">
          <w:marLeft w:val="0"/>
          <w:marRight w:val="0"/>
          <w:marTop w:val="0"/>
          <w:marBottom w:val="0"/>
          <w:divBdr>
            <w:top w:val="none" w:sz="0" w:space="0" w:color="auto"/>
            <w:left w:val="none" w:sz="0" w:space="0" w:color="auto"/>
            <w:bottom w:val="none" w:sz="0" w:space="0" w:color="auto"/>
            <w:right w:val="none" w:sz="0" w:space="0" w:color="auto"/>
          </w:divBdr>
        </w:div>
        <w:div w:id="353652155">
          <w:marLeft w:val="0"/>
          <w:marRight w:val="0"/>
          <w:marTop w:val="0"/>
          <w:marBottom w:val="0"/>
          <w:divBdr>
            <w:top w:val="none" w:sz="0" w:space="0" w:color="auto"/>
            <w:left w:val="none" w:sz="0" w:space="0" w:color="auto"/>
            <w:bottom w:val="none" w:sz="0" w:space="0" w:color="auto"/>
            <w:right w:val="none" w:sz="0" w:space="0" w:color="auto"/>
          </w:divBdr>
        </w:div>
        <w:div w:id="420684719">
          <w:marLeft w:val="0"/>
          <w:marRight w:val="0"/>
          <w:marTop w:val="0"/>
          <w:marBottom w:val="0"/>
          <w:divBdr>
            <w:top w:val="none" w:sz="0" w:space="0" w:color="auto"/>
            <w:left w:val="none" w:sz="0" w:space="0" w:color="auto"/>
            <w:bottom w:val="none" w:sz="0" w:space="0" w:color="auto"/>
            <w:right w:val="none" w:sz="0" w:space="0" w:color="auto"/>
          </w:divBdr>
        </w:div>
        <w:div w:id="509638460">
          <w:marLeft w:val="0"/>
          <w:marRight w:val="0"/>
          <w:marTop w:val="0"/>
          <w:marBottom w:val="0"/>
          <w:divBdr>
            <w:top w:val="none" w:sz="0" w:space="0" w:color="auto"/>
            <w:left w:val="none" w:sz="0" w:space="0" w:color="auto"/>
            <w:bottom w:val="none" w:sz="0" w:space="0" w:color="auto"/>
            <w:right w:val="none" w:sz="0" w:space="0" w:color="auto"/>
          </w:divBdr>
        </w:div>
        <w:div w:id="583685104">
          <w:marLeft w:val="0"/>
          <w:marRight w:val="0"/>
          <w:marTop w:val="0"/>
          <w:marBottom w:val="0"/>
          <w:divBdr>
            <w:top w:val="none" w:sz="0" w:space="0" w:color="auto"/>
            <w:left w:val="none" w:sz="0" w:space="0" w:color="auto"/>
            <w:bottom w:val="none" w:sz="0" w:space="0" w:color="auto"/>
            <w:right w:val="none" w:sz="0" w:space="0" w:color="auto"/>
          </w:divBdr>
        </w:div>
        <w:div w:id="908006145">
          <w:marLeft w:val="0"/>
          <w:marRight w:val="0"/>
          <w:marTop w:val="0"/>
          <w:marBottom w:val="0"/>
          <w:divBdr>
            <w:top w:val="none" w:sz="0" w:space="0" w:color="auto"/>
            <w:left w:val="none" w:sz="0" w:space="0" w:color="auto"/>
            <w:bottom w:val="none" w:sz="0" w:space="0" w:color="auto"/>
            <w:right w:val="none" w:sz="0" w:space="0" w:color="auto"/>
          </w:divBdr>
        </w:div>
        <w:div w:id="917444217">
          <w:marLeft w:val="0"/>
          <w:marRight w:val="0"/>
          <w:marTop w:val="0"/>
          <w:marBottom w:val="0"/>
          <w:divBdr>
            <w:top w:val="none" w:sz="0" w:space="0" w:color="auto"/>
            <w:left w:val="none" w:sz="0" w:space="0" w:color="auto"/>
            <w:bottom w:val="none" w:sz="0" w:space="0" w:color="auto"/>
            <w:right w:val="none" w:sz="0" w:space="0" w:color="auto"/>
          </w:divBdr>
        </w:div>
        <w:div w:id="940800608">
          <w:marLeft w:val="0"/>
          <w:marRight w:val="0"/>
          <w:marTop w:val="0"/>
          <w:marBottom w:val="0"/>
          <w:divBdr>
            <w:top w:val="none" w:sz="0" w:space="0" w:color="auto"/>
            <w:left w:val="none" w:sz="0" w:space="0" w:color="auto"/>
            <w:bottom w:val="none" w:sz="0" w:space="0" w:color="auto"/>
            <w:right w:val="none" w:sz="0" w:space="0" w:color="auto"/>
          </w:divBdr>
        </w:div>
        <w:div w:id="1016231816">
          <w:marLeft w:val="0"/>
          <w:marRight w:val="0"/>
          <w:marTop w:val="0"/>
          <w:marBottom w:val="0"/>
          <w:divBdr>
            <w:top w:val="none" w:sz="0" w:space="0" w:color="auto"/>
            <w:left w:val="none" w:sz="0" w:space="0" w:color="auto"/>
            <w:bottom w:val="none" w:sz="0" w:space="0" w:color="auto"/>
            <w:right w:val="none" w:sz="0" w:space="0" w:color="auto"/>
          </w:divBdr>
        </w:div>
        <w:div w:id="1113982843">
          <w:marLeft w:val="0"/>
          <w:marRight w:val="0"/>
          <w:marTop w:val="0"/>
          <w:marBottom w:val="0"/>
          <w:divBdr>
            <w:top w:val="none" w:sz="0" w:space="0" w:color="auto"/>
            <w:left w:val="none" w:sz="0" w:space="0" w:color="auto"/>
            <w:bottom w:val="none" w:sz="0" w:space="0" w:color="auto"/>
            <w:right w:val="none" w:sz="0" w:space="0" w:color="auto"/>
          </w:divBdr>
          <w:divsChild>
            <w:div w:id="2025007939">
              <w:marLeft w:val="-75"/>
              <w:marRight w:val="0"/>
              <w:marTop w:val="30"/>
              <w:marBottom w:val="30"/>
              <w:divBdr>
                <w:top w:val="none" w:sz="0" w:space="0" w:color="auto"/>
                <w:left w:val="none" w:sz="0" w:space="0" w:color="auto"/>
                <w:bottom w:val="none" w:sz="0" w:space="0" w:color="auto"/>
                <w:right w:val="none" w:sz="0" w:space="0" w:color="auto"/>
              </w:divBdr>
              <w:divsChild>
                <w:div w:id="123498976">
                  <w:marLeft w:val="0"/>
                  <w:marRight w:val="0"/>
                  <w:marTop w:val="0"/>
                  <w:marBottom w:val="0"/>
                  <w:divBdr>
                    <w:top w:val="none" w:sz="0" w:space="0" w:color="auto"/>
                    <w:left w:val="none" w:sz="0" w:space="0" w:color="auto"/>
                    <w:bottom w:val="none" w:sz="0" w:space="0" w:color="auto"/>
                    <w:right w:val="none" w:sz="0" w:space="0" w:color="auto"/>
                  </w:divBdr>
                  <w:divsChild>
                    <w:div w:id="911502006">
                      <w:marLeft w:val="0"/>
                      <w:marRight w:val="0"/>
                      <w:marTop w:val="0"/>
                      <w:marBottom w:val="0"/>
                      <w:divBdr>
                        <w:top w:val="none" w:sz="0" w:space="0" w:color="auto"/>
                        <w:left w:val="none" w:sz="0" w:space="0" w:color="auto"/>
                        <w:bottom w:val="none" w:sz="0" w:space="0" w:color="auto"/>
                        <w:right w:val="none" w:sz="0" w:space="0" w:color="auto"/>
                      </w:divBdr>
                    </w:div>
                    <w:div w:id="1946961616">
                      <w:marLeft w:val="0"/>
                      <w:marRight w:val="0"/>
                      <w:marTop w:val="0"/>
                      <w:marBottom w:val="0"/>
                      <w:divBdr>
                        <w:top w:val="none" w:sz="0" w:space="0" w:color="auto"/>
                        <w:left w:val="none" w:sz="0" w:space="0" w:color="auto"/>
                        <w:bottom w:val="none" w:sz="0" w:space="0" w:color="auto"/>
                        <w:right w:val="none" w:sz="0" w:space="0" w:color="auto"/>
                      </w:divBdr>
                    </w:div>
                    <w:div w:id="2073504397">
                      <w:marLeft w:val="0"/>
                      <w:marRight w:val="0"/>
                      <w:marTop w:val="0"/>
                      <w:marBottom w:val="0"/>
                      <w:divBdr>
                        <w:top w:val="none" w:sz="0" w:space="0" w:color="auto"/>
                        <w:left w:val="none" w:sz="0" w:space="0" w:color="auto"/>
                        <w:bottom w:val="none" w:sz="0" w:space="0" w:color="auto"/>
                        <w:right w:val="none" w:sz="0" w:space="0" w:color="auto"/>
                      </w:divBdr>
                    </w:div>
                  </w:divsChild>
                </w:div>
                <w:div w:id="217404448">
                  <w:marLeft w:val="0"/>
                  <w:marRight w:val="0"/>
                  <w:marTop w:val="0"/>
                  <w:marBottom w:val="0"/>
                  <w:divBdr>
                    <w:top w:val="none" w:sz="0" w:space="0" w:color="auto"/>
                    <w:left w:val="none" w:sz="0" w:space="0" w:color="auto"/>
                    <w:bottom w:val="none" w:sz="0" w:space="0" w:color="auto"/>
                    <w:right w:val="none" w:sz="0" w:space="0" w:color="auto"/>
                  </w:divBdr>
                  <w:divsChild>
                    <w:div w:id="57486554">
                      <w:marLeft w:val="0"/>
                      <w:marRight w:val="0"/>
                      <w:marTop w:val="0"/>
                      <w:marBottom w:val="0"/>
                      <w:divBdr>
                        <w:top w:val="none" w:sz="0" w:space="0" w:color="auto"/>
                        <w:left w:val="none" w:sz="0" w:space="0" w:color="auto"/>
                        <w:bottom w:val="none" w:sz="0" w:space="0" w:color="auto"/>
                        <w:right w:val="none" w:sz="0" w:space="0" w:color="auto"/>
                      </w:divBdr>
                    </w:div>
                    <w:div w:id="181168327">
                      <w:marLeft w:val="0"/>
                      <w:marRight w:val="0"/>
                      <w:marTop w:val="0"/>
                      <w:marBottom w:val="0"/>
                      <w:divBdr>
                        <w:top w:val="none" w:sz="0" w:space="0" w:color="auto"/>
                        <w:left w:val="none" w:sz="0" w:space="0" w:color="auto"/>
                        <w:bottom w:val="none" w:sz="0" w:space="0" w:color="auto"/>
                        <w:right w:val="none" w:sz="0" w:space="0" w:color="auto"/>
                      </w:divBdr>
                    </w:div>
                    <w:div w:id="319506132">
                      <w:marLeft w:val="0"/>
                      <w:marRight w:val="0"/>
                      <w:marTop w:val="0"/>
                      <w:marBottom w:val="0"/>
                      <w:divBdr>
                        <w:top w:val="none" w:sz="0" w:space="0" w:color="auto"/>
                        <w:left w:val="none" w:sz="0" w:space="0" w:color="auto"/>
                        <w:bottom w:val="none" w:sz="0" w:space="0" w:color="auto"/>
                        <w:right w:val="none" w:sz="0" w:space="0" w:color="auto"/>
                      </w:divBdr>
                    </w:div>
                    <w:div w:id="753429691">
                      <w:marLeft w:val="0"/>
                      <w:marRight w:val="0"/>
                      <w:marTop w:val="0"/>
                      <w:marBottom w:val="0"/>
                      <w:divBdr>
                        <w:top w:val="none" w:sz="0" w:space="0" w:color="auto"/>
                        <w:left w:val="none" w:sz="0" w:space="0" w:color="auto"/>
                        <w:bottom w:val="none" w:sz="0" w:space="0" w:color="auto"/>
                        <w:right w:val="none" w:sz="0" w:space="0" w:color="auto"/>
                      </w:divBdr>
                    </w:div>
                    <w:div w:id="985553388">
                      <w:marLeft w:val="0"/>
                      <w:marRight w:val="0"/>
                      <w:marTop w:val="0"/>
                      <w:marBottom w:val="0"/>
                      <w:divBdr>
                        <w:top w:val="none" w:sz="0" w:space="0" w:color="auto"/>
                        <w:left w:val="none" w:sz="0" w:space="0" w:color="auto"/>
                        <w:bottom w:val="none" w:sz="0" w:space="0" w:color="auto"/>
                        <w:right w:val="none" w:sz="0" w:space="0" w:color="auto"/>
                      </w:divBdr>
                    </w:div>
                    <w:div w:id="1095787254">
                      <w:marLeft w:val="0"/>
                      <w:marRight w:val="0"/>
                      <w:marTop w:val="0"/>
                      <w:marBottom w:val="0"/>
                      <w:divBdr>
                        <w:top w:val="none" w:sz="0" w:space="0" w:color="auto"/>
                        <w:left w:val="none" w:sz="0" w:space="0" w:color="auto"/>
                        <w:bottom w:val="none" w:sz="0" w:space="0" w:color="auto"/>
                        <w:right w:val="none" w:sz="0" w:space="0" w:color="auto"/>
                      </w:divBdr>
                    </w:div>
                    <w:div w:id="1304506348">
                      <w:marLeft w:val="0"/>
                      <w:marRight w:val="0"/>
                      <w:marTop w:val="0"/>
                      <w:marBottom w:val="0"/>
                      <w:divBdr>
                        <w:top w:val="none" w:sz="0" w:space="0" w:color="auto"/>
                        <w:left w:val="none" w:sz="0" w:space="0" w:color="auto"/>
                        <w:bottom w:val="none" w:sz="0" w:space="0" w:color="auto"/>
                        <w:right w:val="none" w:sz="0" w:space="0" w:color="auto"/>
                      </w:divBdr>
                    </w:div>
                    <w:div w:id="1398092399">
                      <w:marLeft w:val="0"/>
                      <w:marRight w:val="0"/>
                      <w:marTop w:val="0"/>
                      <w:marBottom w:val="0"/>
                      <w:divBdr>
                        <w:top w:val="none" w:sz="0" w:space="0" w:color="auto"/>
                        <w:left w:val="none" w:sz="0" w:space="0" w:color="auto"/>
                        <w:bottom w:val="none" w:sz="0" w:space="0" w:color="auto"/>
                        <w:right w:val="none" w:sz="0" w:space="0" w:color="auto"/>
                      </w:divBdr>
                    </w:div>
                    <w:div w:id="1431664158">
                      <w:marLeft w:val="0"/>
                      <w:marRight w:val="0"/>
                      <w:marTop w:val="0"/>
                      <w:marBottom w:val="0"/>
                      <w:divBdr>
                        <w:top w:val="none" w:sz="0" w:space="0" w:color="auto"/>
                        <w:left w:val="none" w:sz="0" w:space="0" w:color="auto"/>
                        <w:bottom w:val="none" w:sz="0" w:space="0" w:color="auto"/>
                        <w:right w:val="none" w:sz="0" w:space="0" w:color="auto"/>
                      </w:divBdr>
                    </w:div>
                    <w:div w:id="1536889741">
                      <w:marLeft w:val="0"/>
                      <w:marRight w:val="0"/>
                      <w:marTop w:val="0"/>
                      <w:marBottom w:val="0"/>
                      <w:divBdr>
                        <w:top w:val="none" w:sz="0" w:space="0" w:color="auto"/>
                        <w:left w:val="none" w:sz="0" w:space="0" w:color="auto"/>
                        <w:bottom w:val="none" w:sz="0" w:space="0" w:color="auto"/>
                        <w:right w:val="none" w:sz="0" w:space="0" w:color="auto"/>
                      </w:divBdr>
                    </w:div>
                    <w:div w:id="1543319989">
                      <w:marLeft w:val="0"/>
                      <w:marRight w:val="0"/>
                      <w:marTop w:val="0"/>
                      <w:marBottom w:val="0"/>
                      <w:divBdr>
                        <w:top w:val="none" w:sz="0" w:space="0" w:color="auto"/>
                        <w:left w:val="none" w:sz="0" w:space="0" w:color="auto"/>
                        <w:bottom w:val="none" w:sz="0" w:space="0" w:color="auto"/>
                        <w:right w:val="none" w:sz="0" w:space="0" w:color="auto"/>
                      </w:divBdr>
                    </w:div>
                    <w:div w:id="2141651187">
                      <w:marLeft w:val="0"/>
                      <w:marRight w:val="0"/>
                      <w:marTop w:val="0"/>
                      <w:marBottom w:val="0"/>
                      <w:divBdr>
                        <w:top w:val="none" w:sz="0" w:space="0" w:color="auto"/>
                        <w:left w:val="none" w:sz="0" w:space="0" w:color="auto"/>
                        <w:bottom w:val="none" w:sz="0" w:space="0" w:color="auto"/>
                        <w:right w:val="none" w:sz="0" w:space="0" w:color="auto"/>
                      </w:divBdr>
                    </w:div>
                  </w:divsChild>
                </w:div>
                <w:div w:id="629867420">
                  <w:marLeft w:val="0"/>
                  <w:marRight w:val="0"/>
                  <w:marTop w:val="0"/>
                  <w:marBottom w:val="0"/>
                  <w:divBdr>
                    <w:top w:val="none" w:sz="0" w:space="0" w:color="auto"/>
                    <w:left w:val="none" w:sz="0" w:space="0" w:color="auto"/>
                    <w:bottom w:val="none" w:sz="0" w:space="0" w:color="auto"/>
                    <w:right w:val="none" w:sz="0" w:space="0" w:color="auto"/>
                  </w:divBdr>
                  <w:divsChild>
                    <w:div w:id="1858498809">
                      <w:marLeft w:val="0"/>
                      <w:marRight w:val="0"/>
                      <w:marTop w:val="0"/>
                      <w:marBottom w:val="0"/>
                      <w:divBdr>
                        <w:top w:val="none" w:sz="0" w:space="0" w:color="auto"/>
                        <w:left w:val="none" w:sz="0" w:space="0" w:color="auto"/>
                        <w:bottom w:val="none" w:sz="0" w:space="0" w:color="auto"/>
                        <w:right w:val="none" w:sz="0" w:space="0" w:color="auto"/>
                      </w:divBdr>
                    </w:div>
                  </w:divsChild>
                </w:div>
                <w:div w:id="1509363583">
                  <w:marLeft w:val="0"/>
                  <w:marRight w:val="0"/>
                  <w:marTop w:val="0"/>
                  <w:marBottom w:val="0"/>
                  <w:divBdr>
                    <w:top w:val="none" w:sz="0" w:space="0" w:color="auto"/>
                    <w:left w:val="none" w:sz="0" w:space="0" w:color="auto"/>
                    <w:bottom w:val="none" w:sz="0" w:space="0" w:color="auto"/>
                    <w:right w:val="none" w:sz="0" w:space="0" w:color="auto"/>
                  </w:divBdr>
                  <w:divsChild>
                    <w:div w:id="282201136">
                      <w:marLeft w:val="0"/>
                      <w:marRight w:val="0"/>
                      <w:marTop w:val="0"/>
                      <w:marBottom w:val="0"/>
                      <w:divBdr>
                        <w:top w:val="none" w:sz="0" w:space="0" w:color="auto"/>
                        <w:left w:val="none" w:sz="0" w:space="0" w:color="auto"/>
                        <w:bottom w:val="none" w:sz="0" w:space="0" w:color="auto"/>
                        <w:right w:val="none" w:sz="0" w:space="0" w:color="auto"/>
                      </w:divBdr>
                    </w:div>
                    <w:div w:id="598025612">
                      <w:marLeft w:val="0"/>
                      <w:marRight w:val="0"/>
                      <w:marTop w:val="0"/>
                      <w:marBottom w:val="0"/>
                      <w:divBdr>
                        <w:top w:val="none" w:sz="0" w:space="0" w:color="auto"/>
                        <w:left w:val="none" w:sz="0" w:space="0" w:color="auto"/>
                        <w:bottom w:val="none" w:sz="0" w:space="0" w:color="auto"/>
                        <w:right w:val="none" w:sz="0" w:space="0" w:color="auto"/>
                      </w:divBdr>
                    </w:div>
                    <w:div w:id="627323915">
                      <w:marLeft w:val="0"/>
                      <w:marRight w:val="0"/>
                      <w:marTop w:val="0"/>
                      <w:marBottom w:val="0"/>
                      <w:divBdr>
                        <w:top w:val="none" w:sz="0" w:space="0" w:color="auto"/>
                        <w:left w:val="none" w:sz="0" w:space="0" w:color="auto"/>
                        <w:bottom w:val="none" w:sz="0" w:space="0" w:color="auto"/>
                        <w:right w:val="none" w:sz="0" w:space="0" w:color="auto"/>
                      </w:divBdr>
                    </w:div>
                    <w:div w:id="831145507">
                      <w:marLeft w:val="0"/>
                      <w:marRight w:val="0"/>
                      <w:marTop w:val="0"/>
                      <w:marBottom w:val="0"/>
                      <w:divBdr>
                        <w:top w:val="none" w:sz="0" w:space="0" w:color="auto"/>
                        <w:left w:val="none" w:sz="0" w:space="0" w:color="auto"/>
                        <w:bottom w:val="none" w:sz="0" w:space="0" w:color="auto"/>
                        <w:right w:val="none" w:sz="0" w:space="0" w:color="auto"/>
                      </w:divBdr>
                    </w:div>
                    <w:div w:id="1127745042">
                      <w:marLeft w:val="0"/>
                      <w:marRight w:val="0"/>
                      <w:marTop w:val="0"/>
                      <w:marBottom w:val="0"/>
                      <w:divBdr>
                        <w:top w:val="none" w:sz="0" w:space="0" w:color="auto"/>
                        <w:left w:val="none" w:sz="0" w:space="0" w:color="auto"/>
                        <w:bottom w:val="none" w:sz="0" w:space="0" w:color="auto"/>
                        <w:right w:val="none" w:sz="0" w:space="0" w:color="auto"/>
                      </w:divBdr>
                    </w:div>
                    <w:div w:id="1345593394">
                      <w:marLeft w:val="0"/>
                      <w:marRight w:val="0"/>
                      <w:marTop w:val="0"/>
                      <w:marBottom w:val="0"/>
                      <w:divBdr>
                        <w:top w:val="none" w:sz="0" w:space="0" w:color="auto"/>
                        <w:left w:val="none" w:sz="0" w:space="0" w:color="auto"/>
                        <w:bottom w:val="none" w:sz="0" w:space="0" w:color="auto"/>
                        <w:right w:val="none" w:sz="0" w:space="0" w:color="auto"/>
                      </w:divBdr>
                    </w:div>
                    <w:div w:id="1347096583">
                      <w:marLeft w:val="0"/>
                      <w:marRight w:val="0"/>
                      <w:marTop w:val="0"/>
                      <w:marBottom w:val="0"/>
                      <w:divBdr>
                        <w:top w:val="none" w:sz="0" w:space="0" w:color="auto"/>
                        <w:left w:val="none" w:sz="0" w:space="0" w:color="auto"/>
                        <w:bottom w:val="none" w:sz="0" w:space="0" w:color="auto"/>
                        <w:right w:val="none" w:sz="0" w:space="0" w:color="auto"/>
                      </w:divBdr>
                    </w:div>
                    <w:div w:id="1696347583">
                      <w:marLeft w:val="0"/>
                      <w:marRight w:val="0"/>
                      <w:marTop w:val="0"/>
                      <w:marBottom w:val="0"/>
                      <w:divBdr>
                        <w:top w:val="none" w:sz="0" w:space="0" w:color="auto"/>
                        <w:left w:val="none" w:sz="0" w:space="0" w:color="auto"/>
                        <w:bottom w:val="none" w:sz="0" w:space="0" w:color="auto"/>
                        <w:right w:val="none" w:sz="0" w:space="0" w:color="auto"/>
                      </w:divBdr>
                    </w:div>
                    <w:div w:id="1709255639">
                      <w:marLeft w:val="0"/>
                      <w:marRight w:val="0"/>
                      <w:marTop w:val="0"/>
                      <w:marBottom w:val="0"/>
                      <w:divBdr>
                        <w:top w:val="none" w:sz="0" w:space="0" w:color="auto"/>
                        <w:left w:val="none" w:sz="0" w:space="0" w:color="auto"/>
                        <w:bottom w:val="none" w:sz="0" w:space="0" w:color="auto"/>
                        <w:right w:val="none" w:sz="0" w:space="0" w:color="auto"/>
                      </w:divBdr>
                    </w:div>
                    <w:div w:id="1982035050">
                      <w:marLeft w:val="0"/>
                      <w:marRight w:val="0"/>
                      <w:marTop w:val="0"/>
                      <w:marBottom w:val="0"/>
                      <w:divBdr>
                        <w:top w:val="none" w:sz="0" w:space="0" w:color="auto"/>
                        <w:left w:val="none" w:sz="0" w:space="0" w:color="auto"/>
                        <w:bottom w:val="none" w:sz="0" w:space="0" w:color="auto"/>
                        <w:right w:val="none" w:sz="0" w:space="0" w:color="auto"/>
                      </w:divBdr>
                    </w:div>
                    <w:div w:id="2143646555">
                      <w:marLeft w:val="0"/>
                      <w:marRight w:val="0"/>
                      <w:marTop w:val="0"/>
                      <w:marBottom w:val="0"/>
                      <w:divBdr>
                        <w:top w:val="none" w:sz="0" w:space="0" w:color="auto"/>
                        <w:left w:val="none" w:sz="0" w:space="0" w:color="auto"/>
                        <w:bottom w:val="none" w:sz="0" w:space="0" w:color="auto"/>
                        <w:right w:val="none" w:sz="0" w:space="0" w:color="auto"/>
                      </w:divBdr>
                    </w:div>
                  </w:divsChild>
                </w:div>
                <w:div w:id="1656642021">
                  <w:marLeft w:val="0"/>
                  <w:marRight w:val="0"/>
                  <w:marTop w:val="0"/>
                  <w:marBottom w:val="0"/>
                  <w:divBdr>
                    <w:top w:val="none" w:sz="0" w:space="0" w:color="auto"/>
                    <w:left w:val="none" w:sz="0" w:space="0" w:color="auto"/>
                    <w:bottom w:val="none" w:sz="0" w:space="0" w:color="auto"/>
                    <w:right w:val="none" w:sz="0" w:space="0" w:color="auto"/>
                  </w:divBdr>
                  <w:divsChild>
                    <w:div w:id="1949117325">
                      <w:marLeft w:val="0"/>
                      <w:marRight w:val="0"/>
                      <w:marTop w:val="0"/>
                      <w:marBottom w:val="0"/>
                      <w:divBdr>
                        <w:top w:val="none" w:sz="0" w:space="0" w:color="auto"/>
                        <w:left w:val="none" w:sz="0" w:space="0" w:color="auto"/>
                        <w:bottom w:val="none" w:sz="0" w:space="0" w:color="auto"/>
                        <w:right w:val="none" w:sz="0" w:space="0" w:color="auto"/>
                      </w:divBdr>
                    </w:div>
                  </w:divsChild>
                </w:div>
                <w:div w:id="1753356162">
                  <w:marLeft w:val="0"/>
                  <w:marRight w:val="0"/>
                  <w:marTop w:val="0"/>
                  <w:marBottom w:val="0"/>
                  <w:divBdr>
                    <w:top w:val="none" w:sz="0" w:space="0" w:color="auto"/>
                    <w:left w:val="none" w:sz="0" w:space="0" w:color="auto"/>
                    <w:bottom w:val="none" w:sz="0" w:space="0" w:color="auto"/>
                    <w:right w:val="none" w:sz="0" w:space="0" w:color="auto"/>
                  </w:divBdr>
                  <w:divsChild>
                    <w:div w:id="3104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7545">
          <w:marLeft w:val="0"/>
          <w:marRight w:val="0"/>
          <w:marTop w:val="0"/>
          <w:marBottom w:val="0"/>
          <w:divBdr>
            <w:top w:val="none" w:sz="0" w:space="0" w:color="auto"/>
            <w:left w:val="none" w:sz="0" w:space="0" w:color="auto"/>
            <w:bottom w:val="none" w:sz="0" w:space="0" w:color="auto"/>
            <w:right w:val="none" w:sz="0" w:space="0" w:color="auto"/>
          </w:divBdr>
        </w:div>
        <w:div w:id="1314220434">
          <w:marLeft w:val="0"/>
          <w:marRight w:val="0"/>
          <w:marTop w:val="0"/>
          <w:marBottom w:val="0"/>
          <w:divBdr>
            <w:top w:val="none" w:sz="0" w:space="0" w:color="auto"/>
            <w:left w:val="none" w:sz="0" w:space="0" w:color="auto"/>
            <w:bottom w:val="none" w:sz="0" w:space="0" w:color="auto"/>
            <w:right w:val="none" w:sz="0" w:space="0" w:color="auto"/>
          </w:divBdr>
        </w:div>
        <w:div w:id="1557736864">
          <w:marLeft w:val="0"/>
          <w:marRight w:val="0"/>
          <w:marTop w:val="0"/>
          <w:marBottom w:val="0"/>
          <w:divBdr>
            <w:top w:val="none" w:sz="0" w:space="0" w:color="auto"/>
            <w:left w:val="none" w:sz="0" w:space="0" w:color="auto"/>
            <w:bottom w:val="none" w:sz="0" w:space="0" w:color="auto"/>
            <w:right w:val="none" w:sz="0" w:space="0" w:color="auto"/>
          </w:divBdr>
        </w:div>
        <w:div w:id="1696885387">
          <w:marLeft w:val="0"/>
          <w:marRight w:val="0"/>
          <w:marTop w:val="0"/>
          <w:marBottom w:val="0"/>
          <w:divBdr>
            <w:top w:val="none" w:sz="0" w:space="0" w:color="auto"/>
            <w:left w:val="none" w:sz="0" w:space="0" w:color="auto"/>
            <w:bottom w:val="none" w:sz="0" w:space="0" w:color="auto"/>
            <w:right w:val="none" w:sz="0" w:space="0" w:color="auto"/>
          </w:divBdr>
        </w:div>
        <w:div w:id="1759331644">
          <w:marLeft w:val="0"/>
          <w:marRight w:val="0"/>
          <w:marTop w:val="0"/>
          <w:marBottom w:val="0"/>
          <w:divBdr>
            <w:top w:val="none" w:sz="0" w:space="0" w:color="auto"/>
            <w:left w:val="none" w:sz="0" w:space="0" w:color="auto"/>
            <w:bottom w:val="none" w:sz="0" w:space="0" w:color="auto"/>
            <w:right w:val="none" w:sz="0" w:space="0" w:color="auto"/>
          </w:divBdr>
        </w:div>
        <w:div w:id="1874229121">
          <w:marLeft w:val="0"/>
          <w:marRight w:val="0"/>
          <w:marTop w:val="0"/>
          <w:marBottom w:val="0"/>
          <w:divBdr>
            <w:top w:val="none" w:sz="0" w:space="0" w:color="auto"/>
            <w:left w:val="none" w:sz="0" w:space="0" w:color="auto"/>
            <w:bottom w:val="none" w:sz="0" w:space="0" w:color="auto"/>
            <w:right w:val="none" w:sz="0" w:space="0" w:color="auto"/>
          </w:divBdr>
        </w:div>
        <w:div w:id="1884438398">
          <w:marLeft w:val="0"/>
          <w:marRight w:val="0"/>
          <w:marTop w:val="0"/>
          <w:marBottom w:val="0"/>
          <w:divBdr>
            <w:top w:val="none" w:sz="0" w:space="0" w:color="auto"/>
            <w:left w:val="none" w:sz="0" w:space="0" w:color="auto"/>
            <w:bottom w:val="none" w:sz="0" w:space="0" w:color="auto"/>
            <w:right w:val="none" w:sz="0" w:space="0" w:color="auto"/>
          </w:divBdr>
        </w:div>
        <w:div w:id="1909415679">
          <w:marLeft w:val="0"/>
          <w:marRight w:val="0"/>
          <w:marTop w:val="0"/>
          <w:marBottom w:val="0"/>
          <w:divBdr>
            <w:top w:val="none" w:sz="0" w:space="0" w:color="auto"/>
            <w:left w:val="none" w:sz="0" w:space="0" w:color="auto"/>
            <w:bottom w:val="none" w:sz="0" w:space="0" w:color="auto"/>
            <w:right w:val="none" w:sz="0" w:space="0" w:color="auto"/>
          </w:divBdr>
        </w:div>
        <w:div w:id="1925065687">
          <w:marLeft w:val="0"/>
          <w:marRight w:val="0"/>
          <w:marTop w:val="0"/>
          <w:marBottom w:val="0"/>
          <w:divBdr>
            <w:top w:val="none" w:sz="0" w:space="0" w:color="auto"/>
            <w:left w:val="none" w:sz="0" w:space="0" w:color="auto"/>
            <w:bottom w:val="none" w:sz="0" w:space="0" w:color="auto"/>
            <w:right w:val="none" w:sz="0" w:space="0" w:color="auto"/>
          </w:divBdr>
        </w:div>
        <w:div w:id="2139302143">
          <w:marLeft w:val="0"/>
          <w:marRight w:val="0"/>
          <w:marTop w:val="0"/>
          <w:marBottom w:val="0"/>
          <w:divBdr>
            <w:top w:val="none" w:sz="0" w:space="0" w:color="auto"/>
            <w:left w:val="none" w:sz="0" w:space="0" w:color="auto"/>
            <w:bottom w:val="none" w:sz="0" w:space="0" w:color="auto"/>
            <w:right w:val="none" w:sz="0" w:space="0" w:color="auto"/>
          </w:divBdr>
        </w:div>
      </w:divsChild>
    </w:div>
    <w:div w:id="786387224">
      <w:bodyDiv w:val="1"/>
      <w:marLeft w:val="0"/>
      <w:marRight w:val="0"/>
      <w:marTop w:val="0"/>
      <w:marBottom w:val="0"/>
      <w:divBdr>
        <w:top w:val="none" w:sz="0" w:space="0" w:color="auto"/>
        <w:left w:val="none" w:sz="0" w:space="0" w:color="auto"/>
        <w:bottom w:val="none" w:sz="0" w:space="0" w:color="auto"/>
        <w:right w:val="none" w:sz="0" w:space="0" w:color="auto"/>
      </w:divBdr>
    </w:div>
    <w:div w:id="936476658">
      <w:bodyDiv w:val="1"/>
      <w:marLeft w:val="0"/>
      <w:marRight w:val="0"/>
      <w:marTop w:val="0"/>
      <w:marBottom w:val="0"/>
      <w:divBdr>
        <w:top w:val="none" w:sz="0" w:space="0" w:color="auto"/>
        <w:left w:val="none" w:sz="0" w:space="0" w:color="auto"/>
        <w:bottom w:val="none" w:sz="0" w:space="0" w:color="auto"/>
        <w:right w:val="none" w:sz="0" w:space="0" w:color="auto"/>
      </w:divBdr>
      <w:divsChild>
        <w:div w:id="70468765">
          <w:marLeft w:val="0"/>
          <w:marRight w:val="0"/>
          <w:marTop w:val="0"/>
          <w:marBottom w:val="0"/>
          <w:divBdr>
            <w:top w:val="none" w:sz="0" w:space="0" w:color="auto"/>
            <w:left w:val="none" w:sz="0" w:space="0" w:color="auto"/>
            <w:bottom w:val="none" w:sz="0" w:space="0" w:color="auto"/>
            <w:right w:val="none" w:sz="0" w:space="0" w:color="auto"/>
          </w:divBdr>
        </w:div>
        <w:div w:id="172260171">
          <w:marLeft w:val="0"/>
          <w:marRight w:val="0"/>
          <w:marTop w:val="0"/>
          <w:marBottom w:val="0"/>
          <w:divBdr>
            <w:top w:val="none" w:sz="0" w:space="0" w:color="auto"/>
            <w:left w:val="none" w:sz="0" w:space="0" w:color="auto"/>
            <w:bottom w:val="none" w:sz="0" w:space="0" w:color="auto"/>
            <w:right w:val="none" w:sz="0" w:space="0" w:color="auto"/>
          </w:divBdr>
        </w:div>
        <w:div w:id="436364855">
          <w:marLeft w:val="0"/>
          <w:marRight w:val="0"/>
          <w:marTop w:val="0"/>
          <w:marBottom w:val="0"/>
          <w:divBdr>
            <w:top w:val="none" w:sz="0" w:space="0" w:color="auto"/>
            <w:left w:val="none" w:sz="0" w:space="0" w:color="auto"/>
            <w:bottom w:val="none" w:sz="0" w:space="0" w:color="auto"/>
            <w:right w:val="none" w:sz="0" w:space="0" w:color="auto"/>
          </w:divBdr>
        </w:div>
        <w:div w:id="488835986">
          <w:marLeft w:val="0"/>
          <w:marRight w:val="0"/>
          <w:marTop w:val="0"/>
          <w:marBottom w:val="0"/>
          <w:divBdr>
            <w:top w:val="none" w:sz="0" w:space="0" w:color="auto"/>
            <w:left w:val="none" w:sz="0" w:space="0" w:color="auto"/>
            <w:bottom w:val="none" w:sz="0" w:space="0" w:color="auto"/>
            <w:right w:val="none" w:sz="0" w:space="0" w:color="auto"/>
          </w:divBdr>
        </w:div>
        <w:div w:id="643237741">
          <w:marLeft w:val="0"/>
          <w:marRight w:val="0"/>
          <w:marTop w:val="0"/>
          <w:marBottom w:val="0"/>
          <w:divBdr>
            <w:top w:val="none" w:sz="0" w:space="0" w:color="auto"/>
            <w:left w:val="none" w:sz="0" w:space="0" w:color="auto"/>
            <w:bottom w:val="none" w:sz="0" w:space="0" w:color="auto"/>
            <w:right w:val="none" w:sz="0" w:space="0" w:color="auto"/>
          </w:divBdr>
        </w:div>
        <w:div w:id="777020839">
          <w:marLeft w:val="0"/>
          <w:marRight w:val="0"/>
          <w:marTop w:val="0"/>
          <w:marBottom w:val="0"/>
          <w:divBdr>
            <w:top w:val="none" w:sz="0" w:space="0" w:color="auto"/>
            <w:left w:val="none" w:sz="0" w:space="0" w:color="auto"/>
            <w:bottom w:val="none" w:sz="0" w:space="0" w:color="auto"/>
            <w:right w:val="none" w:sz="0" w:space="0" w:color="auto"/>
          </w:divBdr>
        </w:div>
        <w:div w:id="990670588">
          <w:marLeft w:val="0"/>
          <w:marRight w:val="0"/>
          <w:marTop w:val="0"/>
          <w:marBottom w:val="0"/>
          <w:divBdr>
            <w:top w:val="none" w:sz="0" w:space="0" w:color="auto"/>
            <w:left w:val="none" w:sz="0" w:space="0" w:color="auto"/>
            <w:bottom w:val="none" w:sz="0" w:space="0" w:color="auto"/>
            <w:right w:val="none" w:sz="0" w:space="0" w:color="auto"/>
          </w:divBdr>
        </w:div>
        <w:div w:id="1358116762">
          <w:marLeft w:val="0"/>
          <w:marRight w:val="0"/>
          <w:marTop w:val="0"/>
          <w:marBottom w:val="0"/>
          <w:divBdr>
            <w:top w:val="none" w:sz="0" w:space="0" w:color="auto"/>
            <w:left w:val="none" w:sz="0" w:space="0" w:color="auto"/>
            <w:bottom w:val="none" w:sz="0" w:space="0" w:color="auto"/>
            <w:right w:val="none" w:sz="0" w:space="0" w:color="auto"/>
          </w:divBdr>
        </w:div>
        <w:div w:id="1359156368">
          <w:marLeft w:val="0"/>
          <w:marRight w:val="0"/>
          <w:marTop w:val="0"/>
          <w:marBottom w:val="0"/>
          <w:divBdr>
            <w:top w:val="none" w:sz="0" w:space="0" w:color="auto"/>
            <w:left w:val="none" w:sz="0" w:space="0" w:color="auto"/>
            <w:bottom w:val="none" w:sz="0" w:space="0" w:color="auto"/>
            <w:right w:val="none" w:sz="0" w:space="0" w:color="auto"/>
          </w:divBdr>
        </w:div>
        <w:div w:id="1409765828">
          <w:marLeft w:val="0"/>
          <w:marRight w:val="0"/>
          <w:marTop w:val="0"/>
          <w:marBottom w:val="0"/>
          <w:divBdr>
            <w:top w:val="none" w:sz="0" w:space="0" w:color="auto"/>
            <w:left w:val="none" w:sz="0" w:space="0" w:color="auto"/>
            <w:bottom w:val="none" w:sz="0" w:space="0" w:color="auto"/>
            <w:right w:val="none" w:sz="0" w:space="0" w:color="auto"/>
          </w:divBdr>
        </w:div>
        <w:div w:id="1446583926">
          <w:marLeft w:val="0"/>
          <w:marRight w:val="0"/>
          <w:marTop w:val="0"/>
          <w:marBottom w:val="0"/>
          <w:divBdr>
            <w:top w:val="none" w:sz="0" w:space="0" w:color="auto"/>
            <w:left w:val="none" w:sz="0" w:space="0" w:color="auto"/>
            <w:bottom w:val="none" w:sz="0" w:space="0" w:color="auto"/>
            <w:right w:val="none" w:sz="0" w:space="0" w:color="auto"/>
          </w:divBdr>
        </w:div>
        <w:div w:id="1641570911">
          <w:marLeft w:val="0"/>
          <w:marRight w:val="0"/>
          <w:marTop w:val="0"/>
          <w:marBottom w:val="0"/>
          <w:divBdr>
            <w:top w:val="none" w:sz="0" w:space="0" w:color="auto"/>
            <w:left w:val="none" w:sz="0" w:space="0" w:color="auto"/>
            <w:bottom w:val="none" w:sz="0" w:space="0" w:color="auto"/>
            <w:right w:val="none" w:sz="0" w:space="0" w:color="auto"/>
          </w:divBdr>
        </w:div>
        <w:div w:id="1732076154">
          <w:marLeft w:val="0"/>
          <w:marRight w:val="0"/>
          <w:marTop w:val="0"/>
          <w:marBottom w:val="0"/>
          <w:divBdr>
            <w:top w:val="none" w:sz="0" w:space="0" w:color="auto"/>
            <w:left w:val="none" w:sz="0" w:space="0" w:color="auto"/>
            <w:bottom w:val="none" w:sz="0" w:space="0" w:color="auto"/>
            <w:right w:val="none" w:sz="0" w:space="0" w:color="auto"/>
          </w:divBdr>
        </w:div>
        <w:div w:id="1792355769">
          <w:marLeft w:val="0"/>
          <w:marRight w:val="0"/>
          <w:marTop w:val="0"/>
          <w:marBottom w:val="0"/>
          <w:divBdr>
            <w:top w:val="none" w:sz="0" w:space="0" w:color="auto"/>
            <w:left w:val="none" w:sz="0" w:space="0" w:color="auto"/>
            <w:bottom w:val="none" w:sz="0" w:space="0" w:color="auto"/>
            <w:right w:val="none" w:sz="0" w:space="0" w:color="auto"/>
          </w:divBdr>
        </w:div>
        <w:div w:id="1864127324">
          <w:marLeft w:val="0"/>
          <w:marRight w:val="0"/>
          <w:marTop w:val="0"/>
          <w:marBottom w:val="0"/>
          <w:divBdr>
            <w:top w:val="none" w:sz="0" w:space="0" w:color="auto"/>
            <w:left w:val="none" w:sz="0" w:space="0" w:color="auto"/>
            <w:bottom w:val="none" w:sz="0" w:space="0" w:color="auto"/>
            <w:right w:val="none" w:sz="0" w:space="0" w:color="auto"/>
          </w:divBdr>
        </w:div>
        <w:div w:id="1886871241">
          <w:marLeft w:val="0"/>
          <w:marRight w:val="0"/>
          <w:marTop w:val="0"/>
          <w:marBottom w:val="0"/>
          <w:divBdr>
            <w:top w:val="none" w:sz="0" w:space="0" w:color="auto"/>
            <w:left w:val="none" w:sz="0" w:space="0" w:color="auto"/>
            <w:bottom w:val="none" w:sz="0" w:space="0" w:color="auto"/>
            <w:right w:val="none" w:sz="0" w:space="0" w:color="auto"/>
          </w:divBdr>
        </w:div>
        <w:div w:id="2038315138">
          <w:marLeft w:val="0"/>
          <w:marRight w:val="0"/>
          <w:marTop w:val="0"/>
          <w:marBottom w:val="0"/>
          <w:divBdr>
            <w:top w:val="none" w:sz="0" w:space="0" w:color="auto"/>
            <w:left w:val="none" w:sz="0" w:space="0" w:color="auto"/>
            <w:bottom w:val="none" w:sz="0" w:space="0" w:color="auto"/>
            <w:right w:val="none" w:sz="0" w:space="0" w:color="auto"/>
          </w:divBdr>
        </w:div>
        <w:div w:id="2083795910">
          <w:marLeft w:val="0"/>
          <w:marRight w:val="0"/>
          <w:marTop w:val="0"/>
          <w:marBottom w:val="0"/>
          <w:divBdr>
            <w:top w:val="none" w:sz="0" w:space="0" w:color="auto"/>
            <w:left w:val="none" w:sz="0" w:space="0" w:color="auto"/>
            <w:bottom w:val="none" w:sz="0" w:space="0" w:color="auto"/>
            <w:right w:val="none" w:sz="0" w:space="0" w:color="auto"/>
          </w:divBdr>
        </w:div>
      </w:divsChild>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193493988">
      <w:bodyDiv w:val="1"/>
      <w:marLeft w:val="0"/>
      <w:marRight w:val="0"/>
      <w:marTop w:val="0"/>
      <w:marBottom w:val="0"/>
      <w:divBdr>
        <w:top w:val="none" w:sz="0" w:space="0" w:color="auto"/>
        <w:left w:val="none" w:sz="0" w:space="0" w:color="auto"/>
        <w:bottom w:val="none" w:sz="0" w:space="0" w:color="auto"/>
        <w:right w:val="none" w:sz="0" w:space="0" w:color="auto"/>
      </w:divBdr>
    </w:div>
    <w:div w:id="1250579060">
      <w:bodyDiv w:val="1"/>
      <w:marLeft w:val="0"/>
      <w:marRight w:val="0"/>
      <w:marTop w:val="0"/>
      <w:marBottom w:val="0"/>
      <w:divBdr>
        <w:top w:val="none" w:sz="0" w:space="0" w:color="auto"/>
        <w:left w:val="none" w:sz="0" w:space="0" w:color="auto"/>
        <w:bottom w:val="none" w:sz="0" w:space="0" w:color="auto"/>
        <w:right w:val="none" w:sz="0" w:space="0" w:color="auto"/>
      </w:divBdr>
      <w:divsChild>
        <w:div w:id="75133906">
          <w:marLeft w:val="0"/>
          <w:marRight w:val="0"/>
          <w:marTop w:val="0"/>
          <w:marBottom w:val="0"/>
          <w:divBdr>
            <w:top w:val="none" w:sz="0" w:space="0" w:color="auto"/>
            <w:left w:val="none" w:sz="0" w:space="0" w:color="auto"/>
            <w:bottom w:val="none" w:sz="0" w:space="0" w:color="auto"/>
            <w:right w:val="none" w:sz="0" w:space="0" w:color="auto"/>
          </w:divBdr>
        </w:div>
        <w:div w:id="102309537">
          <w:marLeft w:val="0"/>
          <w:marRight w:val="0"/>
          <w:marTop w:val="0"/>
          <w:marBottom w:val="0"/>
          <w:divBdr>
            <w:top w:val="none" w:sz="0" w:space="0" w:color="auto"/>
            <w:left w:val="none" w:sz="0" w:space="0" w:color="auto"/>
            <w:bottom w:val="none" w:sz="0" w:space="0" w:color="auto"/>
            <w:right w:val="none" w:sz="0" w:space="0" w:color="auto"/>
          </w:divBdr>
        </w:div>
        <w:div w:id="156655880">
          <w:marLeft w:val="0"/>
          <w:marRight w:val="0"/>
          <w:marTop w:val="0"/>
          <w:marBottom w:val="0"/>
          <w:divBdr>
            <w:top w:val="none" w:sz="0" w:space="0" w:color="auto"/>
            <w:left w:val="none" w:sz="0" w:space="0" w:color="auto"/>
            <w:bottom w:val="none" w:sz="0" w:space="0" w:color="auto"/>
            <w:right w:val="none" w:sz="0" w:space="0" w:color="auto"/>
          </w:divBdr>
        </w:div>
        <w:div w:id="379205841">
          <w:marLeft w:val="0"/>
          <w:marRight w:val="0"/>
          <w:marTop w:val="0"/>
          <w:marBottom w:val="0"/>
          <w:divBdr>
            <w:top w:val="none" w:sz="0" w:space="0" w:color="auto"/>
            <w:left w:val="none" w:sz="0" w:space="0" w:color="auto"/>
            <w:bottom w:val="none" w:sz="0" w:space="0" w:color="auto"/>
            <w:right w:val="none" w:sz="0" w:space="0" w:color="auto"/>
          </w:divBdr>
        </w:div>
        <w:div w:id="496578477">
          <w:marLeft w:val="0"/>
          <w:marRight w:val="0"/>
          <w:marTop w:val="0"/>
          <w:marBottom w:val="0"/>
          <w:divBdr>
            <w:top w:val="none" w:sz="0" w:space="0" w:color="auto"/>
            <w:left w:val="none" w:sz="0" w:space="0" w:color="auto"/>
            <w:bottom w:val="none" w:sz="0" w:space="0" w:color="auto"/>
            <w:right w:val="none" w:sz="0" w:space="0" w:color="auto"/>
          </w:divBdr>
        </w:div>
        <w:div w:id="733624607">
          <w:marLeft w:val="0"/>
          <w:marRight w:val="0"/>
          <w:marTop w:val="0"/>
          <w:marBottom w:val="0"/>
          <w:divBdr>
            <w:top w:val="none" w:sz="0" w:space="0" w:color="auto"/>
            <w:left w:val="none" w:sz="0" w:space="0" w:color="auto"/>
            <w:bottom w:val="none" w:sz="0" w:space="0" w:color="auto"/>
            <w:right w:val="none" w:sz="0" w:space="0" w:color="auto"/>
          </w:divBdr>
          <w:divsChild>
            <w:div w:id="1907181707">
              <w:marLeft w:val="-75"/>
              <w:marRight w:val="0"/>
              <w:marTop w:val="30"/>
              <w:marBottom w:val="30"/>
              <w:divBdr>
                <w:top w:val="none" w:sz="0" w:space="0" w:color="auto"/>
                <w:left w:val="none" w:sz="0" w:space="0" w:color="auto"/>
                <w:bottom w:val="none" w:sz="0" w:space="0" w:color="auto"/>
                <w:right w:val="none" w:sz="0" w:space="0" w:color="auto"/>
              </w:divBdr>
              <w:divsChild>
                <w:div w:id="200752297">
                  <w:marLeft w:val="0"/>
                  <w:marRight w:val="0"/>
                  <w:marTop w:val="0"/>
                  <w:marBottom w:val="0"/>
                  <w:divBdr>
                    <w:top w:val="none" w:sz="0" w:space="0" w:color="auto"/>
                    <w:left w:val="none" w:sz="0" w:space="0" w:color="auto"/>
                    <w:bottom w:val="none" w:sz="0" w:space="0" w:color="auto"/>
                    <w:right w:val="none" w:sz="0" w:space="0" w:color="auto"/>
                  </w:divBdr>
                  <w:divsChild>
                    <w:div w:id="781612099">
                      <w:marLeft w:val="0"/>
                      <w:marRight w:val="0"/>
                      <w:marTop w:val="0"/>
                      <w:marBottom w:val="0"/>
                      <w:divBdr>
                        <w:top w:val="none" w:sz="0" w:space="0" w:color="auto"/>
                        <w:left w:val="none" w:sz="0" w:space="0" w:color="auto"/>
                        <w:bottom w:val="none" w:sz="0" w:space="0" w:color="auto"/>
                        <w:right w:val="none" w:sz="0" w:space="0" w:color="auto"/>
                      </w:divBdr>
                    </w:div>
                    <w:div w:id="1058355246">
                      <w:marLeft w:val="0"/>
                      <w:marRight w:val="0"/>
                      <w:marTop w:val="0"/>
                      <w:marBottom w:val="0"/>
                      <w:divBdr>
                        <w:top w:val="none" w:sz="0" w:space="0" w:color="auto"/>
                        <w:left w:val="none" w:sz="0" w:space="0" w:color="auto"/>
                        <w:bottom w:val="none" w:sz="0" w:space="0" w:color="auto"/>
                        <w:right w:val="none" w:sz="0" w:space="0" w:color="auto"/>
                      </w:divBdr>
                    </w:div>
                    <w:div w:id="1124227392">
                      <w:marLeft w:val="0"/>
                      <w:marRight w:val="0"/>
                      <w:marTop w:val="0"/>
                      <w:marBottom w:val="0"/>
                      <w:divBdr>
                        <w:top w:val="none" w:sz="0" w:space="0" w:color="auto"/>
                        <w:left w:val="none" w:sz="0" w:space="0" w:color="auto"/>
                        <w:bottom w:val="none" w:sz="0" w:space="0" w:color="auto"/>
                        <w:right w:val="none" w:sz="0" w:space="0" w:color="auto"/>
                      </w:divBdr>
                    </w:div>
                    <w:div w:id="1172253903">
                      <w:marLeft w:val="0"/>
                      <w:marRight w:val="0"/>
                      <w:marTop w:val="0"/>
                      <w:marBottom w:val="0"/>
                      <w:divBdr>
                        <w:top w:val="none" w:sz="0" w:space="0" w:color="auto"/>
                        <w:left w:val="none" w:sz="0" w:space="0" w:color="auto"/>
                        <w:bottom w:val="none" w:sz="0" w:space="0" w:color="auto"/>
                        <w:right w:val="none" w:sz="0" w:space="0" w:color="auto"/>
                      </w:divBdr>
                    </w:div>
                    <w:div w:id="1190415732">
                      <w:marLeft w:val="0"/>
                      <w:marRight w:val="0"/>
                      <w:marTop w:val="0"/>
                      <w:marBottom w:val="0"/>
                      <w:divBdr>
                        <w:top w:val="none" w:sz="0" w:space="0" w:color="auto"/>
                        <w:left w:val="none" w:sz="0" w:space="0" w:color="auto"/>
                        <w:bottom w:val="none" w:sz="0" w:space="0" w:color="auto"/>
                        <w:right w:val="none" w:sz="0" w:space="0" w:color="auto"/>
                      </w:divBdr>
                    </w:div>
                    <w:div w:id="1336566729">
                      <w:marLeft w:val="0"/>
                      <w:marRight w:val="0"/>
                      <w:marTop w:val="0"/>
                      <w:marBottom w:val="0"/>
                      <w:divBdr>
                        <w:top w:val="none" w:sz="0" w:space="0" w:color="auto"/>
                        <w:left w:val="none" w:sz="0" w:space="0" w:color="auto"/>
                        <w:bottom w:val="none" w:sz="0" w:space="0" w:color="auto"/>
                        <w:right w:val="none" w:sz="0" w:space="0" w:color="auto"/>
                      </w:divBdr>
                    </w:div>
                    <w:div w:id="1421676043">
                      <w:marLeft w:val="0"/>
                      <w:marRight w:val="0"/>
                      <w:marTop w:val="0"/>
                      <w:marBottom w:val="0"/>
                      <w:divBdr>
                        <w:top w:val="none" w:sz="0" w:space="0" w:color="auto"/>
                        <w:left w:val="none" w:sz="0" w:space="0" w:color="auto"/>
                        <w:bottom w:val="none" w:sz="0" w:space="0" w:color="auto"/>
                        <w:right w:val="none" w:sz="0" w:space="0" w:color="auto"/>
                      </w:divBdr>
                    </w:div>
                    <w:div w:id="1439715208">
                      <w:marLeft w:val="0"/>
                      <w:marRight w:val="0"/>
                      <w:marTop w:val="0"/>
                      <w:marBottom w:val="0"/>
                      <w:divBdr>
                        <w:top w:val="none" w:sz="0" w:space="0" w:color="auto"/>
                        <w:left w:val="none" w:sz="0" w:space="0" w:color="auto"/>
                        <w:bottom w:val="none" w:sz="0" w:space="0" w:color="auto"/>
                        <w:right w:val="none" w:sz="0" w:space="0" w:color="auto"/>
                      </w:divBdr>
                    </w:div>
                    <w:div w:id="1587812006">
                      <w:marLeft w:val="0"/>
                      <w:marRight w:val="0"/>
                      <w:marTop w:val="0"/>
                      <w:marBottom w:val="0"/>
                      <w:divBdr>
                        <w:top w:val="none" w:sz="0" w:space="0" w:color="auto"/>
                        <w:left w:val="none" w:sz="0" w:space="0" w:color="auto"/>
                        <w:bottom w:val="none" w:sz="0" w:space="0" w:color="auto"/>
                        <w:right w:val="none" w:sz="0" w:space="0" w:color="auto"/>
                      </w:divBdr>
                    </w:div>
                    <w:div w:id="1866358624">
                      <w:marLeft w:val="0"/>
                      <w:marRight w:val="0"/>
                      <w:marTop w:val="0"/>
                      <w:marBottom w:val="0"/>
                      <w:divBdr>
                        <w:top w:val="none" w:sz="0" w:space="0" w:color="auto"/>
                        <w:left w:val="none" w:sz="0" w:space="0" w:color="auto"/>
                        <w:bottom w:val="none" w:sz="0" w:space="0" w:color="auto"/>
                        <w:right w:val="none" w:sz="0" w:space="0" w:color="auto"/>
                      </w:divBdr>
                    </w:div>
                    <w:div w:id="2041280010">
                      <w:marLeft w:val="0"/>
                      <w:marRight w:val="0"/>
                      <w:marTop w:val="0"/>
                      <w:marBottom w:val="0"/>
                      <w:divBdr>
                        <w:top w:val="none" w:sz="0" w:space="0" w:color="auto"/>
                        <w:left w:val="none" w:sz="0" w:space="0" w:color="auto"/>
                        <w:bottom w:val="none" w:sz="0" w:space="0" w:color="auto"/>
                        <w:right w:val="none" w:sz="0" w:space="0" w:color="auto"/>
                      </w:divBdr>
                    </w:div>
                    <w:div w:id="2074887853">
                      <w:marLeft w:val="0"/>
                      <w:marRight w:val="0"/>
                      <w:marTop w:val="0"/>
                      <w:marBottom w:val="0"/>
                      <w:divBdr>
                        <w:top w:val="none" w:sz="0" w:space="0" w:color="auto"/>
                        <w:left w:val="none" w:sz="0" w:space="0" w:color="auto"/>
                        <w:bottom w:val="none" w:sz="0" w:space="0" w:color="auto"/>
                        <w:right w:val="none" w:sz="0" w:space="0" w:color="auto"/>
                      </w:divBdr>
                    </w:div>
                  </w:divsChild>
                </w:div>
                <w:div w:id="765616849">
                  <w:marLeft w:val="0"/>
                  <w:marRight w:val="0"/>
                  <w:marTop w:val="0"/>
                  <w:marBottom w:val="0"/>
                  <w:divBdr>
                    <w:top w:val="none" w:sz="0" w:space="0" w:color="auto"/>
                    <w:left w:val="none" w:sz="0" w:space="0" w:color="auto"/>
                    <w:bottom w:val="none" w:sz="0" w:space="0" w:color="auto"/>
                    <w:right w:val="none" w:sz="0" w:space="0" w:color="auto"/>
                  </w:divBdr>
                  <w:divsChild>
                    <w:div w:id="535891093">
                      <w:marLeft w:val="0"/>
                      <w:marRight w:val="0"/>
                      <w:marTop w:val="0"/>
                      <w:marBottom w:val="0"/>
                      <w:divBdr>
                        <w:top w:val="none" w:sz="0" w:space="0" w:color="auto"/>
                        <w:left w:val="none" w:sz="0" w:space="0" w:color="auto"/>
                        <w:bottom w:val="none" w:sz="0" w:space="0" w:color="auto"/>
                        <w:right w:val="none" w:sz="0" w:space="0" w:color="auto"/>
                      </w:divBdr>
                    </w:div>
                  </w:divsChild>
                </w:div>
                <w:div w:id="905067531">
                  <w:marLeft w:val="0"/>
                  <w:marRight w:val="0"/>
                  <w:marTop w:val="0"/>
                  <w:marBottom w:val="0"/>
                  <w:divBdr>
                    <w:top w:val="none" w:sz="0" w:space="0" w:color="auto"/>
                    <w:left w:val="none" w:sz="0" w:space="0" w:color="auto"/>
                    <w:bottom w:val="none" w:sz="0" w:space="0" w:color="auto"/>
                    <w:right w:val="none" w:sz="0" w:space="0" w:color="auto"/>
                  </w:divBdr>
                  <w:divsChild>
                    <w:div w:id="140662328">
                      <w:marLeft w:val="0"/>
                      <w:marRight w:val="0"/>
                      <w:marTop w:val="0"/>
                      <w:marBottom w:val="0"/>
                      <w:divBdr>
                        <w:top w:val="none" w:sz="0" w:space="0" w:color="auto"/>
                        <w:left w:val="none" w:sz="0" w:space="0" w:color="auto"/>
                        <w:bottom w:val="none" w:sz="0" w:space="0" w:color="auto"/>
                        <w:right w:val="none" w:sz="0" w:space="0" w:color="auto"/>
                      </w:divBdr>
                    </w:div>
                    <w:div w:id="398330809">
                      <w:marLeft w:val="0"/>
                      <w:marRight w:val="0"/>
                      <w:marTop w:val="0"/>
                      <w:marBottom w:val="0"/>
                      <w:divBdr>
                        <w:top w:val="none" w:sz="0" w:space="0" w:color="auto"/>
                        <w:left w:val="none" w:sz="0" w:space="0" w:color="auto"/>
                        <w:bottom w:val="none" w:sz="0" w:space="0" w:color="auto"/>
                        <w:right w:val="none" w:sz="0" w:space="0" w:color="auto"/>
                      </w:divBdr>
                    </w:div>
                    <w:div w:id="568426447">
                      <w:marLeft w:val="0"/>
                      <w:marRight w:val="0"/>
                      <w:marTop w:val="0"/>
                      <w:marBottom w:val="0"/>
                      <w:divBdr>
                        <w:top w:val="none" w:sz="0" w:space="0" w:color="auto"/>
                        <w:left w:val="none" w:sz="0" w:space="0" w:color="auto"/>
                        <w:bottom w:val="none" w:sz="0" w:space="0" w:color="auto"/>
                        <w:right w:val="none" w:sz="0" w:space="0" w:color="auto"/>
                      </w:divBdr>
                    </w:div>
                    <w:div w:id="603994768">
                      <w:marLeft w:val="0"/>
                      <w:marRight w:val="0"/>
                      <w:marTop w:val="0"/>
                      <w:marBottom w:val="0"/>
                      <w:divBdr>
                        <w:top w:val="none" w:sz="0" w:space="0" w:color="auto"/>
                        <w:left w:val="none" w:sz="0" w:space="0" w:color="auto"/>
                        <w:bottom w:val="none" w:sz="0" w:space="0" w:color="auto"/>
                        <w:right w:val="none" w:sz="0" w:space="0" w:color="auto"/>
                      </w:divBdr>
                    </w:div>
                    <w:div w:id="1019814114">
                      <w:marLeft w:val="0"/>
                      <w:marRight w:val="0"/>
                      <w:marTop w:val="0"/>
                      <w:marBottom w:val="0"/>
                      <w:divBdr>
                        <w:top w:val="none" w:sz="0" w:space="0" w:color="auto"/>
                        <w:left w:val="none" w:sz="0" w:space="0" w:color="auto"/>
                        <w:bottom w:val="none" w:sz="0" w:space="0" w:color="auto"/>
                        <w:right w:val="none" w:sz="0" w:space="0" w:color="auto"/>
                      </w:divBdr>
                    </w:div>
                    <w:div w:id="1373579861">
                      <w:marLeft w:val="0"/>
                      <w:marRight w:val="0"/>
                      <w:marTop w:val="0"/>
                      <w:marBottom w:val="0"/>
                      <w:divBdr>
                        <w:top w:val="none" w:sz="0" w:space="0" w:color="auto"/>
                        <w:left w:val="none" w:sz="0" w:space="0" w:color="auto"/>
                        <w:bottom w:val="none" w:sz="0" w:space="0" w:color="auto"/>
                        <w:right w:val="none" w:sz="0" w:space="0" w:color="auto"/>
                      </w:divBdr>
                    </w:div>
                    <w:div w:id="1409763665">
                      <w:marLeft w:val="0"/>
                      <w:marRight w:val="0"/>
                      <w:marTop w:val="0"/>
                      <w:marBottom w:val="0"/>
                      <w:divBdr>
                        <w:top w:val="none" w:sz="0" w:space="0" w:color="auto"/>
                        <w:left w:val="none" w:sz="0" w:space="0" w:color="auto"/>
                        <w:bottom w:val="none" w:sz="0" w:space="0" w:color="auto"/>
                        <w:right w:val="none" w:sz="0" w:space="0" w:color="auto"/>
                      </w:divBdr>
                    </w:div>
                    <w:div w:id="1777098329">
                      <w:marLeft w:val="0"/>
                      <w:marRight w:val="0"/>
                      <w:marTop w:val="0"/>
                      <w:marBottom w:val="0"/>
                      <w:divBdr>
                        <w:top w:val="none" w:sz="0" w:space="0" w:color="auto"/>
                        <w:left w:val="none" w:sz="0" w:space="0" w:color="auto"/>
                        <w:bottom w:val="none" w:sz="0" w:space="0" w:color="auto"/>
                        <w:right w:val="none" w:sz="0" w:space="0" w:color="auto"/>
                      </w:divBdr>
                    </w:div>
                    <w:div w:id="1899389503">
                      <w:marLeft w:val="0"/>
                      <w:marRight w:val="0"/>
                      <w:marTop w:val="0"/>
                      <w:marBottom w:val="0"/>
                      <w:divBdr>
                        <w:top w:val="none" w:sz="0" w:space="0" w:color="auto"/>
                        <w:left w:val="none" w:sz="0" w:space="0" w:color="auto"/>
                        <w:bottom w:val="none" w:sz="0" w:space="0" w:color="auto"/>
                        <w:right w:val="none" w:sz="0" w:space="0" w:color="auto"/>
                      </w:divBdr>
                    </w:div>
                    <w:div w:id="1989094030">
                      <w:marLeft w:val="0"/>
                      <w:marRight w:val="0"/>
                      <w:marTop w:val="0"/>
                      <w:marBottom w:val="0"/>
                      <w:divBdr>
                        <w:top w:val="none" w:sz="0" w:space="0" w:color="auto"/>
                        <w:left w:val="none" w:sz="0" w:space="0" w:color="auto"/>
                        <w:bottom w:val="none" w:sz="0" w:space="0" w:color="auto"/>
                        <w:right w:val="none" w:sz="0" w:space="0" w:color="auto"/>
                      </w:divBdr>
                    </w:div>
                    <w:div w:id="2139519589">
                      <w:marLeft w:val="0"/>
                      <w:marRight w:val="0"/>
                      <w:marTop w:val="0"/>
                      <w:marBottom w:val="0"/>
                      <w:divBdr>
                        <w:top w:val="none" w:sz="0" w:space="0" w:color="auto"/>
                        <w:left w:val="none" w:sz="0" w:space="0" w:color="auto"/>
                        <w:bottom w:val="none" w:sz="0" w:space="0" w:color="auto"/>
                        <w:right w:val="none" w:sz="0" w:space="0" w:color="auto"/>
                      </w:divBdr>
                    </w:div>
                  </w:divsChild>
                </w:div>
                <w:div w:id="1150712097">
                  <w:marLeft w:val="0"/>
                  <w:marRight w:val="0"/>
                  <w:marTop w:val="0"/>
                  <w:marBottom w:val="0"/>
                  <w:divBdr>
                    <w:top w:val="none" w:sz="0" w:space="0" w:color="auto"/>
                    <w:left w:val="none" w:sz="0" w:space="0" w:color="auto"/>
                    <w:bottom w:val="none" w:sz="0" w:space="0" w:color="auto"/>
                    <w:right w:val="none" w:sz="0" w:space="0" w:color="auto"/>
                  </w:divBdr>
                  <w:divsChild>
                    <w:div w:id="1715736275">
                      <w:marLeft w:val="0"/>
                      <w:marRight w:val="0"/>
                      <w:marTop w:val="0"/>
                      <w:marBottom w:val="0"/>
                      <w:divBdr>
                        <w:top w:val="none" w:sz="0" w:space="0" w:color="auto"/>
                        <w:left w:val="none" w:sz="0" w:space="0" w:color="auto"/>
                        <w:bottom w:val="none" w:sz="0" w:space="0" w:color="auto"/>
                        <w:right w:val="none" w:sz="0" w:space="0" w:color="auto"/>
                      </w:divBdr>
                    </w:div>
                  </w:divsChild>
                </w:div>
                <w:div w:id="1280800589">
                  <w:marLeft w:val="0"/>
                  <w:marRight w:val="0"/>
                  <w:marTop w:val="0"/>
                  <w:marBottom w:val="0"/>
                  <w:divBdr>
                    <w:top w:val="none" w:sz="0" w:space="0" w:color="auto"/>
                    <w:left w:val="none" w:sz="0" w:space="0" w:color="auto"/>
                    <w:bottom w:val="none" w:sz="0" w:space="0" w:color="auto"/>
                    <w:right w:val="none" w:sz="0" w:space="0" w:color="auto"/>
                  </w:divBdr>
                  <w:divsChild>
                    <w:div w:id="177080723">
                      <w:marLeft w:val="0"/>
                      <w:marRight w:val="0"/>
                      <w:marTop w:val="0"/>
                      <w:marBottom w:val="0"/>
                      <w:divBdr>
                        <w:top w:val="none" w:sz="0" w:space="0" w:color="auto"/>
                        <w:left w:val="none" w:sz="0" w:space="0" w:color="auto"/>
                        <w:bottom w:val="none" w:sz="0" w:space="0" w:color="auto"/>
                        <w:right w:val="none" w:sz="0" w:space="0" w:color="auto"/>
                      </w:divBdr>
                    </w:div>
                  </w:divsChild>
                </w:div>
                <w:div w:id="1690061075">
                  <w:marLeft w:val="0"/>
                  <w:marRight w:val="0"/>
                  <w:marTop w:val="0"/>
                  <w:marBottom w:val="0"/>
                  <w:divBdr>
                    <w:top w:val="none" w:sz="0" w:space="0" w:color="auto"/>
                    <w:left w:val="none" w:sz="0" w:space="0" w:color="auto"/>
                    <w:bottom w:val="none" w:sz="0" w:space="0" w:color="auto"/>
                    <w:right w:val="none" w:sz="0" w:space="0" w:color="auto"/>
                  </w:divBdr>
                  <w:divsChild>
                    <w:div w:id="244346323">
                      <w:marLeft w:val="0"/>
                      <w:marRight w:val="0"/>
                      <w:marTop w:val="0"/>
                      <w:marBottom w:val="0"/>
                      <w:divBdr>
                        <w:top w:val="none" w:sz="0" w:space="0" w:color="auto"/>
                        <w:left w:val="none" w:sz="0" w:space="0" w:color="auto"/>
                        <w:bottom w:val="none" w:sz="0" w:space="0" w:color="auto"/>
                        <w:right w:val="none" w:sz="0" w:space="0" w:color="auto"/>
                      </w:divBdr>
                    </w:div>
                    <w:div w:id="878663537">
                      <w:marLeft w:val="0"/>
                      <w:marRight w:val="0"/>
                      <w:marTop w:val="0"/>
                      <w:marBottom w:val="0"/>
                      <w:divBdr>
                        <w:top w:val="none" w:sz="0" w:space="0" w:color="auto"/>
                        <w:left w:val="none" w:sz="0" w:space="0" w:color="auto"/>
                        <w:bottom w:val="none" w:sz="0" w:space="0" w:color="auto"/>
                        <w:right w:val="none" w:sz="0" w:space="0" w:color="auto"/>
                      </w:divBdr>
                    </w:div>
                    <w:div w:id="14788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7175">
          <w:marLeft w:val="0"/>
          <w:marRight w:val="0"/>
          <w:marTop w:val="0"/>
          <w:marBottom w:val="0"/>
          <w:divBdr>
            <w:top w:val="none" w:sz="0" w:space="0" w:color="auto"/>
            <w:left w:val="none" w:sz="0" w:space="0" w:color="auto"/>
            <w:bottom w:val="none" w:sz="0" w:space="0" w:color="auto"/>
            <w:right w:val="none" w:sz="0" w:space="0" w:color="auto"/>
          </w:divBdr>
        </w:div>
        <w:div w:id="1022321386">
          <w:marLeft w:val="0"/>
          <w:marRight w:val="0"/>
          <w:marTop w:val="0"/>
          <w:marBottom w:val="0"/>
          <w:divBdr>
            <w:top w:val="none" w:sz="0" w:space="0" w:color="auto"/>
            <w:left w:val="none" w:sz="0" w:space="0" w:color="auto"/>
            <w:bottom w:val="none" w:sz="0" w:space="0" w:color="auto"/>
            <w:right w:val="none" w:sz="0" w:space="0" w:color="auto"/>
          </w:divBdr>
        </w:div>
        <w:div w:id="1193956918">
          <w:marLeft w:val="0"/>
          <w:marRight w:val="0"/>
          <w:marTop w:val="0"/>
          <w:marBottom w:val="0"/>
          <w:divBdr>
            <w:top w:val="none" w:sz="0" w:space="0" w:color="auto"/>
            <w:left w:val="none" w:sz="0" w:space="0" w:color="auto"/>
            <w:bottom w:val="none" w:sz="0" w:space="0" w:color="auto"/>
            <w:right w:val="none" w:sz="0" w:space="0" w:color="auto"/>
          </w:divBdr>
        </w:div>
        <w:div w:id="1305741050">
          <w:marLeft w:val="0"/>
          <w:marRight w:val="0"/>
          <w:marTop w:val="0"/>
          <w:marBottom w:val="0"/>
          <w:divBdr>
            <w:top w:val="none" w:sz="0" w:space="0" w:color="auto"/>
            <w:left w:val="none" w:sz="0" w:space="0" w:color="auto"/>
            <w:bottom w:val="none" w:sz="0" w:space="0" w:color="auto"/>
            <w:right w:val="none" w:sz="0" w:space="0" w:color="auto"/>
          </w:divBdr>
        </w:div>
        <w:div w:id="1336224537">
          <w:marLeft w:val="0"/>
          <w:marRight w:val="0"/>
          <w:marTop w:val="0"/>
          <w:marBottom w:val="0"/>
          <w:divBdr>
            <w:top w:val="none" w:sz="0" w:space="0" w:color="auto"/>
            <w:left w:val="none" w:sz="0" w:space="0" w:color="auto"/>
            <w:bottom w:val="none" w:sz="0" w:space="0" w:color="auto"/>
            <w:right w:val="none" w:sz="0" w:space="0" w:color="auto"/>
          </w:divBdr>
        </w:div>
        <w:div w:id="1360819173">
          <w:marLeft w:val="0"/>
          <w:marRight w:val="0"/>
          <w:marTop w:val="0"/>
          <w:marBottom w:val="0"/>
          <w:divBdr>
            <w:top w:val="none" w:sz="0" w:space="0" w:color="auto"/>
            <w:left w:val="none" w:sz="0" w:space="0" w:color="auto"/>
            <w:bottom w:val="none" w:sz="0" w:space="0" w:color="auto"/>
            <w:right w:val="none" w:sz="0" w:space="0" w:color="auto"/>
          </w:divBdr>
        </w:div>
        <w:div w:id="1416588969">
          <w:marLeft w:val="0"/>
          <w:marRight w:val="0"/>
          <w:marTop w:val="0"/>
          <w:marBottom w:val="0"/>
          <w:divBdr>
            <w:top w:val="none" w:sz="0" w:space="0" w:color="auto"/>
            <w:left w:val="none" w:sz="0" w:space="0" w:color="auto"/>
            <w:bottom w:val="none" w:sz="0" w:space="0" w:color="auto"/>
            <w:right w:val="none" w:sz="0" w:space="0" w:color="auto"/>
          </w:divBdr>
        </w:div>
        <w:div w:id="1423842816">
          <w:marLeft w:val="0"/>
          <w:marRight w:val="0"/>
          <w:marTop w:val="0"/>
          <w:marBottom w:val="0"/>
          <w:divBdr>
            <w:top w:val="none" w:sz="0" w:space="0" w:color="auto"/>
            <w:left w:val="none" w:sz="0" w:space="0" w:color="auto"/>
            <w:bottom w:val="none" w:sz="0" w:space="0" w:color="auto"/>
            <w:right w:val="none" w:sz="0" w:space="0" w:color="auto"/>
          </w:divBdr>
        </w:div>
        <w:div w:id="1464806505">
          <w:marLeft w:val="0"/>
          <w:marRight w:val="0"/>
          <w:marTop w:val="0"/>
          <w:marBottom w:val="0"/>
          <w:divBdr>
            <w:top w:val="none" w:sz="0" w:space="0" w:color="auto"/>
            <w:left w:val="none" w:sz="0" w:space="0" w:color="auto"/>
            <w:bottom w:val="none" w:sz="0" w:space="0" w:color="auto"/>
            <w:right w:val="none" w:sz="0" w:space="0" w:color="auto"/>
          </w:divBdr>
        </w:div>
        <w:div w:id="1488791193">
          <w:marLeft w:val="0"/>
          <w:marRight w:val="0"/>
          <w:marTop w:val="0"/>
          <w:marBottom w:val="0"/>
          <w:divBdr>
            <w:top w:val="none" w:sz="0" w:space="0" w:color="auto"/>
            <w:left w:val="none" w:sz="0" w:space="0" w:color="auto"/>
            <w:bottom w:val="none" w:sz="0" w:space="0" w:color="auto"/>
            <w:right w:val="none" w:sz="0" w:space="0" w:color="auto"/>
          </w:divBdr>
        </w:div>
        <w:div w:id="1725056135">
          <w:marLeft w:val="0"/>
          <w:marRight w:val="0"/>
          <w:marTop w:val="0"/>
          <w:marBottom w:val="0"/>
          <w:divBdr>
            <w:top w:val="none" w:sz="0" w:space="0" w:color="auto"/>
            <w:left w:val="none" w:sz="0" w:space="0" w:color="auto"/>
            <w:bottom w:val="none" w:sz="0" w:space="0" w:color="auto"/>
            <w:right w:val="none" w:sz="0" w:space="0" w:color="auto"/>
          </w:divBdr>
        </w:div>
        <w:div w:id="1769890496">
          <w:marLeft w:val="0"/>
          <w:marRight w:val="0"/>
          <w:marTop w:val="0"/>
          <w:marBottom w:val="0"/>
          <w:divBdr>
            <w:top w:val="none" w:sz="0" w:space="0" w:color="auto"/>
            <w:left w:val="none" w:sz="0" w:space="0" w:color="auto"/>
            <w:bottom w:val="none" w:sz="0" w:space="0" w:color="auto"/>
            <w:right w:val="none" w:sz="0" w:space="0" w:color="auto"/>
          </w:divBdr>
        </w:div>
        <w:div w:id="1777556754">
          <w:marLeft w:val="0"/>
          <w:marRight w:val="0"/>
          <w:marTop w:val="0"/>
          <w:marBottom w:val="0"/>
          <w:divBdr>
            <w:top w:val="none" w:sz="0" w:space="0" w:color="auto"/>
            <w:left w:val="none" w:sz="0" w:space="0" w:color="auto"/>
            <w:bottom w:val="none" w:sz="0" w:space="0" w:color="auto"/>
            <w:right w:val="none" w:sz="0" w:space="0" w:color="auto"/>
          </w:divBdr>
        </w:div>
        <w:div w:id="1913805446">
          <w:marLeft w:val="0"/>
          <w:marRight w:val="0"/>
          <w:marTop w:val="0"/>
          <w:marBottom w:val="0"/>
          <w:divBdr>
            <w:top w:val="none" w:sz="0" w:space="0" w:color="auto"/>
            <w:left w:val="none" w:sz="0" w:space="0" w:color="auto"/>
            <w:bottom w:val="none" w:sz="0" w:space="0" w:color="auto"/>
            <w:right w:val="none" w:sz="0" w:space="0" w:color="auto"/>
          </w:divBdr>
        </w:div>
        <w:div w:id="2075421078">
          <w:marLeft w:val="0"/>
          <w:marRight w:val="0"/>
          <w:marTop w:val="0"/>
          <w:marBottom w:val="0"/>
          <w:divBdr>
            <w:top w:val="none" w:sz="0" w:space="0" w:color="auto"/>
            <w:left w:val="none" w:sz="0" w:space="0" w:color="auto"/>
            <w:bottom w:val="none" w:sz="0" w:space="0" w:color="auto"/>
            <w:right w:val="none" w:sz="0" w:space="0" w:color="auto"/>
          </w:divBdr>
        </w:div>
      </w:divsChild>
    </w:div>
    <w:div w:id="1256673306">
      <w:bodyDiv w:val="1"/>
      <w:marLeft w:val="0"/>
      <w:marRight w:val="0"/>
      <w:marTop w:val="0"/>
      <w:marBottom w:val="0"/>
      <w:divBdr>
        <w:top w:val="none" w:sz="0" w:space="0" w:color="auto"/>
        <w:left w:val="none" w:sz="0" w:space="0" w:color="auto"/>
        <w:bottom w:val="none" w:sz="0" w:space="0" w:color="auto"/>
        <w:right w:val="none" w:sz="0" w:space="0" w:color="auto"/>
      </w:divBdr>
    </w:div>
    <w:div w:id="1263225860">
      <w:bodyDiv w:val="1"/>
      <w:marLeft w:val="0"/>
      <w:marRight w:val="0"/>
      <w:marTop w:val="0"/>
      <w:marBottom w:val="0"/>
      <w:divBdr>
        <w:top w:val="none" w:sz="0" w:space="0" w:color="auto"/>
        <w:left w:val="none" w:sz="0" w:space="0" w:color="auto"/>
        <w:bottom w:val="none" w:sz="0" w:space="0" w:color="auto"/>
        <w:right w:val="none" w:sz="0" w:space="0" w:color="auto"/>
      </w:divBdr>
    </w:div>
    <w:div w:id="1294678935">
      <w:bodyDiv w:val="1"/>
      <w:marLeft w:val="0"/>
      <w:marRight w:val="0"/>
      <w:marTop w:val="0"/>
      <w:marBottom w:val="0"/>
      <w:divBdr>
        <w:top w:val="none" w:sz="0" w:space="0" w:color="auto"/>
        <w:left w:val="none" w:sz="0" w:space="0" w:color="auto"/>
        <w:bottom w:val="none" w:sz="0" w:space="0" w:color="auto"/>
        <w:right w:val="none" w:sz="0" w:space="0" w:color="auto"/>
      </w:divBdr>
      <w:divsChild>
        <w:div w:id="14964412">
          <w:marLeft w:val="0"/>
          <w:marRight w:val="0"/>
          <w:marTop w:val="0"/>
          <w:marBottom w:val="0"/>
          <w:divBdr>
            <w:top w:val="none" w:sz="0" w:space="0" w:color="auto"/>
            <w:left w:val="none" w:sz="0" w:space="0" w:color="auto"/>
            <w:bottom w:val="none" w:sz="0" w:space="0" w:color="auto"/>
            <w:right w:val="none" w:sz="0" w:space="0" w:color="auto"/>
          </w:divBdr>
        </w:div>
        <w:div w:id="57897691">
          <w:marLeft w:val="0"/>
          <w:marRight w:val="0"/>
          <w:marTop w:val="0"/>
          <w:marBottom w:val="0"/>
          <w:divBdr>
            <w:top w:val="none" w:sz="0" w:space="0" w:color="auto"/>
            <w:left w:val="none" w:sz="0" w:space="0" w:color="auto"/>
            <w:bottom w:val="none" w:sz="0" w:space="0" w:color="auto"/>
            <w:right w:val="none" w:sz="0" w:space="0" w:color="auto"/>
          </w:divBdr>
        </w:div>
        <w:div w:id="278689063">
          <w:marLeft w:val="0"/>
          <w:marRight w:val="0"/>
          <w:marTop w:val="0"/>
          <w:marBottom w:val="0"/>
          <w:divBdr>
            <w:top w:val="none" w:sz="0" w:space="0" w:color="auto"/>
            <w:left w:val="none" w:sz="0" w:space="0" w:color="auto"/>
            <w:bottom w:val="none" w:sz="0" w:space="0" w:color="auto"/>
            <w:right w:val="none" w:sz="0" w:space="0" w:color="auto"/>
          </w:divBdr>
        </w:div>
        <w:div w:id="305167182">
          <w:marLeft w:val="0"/>
          <w:marRight w:val="0"/>
          <w:marTop w:val="0"/>
          <w:marBottom w:val="0"/>
          <w:divBdr>
            <w:top w:val="none" w:sz="0" w:space="0" w:color="auto"/>
            <w:left w:val="none" w:sz="0" w:space="0" w:color="auto"/>
            <w:bottom w:val="none" w:sz="0" w:space="0" w:color="auto"/>
            <w:right w:val="none" w:sz="0" w:space="0" w:color="auto"/>
          </w:divBdr>
        </w:div>
        <w:div w:id="562253308">
          <w:marLeft w:val="0"/>
          <w:marRight w:val="0"/>
          <w:marTop w:val="0"/>
          <w:marBottom w:val="0"/>
          <w:divBdr>
            <w:top w:val="none" w:sz="0" w:space="0" w:color="auto"/>
            <w:left w:val="none" w:sz="0" w:space="0" w:color="auto"/>
            <w:bottom w:val="none" w:sz="0" w:space="0" w:color="auto"/>
            <w:right w:val="none" w:sz="0" w:space="0" w:color="auto"/>
          </w:divBdr>
        </w:div>
        <w:div w:id="682515538">
          <w:marLeft w:val="0"/>
          <w:marRight w:val="0"/>
          <w:marTop w:val="0"/>
          <w:marBottom w:val="0"/>
          <w:divBdr>
            <w:top w:val="none" w:sz="0" w:space="0" w:color="auto"/>
            <w:left w:val="none" w:sz="0" w:space="0" w:color="auto"/>
            <w:bottom w:val="none" w:sz="0" w:space="0" w:color="auto"/>
            <w:right w:val="none" w:sz="0" w:space="0" w:color="auto"/>
          </w:divBdr>
        </w:div>
        <w:div w:id="682782154">
          <w:marLeft w:val="0"/>
          <w:marRight w:val="0"/>
          <w:marTop w:val="0"/>
          <w:marBottom w:val="0"/>
          <w:divBdr>
            <w:top w:val="none" w:sz="0" w:space="0" w:color="auto"/>
            <w:left w:val="none" w:sz="0" w:space="0" w:color="auto"/>
            <w:bottom w:val="none" w:sz="0" w:space="0" w:color="auto"/>
            <w:right w:val="none" w:sz="0" w:space="0" w:color="auto"/>
          </w:divBdr>
        </w:div>
        <w:div w:id="792288360">
          <w:marLeft w:val="0"/>
          <w:marRight w:val="0"/>
          <w:marTop w:val="0"/>
          <w:marBottom w:val="0"/>
          <w:divBdr>
            <w:top w:val="none" w:sz="0" w:space="0" w:color="auto"/>
            <w:left w:val="none" w:sz="0" w:space="0" w:color="auto"/>
            <w:bottom w:val="none" w:sz="0" w:space="0" w:color="auto"/>
            <w:right w:val="none" w:sz="0" w:space="0" w:color="auto"/>
          </w:divBdr>
        </w:div>
        <w:div w:id="1356038118">
          <w:marLeft w:val="0"/>
          <w:marRight w:val="0"/>
          <w:marTop w:val="0"/>
          <w:marBottom w:val="0"/>
          <w:divBdr>
            <w:top w:val="none" w:sz="0" w:space="0" w:color="auto"/>
            <w:left w:val="none" w:sz="0" w:space="0" w:color="auto"/>
            <w:bottom w:val="none" w:sz="0" w:space="0" w:color="auto"/>
            <w:right w:val="none" w:sz="0" w:space="0" w:color="auto"/>
          </w:divBdr>
        </w:div>
        <w:div w:id="1532765471">
          <w:marLeft w:val="0"/>
          <w:marRight w:val="0"/>
          <w:marTop w:val="0"/>
          <w:marBottom w:val="0"/>
          <w:divBdr>
            <w:top w:val="none" w:sz="0" w:space="0" w:color="auto"/>
            <w:left w:val="none" w:sz="0" w:space="0" w:color="auto"/>
            <w:bottom w:val="none" w:sz="0" w:space="0" w:color="auto"/>
            <w:right w:val="none" w:sz="0" w:space="0" w:color="auto"/>
          </w:divBdr>
        </w:div>
        <w:div w:id="1762333592">
          <w:marLeft w:val="0"/>
          <w:marRight w:val="0"/>
          <w:marTop w:val="0"/>
          <w:marBottom w:val="0"/>
          <w:divBdr>
            <w:top w:val="none" w:sz="0" w:space="0" w:color="auto"/>
            <w:left w:val="none" w:sz="0" w:space="0" w:color="auto"/>
            <w:bottom w:val="none" w:sz="0" w:space="0" w:color="auto"/>
            <w:right w:val="none" w:sz="0" w:space="0" w:color="auto"/>
          </w:divBdr>
        </w:div>
        <w:div w:id="1771581754">
          <w:marLeft w:val="0"/>
          <w:marRight w:val="0"/>
          <w:marTop w:val="0"/>
          <w:marBottom w:val="0"/>
          <w:divBdr>
            <w:top w:val="none" w:sz="0" w:space="0" w:color="auto"/>
            <w:left w:val="none" w:sz="0" w:space="0" w:color="auto"/>
            <w:bottom w:val="none" w:sz="0" w:space="0" w:color="auto"/>
            <w:right w:val="none" w:sz="0" w:space="0" w:color="auto"/>
          </w:divBdr>
        </w:div>
        <w:div w:id="1991975659">
          <w:marLeft w:val="0"/>
          <w:marRight w:val="0"/>
          <w:marTop w:val="0"/>
          <w:marBottom w:val="0"/>
          <w:divBdr>
            <w:top w:val="none" w:sz="0" w:space="0" w:color="auto"/>
            <w:left w:val="none" w:sz="0" w:space="0" w:color="auto"/>
            <w:bottom w:val="none" w:sz="0" w:space="0" w:color="auto"/>
            <w:right w:val="none" w:sz="0" w:space="0" w:color="auto"/>
          </w:divBdr>
        </w:div>
        <w:div w:id="2102674100">
          <w:marLeft w:val="0"/>
          <w:marRight w:val="0"/>
          <w:marTop w:val="0"/>
          <w:marBottom w:val="0"/>
          <w:divBdr>
            <w:top w:val="none" w:sz="0" w:space="0" w:color="auto"/>
            <w:left w:val="none" w:sz="0" w:space="0" w:color="auto"/>
            <w:bottom w:val="none" w:sz="0" w:space="0" w:color="auto"/>
            <w:right w:val="none" w:sz="0" w:space="0" w:color="auto"/>
          </w:divBdr>
        </w:div>
        <w:div w:id="2122991794">
          <w:marLeft w:val="0"/>
          <w:marRight w:val="0"/>
          <w:marTop w:val="0"/>
          <w:marBottom w:val="0"/>
          <w:divBdr>
            <w:top w:val="none" w:sz="0" w:space="0" w:color="auto"/>
            <w:left w:val="none" w:sz="0" w:space="0" w:color="auto"/>
            <w:bottom w:val="none" w:sz="0" w:space="0" w:color="auto"/>
            <w:right w:val="none" w:sz="0" w:space="0" w:color="auto"/>
          </w:divBdr>
        </w:div>
      </w:divsChild>
    </w:div>
    <w:div w:id="1308127349">
      <w:bodyDiv w:val="1"/>
      <w:marLeft w:val="0"/>
      <w:marRight w:val="0"/>
      <w:marTop w:val="0"/>
      <w:marBottom w:val="0"/>
      <w:divBdr>
        <w:top w:val="none" w:sz="0" w:space="0" w:color="auto"/>
        <w:left w:val="none" w:sz="0" w:space="0" w:color="auto"/>
        <w:bottom w:val="none" w:sz="0" w:space="0" w:color="auto"/>
        <w:right w:val="none" w:sz="0" w:space="0" w:color="auto"/>
      </w:divBdr>
    </w:div>
    <w:div w:id="1310865616">
      <w:bodyDiv w:val="1"/>
      <w:marLeft w:val="0"/>
      <w:marRight w:val="0"/>
      <w:marTop w:val="0"/>
      <w:marBottom w:val="0"/>
      <w:divBdr>
        <w:top w:val="none" w:sz="0" w:space="0" w:color="auto"/>
        <w:left w:val="none" w:sz="0" w:space="0" w:color="auto"/>
        <w:bottom w:val="none" w:sz="0" w:space="0" w:color="auto"/>
        <w:right w:val="none" w:sz="0" w:space="0" w:color="auto"/>
      </w:divBdr>
      <w:divsChild>
        <w:div w:id="4289204">
          <w:marLeft w:val="0"/>
          <w:marRight w:val="0"/>
          <w:marTop w:val="0"/>
          <w:marBottom w:val="0"/>
          <w:divBdr>
            <w:top w:val="none" w:sz="0" w:space="0" w:color="auto"/>
            <w:left w:val="none" w:sz="0" w:space="0" w:color="auto"/>
            <w:bottom w:val="none" w:sz="0" w:space="0" w:color="auto"/>
            <w:right w:val="none" w:sz="0" w:space="0" w:color="auto"/>
          </w:divBdr>
        </w:div>
        <w:div w:id="58332297">
          <w:marLeft w:val="0"/>
          <w:marRight w:val="0"/>
          <w:marTop w:val="0"/>
          <w:marBottom w:val="0"/>
          <w:divBdr>
            <w:top w:val="none" w:sz="0" w:space="0" w:color="auto"/>
            <w:left w:val="none" w:sz="0" w:space="0" w:color="auto"/>
            <w:bottom w:val="none" w:sz="0" w:space="0" w:color="auto"/>
            <w:right w:val="none" w:sz="0" w:space="0" w:color="auto"/>
          </w:divBdr>
        </w:div>
        <w:div w:id="162360704">
          <w:marLeft w:val="0"/>
          <w:marRight w:val="0"/>
          <w:marTop w:val="0"/>
          <w:marBottom w:val="0"/>
          <w:divBdr>
            <w:top w:val="none" w:sz="0" w:space="0" w:color="auto"/>
            <w:left w:val="none" w:sz="0" w:space="0" w:color="auto"/>
            <w:bottom w:val="none" w:sz="0" w:space="0" w:color="auto"/>
            <w:right w:val="none" w:sz="0" w:space="0" w:color="auto"/>
          </w:divBdr>
        </w:div>
        <w:div w:id="175965078">
          <w:marLeft w:val="0"/>
          <w:marRight w:val="0"/>
          <w:marTop w:val="0"/>
          <w:marBottom w:val="0"/>
          <w:divBdr>
            <w:top w:val="none" w:sz="0" w:space="0" w:color="auto"/>
            <w:left w:val="none" w:sz="0" w:space="0" w:color="auto"/>
            <w:bottom w:val="none" w:sz="0" w:space="0" w:color="auto"/>
            <w:right w:val="none" w:sz="0" w:space="0" w:color="auto"/>
          </w:divBdr>
        </w:div>
        <w:div w:id="295110708">
          <w:marLeft w:val="0"/>
          <w:marRight w:val="0"/>
          <w:marTop w:val="0"/>
          <w:marBottom w:val="0"/>
          <w:divBdr>
            <w:top w:val="none" w:sz="0" w:space="0" w:color="auto"/>
            <w:left w:val="none" w:sz="0" w:space="0" w:color="auto"/>
            <w:bottom w:val="none" w:sz="0" w:space="0" w:color="auto"/>
            <w:right w:val="none" w:sz="0" w:space="0" w:color="auto"/>
          </w:divBdr>
        </w:div>
        <w:div w:id="516116455">
          <w:marLeft w:val="0"/>
          <w:marRight w:val="0"/>
          <w:marTop w:val="0"/>
          <w:marBottom w:val="0"/>
          <w:divBdr>
            <w:top w:val="none" w:sz="0" w:space="0" w:color="auto"/>
            <w:left w:val="none" w:sz="0" w:space="0" w:color="auto"/>
            <w:bottom w:val="none" w:sz="0" w:space="0" w:color="auto"/>
            <w:right w:val="none" w:sz="0" w:space="0" w:color="auto"/>
          </w:divBdr>
        </w:div>
        <w:div w:id="776829439">
          <w:marLeft w:val="0"/>
          <w:marRight w:val="0"/>
          <w:marTop w:val="0"/>
          <w:marBottom w:val="0"/>
          <w:divBdr>
            <w:top w:val="none" w:sz="0" w:space="0" w:color="auto"/>
            <w:left w:val="none" w:sz="0" w:space="0" w:color="auto"/>
            <w:bottom w:val="none" w:sz="0" w:space="0" w:color="auto"/>
            <w:right w:val="none" w:sz="0" w:space="0" w:color="auto"/>
          </w:divBdr>
        </w:div>
        <w:div w:id="842014508">
          <w:marLeft w:val="0"/>
          <w:marRight w:val="0"/>
          <w:marTop w:val="0"/>
          <w:marBottom w:val="0"/>
          <w:divBdr>
            <w:top w:val="none" w:sz="0" w:space="0" w:color="auto"/>
            <w:left w:val="none" w:sz="0" w:space="0" w:color="auto"/>
            <w:bottom w:val="none" w:sz="0" w:space="0" w:color="auto"/>
            <w:right w:val="none" w:sz="0" w:space="0" w:color="auto"/>
          </w:divBdr>
        </w:div>
        <w:div w:id="871646516">
          <w:marLeft w:val="0"/>
          <w:marRight w:val="0"/>
          <w:marTop w:val="0"/>
          <w:marBottom w:val="0"/>
          <w:divBdr>
            <w:top w:val="none" w:sz="0" w:space="0" w:color="auto"/>
            <w:left w:val="none" w:sz="0" w:space="0" w:color="auto"/>
            <w:bottom w:val="none" w:sz="0" w:space="0" w:color="auto"/>
            <w:right w:val="none" w:sz="0" w:space="0" w:color="auto"/>
          </w:divBdr>
        </w:div>
        <w:div w:id="975723199">
          <w:marLeft w:val="0"/>
          <w:marRight w:val="0"/>
          <w:marTop w:val="0"/>
          <w:marBottom w:val="0"/>
          <w:divBdr>
            <w:top w:val="none" w:sz="0" w:space="0" w:color="auto"/>
            <w:left w:val="none" w:sz="0" w:space="0" w:color="auto"/>
            <w:bottom w:val="none" w:sz="0" w:space="0" w:color="auto"/>
            <w:right w:val="none" w:sz="0" w:space="0" w:color="auto"/>
          </w:divBdr>
        </w:div>
        <w:div w:id="1445879737">
          <w:marLeft w:val="0"/>
          <w:marRight w:val="0"/>
          <w:marTop w:val="0"/>
          <w:marBottom w:val="0"/>
          <w:divBdr>
            <w:top w:val="none" w:sz="0" w:space="0" w:color="auto"/>
            <w:left w:val="none" w:sz="0" w:space="0" w:color="auto"/>
            <w:bottom w:val="none" w:sz="0" w:space="0" w:color="auto"/>
            <w:right w:val="none" w:sz="0" w:space="0" w:color="auto"/>
          </w:divBdr>
        </w:div>
        <w:div w:id="1520394023">
          <w:marLeft w:val="0"/>
          <w:marRight w:val="0"/>
          <w:marTop w:val="0"/>
          <w:marBottom w:val="0"/>
          <w:divBdr>
            <w:top w:val="none" w:sz="0" w:space="0" w:color="auto"/>
            <w:left w:val="none" w:sz="0" w:space="0" w:color="auto"/>
            <w:bottom w:val="none" w:sz="0" w:space="0" w:color="auto"/>
            <w:right w:val="none" w:sz="0" w:space="0" w:color="auto"/>
          </w:divBdr>
        </w:div>
        <w:div w:id="1537548757">
          <w:marLeft w:val="0"/>
          <w:marRight w:val="0"/>
          <w:marTop w:val="0"/>
          <w:marBottom w:val="0"/>
          <w:divBdr>
            <w:top w:val="none" w:sz="0" w:space="0" w:color="auto"/>
            <w:left w:val="none" w:sz="0" w:space="0" w:color="auto"/>
            <w:bottom w:val="none" w:sz="0" w:space="0" w:color="auto"/>
            <w:right w:val="none" w:sz="0" w:space="0" w:color="auto"/>
          </w:divBdr>
        </w:div>
        <w:div w:id="1632249144">
          <w:marLeft w:val="0"/>
          <w:marRight w:val="0"/>
          <w:marTop w:val="0"/>
          <w:marBottom w:val="0"/>
          <w:divBdr>
            <w:top w:val="none" w:sz="0" w:space="0" w:color="auto"/>
            <w:left w:val="none" w:sz="0" w:space="0" w:color="auto"/>
            <w:bottom w:val="none" w:sz="0" w:space="0" w:color="auto"/>
            <w:right w:val="none" w:sz="0" w:space="0" w:color="auto"/>
          </w:divBdr>
        </w:div>
        <w:div w:id="1703624790">
          <w:marLeft w:val="0"/>
          <w:marRight w:val="0"/>
          <w:marTop w:val="0"/>
          <w:marBottom w:val="0"/>
          <w:divBdr>
            <w:top w:val="none" w:sz="0" w:space="0" w:color="auto"/>
            <w:left w:val="none" w:sz="0" w:space="0" w:color="auto"/>
            <w:bottom w:val="none" w:sz="0" w:space="0" w:color="auto"/>
            <w:right w:val="none" w:sz="0" w:space="0" w:color="auto"/>
          </w:divBdr>
        </w:div>
        <w:div w:id="1712413784">
          <w:marLeft w:val="0"/>
          <w:marRight w:val="0"/>
          <w:marTop w:val="0"/>
          <w:marBottom w:val="0"/>
          <w:divBdr>
            <w:top w:val="none" w:sz="0" w:space="0" w:color="auto"/>
            <w:left w:val="none" w:sz="0" w:space="0" w:color="auto"/>
            <w:bottom w:val="none" w:sz="0" w:space="0" w:color="auto"/>
            <w:right w:val="none" w:sz="0" w:space="0" w:color="auto"/>
          </w:divBdr>
        </w:div>
        <w:div w:id="2011327071">
          <w:marLeft w:val="0"/>
          <w:marRight w:val="0"/>
          <w:marTop w:val="0"/>
          <w:marBottom w:val="0"/>
          <w:divBdr>
            <w:top w:val="none" w:sz="0" w:space="0" w:color="auto"/>
            <w:left w:val="none" w:sz="0" w:space="0" w:color="auto"/>
            <w:bottom w:val="none" w:sz="0" w:space="0" w:color="auto"/>
            <w:right w:val="none" w:sz="0" w:space="0" w:color="auto"/>
          </w:divBdr>
        </w:div>
        <w:div w:id="2024159369">
          <w:marLeft w:val="0"/>
          <w:marRight w:val="0"/>
          <w:marTop w:val="0"/>
          <w:marBottom w:val="0"/>
          <w:divBdr>
            <w:top w:val="none" w:sz="0" w:space="0" w:color="auto"/>
            <w:left w:val="none" w:sz="0" w:space="0" w:color="auto"/>
            <w:bottom w:val="none" w:sz="0" w:space="0" w:color="auto"/>
            <w:right w:val="none" w:sz="0" w:space="0" w:color="auto"/>
          </w:divBdr>
        </w:div>
        <w:div w:id="2053728188">
          <w:marLeft w:val="0"/>
          <w:marRight w:val="0"/>
          <w:marTop w:val="0"/>
          <w:marBottom w:val="0"/>
          <w:divBdr>
            <w:top w:val="none" w:sz="0" w:space="0" w:color="auto"/>
            <w:left w:val="none" w:sz="0" w:space="0" w:color="auto"/>
            <w:bottom w:val="none" w:sz="0" w:space="0" w:color="auto"/>
            <w:right w:val="none" w:sz="0" w:space="0" w:color="auto"/>
          </w:divBdr>
          <w:divsChild>
            <w:div w:id="222058031">
              <w:marLeft w:val="-75"/>
              <w:marRight w:val="0"/>
              <w:marTop w:val="30"/>
              <w:marBottom w:val="30"/>
              <w:divBdr>
                <w:top w:val="none" w:sz="0" w:space="0" w:color="auto"/>
                <w:left w:val="none" w:sz="0" w:space="0" w:color="auto"/>
                <w:bottom w:val="none" w:sz="0" w:space="0" w:color="auto"/>
                <w:right w:val="none" w:sz="0" w:space="0" w:color="auto"/>
              </w:divBdr>
              <w:divsChild>
                <w:div w:id="95827401">
                  <w:marLeft w:val="0"/>
                  <w:marRight w:val="0"/>
                  <w:marTop w:val="0"/>
                  <w:marBottom w:val="0"/>
                  <w:divBdr>
                    <w:top w:val="none" w:sz="0" w:space="0" w:color="auto"/>
                    <w:left w:val="none" w:sz="0" w:space="0" w:color="auto"/>
                    <w:bottom w:val="none" w:sz="0" w:space="0" w:color="auto"/>
                    <w:right w:val="none" w:sz="0" w:space="0" w:color="auto"/>
                  </w:divBdr>
                  <w:divsChild>
                    <w:div w:id="240257009">
                      <w:marLeft w:val="0"/>
                      <w:marRight w:val="0"/>
                      <w:marTop w:val="0"/>
                      <w:marBottom w:val="0"/>
                      <w:divBdr>
                        <w:top w:val="none" w:sz="0" w:space="0" w:color="auto"/>
                        <w:left w:val="none" w:sz="0" w:space="0" w:color="auto"/>
                        <w:bottom w:val="none" w:sz="0" w:space="0" w:color="auto"/>
                        <w:right w:val="none" w:sz="0" w:space="0" w:color="auto"/>
                      </w:divBdr>
                    </w:div>
                    <w:div w:id="378239053">
                      <w:marLeft w:val="0"/>
                      <w:marRight w:val="0"/>
                      <w:marTop w:val="0"/>
                      <w:marBottom w:val="0"/>
                      <w:divBdr>
                        <w:top w:val="none" w:sz="0" w:space="0" w:color="auto"/>
                        <w:left w:val="none" w:sz="0" w:space="0" w:color="auto"/>
                        <w:bottom w:val="none" w:sz="0" w:space="0" w:color="auto"/>
                        <w:right w:val="none" w:sz="0" w:space="0" w:color="auto"/>
                      </w:divBdr>
                    </w:div>
                    <w:div w:id="801922061">
                      <w:marLeft w:val="0"/>
                      <w:marRight w:val="0"/>
                      <w:marTop w:val="0"/>
                      <w:marBottom w:val="0"/>
                      <w:divBdr>
                        <w:top w:val="none" w:sz="0" w:space="0" w:color="auto"/>
                        <w:left w:val="none" w:sz="0" w:space="0" w:color="auto"/>
                        <w:bottom w:val="none" w:sz="0" w:space="0" w:color="auto"/>
                        <w:right w:val="none" w:sz="0" w:space="0" w:color="auto"/>
                      </w:divBdr>
                    </w:div>
                    <w:div w:id="823549566">
                      <w:marLeft w:val="0"/>
                      <w:marRight w:val="0"/>
                      <w:marTop w:val="0"/>
                      <w:marBottom w:val="0"/>
                      <w:divBdr>
                        <w:top w:val="none" w:sz="0" w:space="0" w:color="auto"/>
                        <w:left w:val="none" w:sz="0" w:space="0" w:color="auto"/>
                        <w:bottom w:val="none" w:sz="0" w:space="0" w:color="auto"/>
                        <w:right w:val="none" w:sz="0" w:space="0" w:color="auto"/>
                      </w:divBdr>
                    </w:div>
                    <w:div w:id="845554224">
                      <w:marLeft w:val="0"/>
                      <w:marRight w:val="0"/>
                      <w:marTop w:val="0"/>
                      <w:marBottom w:val="0"/>
                      <w:divBdr>
                        <w:top w:val="none" w:sz="0" w:space="0" w:color="auto"/>
                        <w:left w:val="none" w:sz="0" w:space="0" w:color="auto"/>
                        <w:bottom w:val="none" w:sz="0" w:space="0" w:color="auto"/>
                        <w:right w:val="none" w:sz="0" w:space="0" w:color="auto"/>
                      </w:divBdr>
                    </w:div>
                    <w:div w:id="981276989">
                      <w:marLeft w:val="0"/>
                      <w:marRight w:val="0"/>
                      <w:marTop w:val="0"/>
                      <w:marBottom w:val="0"/>
                      <w:divBdr>
                        <w:top w:val="none" w:sz="0" w:space="0" w:color="auto"/>
                        <w:left w:val="none" w:sz="0" w:space="0" w:color="auto"/>
                        <w:bottom w:val="none" w:sz="0" w:space="0" w:color="auto"/>
                        <w:right w:val="none" w:sz="0" w:space="0" w:color="auto"/>
                      </w:divBdr>
                    </w:div>
                    <w:div w:id="1011026873">
                      <w:marLeft w:val="0"/>
                      <w:marRight w:val="0"/>
                      <w:marTop w:val="0"/>
                      <w:marBottom w:val="0"/>
                      <w:divBdr>
                        <w:top w:val="none" w:sz="0" w:space="0" w:color="auto"/>
                        <w:left w:val="none" w:sz="0" w:space="0" w:color="auto"/>
                        <w:bottom w:val="none" w:sz="0" w:space="0" w:color="auto"/>
                        <w:right w:val="none" w:sz="0" w:space="0" w:color="auto"/>
                      </w:divBdr>
                    </w:div>
                    <w:div w:id="1110390647">
                      <w:marLeft w:val="0"/>
                      <w:marRight w:val="0"/>
                      <w:marTop w:val="0"/>
                      <w:marBottom w:val="0"/>
                      <w:divBdr>
                        <w:top w:val="none" w:sz="0" w:space="0" w:color="auto"/>
                        <w:left w:val="none" w:sz="0" w:space="0" w:color="auto"/>
                        <w:bottom w:val="none" w:sz="0" w:space="0" w:color="auto"/>
                        <w:right w:val="none" w:sz="0" w:space="0" w:color="auto"/>
                      </w:divBdr>
                    </w:div>
                    <w:div w:id="1484463357">
                      <w:marLeft w:val="0"/>
                      <w:marRight w:val="0"/>
                      <w:marTop w:val="0"/>
                      <w:marBottom w:val="0"/>
                      <w:divBdr>
                        <w:top w:val="none" w:sz="0" w:space="0" w:color="auto"/>
                        <w:left w:val="none" w:sz="0" w:space="0" w:color="auto"/>
                        <w:bottom w:val="none" w:sz="0" w:space="0" w:color="auto"/>
                        <w:right w:val="none" w:sz="0" w:space="0" w:color="auto"/>
                      </w:divBdr>
                    </w:div>
                    <w:div w:id="1638142137">
                      <w:marLeft w:val="0"/>
                      <w:marRight w:val="0"/>
                      <w:marTop w:val="0"/>
                      <w:marBottom w:val="0"/>
                      <w:divBdr>
                        <w:top w:val="none" w:sz="0" w:space="0" w:color="auto"/>
                        <w:left w:val="none" w:sz="0" w:space="0" w:color="auto"/>
                        <w:bottom w:val="none" w:sz="0" w:space="0" w:color="auto"/>
                        <w:right w:val="none" w:sz="0" w:space="0" w:color="auto"/>
                      </w:divBdr>
                    </w:div>
                    <w:div w:id="1786268203">
                      <w:marLeft w:val="0"/>
                      <w:marRight w:val="0"/>
                      <w:marTop w:val="0"/>
                      <w:marBottom w:val="0"/>
                      <w:divBdr>
                        <w:top w:val="none" w:sz="0" w:space="0" w:color="auto"/>
                        <w:left w:val="none" w:sz="0" w:space="0" w:color="auto"/>
                        <w:bottom w:val="none" w:sz="0" w:space="0" w:color="auto"/>
                        <w:right w:val="none" w:sz="0" w:space="0" w:color="auto"/>
                      </w:divBdr>
                    </w:div>
                  </w:divsChild>
                </w:div>
                <w:div w:id="395056073">
                  <w:marLeft w:val="0"/>
                  <w:marRight w:val="0"/>
                  <w:marTop w:val="0"/>
                  <w:marBottom w:val="0"/>
                  <w:divBdr>
                    <w:top w:val="none" w:sz="0" w:space="0" w:color="auto"/>
                    <w:left w:val="none" w:sz="0" w:space="0" w:color="auto"/>
                    <w:bottom w:val="none" w:sz="0" w:space="0" w:color="auto"/>
                    <w:right w:val="none" w:sz="0" w:space="0" w:color="auto"/>
                  </w:divBdr>
                  <w:divsChild>
                    <w:div w:id="108277927">
                      <w:marLeft w:val="0"/>
                      <w:marRight w:val="0"/>
                      <w:marTop w:val="0"/>
                      <w:marBottom w:val="0"/>
                      <w:divBdr>
                        <w:top w:val="none" w:sz="0" w:space="0" w:color="auto"/>
                        <w:left w:val="none" w:sz="0" w:space="0" w:color="auto"/>
                        <w:bottom w:val="none" w:sz="0" w:space="0" w:color="auto"/>
                        <w:right w:val="none" w:sz="0" w:space="0" w:color="auto"/>
                      </w:divBdr>
                    </w:div>
                  </w:divsChild>
                </w:div>
                <w:div w:id="459154261">
                  <w:marLeft w:val="0"/>
                  <w:marRight w:val="0"/>
                  <w:marTop w:val="0"/>
                  <w:marBottom w:val="0"/>
                  <w:divBdr>
                    <w:top w:val="none" w:sz="0" w:space="0" w:color="auto"/>
                    <w:left w:val="none" w:sz="0" w:space="0" w:color="auto"/>
                    <w:bottom w:val="none" w:sz="0" w:space="0" w:color="auto"/>
                    <w:right w:val="none" w:sz="0" w:space="0" w:color="auto"/>
                  </w:divBdr>
                  <w:divsChild>
                    <w:div w:id="113595275">
                      <w:marLeft w:val="0"/>
                      <w:marRight w:val="0"/>
                      <w:marTop w:val="0"/>
                      <w:marBottom w:val="0"/>
                      <w:divBdr>
                        <w:top w:val="none" w:sz="0" w:space="0" w:color="auto"/>
                        <w:left w:val="none" w:sz="0" w:space="0" w:color="auto"/>
                        <w:bottom w:val="none" w:sz="0" w:space="0" w:color="auto"/>
                        <w:right w:val="none" w:sz="0" w:space="0" w:color="auto"/>
                      </w:divBdr>
                    </w:div>
                  </w:divsChild>
                </w:div>
                <w:div w:id="1672443425">
                  <w:marLeft w:val="0"/>
                  <w:marRight w:val="0"/>
                  <w:marTop w:val="0"/>
                  <w:marBottom w:val="0"/>
                  <w:divBdr>
                    <w:top w:val="none" w:sz="0" w:space="0" w:color="auto"/>
                    <w:left w:val="none" w:sz="0" w:space="0" w:color="auto"/>
                    <w:bottom w:val="none" w:sz="0" w:space="0" w:color="auto"/>
                    <w:right w:val="none" w:sz="0" w:space="0" w:color="auto"/>
                  </w:divBdr>
                  <w:divsChild>
                    <w:div w:id="544374445">
                      <w:marLeft w:val="0"/>
                      <w:marRight w:val="0"/>
                      <w:marTop w:val="0"/>
                      <w:marBottom w:val="0"/>
                      <w:divBdr>
                        <w:top w:val="none" w:sz="0" w:space="0" w:color="auto"/>
                        <w:left w:val="none" w:sz="0" w:space="0" w:color="auto"/>
                        <w:bottom w:val="none" w:sz="0" w:space="0" w:color="auto"/>
                        <w:right w:val="none" w:sz="0" w:space="0" w:color="auto"/>
                      </w:divBdr>
                    </w:div>
                  </w:divsChild>
                </w:div>
                <w:div w:id="1766807213">
                  <w:marLeft w:val="0"/>
                  <w:marRight w:val="0"/>
                  <w:marTop w:val="0"/>
                  <w:marBottom w:val="0"/>
                  <w:divBdr>
                    <w:top w:val="none" w:sz="0" w:space="0" w:color="auto"/>
                    <w:left w:val="none" w:sz="0" w:space="0" w:color="auto"/>
                    <w:bottom w:val="none" w:sz="0" w:space="0" w:color="auto"/>
                    <w:right w:val="none" w:sz="0" w:space="0" w:color="auto"/>
                  </w:divBdr>
                  <w:divsChild>
                    <w:div w:id="386689274">
                      <w:marLeft w:val="0"/>
                      <w:marRight w:val="0"/>
                      <w:marTop w:val="0"/>
                      <w:marBottom w:val="0"/>
                      <w:divBdr>
                        <w:top w:val="none" w:sz="0" w:space="0" w:color="auto"/>
                        <w:left w:val="none" w:sz="0" w:space="0" w:color="auto"/>
                        <w:bottom w:val="none" w:sz="0" w:space="0" w:color="auto"/>
                        <w:right w:val="none" w:sz="0" w:space="0" w:color="auto"/>
                      </w:divBdr>
                    </w:div>
                    <w:div w:id="1272123534">
                      <w:marLeft w:val="0"/>
                      <w:marRight w:val="0"/>
                      <w:marTop w:val="0"/>
                      <w:marBottom w:val="0"/>
                      <w:divBdr>
                        <w:top w:val="none" w:sz="0" w:space="0" w:color="auto"/>
                        <w:left w:val="none" w:sz="0" w:space="0" w:color="auto"/>
                        <w:bottom w:val="none" w:sz="0" w:space="0" w:color="auto"/>
                        <w:right w:val="none" w:sz="0" w:space="0" w:color="auto"/>
                      </w:divBdr>
                    </w:div>
                    <w:div w:id="1561207376">
                      <w:marLeft w:val="0"/>
                      <w:marRight w:val="0"/>
                      <w:marTop w:val="0"/>
                      <w:marBottom w:val="0"/>
                      <w:divBdr>
                        <w:top w:val="none" w:sz="0" w:space="0" w:color="auto"/>
                        <w:left w:val="none" w:sz="0" w:space="0" w:color="auto"/>
                        <w:bottom w:val="none" w:sz="0" w:space="0" w:color="auto"/>
                        <w:right w:val="none" w:sz="0" w:space="0" w:color="auto"/>
                      </w:divBdr>
                    </w:div>
                  </w:divsChild>
                </w:div>
                <w:div w:id="2038919878">
                  <w:marLeft w:val="0"/>
                  <w:marRight w:val="0"/>
                  <w:marTop w:val="0"/>
                  <w:marBottom w:val="0"/>
                  <w:divBdr>
                    <w:top w:val="none" w:sz="0" w:space="0" w:color="auto"/>
                    <w:left w:val="none" w:sz="0" w:space="0" w:color="auto"/>
                    <w:bottom w:val="none" w:sz="0" w:space="0" w:color="auto"/>
                    <w:right w:val="none" w:sz="0" w:space="0" w:color="auto"/>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31539908">
                      <w:marLeft w:val="0"/>
                      <w:marRight w:val="0"/>
                      <w:marTop w:val="0"/>
                      <w:marBottom w:val="0"/>
                      <w:divBdr>
                        <w:top w:val="none" w:sz="0" w:space="0" w:color="auto"/>
                        <w:left w:val="none" w:sz="0" w:space="0" w:color="auto"/>
                        <w:bottom w:val="none" w:sz="0" w:space="0" w:color="auto"/>
                        <w:right w:val="none" w:sz="0" w:space="0" w:color="auto"/>
                      </w:divBdr>
                    </w:div>
                    <w:div w:id="80958125">
                      <w:marLeft w:val="0"/>
                      <w:marRight w:val="0"/>
                      <w:marTop w:val="0"/>
                      <w:marBottom w:val="0"/>
                      <w:divBdr>
                        <w:top w:val="none" w:sz="0" w:space="0" w:color="auto"/>
                        <w:left w:val="none" w:sz="0" w:space="0" w:color="auto"/>
                        <w:bottom w:val="none" w:sz="0" w:space="0" w:color="auto"/>
                        <w:right w:val="none" w:sz="0" w:space="0" w:color="auto"/>
                      </w:divBdr>
                    </w:div>
                    <w:div w:id="506872768">
                      <w:marLeft w:val="0"/>
                      <w:marRight w:val="0"/>
                      <w:marTop w:val="0"/>
                      <w:marBottom w:val="0"/>
                      <w:divBdr>
                        <w:top w:val="none" w:sz="0" w:space="0" w:color="auto"/>
                        <w:left w:val="none" w:sz="0" w:space="0" w:color="auto"/>
                        <w:bottom w:val="none" w:sz="0" w:space="0" w:color="auto"/>
                        <w:right w:val="none" w:sz="0" w:space="0" w:color="auto"/>
                      </w:divBdr>
                    </w:div>
                    <w:div w:id="779378022">
                      <w:marLeft w:val="0"/>
                      <w:marRight w:val="0"/>
                      <w:marTop w:val="0"/>
                      <w:marBottom w:val="0"/>
                      <w:divBdr>
                        <w:top w:val="none" w:sz="0" w:space="0" w:color="auto"/>
                        <w:left w:val="none" w:sz="0" w:space="0" w:color="auto"/>
                        <w:bottom w:val="none" w:sz="0" w:space="0" w:color="auto"/>
                        <w:right w:val="none" w:sz="0" w:space="0" w:color="auto"/>
                      </w:divBdr>
                    </w:div>
                    <w:div w:id="819614469">
                      <w:marLeft w:val="0"/>
                      <w:marRight w:val="0"/>
                      <w:marTop w:val="0"/>
                      <w:marBottom w:val="0"/>
                      <w:divBdr>
                        <w:top w:val="none" w:sz="0" w:space="0" w:color="auto"/>
                        <w:left w:val="none" w:sz="0" w:space="0" w:color="auto"/>
                        <w:bottom w:val="none" w:sz="0" w:space="0" w:color="auto"/>
                        <w:right w:val="none" w:sz="0" w:space="0" w:color="auto"/>
                      </w:divBdr>
                    </w:div>
                    <w:div w:id="948582731">
                      <w:marLeft w:val="0"/>
                      <w:marRight w:val="0"/>
                      <w:marTop w:val="0"/>
                      <w:marBottom w:val="0"/>
                      <w:divBdr>
                        <w:top w:val="none" w:sz="0" w:space="0" w:color="auto"/>
                        <w:left w:val="none" w:sz="0" w:space="0" w:color="auto"/>
                        <w:bottom w:val="none" w:sz="0" w:space="0" w:color="auto"/>
                        <w:right w:val="none" w:sz="0" w:space="0" w:color="auto"/>
                      </w:divBdr>
                    </w:div>
                    <w:div w:id="1229998403">
                      <w:marLeft w:val="0"/>
                      <w:marRight w:val="0"/>
                      <w:marTop w:val="0"/>
                      <w:marBottom w:val="0"/>
                      <w:divBdr>
                        <w:top w:val="none" w:sz="0" w:space="0" w:color="auto"/>
                        <w:left w:val="none" w:sz="0" w:space="0" w:color="auto"/>
                        <w:bottom w:val="none" w:sz="0" w:space="0" w:color="auto"/>
                        <w:right w:val="none" w:sz="0" w:space="0" w:color="auto"/>
                      </w:divBdr>
                    </w:div>
                    <w:div w:id="1241212218">
                      <w:marLeft w:val="0"/>
                      <w:marRight w:val="0"/>
                      <w:marTop w:val="0"/>
                      <w:marBottom w:val="0"/>
                      <w:divBdr>
                        <w:top w:val="none" w:sz="0" w:space="0" w:color="auto"/>
                        <w:left w:val="none" w:sz="0" w:space="0" w:color="auto"/>
                        <w:bottom w:val="none" w:sz="0" w:space="0" w:color="auto"/>
                        <w:right w:val="none" w:sz="0" w:space="0" w:color="auto"/>
                      </w:divBdr>
                    </w:div>
                    <w:div w:id="1252549116">
                      <w:marLeft w:val="0"/>
                      <w:marRight w:val="0"/>
                      <w:marTop w:val="0"/>
                      <w:marBottom w:val="0"/>
                      <w:divBdr>
                        <w:top w:val="none" w:sz="0" w:space="0" w:color="auto"/>
                        <w:left w:val="none" w:sz="0" w:space="0" w:color="auto"/>
                        <w:bottom w:val="none" w:sz="0" w:space="0" w:color="auto"/>
                        <w:right w:val="none" w:sz="0" w:space="0" w:color="auto"/>
                      </w:divBdr>
                    </w:div>
                    <w:div w:id="1319730100">
                      <w:marLeft w:val="0"/>
                      <w:marRight w:val="0"/>
                      <w:marTop w:val="0"/>
                      <w:marBottom w:val="0"/>
                      <w:divBdr>
                        <w:top w:val="none" w:sz="0" w:space="0" w:color="auto"/>
                        <w:left w:val="none" w:sz="0" w:space="0" w:color="auto"/>
                        <w:bottom w:val="none" w:sz="0" w:space="0" w:color="auto"/>
                        <w:right w:val="none" w:sz="0" w:space="0" w:color="auto"/>
                      </w:divBdr>
                    </w:div>
                    <w:div w:id="14897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7913">
          <w:marLeft w:val="0"/>
          <w:marRight w:val="0"/>
          <w:marTop w:val="0"/>
          <w:marBottom w:val="0"/>
          <w:divBdr>
            <w:top w:val="none" w:sz="0" w:space="0" w:color="auto"/>
            <w:left w:val="none" w:sz="0" w:space="0" w:color="auto"/>
            <w:bottom w:val="none" w:sz="0" w:space="0" w:color="auto"/>
            <w:right w:val="none" w:sz="0" w:space="0" w:color="auto"/>
          </w:divBdr>
        </w:div>
        <w:div w:id="2138376680">
          <w:marLeft w:val="0"/>
          <w:marRight w:val="0"/>
          <w:marTop w:val="0"/>
          <w:marBottom w:val="0"/>
          <w:divBdr>
            <w:top w:val="none" w:sz="0" w:space="0" w:color="auto"/>
            <w:left w:val="none" w:sz="0" w:space="0" w:color="auto"/>
            <w:bottom w:val="none" w:sz="0" w:space="0" w:color="auto"/>
            <w:right w:val="none" w:sz="0" w:space="0" w:color="auto"/>
          </w:divBdr>
        </w:div>
      </w:divsChild>
    </w:div>
    <w:div w:id="1335500574">
      <w:bodyDiv w:val="1"/>
      <w:marLeft w:val="0"/>
      <w:marRight w:val="0"/>
      <w:marTop w:val="0"/>
      <w:marBottom w:val="0"/>
      <w:divBdr>
        <w:top w:val="none" w:sz="0" w:space="0" w:color="auto"/>
        <w:left w:val="none" w:sz="0" w:space="0" w:color="auto"/>
        <w:bottom w:val="none" w:sz="0" w:space="0" w:color="auto"/>
        <w:right w:val="none" w:sz="0" w:space="0" w:color="auto"/>
      </w:divBdr>
    </w:div>
    <w:div w:id="1388989886">
      <w:bodyDiv w:val="1"/>
      <w:marLeft w:val="0"/>
      <w:marRight w:val="0"/>
      <w:marTop w:val="0"/>
      <w:marBottom w:val="0"/>
      <w:divBdr>
        <w:top w:val="none" w:sz="0" w:space="0" w:color="auto"/>
        <w:left w:val="none" w:sz="0" w:space="0" w:color="auto"/>
        <w:bottom w:val="none" w:sz="0" w:space="0" w:color="auto"/>
        <w:right w:val="none" w:sz="0" w:space="0" w:color="auto"/>
      </w:divBdr>
    </w:div>
    <w:div w:id="1571228176">
      <w:bodyDiv w:val="1"/>
      <w:marLeft w:val="0"/>
      <w:marRight w:val="0"/>
      <w:marTop w:val="0"/>
      <w:marBottom w:val="0"/>
      <w:divBdr>
        <w:top w:val="none" w:sz="0" w:space="0" w:color="auto"/>
        <w:left w:val="none" w:sz="0" w:space="0" w:color="auto"/>
        <w:bottom w:val="none" w:sz="0" w:space="0" w:color="auto"/>
        <w:right w:val="none" w:sz="0" w:space="0" w:color="auto"/>
      </w:divBdr>
    </w:div>
    <w:div w:id="1592086508">
      <w:bodyDiv w:val="1"/>
      <w:marLeft w:val="0"/>
      <w:marRight w:val="0"/>
      <w:marTop w:val="0"/>
      <w:marBottom w:val="0"/>
      <w:divBdr>
        <w:top w:val="none" w:sz="0" w:space="0" w:color="auto"/>
        <w:left w:val="none" w:sz="0" w:space="0" w:color="auto"/>
        <w:bottom w:val="none" w:sz="0" w:space="0" w:color="auto"/>
        <w:right w:val="none" w:sz="0" w:space="0" w:color="auto"/>
      </w:divBdr>
      <w:divsChild>
        <w:div w:id="37441383">
          <w:marLeft w:val="0"/>
          <w:marRight w:val="0"/>
          <w:marTop w:val="0"/>
          <w:marBottom w:val="0"/>
          <w:divBdr>
            <w:top w:val="none" w:sz="0" w:space="0" w:color="auto"/>
            <w:left w:val="none" w:sz="0" w:space="0" w:color="auto"/>
            <w:bottom w:val="none" w:sz="0" w:space="0" w:color="auto"/>
            <w:right w:val="none" w:sz="0" w:space="0" w:color="auto"/>
          </w:divBdr>
        </w:div>
        <w:div w:id="358090758">
          <w:marLeft w:val="0"/>
          <w:marRight w:val="0"/>
          <w:marTop w:val="0"/>
          <w:marBottom w:val="0"/>
          <w:divBdr>
            <w:top w:val="none" w:sz="0" w:space="0" w:color="auto"/>
            <w:left w:val="none" w:sz="0" w:space="0" w:color="auto"/>
            <w:bottom w:val="none" w:sz="0" w:space="0" w:color="auto"/>
            <w:right w:val="none" w:sz="0" w:space="0" w:color="auto"/>
          </w:divBdr>
        </w:div>
        <w:div w:id="372996835">
          <w:marLeft w:val="0"/>
          <w:marRight w:val="0"/>
          <w:marTop w:val="0"/>
          <w:marBottom w:val="0"/>
          <w:divBdr>
            <w:top w:val="none" w:sz="0" w:space="0" w:color="auto"/>
            <w:left w:val="none" w:sz="0" w:space="0" w:color="auto"/>
            <w:bottom w:val="none" w:sz="0" w:space="0" w:color="auto"/>
            <w:right w:val="none" w:sz="0" w:space="0" w:color="auto"/>
          </w:divBdr>
        </w:div>
        <w:div w:id="453672304">
          <w:marLeft w:val="0"/>
          <w:marRight w:val="0"/>
          <w:marTop w:val="0"/>
          <w:marBottom w:val="0"/>
          <w:divBdr>
            <w:top w:val="none" w:sz="0" w:space="0" w:color="auto"/>
            <w:left w:val="none" w:sz="0" w:space="0" w:color="auto"/>
            <w:bottom w:val="none" w:sz="0" w:space="0" w:color="auto"/>
            <w:right w:val="none" w:sz="0" w:space="0" w:color="auto"/>
          </w:divBdr>
        </w:div>
        <w:div w:id="494225864">
          <w:marLeft w:val="0"/>
          <w:marRight w:val="0"/>
          <w:marTop w:val="0"/>
          <w:marBottom w:val="0"/>
          <w:divBdr>
            <w:top w:val="none" w:sz="0" w:space="0" w:color="auto"/>
            <w:left w:val="none" w:sz="0" w:space="0" w:color="auto"/>
            <w:bottom w:val="none" w:sz="0" w:space="0" w:color="auto"/>
            <w:right w:val="none" w:sz="0" w:space="0" w:color="auto"/>
          </w:divBdr>
        </w:div>
        <w:div w:id="622468867">
          <w:marLeft w:val="0"/>
          <w:marRight w:val="0"/>
          <w:marTop w:val="0"/>
          <w:marBottom w:val="0"/>
          <w:divBdr>
            <w:top w:val="none" w:sz="0" w:space="0" w:color="auto"/>
            <w:left w:val="none" w:sz="0" w:space="0" w:color="auto"/>
            <w:bottom w:val="none" w:sz="0" w:space="0" w:color="auto"/>
            <w:right w:val="none" w:sz="0" w:space="0" w:color="auto"/>
          </w:divBdr>
        </w:div>
        <w:div w:id="669716944">
          <w:marLeft w:val="0"/>
          <w:marRight w:val="0"/>
          <w:marTop w:val="0"/>
          <w:marBottom w:val="0"/>
          <w:divBdr>
            <w:top w:val="none" w:sz="0" w:space="0" w:color="auto"/>
            <w:left w:val="none" w:sz="0" w:space="0" w:color="auto"/>
            <w:bottom w:val="none" w:sz="0" w:space="0" w:color="auto"/>
            <w:right w:val="none" w:sz="0" w:space="0" w:color="auto"/>
          </w:divBdr>
        </w:div>
        <w:div w:id="724646301">
          <w:marLeft w:val="0"/>
          <w:marRight w:val="0"/>
          <w:marTop w:val="0"/>
          <w:marBottom w:val="0"/>
          <w:divBdr>
            <w:top w:val="none" w:sz="0" w:space="0" w:color="auto"/>
            <w:left w:val="none" w:sz="0" w:space="0" w:color="auto"/>
            <w:bottom w:val="none" w:sz="0" w:space="0" w:color="auto"/>
            <w:right w:val="none" w:sz="0" w:space="0" w:color="auto"/>
          </w:divBdr>
        </w:div>
        <w:div w:id="753010188">
          <w:marLeft w:val="0"/>
          <w:marRight w:val="0"/>
          <w:marTop w:val="0"/>
          <w:marBottom w:val="0"/>
          <w:divBdr>
            <w:top w:val="none" w:sz="0" w:space="0" w:color="auto"/>
            <w:left w:val="none" w:sz="0" w:space="0" w:color="auto"/>
            <w:bottom w:val="none" w:sz="0" w:space="0" w:color="auto"/>
            <w:right w:val="none" w:sz="0" w:space="0" w:color="auto"/>
          </w:divBdr>
        </w:div>
        <w:div w:id="1006055435">
          <w:marLeft w:val="0"/>
          <w:marRight w:val="0"/>
          <w:marTop w:val="0"/>
          <w:marBottom w:val="0"/>
          <w:divBdr>
            <w:top w:val="none" w:sz="0" w:space="0" w:color="auto"/>
            <w:left w:val="none" w:sz="0" w:space="0" w:color="auto"/>
            <w:bottom w:val="none" w:sz="0" w:space="0" w:color="auto"/>
            <w:right w:val="none" w:sz="0" w:space="0" w:color="auto"/>
          </w:divBdr>
        </w:div>
        <w:div w:id="1036542016">
          <w:marLeft w:val="0"/>
          <w:marRight w:val="0"/>
          <w:marTop w:val="0"/>
          <w:marBottom w:val="0"/>
          <w:divBdr>
            <w:top w:val="none" w:sz="0" w:space="0" w:color="auto"/>
            <w:left w:val="none" w:sz="0" w:space="0" w:color="auto"/>
            <w:bottom w:val="none" w:sz="0" w:space="0" w:color="auto"/>
            <w:right w:val="none" w:sz="0" w:space="0" w:color="auto"/>
          </w:divBdr>
        </w:div>
        <w:div w:id="1164272593">
          <w:marLeft w:val="0"/>
          <w:marRight w:val="0"/>
          <w:marTop w:val="0"/>
          <w:marBottom w:val="0"/>
          <w:divBdr>
            <w:top w:val="none" w:sz="0" w:space="0" w:color="auto"/>
            <w:left w:val="none" w:sz="0" w:space="0" w:color="auto"/>
            <w:bottom w:val="none" w:sz="0" w:space="0" w:color="auto"/>
            <w:right w:val="none" w:sz="0" w:space="0" w:color="auto"/>
          </w:divBdr>
        </w:div>
        <w:div w:id="1361203956">
          <w:marLeft w:val="0"/>
          <w:marRight w:val="0"/>
          <w:marTop w:val="0"/>
          <w:marBottom w:val="0"/>
          <w:divBdr>
            <w:top w:val="none" w:sz="0" w:space="0" w:color="auto"/>
            <w:left w:val="none" w:sz="0" w:space="0" w:color="auto"/>
            <w:bottom w:val="none" w:sz="0" w:space="0" w:color="auto"/>
            <w:right w:val="none" w:sz="0" w:space="0" w:color="auto"/>
          </w:divBdr>
        </w:div>
        <w:div w:id="1366369056">
          <w:marLeft w:val="0"/>
          <w:marRight w:val="0"/>
          <w:marTop w:val="0"/>
          <w:marBottom w:val="0"/>
          <w:divBdr>
            <w:top w:val="none" w:sz="0" w:space="0" w:color="auto"/>
            <w:left w:val="none" w:sz="0" w:space="0" w:color="auto"/>
            <w:bottom w:val="none" w:sz="0" w:space="0" w:color="auto"/>
            <w:right w:val="none" w:sz="0" w:space="0" w:color="auto"/>
          </w:divBdr>
        </w:div>
        <w:div w:id="1642346109">
          <w:marLeft w:val="0"/>
          <w:marRight w:val="0"/>
          <w:marTop w:val="0"/>
          <w:marBottom w:val="0"/>
          <w:divBdr>
            <w:top w:val="none" w:sz="0" w:space="0" w:color="auto"/>
            <w:left w:val="none" w:sz="0" w:space="0" w:color="auto"/>
            <w:bottom w:val="none" w:sz="0" w:space="0" w:color="auto"/>
            <w:right w:val="none" w:sz="0" w:space="0" w:color="auto"/>
          </w:divBdr>
        </w:div>
        <w:div w:id="1805385913">
          <w:marLeft w:val="0"/>
          <w:marRight w:val="0"/>
          <w:marTop w:val="0"/>
          <w:marBottom w:val="0"/>
          <w:divBdr>
            <w:top w:val="none" w:sz="0" w:space="0" w:color="auto"/>
            <w:left w:val="none" w:sz="0" w:space="0" w:color="auto"/>
            <w:bottom w:val="none" w:sz="0" w:space="0" w:color="auto"/>
            <w:right w:val="none" w:sz="0" w:space="0" w:color="auto"/>
          </w:divBdr>
        </w:div>
        <w:div w:id="1807507640">
          <w:marLeft w:val="0"/>
          <w:marRight w:val="0"/>
          <w:marTop w:val="0"/>
          <w:marBottom w:val="0"/>
          <w:divBdr>
            <w:top w:val="none" w:sz="0" w:space="0" w:color="auto"/>
            <w:left w:val="none" w:sz="0" w:space="0" w:color="auto"/>
            <w:bottom w:val="none" w:sz="0" w:space="0" w:color="auto"/>
            <w:right w:val="none" w:sz="0" w:space="0" w:color="auto"/>
          </w:divBdr>
        </w:div>
        <w:div w:id="1887640471">
          <w:marLeft w:val="0"/>
          <w:marRight w:val="0"/>
          <w:marTop w:val="0"/>
          <w:marBottom w:val="0"/>
          <w:divBdr>
            <w:top w:val="none" w:sz="0" w:space="0" w:color="auto"/>
            <w:left w:val="none" w:sz="0" w:space="0" w:color="auto"/>
            <w:bottom w:val="none" w:sz="0" w:space="0" w:color="auto"/>
            <w:right w:val="none" w:sz="0" w:space="0" w:color="auto"/>
          </w:divBdr>
        </w:div>
        <w:div w:id="2017883195">
          <w:marLeft w:val="0"/>
          <w:marRight w:val="0"/>
          <w:marTop w:val="0"/>
          <w:marBottom w:val="0"/>
          <w:divBdr>
            <w:top w:val="none" w:sz="0" w:space="0" w:color="auto"/>
            <w:left w:val="none" w:sz="0" w:space="0" w:color="auto"/>
            <w:bottom w:val="none" w:sz="0" w:space="0" w:color="auto"/>
            <w:right w:val="none" w:sz="0" w:space="0" w:color="auto"/>
          </w:divBdr>
        </w:div>
        <w:div w:id="2030525050">
          <w:marLeft w:val="0"/>
          <w:marRight w:val="0"/>
          <w:marTop w:val="0"/>
          <w:marBottom w:val="0"/>
          <w:divBdr>
            <w:top w:val="none" w:sz="0" w:space="0" w:color="auto"/>
            <w:left w:val="none" w:sz="0" w:space="0" w:color="auto"/>
            <w:bottom w:val="none" w:sz="0" w:space="0" w:color="auto"/>
            <w:right w:val="none" w:sz="0" w:space="0" w:color="auto"/>
          </w:divBdr>
          <w:divsChild>
            <w:div w:id="477384272">
              <w:marLeft w:val="-75"/>
              <w:marRight w:val="0"/>
              <w:marTop w:val="30"/>
              <w:marBottom w:val="30"/>
              <w:divBdr>
                <w:top w:val="none" w:sz="0" w:space="0" w:color="auto"/>
                <w:left w:val="none" w:sz="0" w:space="0" w:color="auto"/>
                <w:bottom w:val="none" w:sz="0" w:space="0" w:color="auto"/>
                <w:right w:val="none" w:sz="0" w:space="0" w:color="auto"/>
              </w:divBdr>
              <w:divsChild>
                <w:div w:id="403457943">
                  <w:marLeft w:val="0"/>
                  <w:marRight w:val="0"/>
                  <w:marTop w:val="0"/>
                  <w:marBottom w:val="0"/>
                  <w:divBdr>
                    <w:top w:val="none" w:sz="0" w:space="0" w:color="auto"/>
                    <w:left w:val="none" w:sz="0" w:space="0" w:color="auto"/>
                    <w:bottom w:val="none" w:sz="0" w:space="0" w:color="auto"/>
                    <w:right w:val="none" w:sz="0" w:space="0" w:color="auto"/>
                  </w:divBdr>
                  <w:divsChild>
                    <w:div w:id="1112017531">
                      <w:marLeft w:val="0"/>
                      <w:marRight w:val="0"/>
                      <w:marTop w:val="0"/>
                      <w:marBottom w:val="0"/>
                      <w:divBdr>
                        <w:top w:val="none" w:sz="0" w:space="0" w:color="auto"/>
                        <w:left w:val="none" w:sz="0" w:space="0" w:color="auto"/>
                        <w:bottom w:val="none" w:sz="0" w:space="0" w:color="auto"/>
                        <w:right w:val="none" w:sz="0" w:space="0" w:color="auto"/>
                      </w:divBdr>
                    </w:div>
                  </w:divsChild>
                </w:div>
                <w:div w:id="527373711">
                  <w:marLeft w:val="0"/>
                  <w:marRight w:val="0"/>
                  <w:marTop w:val="0"/>
                  <w:marBottom w:val="0"/>
                  <w:divBdr>
                    <w:top w:val="none" w:sz="0" w:space="0" w:color="auto"/>
                    <w:left w:val="none" w:sz="0" w:space="0" w:color="auto"/>
                    <w:bottom w:val="none" w:sz="0" w:space="0" w:color="auto"/>
                    <w:right w:val="none" w:sz="0" w:space="0" w:color="auto"/>
                  </w:divBdr>
                  <w:divsChild>
                    <w:div w:id="348261235">
                      <w:marLeft w:val="0"/>
                      <w:marRight w:val="0"/>
                      <w:marTop w:val="0"/>
                      <w:marBottom w:val="0"/>
                      <w:divBdr>
                        <w:top w:val="none" w:sz="0" w:space="0" w:color="auto"/>
                        <w:left w:val="none" w:sz="0" w:space="0" w:color="auto"/>
                        <w:bottom w:val="none" w:sz="0" w:space="0" w:color="auto"/>
                        <w:right w:val="none" w:sz="0" w:space="0" w:color="auto"/>
                      </w:divBdr>
                    </w:div>
                    <w:div w:id="528569736">
                      <w:marLeft w:val="0"/>
                      <w:marRight w:val="0"/>
                      <w:marTop w:val="0"/>
                      <w:marBottom w:val="0"/>
                      <w:divBdr>
                        <w:top w:val="none" w:sz="0" w:space="0" w:color="auto"/>
                        <w:left w:val="none" w:sz="0" w:space="0" w:color="auto"/>
                        <w:bottom w:val="none" w:sz="0" w:space="0" w:color="auto"/>
                        <w:right w:val="none" w:sz="0" w:space="0" w:color="auto"/>
                      </w:divBdr>
                    </w:div>
                    <w:div w:id="634722267">
                      <w:marLeft w:val="0"/>
                      <w:marRight w:val="0"/>
                      <w:marTop w:val="0"/>
                      <w:marBottom w:val="0"/>
                      <w:divBdr>
                        <w:top w:val="none" w:sz="0" w:space="0" w:color="auto"/>
                        <w:left w:val="none" w:sz="0" w:space="0" w:color="auto"/>
                        <w:bottom w:val="none" w:sz="0" w:space="0" w:color="auto"/>
                        <w:right w:val="none" w:sz="0" w:space="0" w:color="auto"/>
                      </w:divBdr>
                    </w:div>
                    <w:div w:id="857811915">
                      <w:marLeft w:val="0"/>
                      <w:marRight w:val="0"/>
                      <w:marTop w:val="0"/>
                      <w:marBottom w:val="0"/>
                      <w:divBdr>
                        <w:top w:val="none" w:sz="0" w:space="0" w:color="auto"/>
                        <w:left w:val="none" w:sz="0" w:space="0" w:color="auto"/>
                        <w:bottom w:val="none" w:sz="0" w:space="0" w:color="auto"/>
                        <w:right w:val="none" w:sz="0" w:space="0" w:color="auto"/>
                      </w:divBdr>
                    </w:div>
                    <w:div w:id="904797734">
                      <w:marLeft w:val="0"/>
                      <w:marRight w:val="0"/>
                      <w:marTop w:val="0"/>
                      <w:marBottom w:val="0"/>
                      <w:divBdr>
                        <w:top w:val="none" w:sz="0" w:space="0" w:color="auto"/>
                        <w:left w:val="none" w:sz="0" w:space="0" w:color="auto"/>
                        <w:bottom w:val="none" w:sz="0" w:space="0" w:color="auto"/>
                        <w:right w:val="none" w:sz="0" w:space="0" w:color="auto"/>
                      </w:divBdr>
                    </w:div>
                    <w:div w:id="1325737622">
                      <w:marLeft w:val="0"/>
                      <w:marRight w:val="0"/>
                      <w:marTop w:val="0"/>
                      <w:marBottom w:val="0"/>
                      <w:divBdr>
                        <w:top w:val="none" w:sz="0" w:space="0" w:color="auto"/>
                        <w:left w:val="none" w:sz="0" w:space="0" w:color="auto"/>
                        <w:bottom w:val="none" w:sz="0" w:space="0" w:color="auto"/>
                        <w:right w:val="none" w:sz="0" w:space="0" w:color="auto"/>
                      </w:divBdr>
                    </w:div>
                    <w:div w:id="1444422019">
                      <w:marLeft w:val="0"/>
                      <w:marRight w:val="0"/>
                      <w:marTop w:val="0"/>
                      <w:marBottom w:val="0"/>
                      <w:divBdr>
                        <w:top w:val="none" w:sz="0" w:space="0" w:color="auto"/>
                        <w:left w:val="none" w:sz="0" w:space="0" w:color="auto"/>
                        <w:bottom w:val="none" w:sz="0" w:space="0" w:color="auto"/>
                        <w:right w:val="none" w:sz="0" w:space="0" w:color="auto"/>
                      </w:divBdr>
                    </w:div>
                    <w:div w:id="1775320244">
                      <w:marLeft w:val="0"/>
                      <w:marRight w:val="0"/>
                      <w:marTop w:val="0"/>
                      <w:marBottom w:val="0"/>
                      <w:divBdr>
                        <w:top w:val="none" w:sz="0" w:space="0" w:color="auto"/>
                        <w:left w:val="none" w:sz="0" w:space="0" w:color="auto"/>
                        <w:bottom w:val="none" w:sz="0" w:space="0" w:color="auto"/>
                        <w:right w:val="none" w:sz="0" w:space="0" w:color="auto"/>
                      </w:divBdr>
                    </w:div>
                    <w:div w:id="1802571618">
                      <w:marLeft w:val="0"/>
                      <w:marRight w:val="0"/>
                      <w:marTop w:val="0"/>
                      <w:marBottom w:val="0"/>
                      <w:divBdr>
                        <w:top w:val="none" w:sz="0" w:space="0" w:color="auto"/>
                        <w:left w:val="none" w:sz="0" w:space="0" w:color="auto"/>
                        <w:bottom w:val="none" w:sz="0" w:space="0" w:color="auto"/>
                        <w:right w:val="none" w:sz="0" w:space="0" w:color="auto"/>
                      </w:divBdr>
                    </w:div>
                    <w:div w:id="1851093029">
                      <w:marLeft w:val="0"/>
                      <w:marRight w:val="0"/>
                      <w:marTop w:val="0"/>
                      <w:marBottom w:val="0"/>
                      <w:divBdr>
                        <w:top w:val="none" w:sz="0" w:space="0" w:color="auto"/>
                        <w:left w:val="none" w:sz="0" w:space="0" w:color="auto"/>
                        <w:bottom w:val="none" w:sz="0" w:space="0" w:color="auto"/>
                        <w:right w:val="none" w:sz="0" w:space="0" w:color="auto"/>
                      </w:divBdr>
                    </w:div>
                    <w:div w:id="1938366022">
                      <w:marLeft w:val="0"/>
                      <w:marRight w:val="0"/>
                      <w:marTop w:val="0"/>
                      <w:marBottom w:val="0"/>
                      <w:divBdr>
                        <w:top w:val="none" w:sz="0" w:space="0" w:color="auto"/>
                        <w:left w:val="none" w:sz="0" w:space="0" w:color="auto"/>
                        <w:bottom w:val="none" w:sz="0" w:space="0" w:color="auto"/>
                        <w:right w:val="none" w:sz="0" w:space="0" w:color="auto"/>
                      </w:divBdr>
                    </w:div>
                    <w:div w:id="1978411981">
                      <w:marLeft w:val="0"/>
                      <w:marRight w:val="0"/>
                      <w:marTop w:val="0"/>
                      <w:marBottom w:val="0"/>
                      <w:divBdr>
                        <w:top w:val="none" w:sz="0" w:space="0" w:color="auto"/>
                        <w:left w:val="none" w:sz="0" w:space="0" w:color="auto"/>
                        <w:bottom w:val="none" w:sz="0" w:space="0" w:color="auto"/>
                        <w:right w:val="none" w:sz="0" w:space="0" w:color="auto"/>
                      </w:divBdr>
                    </w:div>
                  </w:divsChild>
                </w:div>
                <w:div w:id="860313525">
                  <w:marLeft w:val="0"/>
                  <w:marRight w:val="0"/>
                  <w:marTop w:val="0"/>
                  <w:marBottom w:val="0"/>
                  <w:divBdr>
                    <w:top w:val="none" w:sz="0" w:space="0" w:color="auto"/>
                    <w:left w:val="none" w:sz="0" w:space="0" w:color="auto"/>
                    <w:bottom w:val="none" w:sz="0" w:space="0" w:color="auto"/>
                    <w:right w:val="none" w:sz="0" w:space="0" w:color="auto"/>
                  </w:divBdr>
                  <w:divsChild>
                    <w:div w:id="463809901">
                      <w:marLeft w:val="0"/>
                      <w:marRight w:val="0"/>
                      <w:marTop w:val="0"/>
                      <w:marBottom w:val="0"/>
                      <w:divBdr>
                        <w:top w:val="none" w:sz="0" w:space="0" w:color="auto"/>
                        <w:left w:val="none" w:sz="0" w:space="0" w:color="auto"/>
                        <w:bottom w:val="none" w:sz="0" w:space="0" w:color="auto"/>
                        <w:right w:val="none" w:sz="0" w:space="0" w:color="auto"/>
                      </w:divBdr>
                    </w:div>
                  </w:divsChild>
                </w:div>
                <w:div w:id="1124541706">
                  <w:marLeft w:val="0"/>
                  <w:marRight w:val="0"/>
                  <w:marTop w:val="0"/>
                  <w:marBottom w:val="0"/>
                  <w:divBdr>
                    <w:top w:val="none" w:sz="0" w:space="0" w:color="auto"/>
                    <w:left w:val="none" w:sz="0" w:space="0" w:color="auto"/>
                    <w:bottom w:val="none" w:sz="0" w:space="0" w:color="auto"/>
                    <w:right w:val="none" w:sz="0" w:space="0" w:color="auto"/>
                  </w:divBdr>
                  <w:divsChild>
                    <w:div w:id="10382127">
                      <w:marLeft w:val="0"/>
                      <w:marRight w:val="0"/>
                      <w:marTop w:val="0"/>
                      <w:marBottom w:val="0"/>
                      <w:divBdr>
                        <w:top w:val="none" w:sz="0" w:space="0" w:color="auto"/>
                        <w:left w:val="none" w:sz="0" w:space="0" w:color="auto"/>
                        <w:bottom w:val="none" w:sz="0" w:space="0" w:color="auto"/>
                        <w:right w:val="none" w:sz="0" w:space="0" w:color="auto"/>
                      </w:divBdr>
                    </w:div>
                    <w:div w:id="1217736955">
                      <w:marLeft w:val="0"/>
                      <w:marRight w:val="0"/>
                      <w:marTop w:val="0"/>
                      <w:marBottom w:val="0"/>
                      <w:divBdr>
                        <w:top w:val="none" w:sz="0" w:space="0" w:color="auto"/>
                        <w:left w:val="none" w:sz="0" w:space="0" w:color="auto"/>
                        <w:bottom w:val="none" w:sz="0" w:space="0" w:color="auto"/>
                        <w:right w:val="none" w:sz="0" w:space="0" w:color="auto"/>
                      </w:divBdr>
                    </w:div>
                    <w:div w:id="1251425326">
                      <w:marLeft w:val="0"/>
                      <w:marRight w:val="0"/>
                      <w:marTop w:val="0"/>
                      <w:marBottom w:val="0"/>
                      <w:divBdr>
                        <w:top w:val="none" w:sz="0" w:space="0" w:color="auto"/>
                        <w:left w:val="none" w:sz="0" w:space="0" w:color="auto"/>
                        <w:bottom w:val="none" w:sz="0" w:space="0" w:color="auto"/>
                        <w:right w:val="none" w:sz="0" w:space="0" w:color="auto"/>
                      </w:divBdr>
                    </w:div>
                    <w:div w:id="1307128214">
                      <w:marLeft w:val="0"/>
                      <w:marRight w:val="0"/>
                      <w:marTop w:val="0"/>
                      <w:marBottom w:val="0"/>
                      <w:divBdr>
                        <w:top w:val="none" w:sz="0" w:space="0" w:color="auto"/>
                        <w:left w:val="none" w:sz="0" w:space="0" w:color="auto"/>
                        <w:bottom w:val="none" w:sz="0" w:space="0" w:color="auto"/>
                        <w:right w:val="none" w:sz="0" w:space="0" w:color="auto"/>
                      </w:divBdr>
                    </w:div>
                    <w:div w:id="1375229380">
                      <w:marLeft w:val="0"/>
                      <w:marRight w:val="0"/>
                      <w:marTop w:val="0"/>
                      <w:marBottom w:val="0"/>
                      <w:divBdr>
                        <w:top w:val="none" w:sz="0" w:space="0" w:color="auto"/>
                        <w:left w:val="none" w:sz="0" w:space="0" w:color="auto"/>
                        <w:bottom w:val="none" w:sz="0" w:space="0" w:color="auto"/>
                        <w:right w:val="none" w:sz="0" w:space="0" w:color="auto"/>
                      </w:divBdr>
                    </w:div>
                    <w:div w:id="1559587965">
                      <w:marLeft w:val="0"/>
                      <w:marRight w:val="0"/>
                      <w:marTop w:val="0"/>
                      <w:marBottom w:val="0"/>
                      <w:divBdr>
                        <w:top w:val="none" w:sz="0" w:space="0" w:color="auto"/>
                        <w:left w:val="none" w:sz="0" w:space="0" w:color="auto"/>
                        <w:bottom w:val="none" w:sz="0" w:space="0" w:color="auto"/>
                        <w:right w:val="none" w:sz="0" w:space="0" w:color="auto"/>
                      </w:divBdr>
                    </w:div>
                    <w:div w:id="1727028096">
                      <w:marLeft w:val="0"/>
                      <w:marRight w:val="0"/>
                      <w:marTop w:val="0"/>
                      <w:marBottom w:val="0"/>
                      <w:divBdr>
                        <w:top w:val="none" w:sz="0" w:space="0" w:color="auto"/>
                        <w:left w:val="none" w:sz="0" w:space="0" w:color="auto"/>
                        <w:bottom w:val="none" w:sz="0" w:space="0" w:color="auto"/>
                        <w:right w:val="none" w:sz="0" w:space="0" w:color="auto"/>
                      </w:divBdr>
                    </w:div>
                    <w:div w:id="1799493759">
                      <w:marLeft w:val="0"/>
                      <w:marRight w:val="0"/>
                      <w:marTop w:val="0"/>
                      <w:marBottom w:val="0"/>
                      <w:divBdr>
                        <w:top w:val="none" w:sz="0" w:space="0" w:color="auto"/>
                        <w:left w:val="none" w:sz="0" w:space="0" w:color="auto"/>
                        <w:bottom w:val="none" w:sz="0" w:space="0" w:color="auto"/>
                        <w:right w:val="none" w:sz="0" w:space="0" w:color="auto"/>
                      </w:divBdr>
                    </w:div>
                    <w:div w:id="1945533558">
                      <w:marLeft w:val="0"/>
                      <w:marRight w:val="0"/>
                      <w:marTop w:val="0"/>
                      <w:marBottom w:val="0"/>
                      <w:divBdr>
                        <w:top w:val="none" w:sz="0" w:space="0" w:color="auto"/>
                        <w:left w:val="none" w:sz="0" w:space="0" w:color="auto"/>
                        <w:bottom w:val="none" w:sz="0" w:space="0" w:color="auto"/>
                        <w:right w:val="none" w:sz="0" w:space="0" w:color="auto"/>
                      </w:divBdr>
                    </w:div>
                    <w:div w:id="1977561200">
                      <w:marLeft w:val="0"/>
                      <w:marRight w:val="0"/>
                      <w:marTop w:val="0"/>
                      <w:marBottom w:val="0"/>
                      <w:divBdr>
                        <w:top w:val="none" w:sz="0" w:space="0" w:color="auto"/>
                        <w:left w:val="none" w:sz="0" w:space="0" w:color="auto"/>
                        <w:bottom w:val="none" w:sz="0" w:space="0" w:color="auto"/>
                        <w:right w:val="none" w:sz="0" w:space="0" w:color="auto"/>
                      </w:divBdr>
                    </w:div>
                    <w:div w:id="2053075005">
                      <w:marLeft w:val="0"/>
                      <w:marRight w:val="0"/>
                      <w:marTop w:val="0"/>
                      <w:marBottom w:val="0"/>
                      <w:divBdr>
                        <w:top w:val="none" w:sz="0" w:space="0" w:color="auto"/>
                        <w:left w:val="none" w:sz="0" w:space="0" w:color="auto"/>
                        <w:bottom w:val="none" w:sz="0" w:space="0" w:color="auto"/>
                        <w:right w:val="none" w:sz="0" w:space="0" w:color="auto"/>
                      </w:divBdr>
                    </w:div>
                  </w:divsChild>
                </w:div>
                <w:div w:id="1231118097">
                  <w:marLeft w:val="0"/>
                  <w:marRight w:val="0"/>
                  <w:marTop w:val="0"/>
                  <w:marBottom w:val="0"/>
                  <w:divBdr>
                    <w:top w:val="none" w:sz="0" w:space="0" w:color="auto"/>
                    <w:left w:val="none" w:sz="0" w:space="0" w:color="auto"/>
                    <w:bottom w:val="none" w:sz="0" w:space="0" w:color="auto"/>
                    <w:right w:val="none" w:sz="0" w:space="0" w:color="auto"/>
                  </w:divBdr>
                  <w:divsChild>
                    <w:div w:id="1332947049">
                      <w:marLeft w:val="0"/>
                      <w:marRight w:val="0"/>
                      <w:marTop w:val="0"/>
                      <w:marBottom w:val="0"/>
                      <w:divBdr>
                        <w:top w:val="none" w:sz="0" w:space="0" w:color="auto"/>
                        <w:left w:val="none" w:sz="0" w:space="0" w:color="auto"/>
                        <w:bottom w:val="none" w:sz="0" w:space="0" w:color="auto"/>
                        <w:right w:val="none" w:sz="0" w:space="0" w:color="auto"/>
                      </w:divBdr>
                    </w:div>
                  </w:divsChild>
                </w:div>
                <w:div w:id="2135713925">
                  <w:marLeft w:val="0"/>
                  <w:marRight w:val="0"/>
                  <w:marTop w:val="0"/>
                  <w:marBottom w:val="0"/>
                  <w:divBdr>
                    <w:top w:val="none" w:sz="0" w:space="0" w:color="auto"/>
                    <w:left w:val="none" w:sz="0" w:space="0" w:color="auto"/>
                    <w:bottom w:val="none" w:sz="0" w:space="0" w:color="auto"/>
                    <w:right w:val="none" w:sz="0" w:space="0" w:color="auto"/>
                  </w:divBdr>
                  <w:divsChild>
                    <w:div w:id="369963588">
                      <w:marLeft w:val="0"/>
                      <w:marRight w:val="0"/>
                      <w:marTop w:val="0"/>
                      <w:marBottom w:val="0"/>
                      <w:divBdr>
                        <w:top w:val="none" w:sz="0" w:space="0" w:color="auto"/>
                        <w:left w:val="none" w:sz="0" w:space="0" w:color="auto"/>
                        <w:bottom w:val="none" w:sz="0" w:space="0" w:color="auto"/>
                        <w:right w:val="none" w:sz="0" w:space="0" w:color="auto"/>
                      </w:divBdr>
                    </w:div>
                    <w:div w:id="717778456">
                      <w:marLeft w:val="0"/>
                      <w:marRight w:val="0"/>
                      <w:marTop w:val="0"/>
                      <w:marBottom w:val="0"/>
                      <w:divBdr>
                        <w:top w:val="none" w:sz="0" w:space="0" w:color="auto"/>
                        <w:left w:val="none" w:sz="0" w:space="0" w:color="auto"/>
                        <w:bottom w:val="none" w:sz="0" w:space="0" w:color="auto"/>
                        <w:right w:val="none" w:sz="0" w:space="0" w:color="auto"/>
                      </w:divBdr>
                    </w:div>
                    <w:div w:id="13646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4205">
          <w:marLeft w:val="0"/>
          <w:marRight w:val="0"/>
          <w:marTop w:val="0"/>
          <w:marBottom w:val="0"/>
          <w:divBdr>
            <w:top w:val="none" w:sz="0" w:space="0" w:color="auto"/>
            <w:left w:val="none" w:sz="0" w:space="0" w:color="auto"/>
            <w:bottom w:val="none" w:sz="0" w:space="0" w:color="auto"/>
            <w:right w:val="none" w:sz="0" w:space="0" w:color="auto"/>
          </w:divBdr>
        </w:div>
      </w:divsChild>
    </w:div>
    <w:div w:id="1607619841">
      <w:bodyDiv w:val="1"/>
      <w:marLeft w:val="0"/>
      <w:marRight w:val="0"/>
      <w:marTop w:val="0"/>
      <w:marBottom w:val="0"/>
      <w:divBdr>
        <w:top w:val="none" w:sz="0" w:space="0" w:color="auto"/>
        <w:left w:val="none" w:sz="0" w:space="0" w:color="auto"/>
        <w:bottom w:val="none" w:sz="0" w:space="0" w:color="auto"/>
        <w:right w:val="none" w:sz="0" w:space="0" w:color="auto"/>
      </w:divBdr>
    </w:div>
    <w:div w:id="1617906318">
      <w:bodyDiv w:val="1"/>
      <w:marLeft w:val="0"/>
      <w:marRight w:val="0"/>
      <w:marTop w:val="0"/>
      <w:marBottom w:val="0"/>
      <w:divBdr>
        <w:top w:val="none" w:sz="0" w:space="0" w:color="auto"/>
        <w:left w:val="none" w:sz="0" w:space="0" w:color="auto"/>
        <w:bottom w:val="none" w:sz="0" w:space="0" w:color="auto"/>
        <w:right w:val="none" w:sz="0" w:space="0" w:color="auto"/>
      </w:divBdr>
    </w:div>
    <w:div w:id="1629361423">
      <w:bodyDiv w:val="1"/>
      <w:marLeft w:val="0"/>
      <w:marRight w:val="0"/>
      <w:marTop w:val="0"/>
      <w:marBottom w:val="0"/>
      <w:divBdr>
        <w:top w:val="none" w:sz="0" w:space="0" w:color="auto"/>
        <w:left w:val="none" w:sz="0" w:space="0" w:color="auto"/>
        <w:bottom w:val="none" w:sz="0" w:space="0" w:color="auto"/>
        <w:right w:val="none" w:sz="0" w:space="0" w:color="auto"/>
      </w:divBdr>
      <w:divsChild>
        <w:div w:id="1050881960">
          <w:marLeft w:val="0"/>
          <w:marRight w:val="0"/>
          <w:marTop w:val="0"/>
          <w:marBottom w:val="0"/>
          <w:divBdr>
            <w:top w:val="none" w:sz="0" w:space="0" w:color="auto"/>
            <w:left w:val="none" w:sz="0" w:space="0" w:color="auto"/>
            <w:bottom w:val="none" w:sz="0" w:space="0" w:color="auto"/>
            <w:right w:val="none" w:sz="0" w:space="0" w:color="auto"/>
          </w:divBdr>
        </w:div>
        <w:div w:id="1235503679">
          <w:marLeft w:val="0"/>
          <w:marRight w:val="0"/>
          <w:marTop w:val="0"/>
          <w:marBottom w:val="0"/>
          <w:divBdr>
            <w:top w:val="none" w:sz="0" w:space="0" w:color="auto"/>
            <w:left w:val="none" w:sz="0" w:space="0" w:color="auto"/>
            <w:bottom w:val="none" w:sz="0" w:space="0" w:color="auto"/>
            <w:right w:val="none" w:sz="0" w:space="0" w:color="auto"/>
          </w:divBdr>
        </w:div>
        <w:div w:id="1528255643">
          <w:marLeft w:val="0"/>
          <w:marRight w:val="0"/>
          <w:marTop w:val="0"/>
          <w:marBottom w:val="0"/>
          <w:divBdr>
            <w:top w:val="none" w:sz="0" w:space="0" w:color="auto"/>
            <w:left w:val="none" w:sz="0" w:space="0" w:color="auto"/>
            <w:bottom w:val="none" w:sz="0" w:space="0" w:color="auto"/>
            <w:right w:val="none" w:sz="0" w:space="0" w:color="auto"/>
          </w:divBdr>
        </w:div>
        <w:div w:id="1708870697">
          <w:marLeft w:val="0"/>
          <w:marRight w:val="0"/>
          <w:marTop w:val="0"/>
          <w:marBottom w:val="0"/>
          <w:divBdr>
            <w:top w:val="none" w:sz="0" w:space="0" w:color="auto"/>
            <w:left w:val="none" w:sz="0" w:space="0" w:color="auto"/>
            <w:bottom w:val="none" w:sz="0" w:space="0" w:color="auto"/>
            <w:right w:val="none" w:sz="0" w:space="0" w:color="auto"/>
          </w:divBdr>
        </w:div>
      </w:divsChild>
    </w:div>
    <w:div w:id="1641181405">
      <w:bodyDiv w:val="1"/>
      <w:marLeft w:val="0"/>
      <w:marRight w:val="0"/>
      <w:marTop w:val="0"/>
      <w:marBottom w:val="0"/>
      <w:divBdr>
        <w:top w:val="none" w:sz="0" w:space="0" w:color="auto"/>
        <w:left w:val="none" w:sz="0" w:space="0" w:color="auto"/>
        <w:bottom w:val="none" w:sz="0" w:space="0" w:color="auto"/>
        <w:right w:val="none" w:sz="0" w:space="0" w:color="auto"/>
      </w:divBdr>
    </w:div>
    <w:div w:id="1658339698">
      <w:bodyDiv w:val="1"/>
      <w:marLeft w:val="0"/>
      <w:marRight w:val="0"/>
      <w:marTop w:val="0"/>
      <w:marBottom w:val="0"/>
      <w:divBdr>
        <w:top w:val="none" w:sz="0" w:space="0" w:color="auto"/>
        <w:left w:val="none" w:sz="0" w:space="0" w:color="auto"/>
        <w:bottom w:val="none" w:sz="0" w:space="0" w:color="auto"/>
        <w:right w:val="none" w:sz="0" w:space="0" w:color="auto"/>
      </w:divBdr>
    </w:div>
    <w:div w:id="1664165869">
      <w:bodyDiv w:val="1"/>
      <w:marLeft w:val="0"/>
      <w:marRight w:val="0"/>
      <w:marTop w:val="0"/>
      <w:marBottom w:val="0"/>
      <w:divBdr>
        <w:top w:val="none" w:sz="0" w:space="0" w:color="auto"/>
        <w:left w:val="none" w:sz="0" w:space="0" w:color="auto"/>
        <w:bottom w:val="none" w:sz="0" w:space="0" w:color="auto"/>
        <w:right w:val="none" w:sz="0" w:space="0" w:color="auto"/>
      </w:divBdr>
    </w:div>
    <w:div w:id="1755663067">
      <w:bodyDiv w:val="1"/>
      <w:marLeft w:val="0"/>
      <w:marRight w:val="0"/>
      <w:marTop w:val="0"/>
      <w:marBottom w:val="0"/>
      <w:divBdr>
        <w:top w:val="none" w:sz="0" w:space="0" w:color="auto"/>
        <w:left w:val="none" w:sz="0" w:space="0" w:color="auto"/>
        <w:bottom w:val="none" w:sz="0" w:space="0" w:color="auto"/>
        <w:right w:val="none" w:sz="0" w:space="0" w:color="auto"/>
      </w:divBdr>
      <w:divsChild>
        <w:div w:id="147602180">
          <w:marLeft w:val="0"/>
          <w:marRight w:val="0"/>
          <w:marTop w:val="0"/>
          <w:marBottom w:val="0"/>
          <w:divBdr>
            <w:top w:val="none" w:sz="0" w:space="0" w:color="auto"/>
            <w:left w:val="none" w:sz="0" w:space="0" w:color="auto"/>
            <w:bottom w:val="none" w:sz="0" w:space="0" w:color="auto"/>
            <w:right w:val="none" w:sz="0" w:space="0" w:color="auto"/>
          </w:divBdr>
        </w:div>
        <w:div w:id="167909802">
          <w:marLeft w:val="0"/>
          <w:marRight w:val="0"/>
          <w:marTop w:val="0"/>
          <w:marBottom w:val="0"/>
          <w:divBdr>
            <w:top w:val="none" w:sz="0" w:space="0" w:color="auto"/>
            <w:left w:val="none" w:sz="0" w:space="0" w:color="auto"/>
            <w:bottom w:val="none" w:sz="0" w:space="0" w:color="auto"/>
            <w:right w:val="none" w:sz="0" w:space="0" w:color="auto"/>
          </w:divBdr>
        </w:div>
        <w:div w:id="213852097">
          <w:marLeft w:val="0"/>
          <w:marRight w:val="0"/>
          <w:marTop w:val="0"/>
          <w:marBottom w:val="0"/>
          <w:divBdr>
            <w:top w:val="none" w:sz="0" w:space="0" w:color="auto"/>
            <w:left w:val="none" w:sz="0" w:space="0" w:color="auto"/>
            <w:bottom w:val="none" w:sz="0" w:space="0" w:color="auto"/>
            <w:right w:val="none" w:sz="0" w:space="0" w:color="auto"/>
          </w:divBdr>
        </w:div>
        <w:div w:id="263076246">
          <w:marLeft w:val="0"/>
          <w:marRight w:val="0"/>
          <w:marTop w:val="0"/>
          <w:marBottom w:val="0"/>
          <w:divBdr>
            <w:top w:val="none" w:sz="0" w:space="0" w:color="auto"/>
            <w:left w:val="none" w:sz="0" w:space="0" w:color="auto"/>
            <w:bottom w:val="none" w:sz="0" w:space="0" w:color="auto"/>
            <w:right w:val="none" w:sz="0" w:space="0" w:color="auto"/>
          </w:divBdr>
        </w:div>
        <w:div w:id="436752693">
          <w:marLeft w:val="0"/>
          <w:marRight w:val="0"/>
          <w:marTop w:val="0"/>
          <w:marBottom w:val="0"/>
          <w:divBdr>
            <w:top w:val="none" w:sz="0" w:space="0" w:color="auto"/>
            <w:left w:val="none" w:sz="0" w:space="0" w:color="auto"/>
            <w:bottom w:val="none" w:sz="0" w:space="0" w:color="auto"/>
            <w:right w:val="none" w:sz="0" w:space="0" w:color="auto"/>
          </w:divBdr>
        </w:div>
        <w:div w:id="606621140">
          <w:marLeft w:val="0"/>
          <w:marRight w:val="0"/>
          <w:marTop w:val="0"/>
          <w:marBottom w:val="0"/>
          <w:divBdr>
            <w:top w:val="none" w:sz="0" w:space="0" w:color="auto"/>
            <w:left w:val="none" w:sz="0" w:space="0" w:color="auto"/>
            <w:bottom w:val="none" w:sz="0" w:space="0" w:color="auto"/>
            <w:right w:val="none" w:sz="0" w:space="0" w:color="auto"/>
          </w:divBdr>
        </w:div>
        <w:div w:id="778986071">
          <w:marLeft w:val="0"/>
          <w:marRight w:val="0"/>
          <w:marTop w:val="0"/>
          <w:marBottom w:val="0"/>
          <w:divBdr>
            <w:top w:val="none" w:sz="0" w:space="0" w:color="auto"/>
            <w:left w:val="none" w:sz="0" w:space="0" w:color="auto"/>
            <w:bottom w:val="none" w:sz="0" w:space="0" w:color="auto"/>
            <w:right w:val="none" w:sz="0" w:space="0" w:color="auto"/>
          </w:divBdr>
        </w:div>
        <w:div w:id="1058237274">
          <w:marLeft w:val="0"/>
          <w:marRight w:val="0"/>
          <w:marTop w:val="0"/>
          <w:marBottom w:val="0"/>
          <w:divBdr>
            <w:top w:val="none" w:sz="0" w:space="0" w:color="auto"/>
            <w:left w:val="none" w:sz="0" w:space="0" w:color="auto"/>
            <w:bottom w:val="none" w:sz="0" w:space="0" w:color="auto"/>
            <w:right w:val="none" w:sz="0" w:space="0" w:color="auto"/>
          </w:divBdr>
          <w:divsChild>
            <w:div w:id="816459791">
              <w:marLeft w:val="-75"/>
              <w:marRight w:val="0"/>
              <w:marTop w:val="30"/>
              <w:marBottom w:val="30"/>
              <w:divBdr>
                <w:top w:val="none" w:sz="0" w:space="0" w:color="auto"/>
                <w:left w:val="none" w:sz="0" w:space="0" w:color="auto"/>
                <w:bottom w:val="none" w:sz="0" w:space="0" w:color="auto"/>
                <w:right w:val="none" w:sz="0" w:space="0" w:color="auto"/>
              </w:divBdr>
              <w:divsChild>
                <w:div w:id="59913367">
                  <w:marLeft w:val="0"/>
                  <w:marRight w:val="0"/>
                  <w:marTop w:val="0"/>
                  <w:marBottom w:val="0"/>
                  <w:divBdr>
                    <w:top w:val="none" w:sz="0" w:space="0" w:color="auto"/>
                    <w:left w:val="none" w:sz="0" w:space="0" w:color="auto"/>
                    <w:bottom w:val="none" w:sz="0" w:space="0" w:color="auto"/>
                    <w:right w:val="none" w:sz="0" w:space="0" w:color="auto"/>
                  </w:divBdr>
                  <w:divsChild>
                    <w:div w:id="105392954">
                      <w:marLeft w:val="0"/>
                      <w:marRight w:val="0"/>
                      <w:marTop w:val="0"/>
                      <w:marBottom w:val="0"/>
                      <w:divBdr>
                        <w:top w:val="none" w:sz="0" w:space="0" w:color="auto"/>
                        <w:left w:val="none" w:sz="0" w:space="0" w:color="auto"/>
                        <w:bottom w:val="none" w:sz="0" w:space="0" w:color="auto"/>
                        <w:right w:val="none" w:sz="0" w:space="0" w:color="auto"/>
                      </w:divBdr>
                    </w:div>
                    <w:div w:id="253437569">
                      <w:marLeft w:val="0"/>
                      <w:marRight w:val="0"/>
                      <w:marTop w:val="0"/>
                      <w:marBottom w:val="0"/>
                      <w:divBdr>
                        <w:top w:val="none" w:sz="0" w:space="0" w:color="auto"/>
                        <w:left w:val="none" w:sz="0" w:space="0" w:color="auto"/>
                        <w:bottom w:val="none" w:sz="0" w:space="0" w:color="auto"/>
                        <w:right w:val="none" w:sz="0" w:space="0" w:color="auto"/>
                      </w:divBdr>
                    </w:div>
                    <w:div w:id="542250552">
                      <w:marLeft w:val="0"/>
                      <w:marRight w:val="0"/>
                      <w:marTop w:val="0"/>
                      <w:marBottom w:val="0"/>
                      <w:divBdr>
                        <w:top w:val="none" w:sz="0" w:space="0" w:color="auto"/>
                        <w:left w:val="none" w:sz="0" w:space="0" w:color="auto"/>
                        <w:bottom w:val="none" w:sz="0" w:space="0" w:color="auto"/>
                        <w:right w:val="none" w:sz="0" w:space="0" w:color="auto"/>
                      </w:divBdr>
                    </w:div>
                    <w:div w:id="598756030">
                      <w:marLeft w:val="0"/>
                      <w:marRight w:val="0"/>
                      <w:marTop w:val="0"/>
                      <w:marBottom w:val="0"/>
                      <w:divBdr>
                        <w:top w:val="none" w:sz="0" w:space="0" w:color="auto"/>
                        <w:left w:val="none" w:sz="0" w:space="0" w:color="auto"/>
                        <w:bottom w:val="none" w:sz="0" w:space="0" w:color="auto"/>
                        <w:right w:val="none" w:sz="0" w:space="0" w:color="auto"/>
                      </w:divBdr>
                    </w:div>
                    <w:div w:id="697971172">
                      <w:marLeft w:val="0"/>
                      <w:marRight w:val="0"/>
                      <w:marTop w:val="0"/>
                      <w:marBottom w:val="0"/>
                      <w:divBdr>
                        <w:top w:val="none" w:sz="0" w:space="0" w:color="auto"/>
                        <w:left w:val="none" w:sz="0" w:space="0" w:color="auto"/>
                        <w:bottom w:val="none" w:sz="0" w:space="0" w:color="auto"/>
                        <w:right w:val="none" w:sz="0" w:space="0" w:color="auto"/>
                      </w:divBdr>
                    </w:div>
                    <w:div w:id="825170044">
                      <w:marLeft w:val="0"/>
                      <w:marRight w:val="0"/>
                      <w:marTop w:val="0"/>
                      <w:marBottom w:val="0"/>
                      <w:divBdr>
                        <w:top w:val="none" w:sz="0" w:space="0" w:color="auto"/>
                        <w:left w:val="none" w:sz="0" w:space="0" w:color="auto"/>
                        <w:bottom w:val="none" w:sz="0" w:space="0" w:color="auto"/>
                        <w:right w:val="none" w:sz="0" w:space="0" w:color="auto"/>
                      </w:divBdr>
                    </w:div>
                    <w:div w:id="1131939802">
                      <w:marLeft w:val="0"/>
                      <w:marRight w:val="0"/>
                      <w:marTop w:val="0"/>
                      <w:marBottom w:val="0"/>
                      <w:divBdr>
                        <w:top w:val="none" w:sz="0" w:space="0" w:color="auto"/>
                        <w:left w:val="none" w:sz="0" w:space="0" w:color="auto"/>
                        <w:bottom w:val="none" w:sz="0" w:space="0" w:color="auto"/>
                        <w:right w:val="none" w:sz="0" w:space="0" w:color="auto"/>
                      </w:divBdr>
                    </w:div>
                    <w:div w:id="1363285610">
                      <w:marLeft w:val="0"/>
                      <w:marRight w:val="0"/>
                      <w:marTop w:val="0"/>
                      <w:marBottom w:val="0"/>
                      <w:divBdr>
                        <w:top w:val="none" w:sz="0" w:space="0" w:color="auto"/>
                        <w:left w:val="none" w:sz="0" w:space="0" w:color="auto"/>
                        <w:bottom w:val="none" w:sz="0" w:space="0" w:color="auto"/>
                        <w:right w:val="none" w:sz="0" w:space="0" w:color="auto"/>
                      </w:divBdr>
                    </w:div>
                    <w:div w:id="1611937626">
                      <w:marLeft w:val="0"/>
                      <w:marRight w:val="0"/>
                      <w:marTop w:val="0"/>
                      <w:marBottom w:val="0"/>
                      <w:divBdr>
                        <w:top w:val="none" w:sz="0" w:space="0" w:color="auto"/>
                        <w:left w:val="none" w:sz="0" w:space="0" w:color="auto"/>
                        <w:bottom w:val="none" w:sz="0" w:space="0" w:color="auto"/>
                        <w:right w:val="none" w:sz="0" w:space="0" w:color="auto"/>
                      </w:divBdr>
                    </w:div>
                    <w:div w:id="1709600752">
                      <w:marLeft w:val="0"/>
                      <w:marRight w:val="0"/>
                      <w:marTop w:val="0"/>
                      <w:marBottom w:val="0"/>
                      <w:divBdr>
                        <w:top w:val="none" w:sz="0" w:space="0" w:color="auto"/>
                        <w:left w:val="none" w:sz="0" w:space="0" w:color="auto"/>
                        <w:bottom w:val="none" w:sz="0" w:space="0" w:color="auto"/>
                        <w:right w:val="none" w:sz="0" w:space="0" w:color="auto"/>
                      </w:divBdr>
                    </w:div>
                    <w:div w:id="1723216256">
                      <w:marLeft w:val="0"/>
                      <w:marRight w:val="0"/>
                      <w:marTop w:val="0"/>
                      <w:marBottom w:val="0"/>
                      <w:divBdr>
                        <w:top w:val="none" w:sz="0" w:space="0" w:color="auto"/>
                        <w:left w:val="none" w:sz="0" w:space="0" w:color="auto"/>
                        <w:bottom w:val="none" w:sz="0" w:space="0" w:color="auto"/>
                        <w:right w:val="none" w:sz="0" w:space="0" w:color="auto"/>
                      </w:divBdr>
                    </w:div>
                    <w:div w:id="1945530801">
                      <w:marLeft w:val="0"/>
                      <w:marRight w:val="0"/>
                      <w:marTop w:val="0"/>
                      <w:marBottom w:val="0"/>
                      <w:divBdr>
                        <w:top w:val="none" w:sz="0" w:space="0" w:color="auto"/>
                        <w:left w:val="none" w:sz="0" w:space="0" w:color="auto"/>
                        <w:bottom w:val="none" w:sz="0" w:space="0" w:color="auto"/>
                        <w:right w:val="none" w:sz="0" w:space="0" w:color="auto"/>
                      </w:divBdr>
                    </w:div>
                  </w:divsChild>
                </w:div>
                <w:div w:id="837888575">
                  <w:marLeft w:val="0"/>
                  <w:marRight w:val="0"/>
                  <w:marTop w:val="0"/>
                  <w:marBottom w:val="0"/>
                  <w:divBdr>
                    <w:top w:val="none" w:sz="0" w:space="0" w:color="auto"/>
                    <w:left w:val="none" w:sz="0" w:space="0" w:color="auto"/>
                    <w:bottom w:val="none" w:sz="0" w:space="0" w:color="auto"/>
                    <w:right w:val="none" w:sz="0" w:space="0" w:color="auto"/>
                  </w:divBdr>
                  <w:divsChild>
                    <w:div w:id="114644796">
                      <w:marLeft w:val="0"/>
                      <w:marRight w:val="0"/>
                      <w:marTop w:val="0"/>
                      <w:marBottom w:val="0"/>
                      <w:divBdr>
                        <w:top w:val="none" w:sz="0" w:space="0" w:color="auto"/>
                        <w:left w:val="none" w:sz="0" w:space="0" w:color="auto"/>
                        <w:bottom w:val="none" w:sz="0" w:space="0" w:color="auto"/>
                        <w:right w:val="none" w:sz="0" w:space="0" w:color="auto"/>
                      </w:divBdr>
                    </w:div>
                  </w:divsChild>
                </w:div>
                <w:div w:id="1092313247">
                  <w:marLeft w:val="0"/>
                  <w:marRight w:val="0"/>
                  <w:marTop w:val="0"/>
                  <w:marBottom w:val="0"/>
                  <w:divBdr>
                    <w:top w:val="none" w:sz="0" w:space="0" w:color="auto"/>
                    <w:left w:val="none" w:sz="0" w:space="0" w:color="auto"/>
                    <w:bottom w:val="none" w:sz="0" w:space="0" w:color="auto"/>
                    <w:right w:val="none" w:sz="0" w:space="0" w:color="auto"/>
                  </w:divBdr>
                  <w:divsChild>
                    <w:div w:id="887954767">
                      <w:marLeft w:val="0"/>
                      <w:marRight w:val="0"/>
                      <w:marTop w:val="0"/>
                      <w:marBottom w:val="0"/>
                      <w:divBdr>
                        <w:top w:val="none" w:sz="0" w:space="0" w:color="auto"/>
                        <w:left w:val="none" w:sz="0" w:space="0" w:color="auto"/>
                        <w:bottom w:val="none" w:sz="0" w:space="0" w:color="auto"/>
                        <w:right w:val="none" w:sz="0" w:space="0" w:color="auto"/>
                      </w:divBdr>
                    </w:div>
                    <w:div w:id="1000934022">
                      <w:marLeft w:val="0"/>
                      <w:marRight w:val="0"/>
                      <w:marTop w:val="0"/>
                      <w:marBottom w:val="0"/>
                      <w:divBdr>
                        <w:top w:val="none" w:sz="0" w:space="0" w:color="auto"/>
                        <w:left w:val="none" w:sz="0" w:space="0" w:color="auto"/>
                        <w:bottom w:val="none" w:sz="0" w:space="0" w:color="auto"/>
                        <w:right w:val="none" w:sz="0" w:space="0" w:color="auto"/>
                      </w:divBdr>
                    </w:div>
                    <w:div w:id="1097673824">
                      <w:marLeft w:val="0"/>
                      <w:marRight w:val="0"/>
                      <w:marTop w:val="0"/>
                      <w:marBottom w:val="0"/>
                      <w:divBdr>
                        <w:top w:val="none" w:sz="0" w:space="0" w:color="auto"/>
                        <w:left w:val="none" w:sz="0" w:space="0" w:color="auto"/>
                        <w:bottom w:val="none" w:sz="0" w:space="0" w:color="auto"/>
                        <w:right w:val="none" w:sz="0" w:space="0" w:color="auto"/>
                      </w:divBdr>
                    </w:div>
                    <w:div w:id="1428308304">
                      <w:marLeft w:val="0"/>
                      <w:marRight w:val="0"/>
                      <w:marTop w:val="0"/>
                      <w:marBottom w:val="0"/>
                      <w:divBdr>
                        <w:top w:val="none" w:sz="0" w:space="0" w:color="auto"/>
                        <w:left w:val="none" w:sz="0" w:space="0" w:color="auto"/>
                        <w:bottom w:val="none" w:sz="0" w:space="0" w:color="auto"/>
                        <w:right w:val="none" w:sz="0" w:space="0" w:color="auto"/>
                      </w:divBdr>
                    </w:div>
                    <w:div w:id="1483542520">
                      <w:marLeft w:val="0"/>
                      <w:marRight w:val="0"/>
                      <w:marTop w:val="0"/>
                      <w:marBottom w:val="0"/>
                      <w:divBdr>
                        <w:top w:val="none" w:sz="0" w:space="0" w:color="auto"/>
                        <w:left w:val="none" w:sz="0" w:space="0" w:color="auto"/>
                        <w:bottom w:val="none" w:sz="0" w:space="0" w:color="auto"/>
                        <w:right w:val="none" w:sz="0" w:space="0" w:color="auto"/>
                      </w:divBdr>
                    </w:div>
                    <w:div w:id="1511020683">
                      <w:marLeft w:val="0"/>
                      <w:marRight w:val="0"/>
                      <w:marTop w:val="0"/>
                      <w:marBottom w:val="0"/>
                      <w:divBdr>
                        <w:top w:val="none" w:sz="0" w:space="0" w:color="auto"/>
                        <w:left w:val="none" w:sz="0" w:space="0" w:color="auto"/>
                        <w:bottom w:val="none" w:sz="0" w:space="0" w:color="auto"/>
                        <w:right w:val="none" w:sz="0" w:space="0" w:color="auto"/>
                      </w:divBdr>
                    </w:div>
                    <w:div w:id="1795975204">
                      <w:marLeft w:val="0"/>
                      <w:marRight w:val="0"/>
                      <w:marTop w:val="0"/>
                      <w:marBottom w:val="0"/>
                      <w:divBdr>
                        <w:top w:val="none" w:sz="0" w:space="0" w:color="auto"/>
                        <w:left w:val="none" w:sz="0" w:space="0" w:color="auto"/>
                        <w:bottom w:val="none" w:sz="0" w:space="0" w:color="auto"/>
                        <w:right w:val="none" w:sz="0" w:space="0" w:color="auto"/>
                      </w:divBdr>
                    </w:div>
                    <w:div w:id="1800957627">
                      <w:marLeft w:val="0"/>
                      <w:marRight w:val="0"/>
                      <w:marTop w:val="0"/>
                      <w:marBottom w:val="0"/>
                      <w:divBdr>
                        <w:top w:val="none" w:sz="0" w:space="0" w:color="auto"/>
                        <w:left w:val="none" w:sz="0" w:space="0" w:color="auto"/>
                        <w:bottom w:val="none" w:sz="0" w:space="0" w:color="auto"/>
                        <w:right w:val="none" w:sz="0" w:space="0" w:color="auto"/>
                      </w:divBdr>
                    </w:div>
                    <w:div w:id="1813982710">
                      <w:marLeft w:val="0"/>
                      <w:marRight w:val="0"/>
                      <w:marTop w:val="0"/>
                      <w:marBottom w:val="0"/>
                      <w:divBdr>
                        <w:top w:val="none" w:sz="0" w:space="0" w:color="auto"/>
                        <w:left w:val="none" w:sz="0" w:space="0" w:color="auto"/>
                        <w:bottom w:val="none" w:sz="0" w:space="0" w:color="auto"/>
                        <w:right w:val="none" w:sz="0" w:space="0" w:color="auto"/>
                      </w:divBdr>
                    </w:div>
                    <w:div w:id="1941449602">
                      <w:marLeft w:val="0"/>
                      <w:marRight w:val="0"/>
                      <w:marTop w:val="0"/>
                      <w:marBottom w:val="0"/>
                      <w:divBdr>
                        <w:top w:val="none" w:sz="0" w:space="0" w:color="auto"/>
                        <w:left w:val="none" w:sz="0" w:space="0" w:color="auto"/>
                        <w:bottom w:val="none" w:sz="0" w:space="0" w:color="auto"/>
                        <w:right w:val="none" w:sz="0" w:space="0" w:color="auto"/>
                      </w:divBdr>
                    </w:div>
                    <w:div w:id="1959796043">
                      <w:marLeft w:val="0"/>
                      <w:marRight w:val="0"/>
                      <w:marTop w:val="0"/>
                      <w:marBottom w:val="0"/>
                      <w:divBdr>
                        <w:top w:val="none" w:sz="0" w:space="0" w:color="auto"/>
                        <w:left w:val="none" w:sz="0" w:space="0" w:color="auto"/>
                        <w:bottom w:val="none" w:sz="0" w:space="0" w:color="auto"/>
                        <w:right w:val="none" w:sz="0" w:space="0" w:color="auto"/>
                      </w:divBdr>
                    </w:div>
                  </w:divsChild>
                </w:div>
                <w:div w:id="1586841081">
                  <w:marLeft w:val="0"/>
                  <w:marRight w:val="0"/>
                  <w:marTop w:val="0"/>
                  <w:marBottom w:val="0"/>
                  <w:divBdr>
                    <w:top w:val="none" w:sz="0" w:space="0" w:color="auto"/>
                    <w:left w:val="none" w:sz="0" w:space="0" w:color="auto"/>
                    <w:bottom w:val="none" w:sz="0" w:space="0" w:color="auto"/>
                    <w:right w:val="none" w:sz="0" w:space="0" w:color="auto"/>
                  </w:divBdr>
                  <w:divsChild>
                    <w:div w:id="1468355612">
                      <w:marLeft w:val="0"/>
                      <w:marRight w:val="0"/>
                      <w:marTop w:val="0"/>
                      <w:marBottom w:val="0"/>
                      <w:divBdr>
                        <w:top w:val="none" w:sz="0" w:space="0" w:color="auto"/>
                        <w:left w:val="none" w:sz="0" w:space="0" w:color="auto"/>
                        <w:bottom w:val="none" w:sz="0" w:space="0" w:color="auto"/>
                        <w:right w:val="none" w:sz="0" w:space="0" w:color="auto"/>
                      </w:divBdr>
                    </w:div>
                  </w:divsChild>
                </w:div>
                <w:div w:id="1915191224">
                  <w:marLeft w:val="0"/>
                  <w:marRight w:val="0"/>
                  <w:marTop w:val="0"/>
                  <w:marBottom w:val="0"/>
                  <w:divBdr>
                    <w:top w:val="none" w:sz="0" w:space="0" w:color="auto"/>
                    <w:left w:val="none" w:sz="0" w:space="0" w:color="auto"/>
                    <w:bottom w:val="none" w:sz="0" w:space="0" w:color="auto"/>
                    <w:right w:val="none" w:sz="0" w:space="0" w:color="auto"/>
                  </w:divBdr>
                  <w:divsChild>
                    <w:div w:id="1229682205">
                      <w:marLeft w:val="0"/>
                      <w:marRight w:val="0"/>
                      <w:marTop w:val="0"/>
                      <w:marBottom w:val="0"/>
                      <w:divBdr>
                        <w:top w:val="none" w:sz="0" w:space="0" w:color="auto"/>
                        <w:left w:val="none" w:sz="0" w:space="0" w:color="auto"/>
                        <w:bottom w:val="none" w:sz="0" w:space="0" w:color="auto"/>
                        <w:right w:val="none" w:sz="0" w:space="0" w:color="auto"/>
                      </w:divBdr>
                    </w:div>
                    <w:div w:id="1491367666">
                      <w:marLeft w:val="0"/>
                      <w:marRight w:val="0"/>
                      <w:marTop w:val="0"/>
                      <w:marBottom w:val="0"/>
                      <w:divBdr>
                        <w:top w:val="none" w:sz="0" w:space="0" w:color="auto"/>
                        <w:left w:val="none" w:sz="0" w:space="0" w:color="auto"/>
                        <w:bottom w:val="none" w:sz="0" w:space="0" w:color="auto"/>
                        <w:right w:val="none" w:sz="0" w:space="0" w:color="auto"/>
                      </w:divBdr>
                    </w:div>
                    <w:div w:id="2031026416">
                      <w:marLeft w:val="0"/>
                      <w:marRight w:val="0"/>
                      <w:marTop w:val="0"/>
                      <w:marBottom w:val="0"/>
                      <w:divBdr>
                        <w:top w:val="none" w:sz="0" w:space="0" w:color="auto"/>
                        <w:left w:val="none" w:sz="0" w:space="0" w:color="auto"/>
                        <w:bottom w:val="none" w:sz="0" w:space="0" w:color="auto"/>
                        <w:right w:val="none" w:sz="0" w:space="0" w:color="auto"/>
                      </w:divBdr>
                    </w:div>
                  </w:divsChild>
                </w:div>
                <w:div w:id="2028216653">
                  <w:marLeft w:val="0"/>
                  <w:marRight w:val="0"/>
                  <w:marTop w:val="0"/>
                  <w:marBottom w:val="0"/>
                  <w:divBdr>
                    <w:top w:val="none" w:sz="0" w:space="0" w:color="auto"/>
                    <w:left w:val="none" w:sz="0" w:space="0" w:color="auto"/>
                    <w:bottom w:val="none" w:sz="0" w:space="0" w:color="auto"/>
                    <w:right w:val="none" w:sz="0" w:space="0" w:color="auto"/>
                  </w:divBdr>
                  <w:divsChild>
                    <w:div w:id="9229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946">
          <w:marLeft w:val="0"/>
          <w:marRight w:val="0"/>
          <w:marTop w:val="0"/>
          <w:marBottom w:val="0"/>
          <w:divBdr>
            <w:top w:val="none" w:sz="0" w:space="0" w:color="auto"/>
            <w:left w:val="none" w:sz="0" w:space="0" w:color="auto"/>
            <w:bottom w:val="none" w:sz="0" w:space="0" w:color="auto"/>
            <w:right w:val="none" w:sz="0" w:space="0" w:color="auto"/>
          </w:divBdr>
        </w:div>
        <w:div w:id="1269971045">
          <w:marLeft w:val="0"/>
          <w:marRight w:val="0"/>
          <w:marTop w:val="0"/>
          <w:marBottom w:val="0"/>
          <w:divBdr>
            <w:top w:val="none" w:sz="0" w:space="0" w:color="auto"/>
            <w:left w:val="none" w:sz="0" w:space="0" w:color="auto"/>
            <w:bottom w:val="none" w:sz="0" w:space="0" w:color="auto"/>
            <w:right w:val="none" w:sz="0" w:space="0" w:color="auto"/>
          </w:divBdr>
        </w:div>
        <w:div w:id="1277175734">
          <w:marLeft w:val="0"/>
          <w:marRight w:val="0"/>
          <w:marTop w:val="0"/>
          <w:marBottom w:val="0"/>
          <w:divBdr>
            <w:top w:val="none" w:sz="0" w:space="0" w:color="auto"/>
            <w:left w:val="none" w:sz="0" w:space="0" w:color="auto"/>
            <w:bottom w:val="none" w:sz="0" w:space="0" w:color="auto"/>
            <w:right w:val="none" w:sz="0" w:space="0" w:color="auto"/>
          </w:divBdr>
        </w:div>
        <w:div w:id="1414625782">
          <w:marLeft w:val="0"/>
          <w:marRight w:val="0"/>
          <w:marTop w:val="0"/>
          <w:marBottom w:val="0"/>
          <w:divBdr>
            <w:top w:val="none" w:sz="0" w:space="0" w:color="auto"/>
            <w:left w:val="none" w:sz="0" w:space="0" w:color="auto"/>
            <w:bottom w:val="none" w:sz="0" w:space="0" w:color="auto"/>
            <w:right w:val="none" w:sz="0" w:space="0" w:color="auto"/>
          </w:divBdr>
        </w:div>
        <w:div w:id="1427846721">
          <w:marLeft w:val="0"/>
          <w:marRight w:val="0"/>
          <w:marTop w:val="0"/>
          <w:marBottom w:val="0"/>
          <w:divBdr>
            <w:top w:val="none" w:sz="0" w:space="0" w:color="auto"/>
            <w:left w:val="none" w:sz="0" w:space="0" w:color="auto"/>
            <w:bottom w:val="none" w:sz="0" w:space="0" w:color="auto"/>
            <w:right w:val="none" w:sz="0" w:space="0" w:color="auto"/>
          </w:divBdr>
        </w:div>
        <w:div w:id="1456363040">
          <w:marLeft w:val="0"/>
          <w:marRight w:val="0"/>
          <w:marTop w:val="0"/>
          <w:marBottom w:val="0"/>
          <w:divBdr>
            <w:top w:val="none" w:sz="0" w:space="0" w:color="auto"/>
            <w:left w:val="none" w:sz="0" w:space="0" w:color="auto"/>
            <w:bottom w:val="none" w:sz="0" w:space="0" w:color="auto"/>
            <w:right w:val="none" w:sz="0" w:space="0" w:color="auto"/>
          </w:divBdr>
        </w:div>
        <w:div w:id="1672292729">
          <w:marLeft w:val="0"/>
          <w:marRight w:val="0"/>
          <w:marTop w:val="0"/>
          <w:marBottom w:val="0"/>
          <w:divBdr>
            <w:top w:val="none" w:sz="0" w:space="0" w:color="auto"/>
            <w:left w:val="none" w:sz="0" w:space="0" w:color="auto"/>
            <w:bottom w:val="none" w:sz="0" w:space="0" w:color="auto"/>
            <w:right w:val="none" w:sz="0" w:space="0" w:color="auto"/>
          </w:divBdr>
        </w:div>
        <w:div w:id="1805536053">
          <w:marLeft w:val="0"/>
          <w:marRight w:val="0"/>
          <w:marTop w:val="0"/>
          <w:marBottom w:val="0"/>
          <w:divBdr>
            <w:top w:val="none" w:sz="0" w:space="0" w:color="auto"/>
            <w:left w:val="none" w:sz="0" w:space="0" w:color="auto"/>
            <w:bottom w:val="none" w:sz="0" w:space="0" w:color="auto"/>
            <w:right w:val="none" w:sz="0" w:space="0" w:color="auto"/>
          </w:divBdr>
        </w:div>
        <w:div w:id="1850480675">
          <w:marLeft w:val="0"/>
          <w:marRight w:val="0"/>
          <w:marTop w:val="0"/>
          <w:marBottom w:val="0"/>
          <w:divBdr>
            <w:top w:val="none" w:sz="0" w:space="0" w:color="auto"/>
            <w:left w:val="none" w:sz="0" w:space="0" w:color="auto"/>
            <w:bottom w:val="none" w:sz="0" w:space="0" w:color="auto"/>
            <w:right w:val="none" w:sz="0" w:space="0" w:color="auto"/>
          </w:divBdr>
        </w:div>
        <w:div w:id="1980190060">
          <w:marLeft w:val="0"/>
          <w:marRight w:val="0"/>
          <w:marTop w:val="0"/>
          <w:marBottom w:val="0"/>
          <w:divBdr>
            <w:top w:val="none" w:sz="0" w:space="0" w:color="auto"/>
            <w:left w:val="none" w:sz="0" w:space="0" w:color="auto"/>
            <w:bottom w:val="none" w:sz="0" w:space="0" w:color="auto"/>
            <w:right w:val="none" w:sz="0" w:space="0" w:color="auto"/>
          </w:divBdr>
        </w:div>
        <w:div w:id="2013289117">
          <w:marLeft w:val="0"/>
          <w:marRight w:val="0"/>
          <w:marTop w:val="0"/>
          <w:marBottom w:val="0"/>
          <w:divBdr>
            <w:top w:val="none" w:sz="0" w:space="0" w:color="auto"/>
            <w:left w:val="none" w:sz="0" w:space="0" w:color="auto"/>
            <w:bottom w:val="none" w:sz="0" w:space="0" w:color="auto"/>
            <w:right w:val="none" w:sz="0" w:space="0" w:color="auto"/>
          </w:divBdr>
        </w:div>
        <w:div w:id="2045910194">
          <w:marLeft w:val="0"/>
          <w:marRight w:val="0"/>
          <w:marTop w:val="0"/>
          <w:marBottom w:val="0"/>
          <w:divBdr>
            <w:top w:val="none" w:sz="0" w:space="0" w:color="auto"/>
            <w:left w:val="none" w:sz="0" w:space="0" w:color="auto"/>
            <w:bottom w:val="none" w:sz="0" w:space="0" w:color="auto"/>
            <w:right w:val="none" w:sz="0" w:space="0" w:color="auto"/>
          </w:divBdr>
        </w:div>
        <w:div w:id="2105876188">
          <w:marLeft w:val="0"/>
          <w:marRight w:val="0"/>
          <w:marTop w:val="0"/>
          <w:marBottom w:val="0"/>
          <w:divBdr>
            <w:top w:val="none" w:sz="0" w:space="0" w:color="auto"/>
            <w:left w:val="none" w:sz="0" w:space="0" w:color="auto"/>
            <w:bottom w:val="none" w:sz="0" w:space="0" w:color="auto"/>
            <w:right w:val="none" w:sz="0" w:space="0" w:color="auto"/>
          </w:divBdr>
        </w:div>
      </w:divsChild>
    </w:div>
    <w:div w:id="1905524821">
      <w:bodyDiv w:val="1"/>
      <w:marLeft w:val="0"/>
      <w:marRight w:val="0"/>
      <w:marTop w:val="0"/>
      <w:marBottom w:val="0"/>
      <w:divBdr>
        <w:top w:val="none" w:sz="0" w:space="0" w:color="auto"/>
        <w:left w:val="none" w:sz="0" w:space="0" w:color="auto"/>
        <w:bottom w:val="none" w:sz="0" w:space="0" w:color="auto"/>
        <w:right w:val="none" w:sz="0" w:space="0" w:color="auto"/>
      </w:divBdr>
      <w:divsChild>
        <w:div w:id="68693334">
          <w:marLeft w:val="0"/>
          <w:marRight w:val="0"/>
          <w:marTop w:val="0"/>
          <w:marBottom w:val="0"/>
          <w:divBdr>
            <w:top w:val="none" w:sz="0" w:space="0" w:color="auto"/>
            <w:left w:val="none" w:sz="0" w:space="0" w:color="auto"/>
            <w:bottom w:val="none" w:sz="0" w:space="0" w:color="auto"/>
            <w:right w:val="none" w:sz="0" w:space="0" w:color="auto"/>
          </w:divBdr>
        </w:div>
        <w:div w:id="318113883">
          <w:marLeft w:val="0"/>
          <w:marRight w:val="0"/>
          <w:marTop w:val="0"/>
          <w:marBottom w:val="0"/>
          <w:divBdr>
            <w:top w:val="none" w:sz="0" w:space="0" w:color="auto"/>
            <w:left w:val="none" w:sz="0" w:space="0" w:color="auto"/>
            <w:bottom w:val="none" w:sz="0" w:space="0" w:color="auto"/>
            <w:right w:val="none" w:sz="0" w:space="0" w:color="auto"/>
          </w:divBdr>
        </w:div>
        <w:div w:id="470244710">
          <w:marLeft w:val="0"/>
          <w:marRight w:val="0"/>
          <w:marTop w:val="0"/>
          <w:marBottom w:val="0"/>
          <w:divBdr>
            <w:top w:val="none" w:sz="0" w:space="0" w:color="auto"/>
            <w:left w:val="none" w:sz="0" w:space="0" w:color="auto"/>
            <w:bottom w:val="none" w:sz="0" w:space="0" w:color="auto"/>
            <w:right w:val="none" w:sz="0" w:space="0" w:color="auto"/>
          </w:divBdr>
        </w:div>
        <w:div w:id="573702576">
          <w:marLeft w:val="0"/>
          <w:marRight w:val="0"/>
          <w:marTop w:val="0"/>
          <w:marBottom w:val="0"/>
          <w:divBdr>
            <w:top w:val="none" w:sz="0" w:space="0" w:color="auto"/>
            <w:left w:val="none" w:sz="0" w:space="0" w:color="auto"/>
            <w:bottom w:val="none" w:sz="0" w:space="0" w:color="auto"/>
            <w:right w:val="none" w:sz="0" w:space="0" w:color="auto"/>
          </w:divBdr>
        </w:div>
        <w:div w:id="583223983">
          <w:marLeft w:val="0"/>
          <w:marRight w:val="0"/>
          <w:marTop w:val="0"/>
          <w:marBottom w:val="0"/>
          <w:divBdr>
            <w:top w:val="none" w:sz="0" w:space="0" w:color="auto"/>
            <w:left w:val="none" w:sz="0" w:space="0" w:color="auto"/>
            <w:bottom w:val="none" w:sz="0" w:space="0" w:color="auto"/>
            <w:right w:val="none" w:sz="0" w:space="0" w:color="auto"/>
          </w:divBdr>
        </w:div>
        <w:div w:id="656690269">
          <w:marLeft w:val="0"/>
          <w:marRight w:val="0"/>
          <w:marTop w:val="0"/>
          <w:marBottom w:val="0"/>
          <w:divBdr>
            <w:top w:val="none" w:sz="0" w:space="0" w:color="auto"/>
            <w:left w:val="none" w:sz="0" w:space="0" w:color="auto"/>
            <w:bottom w:val="none" w:sz="0" w:space="0" w:color="auto"/>
            <w:right w:val="none" w:sz="0" w:space="0" w:color="auto"/>
          </w:divBdr>
        </w:div>
        <w:div w:id="669794479">
          <w:marLeft w:val="0"/>
          <w:marRight w:val="0"/>
          <w:marTop w:val="0"/>
          <w:marBottom w:val="0"/>
          <w:divBdr>
            <w:top w:val="none" w:sz="0" w:space="0" w:color="auto"/>
            <w:left w:val="none" w:sz="0" w:space="0" w:color="auto"/>
            <w:bottom w:val="none" w:sz="0" w:space="0" w:color="auto"/>
            <w:right w:val="none" w:sz="0" w:space="0" w:color="auto"/>
          </w:divBdr>
        </w:div>
        <w:div w:id="787816620">
          <w:marLeft w:val="0"/>
          <w:marRight w:val="0"/>
          <w:marTop w:val="0"/>
          <w:marBottom w:val="0"/>
          <w:divBdr>
            <w:top w:val="none" w:sz="0" w:space="0" w:color="auto"/>
            <w:left w:val="none" w:sz="0" w:space="0" w:color="auto"/>
            <w:bottom w:val="none" w:sz="0" w:space="0" w:color="auto"/>
            <w:right w:val="none" w:sz="0" w:space="0" w:color="auto"/>
          </w:divBdr>
        </w:div>
        <w:div w:id="989285175">
          <w:marLeft w:val="0"/>
          <w:marRight w:val="0"/>
          <w:marTop w:val="0"/>
          <w:marBottom w:val="0"/>
          <w:divBdr>
            <w:top w:val="none" w:sz="0" w:space="0" w:color="auto"/>
            <w:left w:val="none" w:sz="0" w:space="0" w:color="auto"/>
            <w:bottom w:val="none" w:sz="0" w:space="0" w:color="auto"/>
            <w:right w:val="none" w:sz="0" w:space="0" w:color="auto"/>
          </w:divBdr>
        </w:div>
        <w:div w:id="1001543419">
          <w:marLeft w:val="0"/>
          <w:marRight w:val="0"/>
          <w:marTop w:val="0"/>
          <w:marBottom w:val="0"/>
          <w:divBdr>
            <w:top w:val="none" w:sz="0" w:space="0" w:color="auto"/>
            <w:left w:val="none" w:sz="0" w:space="0" w:color="auto"/>
            <w:bottom w:val="none" w:sz="0" w:space="0" w:color="auto"/>
            <w:right w:val="none" w:sz="0" w:space="0" w:color="auto"/>
          </w:divBdr>
        </w:div>
        <w:div w:id="1145705022">
          <w:marLeft w:val="0"/>
          <w:marRight w:val="0"/>
          <w:marTop w:val="0"/>
          <w:marBottom w:val="0"/>
          <w:divBdr>
            <w:top w:val="none" w:sz="0" w:space="0" w:color="auto"/>
            <w:left w:val="none" w:sz="0" w:space="0" w:color="auto"/>
            <w:bottom w:val="none" w:sz="0" w:space="0" w:color="auto"/>
            <w:right w:val="none" w:sz="0" w:space="0" w:color="auto"/>
          </w:divBdr>
        </w:div>
        <w:div w:id="1253583670">
          <w:marLeft w:val="0"/>
          <w:marRight w:val="0"/>
          <w:marTop w:val="0"/>
          <w:marBottom w:val="0"/>
          <w:divBdr>
            <w:top w:val="none" w:sz="0" w:space="0" w:color="auto"/>
            <w:left w:val="none" w:sz="0" w:space="0" w:color="auto"/>
            <w:bottom w:val="none" w:sz="0" w:space="0" w:color="auto"/>
            <w:right w:val="none" w:sz="0" w:space="0" w:color="auto"/>
          </w:divBdr>
        </w:div>
        <w:div w:id="1319461734">
          <w:marLeft w:val="0"/>
          <w:marRight w:val="0"/>
          <w:marTop w:val="0"/>
          <w:marBottom w:val="0"/>
          <w:divBdr>
            <w:top w:val="none" w:sz="0" w:space="0" w:color="auto"/>
            <w:left w:val="none" w:sz="0" w:space="0" w:color="auto"/>
            <w:bottom w:val="none" w:sz="0" w:space="0" w:color="auto"/>
            <w:right w:val="none" w:sz="0" w:space="0" w:color="auto"/>
          </w:divBdr>
        </w:div>
        <w:div w:id="1512793755">
          <w:marLeft w:val="0"/>
          <w:marRight w:val="0"/>
          <w:marTop w:val="0"/>
          <w:marBottom w:val="0"/>
          <w:divBdr>
            <w:top w:val="none" w:sz="0" w:space="0" w:color="auto"/>
            <w:left w:val="none" w:sz="0" w:space="0" w:color="auto"/>
            <w:bottom w:val="none" w:sz="0" w:space="0" w:color="auto"/>
            <w:right w:val="none" w:sz="0" w:space="0" w:color="auto"/>
          </w:divBdr>
        </w:div>
        <w:div w:id="2070377551">
          <w:marLeft w:val="0"/>
          <w:marRight w:val="0"/>
          <w:marTop w:val="0"/>
          <w:marBottom w:val="0"/>
          <w:divBdr>
            <w:top w:val="none" w:sz="0" w:space="0" w:color="auto"/>
            <w:left w:val="none" w:sz="0" w:space="0" w:color="auto"/>
            <w:bottom w:val="none" w:sz="0" w:space="0" w:color="auto"/>
            <w:right w:val="none" w:sz="0" w:space="0" w:color="auto"/>
          </w:divBdr>
        </w:div>
      </w:divsChild>
    </w:div>
    <w:div w:id="1936092142">
      <w:bodyDiv w:val="1"/>
      <w:marLeft w:val="0"/>
      <w:marRight w:val="0"/>
      <w:marTop w:val="0"/>
      <w:marBottom w:val="0"/>
      <w:divBdr>
        <w:top w:val="none" w:sz="0" w:space="0" w:color="auto"/>
        <w:left w:val="none" w:sz="0" w:space="0" w:color="auto"/>
        <w:bottom w:val="none" w:sz="0" w:space="0" w:color="auto"/>
        <w:right w:val="none" w:sz="0" w:space="0" w:color="auto"/>
      </w:divBdr>
    </w:div>
    <w:div w:id="1965035769">
      <w:bodyDiv w:val="1"/>
      <w:marLeft w:val="0"/>
      <w:marRight w:val="0"/>
      <w:marTop w:val="0"/>
      <w:marBottom w:val="0"/>
      <w:divBdr>
        <w:top w:val="none" w:sz="0" w:space="0" w:color="auto"/>
        <w:left w:val="none" w:sz="0" w:space="0" w:color="auto"/>
        <w:bottom w:val="none" w:sz="0" w:space="0" w:color="auto"/>
        <w:right w:val="none" w:sz="0" w:space="0" w:color="auto"/>
      </w:divBdr>
    </w:div>
    <w:div w:id="1986933023">
      <w:bodyDiv w:val="1"/>
      <w:marLeft w:val="0"/>
      <w:marRight w:val="0"/>
      <w:marTop w:val="0"/>
      <w:marBottom w:val="0"/>
      <w:divBdr>
        <w:top w:val="none" w:sz="0" w:space="0" w:color="auto"/>
        <w:left w:val="none" w:sz="0" w:space="0" w:color="auto"/>
        <w:bottom w:val="none" w:sz="0" w:space="0" w:color="auto"/>
        <w:right w:val="none" w:sz="0" w:space="0" w:color="auto"/>
      </w:divBdr>
      <w:divsChild>
        <w:div w:id="119109567">
          <w:marLeft w:val="0"/>
          <w:marRight w:val="0"/>
          <w:marTop w:val="0"/>
          <w:marBottom w:val="0"/>
          <w:divBdr>
            <w:top w:val="none" w:sz="0" w:space="0" w:color="auto"/>
            <w:left w:val="none" w:sz="0" w:space="0" w:color="auto"/>
            <w:bottom w:val="none" w:sz="0" w:space="0" w:color="auto"/>
            <w:right w:val="none" w:sz="0" w:space="0" w:color="auto"/>
          </w:divBdr>
        </w:div>
        <w:div w:id="155846811">
          <w:marLeft w:val="0"/>
          <w:marRight w:val="0"/>
          <w:marTop w:val="0"/>
          <w:marBottom w:val="0"/>
          <w:divBdr>
            <w:top w:val="none" w:sz="0" w:space="0" w:color="auto"/>
            <w:left w:val="none" w:sz="0" w:space="0" w:color="auto"/>
            <w:bottom w:val="none" w:sz="0" w:space="0" w:color="auto"/>
            <w:right w:val="none" w:sz="0" w:space="0" w:color="auto"/>
          </w:divBdr>
        </w:div>
        <w:div w:id="261914548">
          <w:marLeft w:val="0"/>
          <w:marRight w:val="0"/>
          <w:marTop w:val="0"/>
          <w:marBottom w:val="0"/>
          <w:divBdr>
            <w:top w:val="none" w:sz="0" w:space="0" w:color="auto"/>
            <w:left w:val="none" w:sz="0" w:space="0" w:color="auto"/>
            <w:bottom w:val="none" w:sz="0" w:space="0" w:color="auto"/>
            <w:right w:val="none" w:sz="0" w:space="0" w:color="auto"/>
          </w:divBdr>
        </w:div>
        <w:div w:id="371996686">
          <w:marLeft w:val="0"/>
          <w:marRight w:val="0"/>
          <w:marTop w:val="0"/>
          <w:marBottom w:val="0"/>
          <w:divBdr>
            <w:top w:val="none" w:sz="0" w:space="0" w:color="auto"/>
            <w:left w:val="none" w:sz="0" w:space="0" w:color="auto"/>
            <w:bottom w:val="none" w:sz="0" w:space="0" w:color="auto"/>
            <w:right w:val="none" w:sz="0" w:space="0" w:color="auto"/>
          </w:divBdr>
        </w:div>
        <w:div w:id="796992594">
          <w:marLeft w:val="0"/>
          <w:marRight w:val="0"/>
          <w:marTop w:val="0"/>
          <w:marBottom w:val="0"/>
          <w:divBdr>
            <w:top w:val="none" w:sz="0" w:space="0" w:color="auto"/>
            <w:left w:val="none" w:sz="0" w:space="0" w:color="auto"/>
            <w:bottom w:val="none" w:sz="0" w:space="0" w:color="auto"/>
            <w:right w:val="none" w:sz="0" w:space="0" w:color="auto"/>
          </w:divBdr>
        </w:div>
        <w:div w:id="810558669">
          <w:marLeft w:val="0"/>
          <w:marRight w:val="0"/>
          <w:marTop w:val="0"/>
          <w:marBottom w:val="0"/>
          <w:divBdr>
            <w:top w:val="none" w:sz="0" w:space="0" w:color="auto"/>
            <w:left w:val="none" w:sz="0" w:space="0" w:color="auto"/>
            <w:bottom w:val="none" w:sz="0" w:space="0" w:color="auto"/>
            <w:right w:val="none" w:sz="0" w:space="0" w:color="auto"/>
          </w:divBdr>
        </w:div>
        <w:div w:id="856582184">
          <w:marLeft w:val="0"/>
          <w:marRight w:val="0"/>
          <w:marTop w:val="0"/>
          <w:marBottom w:val="0"/>
          <w:divBdr>
            <w:top w:val="none" w:sz="0" w:space="0" w:color="auto"/>
            <w:left w:val="none" w:sz="0" w:space="0" w:color="auto"/>
            <w:bottom w:val="none" w:sz="0" w:space="0" w:color="auto"/>
            <w:right w:val="none" w:sz="0" w:space="0" w:color="auto"/>
          </w:divBdr>
        </w:div>
        <w:div w:id="923801835">
          <w:marLeft w:val="0"/>
          <w:marRight w:val="0"/>
          <w:marTop w:val="0"/>
          <w:marBottom w:val="0"/>
          <w:divBdr>
            <w:top w:val="none" w:sz="0" w:space="0" w:color="auto"/>
            <w:left w:val="none" w:sz="0" w:space="0" w:color="auto"/>
            <w:bottom w:val="none" w:sz="0" w:space="0" w:color="auto"/>
            <w:right w:val="none" w:sz="0" w:space="0" w:color="auto"/>
          </w:divBdr>
        </w:div>
        <w:div w:id="1046300295">
          <w:marLeft w:val="0"/>
          <w:marRight w:val="0"/>
          <w:marTop w:val="0"/>
          <w:marBottom w:val="0"/>
          <w:divBdr>
            <w:top w:val="none" w:sz="0" w:space="0" w:color="auto"/>
            <w:left w:val="none" w:sz="0" w:space="0" w:color="auto"/>
            <w:bottom w:val="none" w:sz="0" w:space="0" w:color="auto"/>
            <w:right w:val="none" w:sz="0" w:space="0" w:color="auto"/>
          </w:divBdr>
        </w:div>
        <w:div w:id="1147549044">
          <w:marLeft w:val="0"/>
          <w:marRight w:val="0"/>
          <w:marTop w:val="0"/>
          <w:marBottom w:val="0"/>
          <w:divBdr>
            <w:top w:val="none" w:sz="0" w:space="0" w:color="auto"/>
            <w:left w:val="none" w:sz="0" w:space="0" w:color="auto"/>
            <w:bottom w:val="none" w:sz="0" w:space="0" w:color="auto"/>
            <w:right w:val="none" w:sz="0" w:space="0" w:color="auto"/>
          </w:divBdr>
        </w:div>
        <w:div w:id="1373529874">
          <w:marLeft w:val="0"/>
          <w:marRight w:val="0"/>
          <w:marTop w:val="0"/>
          <w:marBottom w:val="0"/>
          <w:divBdr>
            <w:top w:val="none" w:sz="0" w:space="0" w:color="auto"/>
            <w:left w:val="none" w:sz="0" w:space="0" w:color="auto"/>
            <w:bottom w:val="none" w:sz="0" w:space="0" w:color="auto"/>
            <w:right w:val="none" w:sz="0" w:space="0" w:color="auto"/>
          </w:divBdr>
        </w:div>
        <w:div w:id="1394624061">
          <w:marLeft w:val="0"/>
          <w:marRight w:val="0"/>
          <w:marTop w:val="0"/>
          <w:marBottom w:val="0"/>
          <w:divBdr>
            <w:top w:val="none" w:sz="0" w:space="0" w:color="auto"/>
            <w:left w:val="none" w:sz="0" w:space="0" w:color="auto"/>
            <w:bottom w:val="none" w:sz="0" w:space="0" w:color="auto"/>
            <w:right w:val="none" w:sz="0" w:space="0" w:color="auto"/>
          </w:divBdr>
        </w:div>
        <w:div w:id="1565096294">
          <w:marLeft w:val="0"/>
          <w:marRight w:val="0"/>
          <w:marTop w:val="0"/>
          <w:marBottom w:val="0"/>
          <w:divBdr>
            <w:top w:val="none" w:sz="0" w:space="0" w:color="auto"/>
            <w:left w:val="none" w:sz="0" w:space="0" w:color="auto"/>
            <w:bottom w:val="none" w:sz="0" w:space="0" w:color="auto"/>
            <w:right w:val="none" w:sz="0" w:space="0" w:color="auto"/>
          </w:divBdr>
        </w:div>
        <w:div w:id="1690913189">
          <w:marLeft w:val="0"/>
          <w:marRight w:val="0"/>
          <w:marTop w:val="0"/>
          <w:marBottom w:val="0"/>
          <w:divBdr>
            <w:top w:val="none" w:sz="0" w:space="0" w:color="auto"/>
            <w:left w:val="none" w:sz="0" w:space="0" w:color="auto"/>
            <w:bottom w:val="none" w:sz="0" w:space="0" w:color="auto"/>
            <w:right w:val="none" w:sz="0" w:space="0" w:color="auto"/>
          </w:divBdr>
        </w:div>
        <w:div w:id="1750302222">
          <w:marLeft w:val="0"/>
          <w:marRight w:val="0"/>
          <w:marTop w:val="0"/>
          <w:marBottom w:val="0"/>
          <w:divBdr>
            <w:top w:val="none" w:sz="0" w:space="0" w:color="auto"/>
            <w:left w:val="none" w:sz="0" w:space="0" w:color="auto"/>
            <w:bottom w:val="none" w:sz="0" w:space="0" w:color="auto"/>
            <w:right w:val="none" w:sz="0" w:space="0" w:color="auto"/>
          </w:divBdr>
        </w:div>
        <w:div w:id="1768886321">
          <w:marLeft w:val="0"/>
          <w:marRight w:val="0"/>
          <w:marTop w:val="0"/>
          <w:marBottom w:val="0"/>
          <w:divBdr>
            <w:top w:val="none" w:sz="0" w:space="0" w:color="auto"/>
            <w:left w:val="none" w:sz="0" w:space="0" w:color="auto"/>
            <w:bottom w:val="none" w:sz="0" w:space="0" w:color="auto"/>
            <w:right w:val="none" w:sz="0" w:space="0" w:color="auto"/>
          </w:divBdr>
        </w:div>
        <w:div w:id="1874994709">
          <w:marLeft w:val="0"/>
          <w:marRight w:val="0"/>
          <w:marTop w:val="0"/>
          <w:marBottom w:val="0"/>
          <w:divBdr>
            <w:top w:val="none" w:sz="0" w:space="0" w:color="auto"/>
            <w:left w:val="none" w:sz="0" w:space="0" w:color="auto"/>
            <w:bottom w:val="none" w:sz="0" w:space="0" w:color="auto"/>
            <w:right w:val="none" w:sz="0" w:space="0" w:color="auto"/>
          </w:divBdr>
        </w:div>
        <w:div w:id="1999843805">
          <w:marLeft w:val="0"/>
          <w:marRight w:val="0"/>
          <w:marTop w:val="0"/>
          <w:marBottom w:val="0"/>
          <w:divBdr>
            <w:top w:val="none" w:sz="0" w:space="0" w:color="auto"/>
            <w:left w:val="none" w:sz="0" w:space="0" w:color="auto"/>
            <w:bottom w:val="none" w:sz="0" w:space="0" w:color="auto"/>
            <w:right w:val="none" w:sz="0" w:space="0" w:color="auto"/>
          </w:divBdr>
        </w:div>
      </w:divsChild>
    </w:div>
    <w:div w:id="2100058876">
      <w:bodyDiv w:val="1"/>
      <w:marLeft w:val="0"/>
      <w:marRight w:val="0"/>
      <w:marTop w:val="0"/>
      <w:marBottom w:val="0"/>
      <w:divBdr>
        <w:top w:val="none" w:sz="0" w:space="0" w:color="auto"/>
        <w:left w:val="none" w:sz="0" w:space="0" w:color="auto"/>
        <w:bottom w:val="none" w:sz="0" w:space="0" w:color="auto"/>
        <w:right w:val="none" w:sz="0" w:space="0" w:color="auto"/>
      </w:divBdr>
    </w:div>
    <w:div w:id="2109427509">
      <w:bodyDiv w:val="1"/>
      <w:marLeft w:val="0"/>
      <w:marRight w:val="0"/>
      <w:marTop w:val="0"/>
      <w:marBottom w:val="0"/>
      <w:divBdr>
        <w:top w:val="none" w:sz="0" w:space="0" w:color="auto"/>
        <w:left w:val="none" w:sz="0" w:space="0" w:color="auto"/>
        <w:bottom w:val="none" w:sz="0" w:space="0" w:color="auto"/>
        <w:right w:val="none" w:sz="0" w:space="0" w:color="auto"/>
      </w:divBdr>
      <w:divsChild>
        <w:div w:id="163934713">
          <w:marLeft w:val="0"/>
          <w:marRight w:val="0"/>
          <w:marTop w:val="0"/>
          <w:marBottom w:val="0"/>
          <w:divBdr>
            <w:top w:val="none" w:sz="0" w:space="0" w:color="auto"/>
            <w:left w:val="none" w:sz="0" w:space="0" w:color="auto"/>
            <w:bottom w:val="none" w:sz="0" w:space="0" w:color="auto"/>
            <w:right w:val="none" w:sz="0" w:space="0" w:color="auto"/>
          </w:divBdr>
        </w:div>
        <w:div w:id="443231741">
          <w:marLeft w:val="0"/>
          <w:marRight w:val="0"/>
          <w:marTop w:val="0"/>
          <w:marBottom w:val="0"/>
          <w:divBdr>
            <w:top w:val="none" w:sz="0" w:space="0" w:color="auto"/>
            <w:left w:val="none" w:sz="0" w:space="0" w:color="auto"/>
            <w:bottom w:val="none" w:sz="0" w:space="0" w:color="auto"/>
            <w:right w:val="none" w:sz="0" w:space="0" w:color="auto"/>
          </w:divBdr>
        </w:div>
        <w:div w:id="478230303">
          <w:marLeft w:val="0"/>
          <w:marRight w:val="0"/>
          <w:marTop w:val="0"/>
          <w:marBottom w:val="0"/>
          <w:divBdr>
            <w:top w:val="none" w:sz="0" w:space="0" w:color="auto"/>
            <w:left w:val="none" w:sz="0" w:space="0" w:color="auto"/>
            <w:bottom w:val="none" w:sz="0" w:space="0" w:color="auto"/>
            <w:right w:val="none" w:sz="0" w:space="0" w:color="auto"/>
          </w:divBdr>
        </w:div>
        <w:div w:id="494885549">
          <w:marLeft w:val="0"/>
          <w:marRight w:val="0"/>
          <w:marTop w:val="0"/>
          <w:marBottom w:val="0"/>
          <w:divBdr>
            <w:top w:val="none" w:sz="0" w:space="0" w:color="auto"/>
            <w:left w:val="none" w:sz="0" w:space="0" w:color="auto"/>
            <w:bottom w:val="none" w:sz="0" w:space="0" w:color="auto"/>
            <w:right w:val="none" w:sz="0" w:space="0" w:color="auto"/>
          </w:divBdr>
        </w:div>
        <w:div w:id="700325408">
          <w:marLeft w:val="0"/>
          <w:marRight w:val="0"/>
          <w:marTop w:val="0"/>
          <w:marBottom w:val="0"/>
          <w:divBdr>
            <w:top w:val="none" w:sz="0" w:space="0" w:color="auto"/>
            <w:left w:val="none" w:sz="0" w:space="0" w:color="auto"/>
            <w:bottom w:val="none" w:sz="0" w:space="0" w:color="auto"/>
            <w:right w:val="none" w:sz="0" w:space="0" w:color="auto"/>
          </w:divBdr>
        </w:div>
        <w:div w:id="993027120">
          <w:marLeft w:val="0"/>
          <w:marRight w:val="0"/>
          <w:marTop w:val="0"/>
          <w:marBottom w:val="0"/>
          <w:divBdr>
            <w:top w:val="none" w:sz="0" w:space="0" w:color="auto"/>
            <w:left w:val="none" w:sz="0" w:space="0" w:color="auto"/>
            <w:bottom w:val="none" w:sz="0" w:space="0" w:color="auto"/>
            <w:right w:val="none" w:sz="0" w:space="0" w:color="auto"/>
          </w:divBdr>
        </w:div>
        <w:div w:id="997612904">
          <w:marLeft w:val="0"/>
          <w:marRight w:val="0"/>
          <w:marTop w:val="0"/>
          <w:marBottom w:val="0"/>
          <w:divBdr>
            <w:top w:val="none" w:sz="0" w:space="0" w:color="auto"/>
            <w:left w:val="none" w:sz="0" w:space="0" w:color="auto"/>
            <w:bottom w:val="none" w:sz="0" w:space="0" w:color="auto"/>
            <w:right w:val="none" w:sz="0" w:space="0" w:color="auto"/>
          </w:divBdr>
        </w:div>
        <w:div w:id="1226603221">
          <w:marLeft w:val="0"/>
          <w:marRight w:val="0"/>
          <w:marTop w:val="0"/>
          <w:marBottom w:val="0"/>
          <w:divBdr>
            <w:top w:val="none" w:sz="0" w:space="0" w:color="auto"/>
            <w:left w:val="none" w:sz="0" w:space="0" w:color="auto"/>
            <w:bottom w:val="none" w:sz="0" w:space="0" w:color="auto"/>
            <w:right w:val="none" w:sz="0" w:space="0" w:color="auto"/>
          </w:divBdr>
        </w:div>
        <w:div w:id="1244294196">
          <w:marLeft w:val="0"/>
          <w:marRight w:val="0"/>
          <w:marTop w:val="0"/>
          <w:marBottom w:val="0"/>
          <w:divBdr>
            <w:top w:val="none" w:sz="0" w:space="0" w:color="auto"/>
            <w:left w:val="none" w:sz="0" w:space="0" w:color="auto"/>
            <w:bottom w:val="none" w:sz="0" w:space="0" w:color="auto"/>
            <w:right w:val="none" w:sz="0" w:space="0" w:color="auto"/>
          </w:divBdr>
        </w:div>
        <w:div w:id="1372338559">
          <w:marLeft w:val="0"/>
          <w:marRight w:val="0"/>
          <w:marTop w:val="0"/>
          <w:marBottom w:val="0"/>
          <w:divBdr>
            <w:top w:val="none" w:sz="0" w:space="0" w:color="auto"/>
            <w:left w:val="none" w:sz="0" w:space="0" w:color="auto"/>
            <w:bottom w:val="none" w:sz="0" w:space="0" w:color="auto"/>
            <w:right w:val="none" w:sz="0" w:space="0" w:color="auto"/>
          </w:divBdr>
        </w:div>
        <w:div w:id="1395271533">
          <w:marLeft w:val="0"/>
          <w:marRight w:val="0"/>
          <w:marTop w:val="0"/>
          <w:marBottom w:val="0"/>
          <w:divBdr>
            <w:top w:val="none" w:sz="0" w:space="0" w:color="auto"/>
            <w:left w:val="none" w:sz="0" w:space="0" w:color="auto"/>
            <w:bottom w:val="none" w:sz="0" w:space="0" w:color="auto"/>
            <w:right w:val="none" w:sz="0" w:space="0" w:color="auto"/>
          </w:divBdr>
        </w:div>
        <w:div w:id="1413237999">
          <w:marLeft w:val="0"/>
          <w:marRight w:val="0"/>
          <w:marTop w:val="0"/>
          <w:marBottom w:val="0"/>
          <w:divBdr>
            <w:top w:val="none" w:sz="0" w:space="0" w:color="auto"/>
            <w:left w:val="none" w:sz="0" w:space="0" w:color="auto"/>
            <w:bottom w:val="none" w:sz="0" w:space="0" w:color="auto"/>
            <w:right w:val="none" w:sz="0" w:space="0" w:color="auto"/>
          </w:divBdr>
        </w:div>
        <w:div w:id="1580795506">
          <w:marLeft w:val="0"/>
          <w:marRight w:val="0"/>
          <w:marTop w:val="0"/>
          <w:marBottom w:val="0"/>
          <w:divBdr>
            <w:top w:val="none" w:sz="0" w:space="0" w:color="auto"/>
            <w:left w:val="none" w:sz="0" w:space="0" w:color="auto"/>
            <w:bottom w:val="none" w:sz="0" w:space="0" w:color="auto"/>
            <w:right w:val="none" w:sz="0" w:space="0" w:color="auto"/>
          </w:divBdr>
        </w:div>
        <w:div w:id="1851722064">
          <w:marLeft w:val="0"/>
          <w:marRight w:val="0"/>
          <w:marTop w:val="0"/>
          <w:marBottom w:val="0"/>
          <w:divBdr>
            <w:top w:val="none" w:sz="0" w:space="0" w:color="auto"/>
            <w:left w:val="none" w:sz="0" w:space="0" w:color="auto"/>
            <w:bottom w:val="none" w:sz="0" w:space="0" w:color="auto"/>
            <w:right w:val="none" w:sz="0" w:space="0" w:color="auto"/>
          </w:divBdr>
        </w:div>
        <w:div w:id="1906916600">
          <w:marLeft w:val="0"/>
          <w:marRight w:val="0"/>
          <w:marTop w:val="0"/>
          <w:marBottom w:val="0"/>
          <w:divBdr>
            <w:top w:val="none" w:sz="0" w:space="0" w:color="auto"/>
            <w:left w:val="none" w:sz="0" w:space="0" w:color="auto"/>
            <w:bottom w:val="none" w:sz="0" w:space="0" w:color="auto"/>
            <w:right w:val="none" w:sz="0" w:space="0" w:color="auto"/>
          </w:divBdr>
        </w:div>
      </w:divsChild>
    </w:div>
    <w:div w:id="2146196115">
      <w:bodyDiv w:val="1"/>
      <w:marLeft w:val="0"/>
      <w:marRight w:val="0"/>
      <w:marTop w:val="0"/>
      <w:marBottom w:val="0"/>
      <w:divBdr>
        <w:top w:val="none" w:sz="0" w:space="0" w:color="auto"/>
        <w:left w:val="none" w:sz="0" w:space="0" w:color="auto"/>
        <w:bottom w:val="none" w:sz="0" w:space="0" w:color="auto"/>
        <w:right w:val="none" w:sz="0" w:space="0" w:color="auto"/>
      </w:divBdr>
      <w:divsChild>
        <w:div w:id="166755091">
          <w:marLeft w:val="0"/>
          <w:marRight w:val="0"/>
          <w:marTop w:val="0"/>
          <w:marBottom w:val="0"/>
          <w:divBdr>
            <w:top w:val="none" w:sz="0" w:space="0" w:color="auto"/>
            <w:left w:val="none" w:sz="0" w:space="0" w:color="auto"/>
            <w:bottom w:val="none" w:sz="0" w:space="0" w:color="auto"/>
            <w:right w:val="none" w:sz="0" w:space="0" w:color="auto"/>
          </w:divBdr>
        </w:div>
        <w:div w:id="289634711">
          <w:marLeft w:val="0"/>
          <w:marRight w:val="0"/>
          <w:marTop w:val="0"/>
          <w:marBottom w:val="0"/>
          <w:divBdr>
            <w:top w:val="none" w:sz="0" w:space="0" w:color="auto"/>
            <w:left w:val="none" w:sz="0" w:space="0" w:color="auto"/>
            <w:bottom w:val="none" w:sz="0" w:space="0" w:color="auto"/>
            <w:right w:val="none" w:sz="0" w:space="0" w:color="auto"/>
          </w:divBdr>
        </w:div>
        <w:div w:id="367145669">
          <w:marLeft w:val="0"/>
          <w:marRight w:val="0"/>
          <w:marTop w:val="0"/>
          <w:marBottom w:val="0"/>
          <w:divBdr>
            <w:top w:val="none" w:sz="0" w:space="0" w:color="auto"/>
            <w:left w:val="none" w:sz="0" w:space="0" w:color="auto"/>
            <w:bottom w:val="none" w:sz="0" w:space="0" w:color="auto"/>
            <w:right w:val="none" w:sz="0" w:space="0" w:color="auto"/>
          </w:divBdr>
        </w:div>
        <w:div w:id="641038692">
          <w:marLeft w:val="0"/>
          <w:marRight w:val="0"/>
          <w:marTop w:val="0"/>
          <w:marBottom w:val="0"/>
          <w:divBdr>
            <w:top w:val="none" w:sz="0" w:space="0" w:color="auto"/>
            <w:left w:val="none" w:sz="0" w:space="0" w:color="auto"/>
            <w:bottom w:val="none" w:sz="0" w:space="0" w:color="auto"/>
            <w:right w:val="none" w:sz="0" w:space="0" w:color="auto"/>
          </w:divBdr>
        </w:div>
        <w:div w:id="655453805">
          <w:marLeft w:val="0"/>
          <w:marRight w:val="0"/>
          <w:marTop w:val="0"/>
          <w:marBottom w:val="0"/>
          <w:divBdr>
            <w:top w:val="none" w:sz="0" w:space="0" w:color="auto"/>
            <w:left w:val="none" w:sz="0" w:space="0" w:color="auto"/>
            <w:bottom w:val="none" w:sz="0" w:space="0" w:color="auto"/>
            <w:right w:val="none" w:sz="0" w:space="0" w:color="auto"/>
          </w:divBdr>
        </w:div>
        <w:div w:id="785007717">
          <w:marLeft w:val="0"/>
          <w:marRight w:val="0"/>
          <w:marTop w:val="0"/>
          <w:marBottom w:val="0"/>
          <w:divBdr>
            <w:top w:val="none" w:sz="0" w:space="0" w:color="auto"/>
            <w:left w:val="none" w:sz="0" w:space="0" w:color="auto"/>
            <w:bottom w:val="none" w:sz="0" w:space="0" w:color="auto"/>
            <w:right w:val="none" w:sz="0" w:space="0" w:color="auto"/>
          </w:divBdr>
        </w:div>
        <w:div w:id="825248056">
          <w:marLeft w:val="0"/>
          <w:marRight w:val="0"/>
          <w:marTop w:val="0"/>
          <w:marBottom w:val="0"/>
          <w:divBdr>
            <w:top w:val="none" w:sz="0" w:space="0" w:color="auto"/>
            <w:left w:val="none" w:sz="0" w:space="0" w:color="auto"/>
            <w:bottom w:val="none" w:sz="0" w:space="0" w:color="auto"/>
            <w:right w:val="none" w:sz="0" w:space="0" w:color="auto"/>
          </w:divBdr>
        </w:div>
        <w:div w:id="893855765">
          <w:marLeft w:val="0"/>
          <w:marRight w:val="0"/>
          <w:marTop w:val="0"/>
          <w:marBottom w:val="0"/>
          <w:divBdr>
            <w:top w:val="none" w:sz="0" w:space="0" w:color="auto"/>
            <w:left w:val="none" w:sz="0" w:space="0" w:color="auto"/>
            <w:bottom w:val="none" w:sz="0" w:space="0" w:color="auto"/>
            <w:right w:val="none" w:sz="0" w:space="0" w:color="auto"/>
          </w:divBdr>
        </w:div>
        <w:div w:id="917253222">
          <w:marLeft w:val="0"/>
          <w:marRight w:val="0"/>
          <w:marTop w:val="0"/>
          <w:marBottom w:val="0"/>
          <w:divBdr>
            <w:top w:val="none" w:sz="0" w:space="0" w:color="auto"/>
            <w:left w:val="none" w:sz="0" w:space="0" w:color="auto"/>
            <w:bottom w:val="none" w:sz="0" w:space="0" w:color="auto"/>
            <w:right w:val="none" w:sz="0" w:space="0" w:color="auto"/>
          </w:divBdr>
        </w:div>
        <w:div w:id="931742970">
          <w:marLeft w:val="0"/>
          <w:marRight w:val="0"/>
          <w:marTop w:val="0"/>
          <w:marBottom w:val="0"/>
          <w:divBdr>
            <w:top w:val="none" w:sz="0" w:space="0" w:color="auto"/>
            <w:left w:val="none" w:sz="0" w:space="0" w:color="auto"/>
            <w:bottom w:val="none" w:sz="0" w:space="0" w:color="auto"/>
            <w:right w:val="none" w:sz="0" w:space="0" w:color="auto"/>
          </w:divBdr>
        </w:div>
        <w:div w:id="1037925354">
          <w:marLeft w:val="0"/>
          <w:marRight w:val="0"/>
          <w:marTop w:val="0"/>
          <w:marBottom w:val="0"/>
          <w:divBdr>
            <w:top w:val="none" w:sz="0" w:space="0" w:color="auto"/>
            <w:left w:val="none" w:sz="0" w:space="0" w:color="auto"/>
            <w:bottom w:val="none" w:sz="0" w:space="0" w:color="auto"/>
            <w:right w:val="none" w:sz="0" w:space="0" w:color="auto"/>
          </w:divBdr>
        </w:div>
        <w:div w:id="1129592652">
          <w:marLeft w:val="0"/>
          <w:marRight w:val="0"/>
          <w:marTop w:val="0"/>
          <w:marBottom w:val="0"/>
          <w:divBdr>
            <w:top w:val="none" w:sz="0" w:space="0" w:color="auto"/>
            <w:left w:val="none" w:sz="0" w:space="0" w:color="auto"/>
            <w:bottom w:val="none" w:sz="0" w:space="0" w:color="auto"/>
            <w:right w:val="none" w:sz="0" w:space="0" w:color="auto"/>
          </w:divBdr>
        </w:div>
        <w:div w:id="1581139658">
          <w:marLeft w:val="0"/>
          <w:marRight w:val="0"/>
          <w:marTop w:val="0"/>
          <w:marBottom w:val="0"/>
          <w:divBdr>
            <w:top w:val="none" w:sz="0" w:space="0" w:color="auto"/>
            <w:left w:val="none" w:sz="0" w:space="0" w:color="auto"/>
            <w:bottom w:val="none" w:sz="0" w:space="0" w:color="auto"/>
            <w:right w:val="none" w:sz="0" w:space="0" w:color="auto"/>
          </w:divBdr>
        </w:div>
        <w:div w:id="1816483030">
          <w:marLeft w:val="0"/>
          <w:marRight w:val="0"/>
          <w:marTop w:val="0"/>
          <w:marBottom w:val="0"/>
          <w:divBdr>
            <w:top w:val="none" w:sz="0" w:space="0" w:color="auto"/>
            <w:left w:val="none" w:sz="0" w:space="0" w:color="auto"/>
            <w:bottom w:val="none" w:sz="0" w:space="0" w:color="auto"/>
            <w:right w:val="none" w:sz="0" w:space="0" w:color="auto"/>
          </w:divBdr>
        </w:div>
        <w:div w:id="1929650371">
          <w:marLeft w:val="0"/>
          <w:marRight w:val="0"/>
          <w:marTop w:val="0"/>
          <w:marBottom w:val="0"/>
          <w:divBdr>
            <w:top w:val="none" w:sz="0" w:space="0" w:color="auto"/>
            <w:left w:val="none" w:sz="0" w:space="0" w:color="auto"/>
            <w:bottom w:val="none" w:sz="0" w:space="0" w:color="auto"/>
            <w:right w:val="none" w:sz="0" w:space="0" w:color="auto"/>
          </w:divBdr>
        </w:div>
        <w:div w:id="2140495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grants@hri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CHI@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CHI@Mass.gov"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mnhealthcare.com/blog/physician/perm/physician-appointment-wait-times-getting-longer/" TargetMode="External"/><Relationship Id="rId13" Type="http://schemas.openxmlformats.org/officeDocument/2006/relationships/hyperlink" Target="https://pubmed.ncbi.nlm.nih.gov/29439783/" TargetMode="External"/><Relationship Id="rId18" Type="http://schemas.openxmlformats.org/officeDocument/2006/relationships/hyperlink" Target="https://www.wsj.com/articles/the-consequences-of-skipping-doctor-appointments-during-the-covid-pandemic-11620067142" TargetMode="External"/><Relationship Id="rId3" Type="http://schemas.openxmlformats.org/officeDocument/2006/relationships/hyperlink" Target="https://www.chiamass.gov/assets/docs/r/hospital-profiles/2021/FY21-Massachusetts-Hospital-Profiles-Technical-Appendix.pdf" TargetMode="External"/><Relationship Id="rId21" Type="http://schemas.openxmlformats.org/officeDocument/2006/relationships/hyperlink" Target="https://pubmed.ncbi.nlm.nih.gov/29577766/" TargetMode="External"/><Relationship Id="rId7" Type="http://schemas.openxmlformats.org/officeDocument/2006/relationships/hyperlink" Target="https://www.amnhealthcare.com/blog/physician/perm/physician-appointment-wait-times-getting-longer/" TargetMode="External"/><Relationship Id="rId12" Type="http://schemas.openxmlformats.org/officeDocument/2006/relationships/hyperlink" Target="https://pubmed.ncbi.nlm.nih.gov/26512045/" TargetMode="External"/><Relationship Id="rId17" Type="http://schemas.openxmlformats.org/officeDocument/2006/relationships/hyperlink" Target="https://www.wsj.com/articles/the-consequences-of-skipping-doctor-appointments-during-the-covid-pandemic-11620067142" TargetMode="External"/><Relationship Id="rId2" Type="http://schemas.openxmlformats.org/officeDocument/2006/relationships/hyperlink" Target="https://www.chiamass.gov/assets/docs/r/hospital-profiles/2019/FY19-Massachusetts-Hospital-Profiles-Technical-" TargetMode="External"/><Relationship Id="rId16" Type="http://schemas.openxmlformats.org/officeDocument/2006/relationships/hyperlink" Target="https://www.theregreview.org/2019/05/13/hales-appropriate-access-care-reducing-health-costs" TargetMode="External"/><Relationship Id="rId20" Type="http://schemas.openxmlformats.org/officeDocument/2006/relationships/hyperlink" Target="https://www.panfoundation.org/medication-non-adherence/" TargetMode="External"/><Relationship Id="rId1" Type="http://schemas.openxmlformats.org/officeDocument/2006/relationships/hyperlink" Target="https://www.chiamass.gov/assets/docs/r/hospital-profiles/2021/FY21-Massachusetts-Hospital-Profiles-Technical-Appendix.pdf" TargetMode="External"/><Relationship Id="rId6" Type="http://schemas.openxmlformats.org/officeDocument/2006/relationships/hyperlink" Target="https://www.amnhealthcare.com/blog/physician/perm/physician-appointment-wait-times-getting-longer/" TargetMode="External"/><Relationship Id="rId11" Type="http://schemas.openxmlformats.org/officeDocument/2006/relationships/hyperlink" Target="https://pubmed.ncbi.nlm.nih.gov/26512045/" TargetMode="External"/><Relationship Id="rId24" Type="http://schemas.openxmlformats.org/officeDocument/2006/relationships/hyperlink" Target="https://link.springer.com/article/10.1007/s10900-013-9681-1" TargetMode="External"/><Relationship Id="rId5" Type="http://schemas.openxmlformats.org/officeDocument/2006/relationships/hyperlink" Target="https://www.chiamass.gov/assets/docs/r/hospital-profiles/2021/hospital-health-systems/Beth-Israel-Lahey.pdf" TargetMode="External"/><Relationship Id="rId15" Type="http://schemas.openxmlformats.org/officeDocument/2006/relationships/hyperlink" Target="https://www.theregreview.org/2019/05/13/hales-appropriate-access-care-reducing-health-costs" TargetMode="External"/><Relationship Id="rId23" Type="http://schemas.openxmlformats.org/officeDocument/2006/relationships/hyperlink" Target="https://link.springer.com/article/10.1007/s10900-013-9681-1" TargetMode="External"/><Relationship Id="rId10" Type="http://schemas.openxmlformats.org/officeDocument/2006/relationships/hyperlink" Target="https://www.advisory.com/topics/oncology/2020/06/cancer-incidence-estimator" TargetMode="External"/><Relationship Id="rId19" Type="http://schemas.openxmlformats.org/officeDocument/2006/relationships/hyperlink" Target="https://www.panfoundation.org/medication-non-adherence/" TargetMode="External"/><Relationship Id="rId4" Type="http://schemas.openxmlformats.org/officeDocument/2006/relationships/hyperlink" Target="https://www.chiamass.gov/assets/docs/r/hospital-profiles/2020/hospital-health-systems/Beth-Israel-Lahey.pdf" TargetMode="External"/><Relationship Id="rId9" Type="http://schemas.openxmlformats.org/officeDocument/2006/relationships/hyperlink" Target="https://www.advisory.com/topics/oncology/2020/06/cancer-incidence-estimator" TargetMode="External"/><Relationship Id="rId14" Type="http://schemas.openxmlformats.org/officeDocument/2006/relationships/hyperlink" Target="https://pubmed.ncbi.nlm.nih.gov/29439783/" TargetMode="External"/><Relationship Id="rId22" Type="http://schemas.openxmlformats.org/officeDocument/2006/relationships/hyperlink" Target="https://pubmed.ncbi.nlm.nih.gov/2957776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b5e2fe8-6e3f-4f06-b1e4-5c2830ca11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1463DA0861BA469360B2307A382AC9" ma:contentTypeVersion="15" ma:contentTypeDescription="Create a new document." ma:contentTypeScope="" ma:versionID="a42c85252cff8016d463fc955bb772ee">
  <xsd:schema xmlns:xsd="http://www.w3.org/2001/XMLSchema" xmlns:xs="http://www.w3.org/2001/XMLSchema" xmlns:p="http://schemas.microsoft.com/office/2006/metadata/properties" xmlns:ns3="ab5e2fe8-6e3f-4f06-b1e4-5c2830ca113a" xmlns:ns4="5797803c-49ad-44f9-a988-ebe7fdbca08d" targetNamespace="http://schemas.microsoft.com/office/2006/metadata/properties" ma:root="true" ma:fieldsID="46286f725997318dbf6dff8807dd676a" ns3:_="" ns4:_="">
    <xsd:import namespace="ab5e2fe8-6e3f-4f06-b1e4-5c2830ca113a"/>
    <xsd:import namespace="5797803c-49ad-44f9-a988-ebe7fdbca0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e2fe8-6e3f-4f06-b1e4-5c2830ca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97803c-49ad-44f9-a988-ebe7fdbca0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C651D-161E-485A-B0F4-921F8CB6CAA6}">
  <ds:schemaRefs>
    <ds:schemaRef ds:uri="http://schemas.microsoft.com/sharepoint/v3/contenttype/forms"/>
  </ds:schemaRefs>
</ds:datastoreItem>
</file>

<file path=customXml/itemProps2.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customXml/itemProps3.xml><?xml version="1.0" encoding="utf-8"?>
<ds:datastoreItem xmlns:ds="http://schemas.openxmlformats.org/officeDocument/2006/customXml" ds:itemID="{B9A375D0-91C0-49FD-ADE1-340C561DB0BC}">
  <ds:schemaRefs>
    <ds:schemaRef ds:uri="http://schemas.microsoft.com/office/2006/metadata/properties"/>
    <ds:schemaRef ds:uri="http://schemas.microsoft.com/office/infopath/2007/PartnerControls"/>
    <ds:schemaRef ds:uri="ab5e2fe8-6e3f-4f06-b1e4-5c2830ca113a"/>
  </ds:schemaRefs>
</ds:datastoreItem>
</file>

<file path=customXml/itemProps4.xml><?xml version="1.0" encoding="utf-8"?>
<ds:datastoreItem xmlns:ds="http://schemas.openxmlformats.org/officeDocument/2006/customXml" ds:itemID="{DBDD1C5D-F04E-4F73-A656-751F7C55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e2fe8-6e3f-4f06-b1e4-5c2830ca113a"/>
    <ds:schemaRef ds:uri="5797803c-49ad-44f9-a988-ebe7fdbca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152</TotalTime>
  <Pages>35</Pages>
  <Words>11540</Words>
  <Characters>65783</Characters>
  <Application>Microsoft Office Word</Application>
  <DocSecurity>0</DocSecurity>
  <Lines>548</Lines>
  <Paragraphs>154</Paragraphs>
  <ScaleCrop>false</ScaleCrop>
  <Company/>
  <LinksUpToDate>false</LinksUpToDate>
  <CharactersWithSpaces>77169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55</cp:revision>
  <cp:lastPrinted>2025-02-06T02:03:00Z</cp:lastPrinted>
  <dcterms:created xsi:type="dcterms:W3CDTF">2025-04-28T19:07:00Z</dcterms:created>
  <dcterms:modified xsi:type="dcterms:W3CDTF">2025-05-06T18:02:00Z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0x010100AB1463DA0861BA469360B2307A382AC9</vt:lpwstr>
  </property>
</Properties>
</file>